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caps/>
          <w:szCs w:val="24"/>
          <w:rtl w:val="0"/>
        </w:rPr>
        <w:t>Národná rada Slovenskej republiky</w:t>
      </w:r>
    </w:p>
    <w:p>
      <w:pPr>
        <w:pBdr>
          <w:bottom w:val="single" w:sz="12" w:space="1" w:color="00000A"/>
        </w:pBd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caps/>
          <w:szCs w:val="24"/>
          <w:rtl w:val="0"/>
        </w:rPr>
        <w:t>VII. volebné obdobie</w:t>
      </w:r>
    </w:p>
    <w:p>
      <w:pPr>
        <w:rPr>
          <w:rFonts w:ascii="Times New Roman" w:eastAsia="Times New Roman" w:hAnsi="Liberation Serif" w:cs="Liberation Serif"/>
          <w:i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Návrh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Zákon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z ......... 2017,</w:t>
      </w:r>
    </w:p>
    <w:p>
      <w:pPr>
        <w:jc w:val="both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tabs>
          <w:tab w:val="left" w:pos="7215"/>
          <w:tab w:val="left" w:leader="dot" w:pos="8902"/>
        </w:tabs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 xml:space="preserve">ktorým sa dopĺňa zákon Národnej rady Slovenskej republiky č. 245/2008 Z. z. o </w:t>
      </w:r>
      <w:r>
        <w:rPr>
          <w:rFonts w:ascii="Times New Roman" w:eastAsia="Times New Roman" w:hAnsi="Liberation Serif" w:cs="Liberation Serif"/>
          <w:b w:val="0"/>
          <w:szCs w:val="24"/>
          <w:rtl w:val="0"/>
          <w:lang w:eastAsia="ar-SA" w:bidi="ar-SA"/>
        </w:rPr>
        <w:t xml:space="preserve"> </w:t>
      </w:r>
      <w:r>
        <w:rPr>
          <w:rFonts w:ascii="Times New Roman" w:eastAsia="Times New Roman" w:hAnsi="Liberation Serif" w:cs="Liberation Serif"/>
          <w:b/>
          <w:szCs w:val="24"/>
          <w:rtl w:val="0"/>
          <w:lang w:eastAsia="ar-SA" w:bidi="ar-SA"/>
        </w:rPr>
        <w:t xml:space="preserve">výchove a vzdelávaní (školský zákon)  </w:t>
      </w:r>
      <w:r>
        <w:rPr>
          <w:rFonts w:ascii="Times New Roman" w:eastAsia="Times New Roman" w:hAnsi="Liberation Serif" w:cs="Liberation Serif"/>
          <w:b/>
          <w:i w:val="0"/>
          <w:caps w:val="0"/>
          <w:smallCaps w:val="0"/>
          <w:color w:val="070707"/>
          <w:spacing w:val="0"/>
          <w:szCs w:val="24"/>
          <w:rtl w:val="0"/>
          <w:lang w:eastAsia="ar-SA" w:bidi="ar-SA"/>
        </w:rPr>
        <w:t>a o zmene a doplnení niektorých zákonov</w:t>
      </w:r>
      <w:r>
        <w:rPr>
          <w:rFonts w:ascii="Times New Roman" w:eastAsia="Times New Roman" w:hAnsi="Liberation Serif" w:cs="Liberation Serif"/>
          <w:b/>
          <w:szCs w:val="24"/>
          <w:rtl w:val="0"/>
          <w:lang w:eastAsia="ar-SA" w:bidi="ar-SA"/>
        </w:rPr>
        <w:t>.</w:t>
      </w:r>
    </w:p>
    <w:p>
      <w:pPr>
        <w:jc w:val="both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Národná rada Slovenskej republiky sa uzniesla na tomto zákone:</w:t>
      </w:r>
    </w:p>
    <w:p>
      <w:pPr>
        <w:jc w:val="both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Čl. I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Zákon Národnej rady Slovenskej republiky č. 245</w:t>
      </w:r>
      <w:r>
        <w:rPr>
          <w:rFonts w:ascii="Times New Roman" w:hAnsi="Liberation Serif" w:cs="Liberation Serif"/>
          <w:b w:val="0"/>
          <w:szCs w:val="24"/>
          <w:rtl w:val="0"/>
        </w:rPr>
        <w:t xml:space="preserve">/2008 Z. z. </w:t>
      </w:r>
      <w:r>
        <w:rPr>
          <w:rFonts w:ascii="Times New Roman" w:eastAsia="Times New Roman" w:hAnsi="Liberation Serif" w:cs="Liberation Serif"/>
          <w:b w:val="0"/>
          <w:szCs w:val="24"/>
          <w:rtl w:val="0"/>
          <w:lang w:eastAsia="ar-SA" w:bidi="ar-SA"/>
        </w:rPr>
        <w:t xml:space="preserve">o výchove a vzdelávaní (školský zákon) </w:t>
      </w:r>
      <w:r>
        <w:rPr>
          <w:rFonts w:ascii="Times New Roman" w:hAnsi="Liberation Serif" w:cs="Liberation Serif"/>
          <w:b w:val="0"/>
          <w:szCs w:val="24"/>
          <w:rtl w:val="0"/>
        </w:rPr>
        <w:t>v znení zákona Národnej rady Slovenskej republiky č. 462/2008 Z. z., zákona Národnej rady Slovenskej republiky č. 37/2009 Z. z., zákona Národnej rady Slovenskej republiky č. 184/2009 Z. z., zákona Národnej rady Slovenskej republiky č. 37/2011 Z. z., zákona Národnej rady Slovenskej republiky č. 390/2011 Z. z., zákona Národnej rady Slovenskej republiky č. 390/2011 Z. z., zákona Národnej rady Slovenskej republiky č. 324/2012 Z. z., zákona Národnej rady Slovenskej republiky č. 324/2012 Z. z., zákona Národnej rady Slovenskej republiky č. 324/2012 Z. z., zákona Národnej rady Slovenskej republiky č. 125/2013 Z. z., zákona Národnej rady Slovenskej republiky č. 464/2013 Z. z., zákona Národnej rady Slovenskej republiky č. 464/2013 Z. z., zákona Národnej rady Slovenskej republiky č. 464/2013 Z. z., zákona Národnej rady Slovenskej republiky č. 464/2013 Z. z., zákona Národnej rady Slovenskej republiky č. 307/2014 Z. z., zákona Národnej rady Slovenskej republiky č. 377/2014 Z. z., zákona Národnej rady Slovenskej republiky č. 61/2015 Z. z., zákona Národnej rady Slovenskej republiky č. 61/2015 Z. z., zákona Národnej rady Slovenskej republiky č. 188/2015 Z. z.,  zákona Národnej rady Slovenskej republiky č. 188/2015 Z. z.,  zákona Národnej rady Slovenskej republiky č. 188/2015 Z. z.,  zákona Národnej rady Slovenskej republiky č. 188/2015 Z. z.,  zákona Národnej rady Slovenskej republiky č. 125/2016 Z. z.,  zákona Národnej rady Slovenskej republiky č. 216/2016 Z. z. sa dopĺňa takto:</w:t>
      </w:r>
    </w:p>
    <w:p>
      <w:pPr>
        <w:jc w:val="both"/>
        <w:rPr>
          <w:rFonts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Cs w:val="24"/>
          <w:rtl w:val="0"/>
        </w:rPr>
        <w:tab/>
        <w:t>1. V § 55 sa pred pôvodný text vkladá písmen</w:t>
      </w:r>
      <w:r>
        <w:rPr>
          <w:rFonts w:ascii="Times New Roman" w:eastAsia="Times New Roman" w:hAnsi="Liberation Serif" w:cs="Liberation Serif"/>
          <w:szCs w:val="24"/>
          <w:rtl w:val="0"/>
        </w:rPr>
        <w:t>o</w:t>
      </w:r>
      <w:r>
        <w:rPr>
          <w:rFonts w:ascii="Times New Roman" w:eastAsia="Times New Roman" w:hAnsi="Liberation Serif" w:cs="Liberation Serif"/>
          <w:szCs w:val="24"/>
          <w:rtl w:val="0"/>
        </w:rPr>
        <w:t xml:space="preserve"> a). Za písmeno a) sa vkladá nové písmeno b), ktoré znie: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  <w:lang w:eastAsia="sk-SK"/>
        </w:rPr>
        <w:t>„</w:t>
      </w:r>
      <w:r>
        <w:rPr>
          <w:rFonts w:ascii="Times New Roman" w:eastAsia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  <w:lang w:eastAsia="sk-SK"/>
        </w:rPr>
        <w:t xml:space="preserve">b)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</w:rPr>
        <w:t xml:space="preserve">Žiak, ktorý vymeškal počas školského roka viac ako 35 %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</w:rPr>
        <w:t xml:space="preserve">z celkového počtu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</w:rPr>
        <w:t>vyučovacích hodín bez ohľadu na dôvod a hodnotenie absencie, opakuje ročník počas plnenia povinnej školskej dochádzky; v strednej škole môže opakovať ročník na základe rozhodnutia</w:t>
      </w:r>
      <w:r>
        <w:rPr>
          <w:rFonts w:ascii="Arial" w:hAnsi="Liberation Serif" w:cs="Liberation Serif"/>
          <w:b w:val="0"/>
          <w:i w:val="0"/>
          <w:caps w:val="0"/>
          <w:smallCaps w:val="0"/>
          <w:spacing w:val="0"/>
          <w:sz w:val="19"/>
          <w:szCs w:val="24"/>
          <w:rtl w:val="0"/>
        </w:rPr>
        <w:t xml:space="preserve">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</w:rPr>
        <w:t>vydaného riaditeľom školy.</w:t>
      </w:r>
      <w:r>
        <w:rPr>
          <w:rFonts w:ascii="Times New Roman" w:eastAsia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</w:rPr>
        <w:t>“</w:t>
      </w:r>
      <w:r>
        <w:rPr>
          <w:rFonts w:ascii="Times New Roman" w:eastAsia="Times New Roman" w:hAnsi="Liberation Serif" w:cs="Liberation Serif"/>
          <w:szCs w:val="24"/>
          <w:rtl w:val="0"/>
        </w:rPr>
        <w:t xml:space="preserve"> </w:t>
      </w:r>
    </w:p>
    <w:p>
      <w:pPr>
        <w:widowControl/>
        <w:jc w:val="both"/>
        <w:textAlignment w:val="auto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ab/>
        <w:t>2.  V § 57 ods. 1 sa ruší za písmenom l) bodka, nahrádza sa čiarkou a vkladá sa nové písmeno m), ktoré znie:</w:t>
      </w: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  <w:lang w:eastAsia="sk-SK"/>
        </w:rPr>
        <w:t>„</w:t>
      </w:r>
      <w:r>
        <w:rPr>
          <w:rFonts w:ascii="Times New Roman" w:hAnsi="Liberation Serif" w:cs="Liberation Serif"/>
          <w:szCs w:val="24"/>
          <w:rtl w:val="0"/>
        </w:rPr>
        <w:t>m) ak vymešká viac ako 25 % vyučovacích hodín v danom predmete bez ohľadu na dôvod a hodnotenie absencie.“</w:t>
      </w:r>
    </w:p>
    <w:p>
      <w:pPr>
        <w:widowControl/>
        <w:textAlignment w:val="auto"/>
        <w:rPr>
          <w:rFonts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ab/>
        <w:t>3. V § 144 ods. 6 písm. c) sa za čiarku vkladá nové ustanovenie, ktoré znie:</w:t>
      </w: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  <w:lang w:eastAsia="sk-SK"/>
        </w:rPr>
        <w:t>„</w:t>
      </w:r>
      <w:r>
        <w:rPr>
          <w:rFonts w:ascii="Times New Roman" w:hAnsi="Liberation Serif" w:cs="Liberation Serif"/>
          <w:b w:val="0"/>
          <w:i w:val="0"/>
          <w:caps w:val="0"/>
          <w:smallCaps w:val="0"/>
          <w:spacing w:val="0"/>
          <w:szCs w:val="24"/>
          <w:rtl w:val="0"/>
          <w:lang w:eastAsia="sk-SK"/>
        </w:rPr>
        <w:t xml:space="preserve">a to aj v prípade, keď je dieťa plnoleté a uvedená osoba už nie je zákonným zástupcom, ale je jeho rodič alebo zástupca zariadenia.“ </w:t>
      </w:r>
    </w:p>
    <w:p>
      <w:pPr>
        <w:widowControl/>
        <w:jc w:val="both"/>
        <w:textAlignment w:val="auto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Cs w:val="24"/>
          <w:rtl w:val="0"/>
        </w:rPr>
        <w:tab/>
        <w:t>4</w:t>
      </w:r>
      <w:r>
        <w:rPr>
          <w:rFonts w:ascii="Times New Roman" w:hAnsi="Liberation Serif" w:cs="Liberation Serif"/>
          <w:szCs w:val="24"/>
          <w:rtl w:val="0"/>
        </w:rPr>
        <w:t xml:space="preserve">.  V § 144 ods. 11 sa na konci vety ruší bodka a vkladá sa nová časť ustanovenia, ktoré znie:  </w:t>
      </w:r>
    </w:p>
    <w:p>
      <w:pPr>
        <w:widowControl/>
        <w:tabs>
          <w:tab w:val="left" w:pos="490"/>
        </w:tabs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  <w:lang w:eastAsia="sk-SK"/>
        </w:rPr>
        <w:t xml:space="preserve">„ 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  <w:lang w:eastAsia="sk-SK"/>
        </w:rPr>
        <w:t xml:space="preserve">za predpokladu, že toto ospravedlnenie bude spolupodpísané rodičom alebo zástupcom zariadenia. 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>“</w:t>
      </w:r>
    </w:p>
    <w:p>
      <w:pPr>
        <w:pStyle w:val="Obsahtabuky"/>
        <w:widowControl/>
        <w:spacing w:after="0"/>
        <w:jc w:val="both"/>
        <w:textAlignment w:val="auto"/>
        <w:rPr>
          <w:rFonts w:eastAsia="Times New Roman"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  <w:rtl w:val="0"/>
        </w:rPr>
      </w:pPr>
    </w:p>
    <w:p>
      <w:pPr>
        <w:widowControl/>
        <w:ind w:left="397" w:hanging="283"/>
        <w:jc w:val="both"/>
        <w:textAlignment w:val="auto"/>
        <w:rPr>
          <w:rFonts w:hAnsi="Liberation Serif" w:cs="Liberation Serif"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Čl. II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Tento zákon nadobúda účinnosť 1. septembra 2017.</w:t>
      </w:r>
    </w:p>
    <w:p>
      <w:pPr>
        <w:pStyle w:val="Nadpis1"/>
        <w:widowControl/>
        <w:tabs>
          <w:tab w:val="left" w:pos="490"/>
        </w:tabs>
        <w:ind w:left="0" w:right="217"/>
        <w:textAlignment w:val="auto"/>
        <w:rPr>
          <w:rFonts w:hAnsi="Liberation Serif" w:cs="Liberation Serif"/>
          <w:szCs w:val="24"/>
          <w:rtl w:val="0"/>
        </w:rPr>
      </w:pPr>
    </w:p>
    <w:sectPr>
      <w:type w:val="continuous"/>
      <w:pgSz w:w="11906" w:h="16838"/>
      <w:pgMar w:top="1417" w:right="1417" w:bottom="1417" w:left="1417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EE"/>
    <w:family w:val="roman"/>
    <w:pitch w:val="variable"/>
    <w:sig w:usb0="00000000" w:usb1="00000000" w:usb2="00000000" w:usb3="00000000" w:csb0="00000003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EE"/>
    <w:family w:val="swiss"/>
    <w:pitch w:val="variable"/>
    <w:sig w:usb0="00000000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Calibri Light">
    <w:charset w:val="EE"/>
    <w:family w:val="roman"/>
    <w:pitch w:val="variable"/>
    <w:sig w:usb0="00000000" w:usb1="00000000" w:usb2="00000000" w:usb3="00000000" w:csb0="00000002" w:csb1="00000000"/>
  </w:font>
  <w:font w:name="Segoe UI">
    <w:charset w:val="EE"/>
    <w:family w:val="roman"/>
    <w:pitch w:val="variable"/>
    <w:sig w:usb0="00000000" w:usb1="00000000" w:usb2="00000000" w:usb3="00000000" w:csb0="00000002" w:csb1="00000000"/>
  </w:font>
  <w:font w:name="Calibri">
    <w:charset w:val="EE"/>
    <w:family w:val="roman"/>
    <w:pitch w:val="variable"/>
    <w:sig w:usb0="00000000" w:usb1="00000000" w:usb2="00000000" w:usb3="00000000" w:csb0="00000002" w:csb1="00000000"/>
  </w:font>
  <w:font w:name="Mangal">
    <w:charset w:val="EE"/>
    <w:family w:val="auto"/>
    <w:pitch w:val="variable"/>
    <w:sig w:usb0="00000000" w:usb1="00000000" w:usb2="0000000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bidi w:val="0"/>
      <w:adjustRightInd w:val="0"/>
      <w:spacing w:before="0" w:after="200" w:line="276" w:lineRule="auto"/>
      <w:ind w:left="0" w:right="0" w:firstLine="0"/>
      <w:jc w:val="left"/>
      <w:textAlignment w:val="baseline"/>
    </w:pPr>
    <w:rPr>
      <w:rFonts w:ascii="Liberation Serif" w:eastAsia="Liberation Serif"/>
      <w:color w:val="000000"/>
      <w:kern w:val="1"/>
      <w:sz w:val="24"/>
      <w:lang w:val="sk-SK" w:eastAsia="hi-IN"/>
    </w:rPr>
  </w:style>
  <w:style w:type="character" w:default="1" w:styleId="DefaultParagraphFont">
    <w:name w:val="Default Paragraph Font"/>
    <w:uiPriority w:val="99"/>
  </w:style>
  <w:style w:type="paragraph" w:customStyle="1" w:styleId="Nadpis1">
    <w:name w:val="Nadpis 1"/>
    <w:basedOn w:val="Normal"/>
    <w:uiPriority w:val="99"/>
    <w:pPr>
      <w:ind w:left="138"/>
      <w:jc w:val="left"/>
    </w:pPr>
    <w:rPr>
      <w:rFonts w:ascii="Times New Roman"/>
      <w:u w:val="single" w:color="000000"/>
    </w:rPr>
  </w:style>
  <w:style w:type="paragraph" w:customStyle="1" w:styleId="Nadpis3">
    <w:name w:val="Nadpis 3"/>
    <w:basedOn w:val="Nadpis"/>
    <w:uiPriority w:val="99"/>
    <w:pPr>
      <w:jc w:val="left"/>
    </w:pPr>
  </w:style>
  <w:style w:type="character" w:customStyle="1" w:styleId="Nadpis1Char">
    <w:name w:val="Nadpis 1 Char"/>
    <w:basedOn w:val="DefaultParagraphFont"/>
    <w:uiPriority w:val="99"/>
    <w:rPr>
      <w:rFonts w:ascii="Calibri Light" w:eastAsia="Calibri Light"/>
      <w:b/>
      <w:color w:val="000000"/>
      <w:kern w:val="1"/>
      <w:sz w:val="29"/>
      <w:lang w:eastAsia="hi-I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/>
      <w:color w:val="0000FF"/>
      <w:u w:val="single" w:color="00000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/>
    </w:rPr>
  </w:style>
  <w:style w:type="character" w:customStyle="1" w:styleId="Premennfd">
    <w:name w:val="Premenný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Mangal"/>
      <w:color w:val="000000"/>
      <w:kern w:val="1"/>
      <w:sz w:val="16"/>
      <w:lang w:eastAsia="hi-IN"/>
    </w:rPr>
  </w:style>
  <w:style w:type="character" w:customStyle="1" w:styleId="Internetovodkaz">
    <w:name w:val="Internetový odkaz"/>
    <w:uiPriority w:val="99"/>
    <w:rPr>
      <w:color w:val="000080"/>
      <w:u w:val="single" w:color="000000"/>
    </w:rPr>
  </w:style>
  <w:style w:type="character" w:customStyle="1" w:styleId="Premenn">
    <w:name w:val="Premenný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Mangal"/>
      <w:sz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customStyle="1" w:styleId="Zoznam">
    <w:name w:val="Zoznam"/>
    <w:basedOn w:val="Telotextu"/>
    <w:uiPriority w:val="99"/>
    <w:pPr>
      <w:jc w:val="left"/>
    </w:pPr>
    <w:rPr>
      <w:rFonts w:eastAsia="Mangal"/>
    </w:rPr>
  </w:style>
  <w:style w:type="paragraph" w:customStyle="1" w:styleId="Popis">
    <w:name w:val="Popis"/>
    <w:basedOn w:val="Normal"/>
    <w:uiPriority w:val="99"/>
    <w:pPr>
      <w:suppressLineNumbers/>
      <w:spacing w:before="120" w:after="120"/>
      <w:jc w:val="left"/>
    </w:pPr>
    <w:rPr>
      <w:rFonts w:eastAsia="Mangal"/>
      <w:i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eastAsia="Mangal"/>
    </w:rPr>
  </w:style>
  <w:style w:type="paragraph" w:styleId="Caption">
    <w:name w:val="caption"/>
    <w:basedOn w:val="Normal"/>
    <w:uiPriority w:val="99"/>
    <w:pPr>
      <w:spacing w:before="120" w:after="120"/>
      <w:jc w:val="left"/>
    </w:pPr>
    <w:rPr>
      <w:i/>
    </w:rPr>
  </w:style>
  <w:style w:type="paragraph" w:styleId="ListParagraph">
    <w:name w:val="List Paragraph"/>
    <w:basedOn w:val="Normal"/>
    <w:uiPriority w:val="99"/>
    <w:pPr>
      <w:widowControl/>
      <w:ind w:left="720"/>
      <w:contextualSpacing/>
      <w:jc w:val="left"/>
      <w:textAlignment w:val="auto"/>
    </w:pPr>
    <w:rPr>
      <w:rFonts w:ascii="Calibri"/>
      <w:sz w:val="22"/>
      <w:lang w:eastAsia="ar-SA" w:bidi="ar-SA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  <w:style w:type="paragraph" w:styleId="BalloonText">
    <w:name w:val="Balloon Text"/>
    <w:basedOn w:val="Normal"/>
    <w:uiPriority w:val="99"/>
    <w:pPr>
      <w:jc w:val="left"/>
    </w:pPr>
    <w:rPr>
      <w:rFonts w:ascii="Segoe UI"/>
      <w:sz w:val="18"/>
    </w:rPr>
  </w:style>
  <w:style w:type="paragraph" w:customStyle="1" w:styleId="Obsahtabuky">
    <w:name w:val="Obsah tabuľky"/>
    <w:basedOn w:val="Normal"/>
    <w:uiPriority w:val="99"/>
    <w:pPr>
      <w:jc w:val="left"/>
    </w:pPr>
  </w:style>
  <w:style w:type="paragraph" w:customStyle="1" w:styleId="Nadpistabuky">
    <w:name w:val="Nadpis tabuľky"/>
    <w:basedOn w:val="Obsahtabuky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revision>0</cp:revision>
  <cp:lastPrinted>2016-10-26T09:24:00Z</cp:lastPrinted>
  <dcterms:created xsi:type="dcterms:W3CDTF">2016-10-26T10:10:00Z</dcterms:created>
  <dcterms:modified xsi:type="dcterms:W3CDTF">2017-05-24T10:23:00Z</dcterms:modified>
</cp:coreProperties>
</file>