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624F" w:rsidRPr="001D4A3E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4"/>
        </w:rPr>
      </w:pP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20"/>
          <w:sz w:val="22"/>
          <w:szCs w:val="24"/>
        </w:rPr>
        <w:t>VII. volebné obdobie</w:t>
      </w:r>
    </w:p>
    <w:p w:rsidR="0010624F" w:rsidRPr="001D4A3E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:rsidR="0010624F" w:rsidRPr="001D4A3E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30"/>
          <w:sz w:val="22"/>
          <w:szCs w:val="24"/>
        </w:rPr>
        <w:t xml:space="preserve">Návrh </w:t>
      </w: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caps/>
          <w:spacing w:val="30"/>
          <w:sz w:val="22"/>
          <w:szCs w:val="24"/>
        </w:rPr>
        <w:t>zákon</w:t>
      </w: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z ... 201</w:t>
      </w:r>
      <w:r w:rsidRPr="001D4A3E" w:rsidR="008109DE">
        <w:rPr>
          <w:rFonts w:ascii="Book Antiqua" w:hAnsi="Book Antiqua"/>
          <w:sz w:val="22"/>
          <w:szCs w:val="24"/>
        </w:rPr>
        <w:t>7</w:t>
      </w:r>
      <w:r w:rsidRPr="001D4A3E">
        <w:rPr>
          <w:rFonts w:ascii="Book Antiqua" w:hAnsi="Book Antiqua"/>
          <w:sz w:val="22"/>
          <w:szCs w:val="24"/>
        </w:rPr>
        <w:t>,</w:t>
      </w: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10624F" w:rsidRPr="001D4A3E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ktorým sa mení a dopĺňa zákon Slovenskej národnej rady č. 369/1990 Zb. o obecnom zriadení v znení neskorších predpisov</w:t>
      </w:r>
    </w:p>
    <w:p w:rsidR="0010624F" w:rsidRPr="001D4A3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4"/>
        </w:rPr>
      </w:pPr>
    </w:p>
    <w:p w:rsidR="0010624F" w:rsidRPr="001D4A3E">
      <w:pPr>
        <w:bidi w:val="0"/>
        <w:spacing w:before="120" w:line="276" w:lineRule="auto"/>
        <w:ind w:firstLine="360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 xml:space="preserve">Národná rada Slovenskej republiky sa uzniesla na tomto zákone: </w:t>
      </w:r>
    </w:p>
    <w:p w:rsidR="0010624F" w:rsidRPr="001D4A3E">
      <w:pPr>
        <w:bidi w:val="0"/>
        <w:spacing w:before="120" w:line="276" w:lineRule="auto"/>
        <w:rPr>
          <w:rFonts w:ascii="Book Antiqua" w:hAnsi="Book Antiqua"/>
          <w:b/>
          <w:sz w:val="22"/>
          <w:szCs w:val="24"/>
        </w:rPr>
      </w:pPr>
    </w:p>
    <w:p w:rsidR="0010624F" w:rsidRPr="001D4A3E">
      <w:pPr>
        <w:pStyle w:val="Nadpis3Podfaloha"/>
        <w:numPr>
          <w:ilvl w:val="2"/>
          <w:numId w:val="1"/>
        </w:numPr>
        <w:bidi w:val="0"/>
        <w:spacing w:line="276" w:lineRule="auto"/>
        <w:ind w:left="0" w:firstLine="0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sz w:val="22"/>
        </w:rPr>
        <w:t>Čl. I</w:t>
      </w:r>
    </w:p>
    <w:p w:rsidR="0010624F" w:rsidRPr="001D4A3E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 xml:space="preserve">Zákon Slovenskej národnej rady č. 369/1990 Zb. o obecnom zriadení v znení zákona Slovenskej národnej rady č. 401/1990 Zb., zákona Slovenskej národnej rady č. 96/1991 Zb., zákona Slovenskej národnej rady č. 130/1991 Zb., zákona Slovenskej národnej rady                č. 421/1991 Zb., zákona Slovenskej národnej rady č. 500/1991 Zb., zákona Slovenskej národnej rady č. 564/1991 Zb., zákona Slovenskej národnej rady č. 11/1992 Zb., zákona Slovenskej národnej rady č. 295/1992 Zb., zákona Národnej rady Slovenskej republiky           č. 43/1993 Z. z., zákona Národnej rady Slovenskej republiky č. 252/1994 Z. z., zákona Národnej rady Slovenskej republiky č. 287/1994 Z. z., zákona č. 229/1997 Z. z., zákona         č. 225/1998 Z. z., zákona č. 233/1998 Z. z., nálezu Ústavného súdu Slovenskej republiky        č. 185/1999 Z. z., zákona č. 389/1999 Z. z., zákona č. 6/2001 Z. z., zákona č. 453/2001 Z. z., zákona č. 205/2002 Z. z., zákona č. 515/2003 Z. z., zákona č. 369/2004 Z. z., zákona                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       č. 334/2007 Z. z., zákona č. 335/2007 Z. z., nálezu Ústavného súdu Slovenskej republiky       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 uznesenia Ústavného súdu Slovenskej republiky č. 239/2014 Z. z., zákona č. 125/2015 Z. z., zákona </w:t>
      </w:r>
      <w:r w:rsidRPr="001D4A3E" w:rsidR="0037066E">
        <w:rPr>
          <w:rFonts w:ascii="Book Antiqua" w:hAnsi="Book Antiqua"/>
          <w:sz w:val="22"/>
          <w:szCs w:val="24"/>
        </w:rPr>
        <w:t xml:space="preserve">    </w:t>
      </w:r>
      <w:r w:rsidRPr="001D4A3E">
        <w:rPr>
          <w:rFonts w:ascii="Book Antiqua" w:hAnsi="Book Antiqua"/>
          <w:sz w:val="22"/>
          <w:szCs w:val="24"/>
        </w:rPr>
        <w:t>č. 447/2015 Z. z. a zákona č. 125/2016 Z. z. sa mení a dopĺňa takto:</w:t>
      </w:r>
    </w:p>
    <w:p w:rsidR="0010624F" w:rsidRPr="001D4A3E" w:rsidP="0037066E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2a ods. 5 prvej vete sa na konci bodka nahrádza čiarkou a pripájajú sa tieto slová: „ak dĺžka spoločnej hranice katastrálneho územia odčleňovanej časti obce a obce je menšia než polovica obvodu celkovej dĺžky hranice katastrálneho územia odčleňovanej časti obce a ak cesta spájajúca odčleňovanú časť obce s obcou, ktorej je súčasťou, vedie cez inú obec.“.</w:t>
      </w:r>
    </w:p>
    <w:p w:rsidR="0010624F" w:rsidRPr="001D4A3E" w:rsidP="0037066E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1 písm. c) sa na konci čiarka nahrádza bodkočiarkou a pripájajú sa tieto slová: „ak ide o petíciu za rozdelenie obce, vyžaduje sa aspoň 60% oprávnených voličov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obce,“.</w:t>
      </w:r>
    </w:p>
    <w:p w:rsidR="0010624F" w:rsidRPr="001D4A3E" w:rsidP="0037066E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3 sa na konci pripája táto veta: „Ak ide o rozdelenie obce, miestne referendum sa uskutoční len v odčleňovanej časti obce.“.</w:t>
      </w:r>
    </w:p>
    <w:p w:rsidR="0010624F" w:rsidRPr="001D4A3E" w:rsidP="0037066E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8 prvej vete sa na konci bodka nahrádza bodkočiarkou a pripájajú sa tieto slová: „ak ide o rozdelenie obce, oprávnenými voličmi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sa rozumejú len oprávnení voliči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obce.“.</w:t>
      </w:r>
    </w:p>
    <w:p w:rsidR="0010624F" w:rsidRPr="001D4A3E">
      <w:pPr>
        <w:bidi w:val="0"/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4"/>
        </w:rPr>
      </w:pPr>
    </w:p>
    <w:p w:rsidR="0010624F" w:rsidRPr="001D4A3E">
      <w:pPr>
        <w:bidi w:val="0"/>
        <w:spacing w:before="120" w:line="276" w:lineRule="auto"/>
        <w:ind w:left="360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Čl. II</w:t>
      </w:r>
    </w:p>
    <w:p w:rsidR="0010624F" w:rsidRPr="001D4A3E">
      <w:pPr>
        <w:bidi w:val="0"/>
        <w:spacing w:before="120" w:line="276" w:lineRule="auto"/>
        <w:ind w:left="720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 xml:space="preserve">Tento zákon nadobúda účinnosť 1. </w:t>
      </w:r>
      <w:r w:rsidR="001D4A3E">
        <w:rPr>
          <w:rFonts w:ascii="Book Antiqua" w:hAnsi="Book Antiqua"/>
          <w:sz w:val="22"/>
          <w:szCs w:val="24"/>
        </w:rPr>
        <w:t>novembra</w:t>
      </w:r>
      <w:r w:rsidRPr="001D4A3E">
        <w:rPr>
          <w:rFonts w:ascii="Book Antiqua" w:hAnsi="Book Antiqua"/>
          <w:sz w:val="22"/>
          <w:szCs w:val="24"/>
        </w:rPr>
        <w:t xml:space="preserve"> 2017.</w:t>
      </w:r>
    </w:p>
    <w:p w:rsidR="0010624F" w:rsidRPr="001D4A3E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4"/>
        </w:rPr>
      </w:pPr>
    </w:p>
    <w:p w:rsidR="0010624F" w:rsidRPr="001D4A3E">
      <w:pPr>
        <w:bidi w:val="0"/>
        <w:spacing w:before="120" w:line="276" w:lineRule="auto"/>
        <w:ind w:left="709"/>
        <w:jc w:val="both"/>
        <w:rPr>
          <w:rFonts w:ascii="Book Antiqua" w:hAnsi="Book Antiqua"/>
          <w:szCs w:val="24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7066E"/>
    <w:rsid w:val="0010624F"/>
    <w:rsid w:val="001D4A3E"/>
    <w:rsid w:val="001E7FAF"/>
    <w:rsid w:val="003335E6"/>
    <w:rsid w:val="0037066E"/>
    <w:rsid w:val="004566C4"/>
    <w:rsid w:val="00795868"/>
    <w:rsid w:val="008109DE"/>
    <w:rsid w:val="00993CF4"/>
    <w:rsid w:val="00E653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qFormat="1"/>
    <w:lsdException w:name="annotation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c8o robíed (če8asť9d)"/>
    <w:basedOn w:val="Normal"/>
    <w:link w:val="Nadpis1Char"/>
    <w:uiPriority w:val="99"/>
    <w:qFormat/>
    <w:pPr>
      <w:keepNext/>
      <w:tabs>
        <w:tab w:val="left" w:pos="1134"/>
      </w:tabs>
      <w:spacing w:before="360"/>
      <w:ind w:left="567" w:hanging="567"/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aliases w:val="Údaloha"/>
    <w:basedOn w:val="Normal"/>
    <w:link w:val="Nadpis2Char"/>
    <w:uiPriority w:val="99"/>
    <w:qFormat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Heading3">
    <w:name w:val="heading 3"/>
    <w:aliases w:val="Podúfaloha"/>
    <w:basedOn w:val="Normal"/>
    <w:link w:val="Nadpis3Char"/>
    <w:uiPriority w:val="99"/>
    <w:qFormat/>
    <w:pPr>
      <w:keepNext/>
      <w:tabs>
        <w:tab w:val="left" w:pos="3687"/>
      </w:tabs>
      <w:spacing w:before="120"/>
      <w:ind w:left="2269" w:hanging="851"/>
      <w:jc w:val="left"/>
      <w:outlineLvl w:val="2"/>
    </w:pPr>
    <w:rPr>
      <w:kern w:val="0"/>
      <w:sz w:val="24"/>
      <w:szCs w:val="24"/>
    </w:rPr>
  </w:style>
  <w:style w:type="paragraph" w:styleId="Heading4">
    <w:name w:val="heading 4"/>
    <w:aliases w:val="Termíedn"/>
    <w:basedOn w:val="Normal"/>
    <w:link w:val="Nadpis4Char"/>
    <w:uiPriority w:val="99"/>
    <w:qFormat/>
    <w:pPr>
      <w:tabs>
        <w:tab w:val="left" w:pos="2836"/>
      </w:tabs>
      <w:spacing w:before="120" w:after="120"/>
      <w:ind w:left="1418" w:hanging="1418"/>
      <w:jc w:val="left"/>
      <w:outlineLvl w:val="3"/>
    </w:pPr>
    <w:rPr>
      <w:i/>
      <w:iCs/>
      <w:kern w:val="0"/>
      <w:sz w:val="24"/>
      <w:szCs w:val="24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c8o robíed (če8asť9d)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basedOn w:val="DefaultParagraphFont"/>
    <w:link w:val="Heading4"/>
    <w:uiPriority w:val="9"/>
    <w:semiHidden/>
    <w:locked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eastAsia="Times New Roman" w:cs="Times New Roman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  <w:style w:type="character" w:customStyle="1" w:styleId="Hlavie8kaChar">
    <w:name w:val="Hlaviče8ka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Pr>
      <w:rFonts w:ascii="Times New Roman"/>
      <w:b/>
      <w:kern w:val="1"/>
      <w:sz w:val="28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1c8orobede8as9d">
    <w:name w:val="Nadpis 1.Čc8o robíed (če8asť9d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2daloha">
    <w:name w:val="Nadpis 2.Úda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edn">
    <w:name w:val="Nadpis 4.Termíed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Tahoma" w:hAnsi="Tahoma" w:cs="Tahoma"/>
      <w:kern w:val="1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pPr>
      <w:ind w:left="708"/>
      <w:jc w:val="left"/>
    </w:pPr>
    <w:rPr>
      <w:kern w:val="0"/>
    </w:rPr>
  </w:style>
  <w:style w:type="paragraph" w:customStyle="1" w:styleId="Pe4ta">
    <w:name w:val="Päe4t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456</Words>
  <Characters>2602</Characters>
  <Application>Microsoft Office Word</Application>
  <DocSecurity>0</DocSecurity>
  <Lines>0</Lines>
  <Paragraphs>0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Gálisová, Natália</cp:lastModifiedBy>
  <cp:revision>2</cp:revision>
  <cp:lastPrinted>2013-12-10T10:23:00Z</cp:lastPrinted>
  <dcterms:created xsi:type="dcterms:W3CDTF">2017-05-22T11:58:00Z</dcterms:created>
  <dcterms:modified xsi:type="dcterms:W3CDTF">2017-05-22T11:58:00Z</dcterms:modified>
</cp:coreProperties>
</file>