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D66" w:rsidRPr="00C15D80" w:rsidP="00F31D6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80">
        <w:rPr>
          <w:rFonts w:ascii="Times New Roman" w:hAnsi="Times New Roman" w:cs="Times New Roman"/>
          <w:b/>
          <w:sz w:val="24"/>
          <w:szCs w:val="24"/>
        </w:rPr>
        <w:t>TABUĽKA ZHODY</w:t>
      </w:r>
    </w:p>
    <w:p w:rsidR="00F31D66" w:rsidRPr="00C15D80" w:rsidP="00F31D6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80">
        <w:rPr>
          <w:rFonts w:ascii="Times New Roman" w:hAnsi="Times New Roman" w:cs="Times New Roman"/>
          <w:b/>
          <w:sz w:val="24"/>
          <w:szCs w:val="24"/>
        </w:rPr>
        <w:t>návrhu právneho predpisu s právom Európskej únie</w:t>
      </w:r>
    </w:p>
    <w:tbl>
      <w:tblPr>
        <w:tblStyle w:val="TableGrid"/>
        <w:tblpPr w:leftFromText="141" w:rightFromText="141" w:vertAnchor="page" w:tblpY="3010"/>
        <w:tblW w:w="0" w:type="auto"/>
        <w:tblLayout w:type="fixed"/>
        <w:tblLook w:val="04A0"/>
      </w:tblPr>
      <w:tblGrid>
        <w:gridCol w:w="918"/>
        <w:gridCol w:w="3780"/>
        <w:gridCol w:w="1350"/>
        <w:gridCol w:w="1530"/>
        <w:gridCol w:w="1033"/>
        <w:gridCol w:w="3443"/>
        <w:gridCol w:w="779"/>
        <w:gridCol w:w="1387"/>
      </w:tblGrid>
      <w:tr>
        <w:tblPrEx>
          <w:tblW w:w="0" w:type="auto"/>
          <w:tblLayout w:type="fixed"/>
          <w:tblLook w:val="04A0"/>
        </w:tblPrEx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F31D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D80">
              <w:rPr>
                <w:rFonts w:ascii="Times New Roman" w:hAnsi="Times New Roman" w:cs="Times New Roman"/>
                <w:b/>
              </w:rPr>
              <w:t>Smernica Európskeho parlamentu a Rady 2008/95/ES z 22. októbra 2008 o aproximácii právnych predpisov členských štátov v oblasti ochranných známok (kodifikované znenie)</w:t>
            </w:r>
            <w:r>
              <w:rPr>
                <w:rStyle w:val="EndnoteReference"/>
                <w:rFonts w:ascii="Times New Roman" w:hAnsi="Times New Roman"/>
                <w:b/>
                <w:rtl w:val="0"/>
              </w:rPr>
              <w:endnoteReference w:id="2"/>
            </w:r>
          </w:p>
          <w:p w:rsidR="00AE0BC6" w:rsidRPr="00C15D80" w:rsidP="00F31D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0BC6" w:rsidRPr="00C15D80" w:rsidP="00AE0B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31D66" w:rsidRPr="00C15D80" w:rsidP="00411565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80">
              <w:rPr>
                <w:rFonts w:ascii="Times New Roman" w:hAnsi="Times New Roman" w:cs="Times New Roman"/>
                <w:b/>
                <w:sz w:val="24"/>
                <w:szCs w:val="24"/>
              </w:rPr>
              <w:t>Návrh zákona z ... 2017, ktorým sa mení a dopĺňa zákon č. 435/2001 Z. z. o patentoch, dodatkových ochranných osvedčeniach a o zmene a doplnení niektorých zákonov (patentový zákon) v znení neskorších predpisov a ktorým sa menia a dopĺňajú niektoré zákony</w:t>
            </w:r>
          </w:p>
          <w:p w:rsidR="00F31D66" w:rsidRPr="00C15D80" w:rsidP="00411565">
            <w:pPr>
              <w:pStyle w:val="ListParagraph"/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D66" w:rsidRPr="00C15D80" w:rsidP="004115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Článok</w:t>
            </w:r>
          </w:p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(Č, O, V, P)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Spôsob</w:t>
            </w:r>
          </w:p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transpozície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Článok</w:t>
            </w:r>
          </w:p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(Č, §, O, V, P)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Zhoda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Poznámky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</w:t>
            </w:r>
            <w:r w:rsidRPr="00C15D80" w:rsidR="001437F8">
              <w:rPr>
                <w:rFonts w:ascii="Times New Roman" w:hAnsi="Times New Roman" w:cs="Times New Roman"/>
              </w:rPr>
              <w:t>:4</w:t>
            </w:r>
          </w:p>
          <w:p w:rsidR="001437F8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O:2</w:t>
            </w:r>
          </w:p>
          <w:p w:rsidR="001437F8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P: a)</w:t>
            </w:r>
          </w:p>
          <w:p w:rsidR="001437F8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bod i)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7F8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0">
              <w:rPr>
                <w:rFonts w:ascii="Times New Roman" w:hAnsi="Times New Roman" w:cs="Times New Roman"/>
                <w:sz w:val="24"/>
                <w:szCs w:val="24"/>
              </w:rPr>
              <w:t>Pod „skoršími ochrannými známkami“ v zmysle odseku 1 sa rozumejú:</w:t>
            </w:r>
          </w:p>
          <w:p w:rsidR="001437F8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0">
              <w:rPr>
                <w:rFonts w:ascii="Times New Roman" w:hAnsi="Times New Roman" w:cs="Times New Roman"/>
                <w:sz w:val="24"/>
                <w:szCs w:val="24"/>
              </w:rPr>
              <w:t>a) ochranné známky nasledujúcich typov s dátumom podania</w:t>
            </w:r>
          </w:p>
          <w:p w:rsidR="001437F8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0">
              <w:rPr>
                <w:rFonts w:ascii="Times New Roman" w:hAnsi="Times New Roman" w:cs="Times New Roman"/>
                <w:sz w:val="24"/>
                <w:szCs w:val="24"/>
              </w:rPr>
              <w:t>prihlášky skorším, než je dátum podania prihlášky príslušnej ochrannej známky, pričom sa podľa potreby berú do úvahy nárokované priority v súvislosti s týmito ochrannými známkami:</w:t>
            </w:r>
          </w:p>
          <w:p w:rsidR="001437F8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0">
              <w:rPr>
                <w:rFonts w:ascii="Times New Roman" w:hAnsi="Times New Roman" w:cs="Times New Roman"/>
                <w:sz w:val="24"/>
                <w:szCs w:val="24"/>
              </w:rPr>
              <w:t>i) ochranné známky Spoločenstva;</w:t>
            </w:r>
          </w:p>
          <w:p w:rsidR="00F31D66" w:rsidRPr="00C15D80" w:rsidP="001437F8">
            <w:pPr>
              <w:bidi w:val="0"/>
              <w:adjustRightInd w:val="0"/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1437F8">
              <w:rPr>
                <w:rFonts w:ascii="Times New Roman" w:hAnsi="Times New Roman" w:cs="Times New Roman"/>
              </w:rPr>
              <w:t>Č IV</w:t>
            </w:r>
          </w:p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C15D80">
              <w:rPr>
                <w:rFonts w:ascii="Times New Roman" w:hAnsi="Times New Roman" w:cs="Times New Roman"/>
              </w:rPr>
              <w:t>b</w:t>
            </w:r>
            <w:r w:rsidRPr="00C15D80">
              <w:rPr>
                <w:rFonts w:ascii="Times New Roman" w:hAnsi="Times New Roman" w:cs="Times New Roman"/>
              </w:rPr>
              <w:t>od</w:t>
            </w:r>
            <w:r w:rsidRPr="00C15D80" w:rsidR="00C15D80">
              <w:rPr>
                <w:rFonts w:ascii="Times New Roman" w:hAnsi="Times New Roman" w:cs="Times New Roman"/>
              </w:rPr>
              <w:t xml:space="preserve"> 2</w:t>
            </w:r>
          </w:p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 xml:space="preserve">(§ </w:t>
            </w:r>
            <w:r w:rsidRPr="00C15D80" w:rsidR="001437F8">
              <w:rPr>
                <w:rFonts w:ascii="Times New Roman" w:hAnsi="Times New Roman" w:cs="Times New Roman"/>
              </w:rPr>
              <w:t xml:space="preserve">4 </w:t>
            </w:r>
            <w:r w:rsidR="0033758A">
              <w:rPr>
                <w:rFonts w:ascii="Times New Roman" w:hAnsi="Times New Roman" w:cs="Times New Roman"/>
              </w:rPr>
              <w:t xml:space="preserve">písm. </w:t>
            </w:r>
            <w:r w:rsidRPr="00C15D80" w:rsidR="001437F8">
              <w:rPr>
                <w:rFonts w:ascii="Times New Roman" w:hAnsi="Times New Roman" w:cs="Times New Roman"/>
              </w:rPr>
              <w:t>c)</w:t>
            </w:r>
            <w:r w:rsidRPr="00C15D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C15D80" w:rsidR="001437F8">
              <w:rPr>
                <w:rFonts w:ascii="Times New Roman" w:hAnsi="Times New Roman" w:eastAsiaTheme="minorEastAsia" w:cs="Times New Roman" w:hint="default"/>
                <w:lang w:eastAsia="sk-SK"/>
              </w:rPr>
              <w:t>Na úč</w:t>
            </w:r>
            <w:r w:rsidRPr="00C15D80" w:rsidR="001437F8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ely tohto </w:t>
            </w:r>
            <w:r w:rsidRPr="00C15D80" w:rsidR="001437F8">
              <w:rPr>
                <w:rFonts w:ascii="Times New Roman" w:hAnsi="Times New Roman" w:eastAsiaTheme="minorEastAsia" w:cs="Times New Roman" w:hint="default"/>
                <w:lang w:eastAsia="sk-SK"/>
              </w:rPr>
              <w:t>zá</w:t>
            </w:r>
            <w:r w:rsidRPr="00C15D80" w:rsidR="001437F8">
              <w:rPr>
                <w:rFonts w:ascii="Times New Roman" w:hAnsi="Times New Roman" w:eastAsiaTheme="minorEastAsia" w:cs="Times New Roman" w:hint="default"/>
                <w:lang w:eastAsia="sk-SK"/>
              </w:rPr>
              <w:t>kona je starš</w:t>
            </w:r>
            <w:r w:rsidRPr="00C15D80" w:rsidR="001437F8">
              <w:rPr>
                <w:rFonts w:ascii="Times New Roman" w:hAnsi="Times New Roman" w:eastAsiaTheme="minorEastAsia" w:cs="Times New Roman" w:hint="default"/>
                <w:lang w:eastAsia="sk-SK"/>
              </w:rPr>
              <w:t>ou ochrannou zná</w:t>
            </w:r>
            <w:r w:rsidRPr="00C15D80" w:rsidR="001437F8">
              <w:rPr>
                <w:rFonts w:ascii="Times New Roman" w:hAnsi="Times New Roman" w:eastAsiaTheme="minorEastAsia" w:cs="Times New Roman" w:hint="default"/>
                <w:lang w:eastAsia="sk-SK"/>
              </w:rPr>
              <w:t>mkou</w:t>
            </w:r>
          </w:p>
          <w:p w:rsidR="001437F8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c) ochranná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mka EÚ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so skorší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 prá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vom prednosti alebo so skorší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 prá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vom seniority, 6)</w:t>
            </w:r>
          </w:p>
          <w:p w:rsidR="003D22C6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</w:p>
          <w:p w:rsidR="003D22C6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6) 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l. 34 a 35 Nariadenia Rady (ES) 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. 207/2009.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D66" w:rsidRPr="00C15D80" w:rsidP="00411565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 w:rsidR="003D22C6">
              <w:rPr>
                <w:rFonts w:ascii="Times New Roman" w:hAnsi="Times New Roman" w:cs="Times New Roman"/>
              </w:rPr>
              <w:t>Platné znenie § 4 zákona č. 506/2009 Z. z. je úplnou transpozíciou súvisiaceho ustanovenia smernice; dochádza k úprave terminológie v nadväznosti na nariadenie EÚ/2015/2424.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Č: 4</w:t>
            </w:r>
          </w:p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O: 2</w:t>
            </w:r>
          </w:p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P: b)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3D22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 IV</w:t>
            </w:r>
          </w:p>
          <w:p w:rsidR="003D22C6" w:rsidRPr="00C15D80" w:rsidP="003D22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C15D80">
              <w:rPr>
                <w:rFonts w:ascii="Times New Roman" w:hAnsi="Times New Roman" w:cs="Times New Roman"/>
              </w:rPr>
              <w:t>b</w:t>
            </w:r>
            <w:r w:rsidRPr="00C15D80">
              <w:rPr>
                <w:rFonts w:ascii="Times New Roman" w:hAnsi="Times New Roman" w:cs="Times New Roman"/>
              </w:rPr>
              <w:t>od</w:t>
            </w:r>
            <w:r w:rsidRPr="00C15D80" w:rsidR="00C15D80">
              <w:rPr>
                <w:rFonts w:ascii="Times New Roman" w:hAnsi="Times New Roman" w:cs="Times New Roman"/>
              </w:rPr>
              <w:t xml:space="preserve"> 2</w:t>
            </w:r>
          </w:p>
          <w:p w:rsidR="003D22C6" w:rsidRPr="00C15D80" w:rsidP="003D22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 xml:space="preserve">(§ 4 </w:t>
            </w:r>
            <w:r w:rsidR="0033758A">
              <w:rPr>
                <w:rFonts w:ascii="Times New Roman" w:hAnsi="Times New Roman" w:cs="Times New Roman"/>
              </w:rPr>
              <w:t xml:space="preserve">písm. </w:t>
            </w:r>
            <w:r w:rsidRPr="00C15D80">
              <w:rPr>
                <w:rFonts w:ascii="Times New Roman" w:hAnsi="Times New Roman" w:cs="Times New Roman"/>
              </w:rPr>
              <w:t>c))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3D22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Na úč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ely tohto zá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kona je starš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ou ochrannou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mkou</w:t>
            </w:r>
          </w:p>
          <w:p w:rsidR="003D22C6" w:rsidRPr="00C15D80" w:rsidP="003D22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c) ochranná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mka EÚ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so skorší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 prá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vom prednosti alebo so skorší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 prá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vom seniority, 6)</w:t>
            </w:r>
          </w:p>
          <w:p w:rsidR="003D22C6" w:rsidRPr="00C15D80" w:rsidP="003D22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</w:p>
          <w:p w:rsidR="003D22C6" w:rsidRPr="00C15D80" w:rsidP="003D22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6) 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l. 34 a 35 Nariadenia Rady (ES) 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. 207/2009.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Platné znenie § 4 zákona č. 506/2009 Z. z. je úplnou transpozíciou súvisiaceho ustanovenia smernice; dochádza k úprave terminológie v nadväznosti na nariadenie EÚ/2015/2424.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Č:4</w:t>
            </w:r>
          </w:p>
          <w:p w:rsidR="00411565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O:3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1565" w:rsidRPr="00C15D80" w:rsidP="00411565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Ochranná známka ďalej nebude zapísaná, alebo ak už</w:t>
            </w:r>
          </w:p>
          <w:p w:rsidR="00411565" w:rsidRPr="00C15D80" w:rsidP="00411565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bola zapísaná, tak sa vyhlási za neplatnú, v prípade, ak je</w:t>
            </w:r>
          </w:p>
          <w:p w:rsidR="00411565" w:rsidRPr="00C15D80" w:rsidP="00411565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 xml:space="preserve">zhodná so skoršou ochrannou známkou Spoločenstva alebo je jej podobná v zmysle odseku </w:t>
            </w:r>
            <w:smartTag w:uri="urn:schemas-microsoft-com:office:smarttags" w:element="metricconverter">
              <w:smartTagPr>
                <w:attr w:name="ProductID" w:val="2, a"/>
              </w:smartTagPr>
              <w:r w:rsidRPr="00C15D80">
                <w:rPr>
                  <w:rFonts w:ascii="Times New Roman" w:hAnsi="Times New Roman" w:cs="Times New Roman"/>
                </w:rPr>
                <w:t>2, a</w:t>
              </w:r>
            </w:smartTag>
            <w:r w:rsidRPr="00C15D80">
              <w:rPr>
                <w:rFonts w:ascii="Times New Roman" w:hAnsi="Times New Roman" w:cs="Times New Roman"/>
              </w:rPr>
              <w:t xml:space="preserve"> má byť zapísaná alebo bola zapísaná pre tovar alebo služby, ktoré sa nepodobajú tým, pre ktoré je zapísaná skoršia ochranná známka Spoločenstva,</w:t>
            </w:r>
          </w:p>
          <w:p w:rsidR="00411565" w:rsidRPr="00C15D80" w:rsidP="00411565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v prípade, ak má táto skoršia ochranná známka v Spoločenstve dobré meno a ak by používanie neskoršej</w:t>
            </w:r>
          </w:p>
          <w:p w:rsidR="00411565" w:rsidRPr="00C15D80" w:rsidP="00411565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ochrannej známky bez náležitého dôvodu nečestne ťažilo z dobrého mena alebo rozlišovacej spôsobilosti tejto skoršej ochrannej známky, alebo by to dobrému menu alebo rozlišovacej spôsobilosti tejto skoršej ochrannej známky bolo na ujmu.</w:t>
            </w:r>
          </w:p>
          <w:p w:rsidR="003D22C6" w:rsidRPr="00C15D80" w:rsidP="001437F8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Č IV</w:t>
            </w:r>
          </w:p>
          <w:p w:rsidR="00411565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C15D80">
              <w:rPr>
                <w:rFonts w:ascii="Times New Roman" w:hAnsi="Times New Roman" w:cs="Times New Roman"/>
              </w:rPr>
              <w:t>b</w:t>
            </w:r>
            <w:r w:rsidRPr="00C15D80">
              <w:rPr>
                <w:rFonts w:ascii="Times New Roman" w:hAnsi="Times New Roman" w:cs="Times New Roman"/>
              </w:rPr>
              <w:t>od</w:t>
            </w:r>
            <w:r w:rsidRPr="00C15D80" w:rsidR="00C15D80">
              <w:rPr>
                <w:rFonts w:ascii="Times New Roman" w:hAnsi="Times New Roman" w:cs="Times New Roman"/>
              </w:rPr>
              <w:t xml:space="preserve"> 3</w:t>
            </w:r>
          </w:p>
          <w:p w:rsidR="00411565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(§ 7 pís</w:t>
            </w:r>
            <w:r w:rsidR="0033758A">
              <w:rPr>
                <w:rFonts w:ascii="Times New Roman" w:hAnsi="Times New Roman" w:cs="Times New Roman"/>
              </w:rPr>
              <w:t>m</w:t>
            </w:r>
            <w:r w:rsidRPr="00C15D80">
              <w:rPr>
                <w:rFonts w:ascii="Times New Roman" w:hAnsi="Times New Roman" w:cs="Times New Roman"/>
              </w:rPr>
              <w:t>. b))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1565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Označ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enie sa nezapíš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 do registra na zá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klade 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mietok proti zá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pisu označ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enia do registra (ď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alej len "ná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mietky") podaný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ch podľ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a §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30 </w:t>
            </w:r>
          </w:p>
          <w:p w:rsidR="00411565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b) majiteľ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om starš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ej ochrannej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mky, ak je označ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enie zhodné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alebo podobné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so starš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ou ochrannou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mkou, ktorá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má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na 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zemí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Slovenskej republiky a v prí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pade ochrannej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mky EÚ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na 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zemí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Euró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pskej 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nie dobré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meno, ak by použ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itie tohto označ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enia na tovaroch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alebo služ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bá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ch, ktoré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nie sú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podobné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tý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m, pre ktoré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je starš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ia ochranná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mka zapí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saná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, bez 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lež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ité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ho dô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vodu neoprá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vnene ť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až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ilo z rozliš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ovacej spô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sobilosti alebo dobré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ho mena starš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ej ochrannej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mky, alebo by bolo na ujmu rozliš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ovacej spô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sobilosti star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ej ochrannej zná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>mky alebo jej dobré</w:t>
            </w:r>
            <w:r w:rsidRPr="00C15D80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mu menu, </w:t>
            </w:r>
          </w:p>
          <w:p w:rsidR="003D22C6" w:rsidRPr="00C15D80" w:rsidP="004115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2C6" w:rsidRPr="00C15D80" w:rsidP="00411565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 w:rsidR="00411565">
              <w:rPr>
                <w:rFonts w:ascii="Times New Roman" w:hAnsi="Times New Roman" w:cs="Times New Roman"/>
              </w:rPr>
              <w:t>Platné znenie § 7 písm. b) zákona č. 506/2009 Z. z. je úplnou transpozíciou súvisiaceho ustanovenia smernice; dochádza k úprave terminológie v nadväznosti na nariadenie EÚ/2015/2424.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Č:8</w:t>
            </w:r>
          </w:p>
          <w:p w:rsidR="00742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742D66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Na ochrannú známku možno udeliť licenciu. Táto licencia</w:t>
            </w:r>
          </w:p>
          <w:p w:rsidR="00742D66" w:rsidRPr="00C15D80" w:rsidP="00742D66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sa môže vzťahovať na niektoré alebo na všetky tovary alebo služby, pre ktoré je ochranná známka zapísaná. Môže sa vzťahovať na celý príslušný členský štát alebo na jeho časť. Licencia</w:t>
            </w:r>
          </w:p>
          <w:p w:rsidR="00742D66" w:rsidRPr="00C15D80" w:rsidP="00742D66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môže byť výlučná alebo nevýlučná.</w:t>
            </w:r>
          </w:p>
          <w:p w:rsidR="00742D66" w:rsidRPr="00C15D80" w:rsidP="00411565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5845E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5845EB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5845EB">
              <w:rPr>
                <w:rFonts w:ascii="Times New Roman" w:hAnsi="Times New Roman" w:cs="Times New Roman"/>
              </w:rPr>
              <w:t>Č IV</w:t>
            </w:r>
          </w:p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7317D5">
              <w:rPr>
                <w:rFonts w:ascii="Times New Roman" w:hAnsi="Times New Roman" w:cs="Times New Roman"/>
              </w:rPr>
              <w:t>b</w:t>
            </w:r>
            <w:r w:rsidRPr="00C15D80">
              <w:rPr>
                <w:rFonts w:ascii="Times New Roman" w:hAnsi="Times New Roman" w:cs="Times New Roman"/>
              </w:rPr>
              <w:t>od</w:t>
            </w:r>
            <w:r w:rsidRPr="00C15D80" w:rsidR="007317D5">
              <w:rPr>
                <w:rFonts w:ascii="Times New Roman" w:hAnsi="Times New Roman" w:cs="Times New Roman"/>
              </w:rPr>
              <w:t xml:space="preserve"> 15</w:t>
            </w:r>
          </w:p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5D80">
              <w:rPr>
                <w:rFonts w:ascii="Times New Roman" w:hAnsi="Times New Roman" w:cs="Times New Roman"/>
              </w:rPr>
              <w:t>(§ 20 ods. 1, 3, 4, 5, 6)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 xml:space="preserve">(1) Majiteľ ochrannej známky môže udeliť inej osobe oprávnenie na používanie ochrannej známky pre niektoré </w:t>
            </w:r>
            <w:r w:rsidR="0033758A">
              <w:rPr>
                <w:rFonts w:ascii="Times New Roman" w:hAnsi="Times New Roman" w:cs="Times New Roman"/>
              </w:rPr>
              <w:t xml:space="preserve">tovary alebo služby </w:t>
            </w:r>
            <w:r w:rsidRPr="00C15D80">
              <w:rPr>
                <w:rFonts w:ascii="Times New Roman" w:hAnsi="Times New Roman" w:cs="Times New Roman"/>
              </w:rPr>
              <w:t xml:space="preserve">alebo všetky tovary alebo služby, pre ktoré je ochranná známka zapísaná (ďalej len „licencia“) licenčnou zmluvou. </w:t>
            </w: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(3) Majiteľ ochrannej známky môže udeliť licenčnou zmluvou výlučnú licenciu alebo nevýlučnú licenciu. Ak nie je v licenčnej zmluve dohodnuté, že majiteľ ochrannej známky udelil výlučnú licenciu, platí, že udelil nevýlučnú licenciu.</w:t>
            </w: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 xml:space="preserve">(4) Ak majiteľ ochrannej známky udelil výlučnú licenciu, nesmie udeliť tretej osobe licenciu a je povinný, ak nie je v licenčnej zmluve dohodnuté inak, sám sa zdržať používania ochrannej známky. Nadobúdateľ výlučnej licencie je povinný ochrannú známku používať (§ 9), ak nie je v licenčnej zmluve dohodnuté inak. </w:t>
            </w:r>
          </w:p>
          <w:p w:rsidR="00742D66" w:rsidRPr="00C15D80" w:rsidP="00742D66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(5) Ak majiteľ ochrannej známky udelil nevýlučnú licenciu, nie je dotknuté jeho právo používať ochrannú známku (§ 8), ani jeho právo udeliť licenciu tretej osobe.</w:t>
            </w:r>
          </w:p>
          <w:p w:rsidR="00742D66" w:rsidRPr="00C15D80" w:rsidP="00742D66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 xml:space="preserve">(6) Licenčná zmluva, ktorou majiteľ ochrannej známky udelil tretej osobe licenciu, je neplatná, ak nadobúdateľ predtým udelenej výlučnej licencie na uzavretie takej licenčnej zmluvy neudelil predchádzajúci písomný súhlas. </w:t>
            </w: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742D66" w:rsidRPr="00C15D80" w:rsidP="005845E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5845EB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D66" w:rsidRPr="00C15D80" w:rsidP="005845EB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 w:rsidR="005845EB">
              <w:rPr>
                <w:rFonts w:ascii="Times New Roman" w:hAnsi="Times New Roman" w:cs="Times New Roman"/>
              </w:rPr>
              <w:t>Platné znenie § 20 zákona č. 506/2009 Z. z. je úplnou transpozíciou súvisiaceho ustanovenia smernice; novelou dochádza iba k jeho precizácii.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Č:8</w:t>
            </w:r>
          </w:p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O:2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Majiteľ ochrannej známky môže uplatniť svoje práva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z tejto ochrannej známky proti držiteľovi licencie, ktorý porušil akékoľvek ustanovenie licenčnej zmluvy, pokiaľ ide o: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a) jej trvanie;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b) formu, v ktorej možno ochrannú známku používať;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c) rozsah tovarov alebo služieb, na ktoré sa licencia poskytuje;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d) územie, na ktorom možno používať ochrannú známku,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alebo</w:t>
            </w:r>
          </w:p>
          <w:p w:rsidR="005845EB" w:rsidRPr="00C15D80" w:rsidP="005845EB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e) kvalitu tovarov, ktoré držiteľ licencie vyrobil alebo kvalitu služieb, ktoré držiteľ licencie poskytol.</w:t>
            </w:r>
          </w:p>
          <w:p w:rsidR="005845EB" w:rsidRPr="00C15D80" w:rsidP="00742D66">
            <w:pPr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Č IV</w:t>
            </w:r>
          </w:p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 w:rsidR="007317D5">
              <w:rPr>
                <w:rFonts w:ascii="Times New Roman" w:hAnsi="Times New Roman" w:cs="Times New Roman"/>
              </w:rPr>
              <w:t>b</w:t>
            </w:r>
            <w:r w:rsidRPr="00C15D80">
              <w:rPr>
                <w:rFonts w:ascii="Times New Roman" w:hAnsi="Times New Roman" w:cs="Times New Roman"/>
              </w:rPr>
              <w:t>od</w:t>
            </w:r>
            <w:r w:rsidRPr="00C15D80" w:rsidR="007317D5">
              <w:rPr>
                <w:rFonts w:ascii="Times New Roman" w:hAnsi="Times New Roman" w:cs="Times New Roman"/>
              </w:rPr>
              <w:t xml:space="preserve"> 15</w:t>
            </w:r>
          </w:p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(§ 20 ods. 10)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5845EB">
            <w:pPr>
              <w:pStyle w:val="BodyText"/>
              <w:autoSpaceDE/>
              <w:autoSpaceDN/>
              <w:bidi w:val="0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Majiteľ ochrannej známky sa môže domáhať svojich práv z ochrannej známky voči  nadobúdateľovi licencie iba ak nadobúdateľ licencie poruší ustanovenia licenčnej zmluvy o jej trvaní, o podobe, v ktorej sa môže ochranná známka používať, o rozsahu tovarov alebo služieb, pre ktoré bola licencia poskytnutá, o území, na ktorom môže byť ochranná známka používaná alebo o kvalite tovarov alebo služieb vyrobených alebo poskytnutých nadobúdateľom licencie.</w:t>
            </w:r>
          </w:p>
          <w:p w:rsidR="005845EB" w:rsidRPr="00C15D80" w:rsidP="00742D6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41156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D80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45EB" w:rsidRPr="00C15D80" w:rsidP="00411565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5D80" w:rsidR="00AE0BC6">
              <w:rPr>
                <w:rFonts w:ascii="Times New Roman" w:hAnsi="Times New Roman" w:cs="Times New Roman"/>
              </w:rPr>
              <w:t>Platné znenie § 20 zákona č. 506/2009 Z. z. je úplnou transpozíciou súvisiaceho ustanovenia smernice; novelou dochádza iba k jeho precizácii.</w:t>
            </w:r>
          </w:p>
        </w:tc>
      </w:tr>
    </w:tbl>
    <w:p w:rsidR="00B320F5" w:rsidRPr="00C15D80">
      <w:pPr>
        <w:bidi w:val="0"/>
      </w:pPr>
    </w:p>
    <w:sectPr w:rsidSect="00F31D66">
      <w:footerReference w:type="default" r:id="rId6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D5" w:rsidP="00AE0BC6">
      <w:pPr>
        <w:bidi w:val="0"/>
        <w:spacing w:after="0" w:line="240" w:lineRule="auto"/>
      </w:pPr>
      <w:r>
        <w:separator/>
      </w:r>
    </w:p>
  </w:endnote>
  <w:endnote w:type="continuationSeparator" w:id="1">
    <w:p w:rsidR="007317D5" w:rsidP="00AE0BC6">
      <w:pPr>
        <w:bidi w:val="0"/>
        <w:spacing w:after="0" w:line="240" w:lineRule="auto"/>
      </w:pPr>
      <w:r>
        <w:continuationSeparator/>
      </w:r>
    </w:p>
  </w:endnote>
  <w:endnote w:id="2">
    <w:p>
      <w:pPr>
        <w:pStyle w:val="EndnoteText"/>
        <w:bidi w:val="0"/>
        <w:spacing w:after="0" w:line="240" w:lineRule="auto"/>
      </w:pPr>
      <w:r w:rsidR="007317D5">
        <w:rPr>
          <w:rStyle w:val="EndnoteReference"/>
          <w:rFonts w:cstheme="minorBidi"/>
        </w:rPr>
        <w:endnoteRef/>
      </w:r>
      <w:r w:rsidR="007317D5">
        <w:t xml:space="preserve"> Smernica </w:t>
      </w:r>
      <w:r w:rsidRPr="00AE0BC6" w:rsidR="007317D5">
        <w:rPr>
          <w:rFonts w:ascii="Times New Roman" w:hAnsi="Times New Roman" w:cs="Times New Roman"/>
        </w:rPr>
        <w:t>2008/95/ES sa s účinnosťou od 15. januára 2019 zrušuje (</w:t>
      </w:r>
      <w:r w:rsidR="007317D5">
        <w:rPr>
          <w:rFonts w:ascii="Times New Roman" w:hAnsi="Times New Roman" w:cs="Times New Roman"/>
        </w:rPr>
        <w:t xml:space="preserve">pozri </w:t>
      </w:r>
      <w:r w:rsidRPr="00AE0BC6" w:rsidR="007317D5">
        <w:rPr>
          <w:rFonts w:ascii="Times New Roman" w:hAnsi="Times New Roman" w:cs="Times New Roman"/>
        </w:rPr>
        <w:t>čl. 55 smernice EÚ/2015/2436)</w:t>
      </w:r>
      <w:r w:rsidR="007317D5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76">
    <w:pPr>
      <w:pStyle w:val="Footer"/>
      <w:bidi w:val="0"/>
      <w:jc w:val="right"/>
    </w:pPr>
    <w:r w:rsidR="00874798">
      <w:fldChar w:fldCharType="begin"/>
    </w:r>
    <w:r w:rsidR="00874798">
      <w:instrText xml:space="preserve"> PAGE   \* MERGEFORMAT </w:instrText>
    </w:r>
    <w:r w:rsidR="00874798">
      <w:fldChar w:fldCharType="separate"/>
    </w:r>
    <w:r w:rsidR="00AB6EF9">
      <w:rPr>
        <w:noProof/>
      </w:rPr>
      <w:t>2</w:t>
    </w:r>
    <w:r w:rsidR="00874798">
      <w:fldChar w:fldCharType="end"/>
    </w:r>
  </w:p>
  <w:p w:rsidR="003D157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63E7"/>
    <w:multiLevelType w:val="hybridMultilevel"/>
    <w:tmpl w:val="04EADDE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endnotePr>
    <w:endnote w:id="0"/>
    <w:endnote w:id="1"/>
  </w:endnotePr>
  <w:compat/>
  <w:rsids>
    <w:rsidRoot w:val="00F31D66"/>
    <w:rsid w:val="001437F8"/>
    <w:rsid w:val="0033758A"/>
    <w:rsid w:val="003D1576"/>
    <w:rsid w:val="003D22C6"/>
    <w:rsid w:val="00411565"/>
    <w:rsid w:val="004E129D"/>
    <w:rsid w:val="005845EB"/>
    <w:rsid w:val="006008C5"/>
    <w:rsid w:val="007317D5"/>
    <w:rsid w:val="00742D66"/>
    <w:rsid w:val="00874798"/>
    <w:rsid w:val="00AB6EF9"/>
    <w:rsid w:val="00AE0BC6"/>
    <w:rsid w:val="00B320F5"/>
    <w:rsid w:val="00C15D80"/>
    <w:rsid w:val="00EF7ED4"/>
    <w:rsid w:val="00F31D6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6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3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-art">
    <w:name w:val="sti-art"/>
    <w:basedOn w:val="Normal"/>
    <w:rsid w:val="00F31D6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F31D66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5845EB"/>
    <w:pPr>
      <w:autoSpaceDE w:val="0"/>
      <w:autoSpaceDN w:val="0"/>
      <w:spacing w:after="0" w:line="240" w:lineRule="auto"/>
      <w:jc w:val="left"/>
    </w:pPr>
    <w:rPr>
      <w:rFonts w:ascii="Bookman Old Style" w:hAnsi="Bookman Old Style" w:cs="Bookman Old Style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845EB"/>
    <w:rPr>
      <w:rFonts w:ascii="Bookman Old Style" w:hAnsi="Bookman Old Style" w:cs="Bookman Old Style"/>
      <w:rtl w:val="0"/>
      <w:cs w:val="0"/>
      <w:lang w:val="x-none" w:eastAsia="sk-SK"/>
    </w:rPr>
  </w:style>
  <w:style w:type="paragraph" w:styleId="EndnoteText">
    <w:name w:val="endnote text"/>
    <w:basedOn w:val="Normal"/>
    <w:link w:val="TextkoncovejpoznmkyChar"/>
    <w:uiPriority w:val="99"/>
    <w:semiHidden/>
    <w:unhideWhenUsed/>
    <w:rsid w:val="00AE0BC6"/>
    <w:pPr>
      <w:spacing w:after="0" w:line="240" w:lineRule="auto"/>
      <w:jc w:val="left"/>
    </w:pPr>
    <w:rPr>
      <w:sz w:val="20"/>
      <w:szCs w:val="20"/>
    </w:r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sid w:val="00AE0BC6"/>
    <w:rPr>
      <w:rFonts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AE0BC6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3D157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D157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D157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D157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5D23B-36C1-42CE-9111-73497773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919</Words>
  <Characters>5244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mikulicova</dc:creator>
  <cp:lastModifiedBy>harachova</cp:lastModifiedBy>
  <cp:revision>2</cp:revision>
  <dcterms:created xsi:type="dcterms:W3CDTF">2017-05-23T14:30:00Z</dcterms:created>
  <dcterms:modified xsi:type="dcterms:W3CDTF">2017-05-23T14:30:00Z</dcterms:modified>
</cp:coreProperties>
</file>