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B96" w:rsidRPr="000C4010" w:rsidP="003D4B96">
      <w:pPr>
        <w:bidi w:val="0"/>
        <w:jc w:val="center"/>
        <w:rPr>
          <w:rFonts w:ascii="Times New Roman" w:hAnsi="Times New Roman"/>
          <w:b/>
          <w:bCs/>
        </w:rPr>
      </w:pPr>
      <w:r w:rsidRPr="000C4010">
        <w:rPr>
          <w:rFonts w:ascii="Times New Roman" w:hAnsi="Times New Roman"/>
          <w:b/>
          <w:bCs/>
        </w:rPr>
        <w:t>DOLOŽKA ZLUČITEĽNOSTI</w:t>
      </w:r>
    </w:p>
    <w:p w:rsidR="003D4B96" w:rsidRPr="000C4010" w:rsidP="003D4B96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0C4010" w:rsidR="000768E7">
        <w:rPr>
          <w:rFonts w:ascii="Times New Roman" w:hAnsi="Times New Roman"/>
          <w:b/>
          <w:bCs/>
        </w:rPr>
        <w:t xml:space="preserve">návrhu zákona, </w:t>
      </w:r>
      <w:r w:rsidRPr="000C4010" w:rsidR="000768E7">
        <w:rPr>
          <w:rFonts w:ascii="Times New Roman" w:hAnsi="Times New Roman"/>
          <w:b/>
        </w:rPr>
        <w:t>ktorým sa mení a dopĺňa zákon č. 566/2001 Z. z.</w:t>
      </w:r>
      <w:r w:rsidRPr="000C4010" w:rsidR="000768E7">
        <w:rPr>
          <w:rStyle w:val="PlaceholderText"/>
          <w:rFonts w:ascii="Times New Roman" w:hAnsi="Times New Roman"/>
          <w:b/>
          <w:color w:val="auto"/>
        </w:rPr>
        <w:t xml:space="preserve"> o cenných papieroch a investičných službách a o zmene a doplnení niektorých zákonov (zákon o cenných papieroch) v znení neskorších predpisov a ktorým sa menia a dopĺňajú niektoré zákony </w:t>
      </w:r>
      <w:r w:rsidRPr="000C4010">
        <w:rPr>
          <w:rFonts w:ascii="Times New Roman" w:hAnsi="Times New Roman"/>
          <w:b/>
          <w:bCs/>
        </w:rPr>
        <w:t>s právom Európskej únie</w:t>
      </w:r>
    </w:p>
    <w:p w:rsidR="003D4B96" w:rsidRPr="000C4010" w:rsidP="00356DA2">
      <w:pPr>
        <w:bidi w:val="0"/>
        <w:rPr>
          <w:rFonts w:ascii="Times New Roman" w:hAnsi="Times New Roman"/>
          <w:b/>
          <w:bCs/>
        </w:rPr>
      </w:pPr>
    </w:p>
    <w:p w:rsidR="003D4B96" w:rsidRPr="000C4010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</w:rPr>
      </w:pPr>
      <w:r w:rsidRPr="000C4010">
        <w:rPr>
          <w:rFonts w:ascii="Times New Roman" w:hAnsi="Times New Roman"/>
          <w:b/>
          <w:bCs/>
        </w:rPr>
        <w:t xml:space="preserve">Predkladateľ </w:t>
      </w:r>
      <w:r w:rsidRPr="000C4010" w:rsidR="004B2DAC">
        <w:rPr>
          <w:rFonts w:ascii="Times New Roman" w:hAnsi="Times New Roman"/>
          <w:b/>
          <w:bCs/>
        </w:rPr>
        <w:t xml:space="preserve">návrhu </w:t>
      </w:r>
      <w:r w:rsidRPr="000C4010">
        <w:rPr>
          <w:rFonts w:ascii="Times New Roman" w:hAnsi="Times New Roman"/>
          <w:b/>
          <w:bCs/>
        </w:rPr>
        <w:t>zákona:</w:t>
      </w:r>
    </w:p>
    <w:p w:rsidR="003D4B96" w:rsidRPr="000C4010" w:rsidP="003D4B96">
      <w:pPr>
        <w:bidi w:val="0"/>
        <w:ind w:firstLine="425"/>
        <w:jc w:val="both"/>
        <w:rPr>
          <w:rFonts w:ascii="Times New Roman" w:hAnsi="Times New Roman"/>
        </w:rPr>
      </w:pPr>
      <w:r w:rsidRPr="000C4010" w:rsidR="00B27F24">
        <w:rPr>
          <w:rFonts w:ascii="Times New Roman" w:hAnsi="Times New Roman"/>
        </w:rPr>
        <w:t xml:space="preserve">Vláda </w:t>
      </w:r>
      <w:r w:rsidRPr="000C4010">
        <w:rPr>
          <w:rFonts w:ascii="Times New Roman" w:hAnsi="Times New Roman"/>
        </w:rPr>
        <w:t xml:space="preserve">Slovenskej republiky. </w:t>
      </w:r>
    </w:p>
    <w:p w:rsidR="003D4B96" w:rsidRPr="000C4010" w:rsidP="003D4B96">
      <w:pPr>
        <w:bidi w:val="0"/>
        <w:jc w:val="both"/>
        <w:rPr>
          <w:rFonts w:ascii="Times New Roman" w:hAnsi="Times New Roman"/>
          <w:b/>
          <w:bCs/>
        </w:rPr>
      </w:pPr>
    </w:p>
    <w:p w:rsidR="003D4B96" w:rsidRPr="000C4010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0C4010">
        <w:rPr>
          <w:rFonts w:ascii="Times New Roman" w:hAnsi="Times New Roman"/>
          <w:b/>
          <w:bCs/>
        </w:rPr>
        <w:t>Názov návrhu zákona:</w:t>
      </w:r>
    </w:p>
    <w:p w:rsidR="003D4B96" w:rsidRPr="000C4010" w:rsidP="003D4B96">
      <w:pPr>
        <w:bidi w:val="0"/>
        <w:ind w:left="425"/>
        <w:jc w:val="both"/>
        <w:rPr>
          <w:rFonts w:ascii="Times New Roman" w:hAnsi="Times New Roman"/>
          <w:bCs/>
        </w:rPr>
      </w:pPr>
      <w:r w:rsidRPr="000C4010">
        <w:rPr>
          <w:rFonts w:ascii="Times New Roman" w:hAnsi="Times New Roman"/>
        </w:rPr>
        <w:t xml:space="preserve">Návrh zákona, ktorým sa mení </w:t>
      </w:r>
      <w:r w:rsidRPr="000C4010" w:rsidR="00D73505">
        <w:rPr>
          <w:rFonts w:ascii="Times New Roman" w:hAnsi="Times New Roman"/>
        </w:rPr>
        <w:t xml:space="preserve">a dopĺňa </w:t>
      </w:r>
      <w:r w:rsidRPr="000C4010">
        <w:rPr>
          <w:rFonts w:ascii="Times New Roman" w:hAnsi="Times New Roman"/>
        </w:rPr>
        <w:t>zákon č. 5</w:t>
      </w:r>
      <w:r w:rsidRPr="000C4010" w:rsidR="001D5A02">
        <w:rPr>
          <w:rFonts w:ascii="Times New Roman" w:hAnsi="Times New Roman"/>
        </w:rPr>
        <w:t>66</w:t>
      </w:r>
      <w:r w:rsidRPr="000C4010">
        <w:rPr>
          <w:rFonts w:ascii="Times New Roman" w:hAnsi="Times New Roman"/>
        </w:rPr>
        <w:t>/200</w:t>
      </w:r>
      <w:r w:rsidRPr="000C4010" w:rsidR="001D5A02">
        <w:rPr>
          <w:rFonts w:ascii="Times New Roman" w:hAnsi="Times New Roman"/>
        </w:rPr>
        <w:t>1</w:t>
      </w:r>
      <w:r w:rsidRPr="000C4010">
        <w:rPr>
          <w:rFonts w:ascii="Times New Roman" w:hAnsi="Times New Roman"/>
        </w:rPr>
        <w:t xml:space="preserve"> Z. z. </w:t>
      </w:r>
      <w:r w:rsidRPr="000C4010" w:rsidR="001D5A02">
        <w:rPr>
          <w:rStyle w:val="PlaceholderText"/>
          <w:rFonts w:ascii="Times New Roman" w:hAnsi="Times New Roman"/>
          <w:color w:val="auto"/>
        </w:rPr>
        <w:t>o cenných papieroch a investičných službách a o zmene a doplnení niektorých zákonov (zákon o cenných papieroch) v znení neskorších predpisov a</w:t>
      </w:r>
      <w:r w:rsidRPr="000C4010" w:rsidR="00E001B0">
        <w:rPr>
          <w:rStyle w:val="PlaceholderText"/>
          <w:rFonts w:ascii="Times New Roman" w:hAnsi="Times New Roman"/>
          <w:b/>
          <w:color w:val="auto"/>
        </w:rPr>
        <w:t> </w:t>
      </w:r>
      <w:r w:rsidRPr="000C4010" w:rsidR="00E001B0">
        <w:rPr>
          <w:rStyle w:val="PlaceholderText"/>
          <w:rFonts w:ascii="Times New Roman" w:hAnsi="Times New Roman"/>
          <w:color w:val="auto"/>
        </w:rPr>
        <w:t>ktorým sa menia a dopĺňajú niektoré zákony</w:t>
      </w:r>
      <w:r w:rsidRPr="000C4010" w:rsidR="001D5A02">
        <w:rPr>
          <w:rFonts w:ascii="Times New Roman" w:hAnsi="Times New Roman"/>
        </w:rPr>
        <w:t>.</w:t>
      </w:r>
    </w:p>
    <w:p w:rsidR="003D4B96" w:rsidRPr="000C4010" w:rsidP="003D4B96">
      <w:pPr>
        <w:bidi w:val="0"/>
        <w:jc w:val="both"/>
        <w:rPr>
          <w:rFonts w:ascii="Times New Roman" w:hAnsi="Times New Roman"/>
          <w:b/>
          <w:bCs/>
        </w:rPr>
      </w:pPr>
    </w:p>
    <w:p w:rsidR="003D4B96" w:rsidRPr="000C4010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0C4010">
        <w:rPr>
          <w:rFonts w:ascii="Times New Roman" w:hAnsi="Times New Roman"/>
          <w:b/>
          <w:bCs/>
        </w:rPr>
        <w:t xml:space="preserve">Problematika návrhu zákona: </w:t>
      </w:r>
    </w:p>
    <w:p w:rsidR="00F702A5" w:rsidRPr="000C4010" w:rsidP="00F702A5">
      <w:pPr>
        <w:pStyle w:val="BodyText"/>
        <w:numPr>
          <w:ilvl w:val="1"/>
          <w:numId w:val="1"/>
        </w:numPr>
        <w:bidi w:val="0"/>
        <w:rPr>
          <w:rFonts w:ascii="Times New Roman" w:hAnsi="Times New Roman"/>
        </w:rPr>
      </w:pPr>
      <w:r w:rsidRPr="000C4010">
        <w:rPr>
          <w:rFonts w:ascii="Times New Roman" w:hAnsi="Times New Roman"/>
        </w:rPr>
        <w:t>je upravená v práve Európskej únie:</w:t>
      </w:r>
    </w:p>
    <w:p w:rsidR="00F702A5" w:rsidRPr="000C4010" w:rsidP="00F702A5">
      <w:pPr>
        <w:pStyle w:val="BodyText"/>
        <w:bidi w:val="0"/>
        <w:ind w:left="896" w:hanging="357"/>
        <w:rPr>
          <w:rFonts w:ascii="Times New Roman" w:hAnsi="Times New Roman"/>
          <w:b/>
          <w:bCs/>
          <w:iCs/>
        </w:rPr>
      </w:pPr>
      <w:r w:rsidRPr="000C4010">
        <w:rPr>
          <w:rFonts w:ascii="Times New Roman" w:hAnsi="Times New Roman"/>
          <w:b/>
          <w:bCs/>
          <w:iCs/>
        </w:rPr>
        <w:t>Primárne právo:</w:t>
      </w:r>
    </w:p>
    <w:p w:rsidR="00F702A5" w:rsidRPr="000C4010" w:rsidP="00C703D2">
      <w:pPr>
        <w:pStyle w:val="BodyText"/>
        <w:numPr>
          <w:numId w:val="40"/>
        </w:numPr>
        <w:tabs>
          <w:tab w:val="clear" w:pos="900"/>
          <w:tab w:val="num" w:pos="993"/>
        </w:tabs>
        <w:bidi w:val="0"/>
        <w:ind w:left="964" w:hanging="454"/>
        <w:rPr>
          <w:rFonts w:ascii="Times New Roman" w:hAnsi="Times New Roman"/>
        </w:rPr>
      </w:pPr>
      <w:r w:rsidRPr="000C4010">
        <w:rPr>
          <w:rFonts w:ascii="Times New Roman" w:hAnsi="Times New Roman"/>
        </w:rPr>
        <w:t>čl. 5</w:t>
      </w:r>
      <w:r w:rsidRPr="000C4010" w:rsidR="00E001B0">
        <w:rPr>
          <w:rFonts w:ascii="Times New Roman" w:hAnsi="Times New Roman"/>
        </w:rPr>
        <w:t>4, 5</w:t>
      </w:r>
      <w:r w:rsidRPr="000C4010">
        <w:rPr>
          <w:rFonts w:ascii="Times New Roman" w:hAnsi="Times New Roman"/>
        </w:rPr>
        <w:t>6 až 66 Zmluvy o fungovaní Euró</w:t>
      </w:r>
      <w:r w:rsidRPr="000C4010" w:rsidR="00437349">
        <w:rPr>
          <w:rFonts w:ascii="Times New Roman" w:hAnsi="Times New Roman"/>
        </w:rPr>
        <w:t>pskej únie</w:t>
      </w:r>
      <w:r w:rsidRPr="000C4010">
        <w:rPr>
          <w:rFonts w:ascii="Times New Roman" w:hAnsi="Times New Roman"/>
        </w:rPr>
        <w:t xml:space="preserve">, </w:t>
      </w:r>
    </w:p>
    <w:p w:rsidR="00B71A2A" w:rsidRPr="000C4010" w:rsidP="005B22CA">
      <w:pPr>
        <w:pStyle w:val="BodyText"/>
        <w:numPr>
          <w:numId w:val="40"/>
        </w:numPr>
        <w:tabs>
          <w:tab w:val="clear" w:pos="900"/>
          <w:tab w:val="num" w:pos="993"/>
        </w:tabs>
        <w:bidi w:val="0"/>
        <w:ind w:left="964" w:hanging="454"/>
        <w:jc w:val="both"/>
        <w:rPr>
          <w:rFonts w:ascii="Times New Roman" w:hAnsi="Times New Roman"/>
        </w:rPr>
      </w:pPr>
      <w:r w:rsidRPr="000C4010">
        <w:rPr>
          <w:rFonts w:ascii="Times New Roman" w:hAnsi="Times New Roman"/>
        </w:rPr>
        <w:t>Protokol č. 4 o Štatúte Európskeho systému centrálnych bánk a Európskej centrálnej banky.</w:t>
      </w:r>
    </w:p>
    <w:p w:rsidR="00F702A5" w:rsidRPr="000C4010" w:rsidP="00F702A5">
      <w:pPr>
        <w:pStyle w:val="BodyTextIndent"/>
        <w:bidi w:val="0"/>
        <w:spacing w:after="120"/>
        <w:ind w:left="567" w:hanging="28"/>
        <w:rPr>
          <w:rFonts w:ascii="Times New Roman" w:hAnsi="Times New Roman"/>
        </w:rPr>
      </w:pPr>
      <w:r w:rsidRPr="000C4010">
        <w:rPr>
          <w:rFonts w:ascii="Times New Roman" w:hAnsi="Times New Roman"/>
          <w:b/>
          <w:bCs/>
          <w:iCs/>
        </w:rPr>
        <w:t>Sekundárne právo</w:t>
      </w:r>
      <w:r w:rsidRPr="000C4010">
        <w:rPr>
          <w:rFonts w:ascii="Times New Roman" w:hAnsi="Times New Roman"/>
          <w:b/>
          <w:bCs/>
          <w:i/>
          <w:iCs/>
        </w:rPr>
        <w:t xml:space="preserve"> </w:t>
      </w:r>
      <w:r w:rsidRPr="000C4010">
        <w:rPr>
          <w:rFonts w:ascii="Times New Roman" w:hAnsi="Times New Roman"/>
        </w:rPr>
        <w:t xml:space="preserve">(prijaté po nadobudnutí platnosti Lisabonskej zmluvy, ktorou sa mení a dopĺňa </w:t>
      </w:r>
      <w:r w:rsidRPr="000C4010" w:rsidR="00D94FA8">
        <w:rPr>
          <w:rFonts w:ascii="Times New Roman" w:hAnsi="Times New Roman"/>
        </w:rPr>
        <w:t xml:space="preserve">Zmluva o Európskej únii a Zmluva o založení Európskeho spoločenstva </w:t>
      </w:r>
      <w:r w:rsidRPr="000C4010">
        <w:rPr>
          <w:rFonts w:ascii="Times New Roman" w:hAnsi="Times New Roman"/>
        </w:rPr>
        <w:t xml:space="preserve"> - po 30. novembri 2009)</w:t>
      </w:r>
      <w:r w:rsidRPr="000C4010" w:rsidR="00D94FA8">
        <w:rPr>
          <w:rFonts w:ascii="Times New Roman" w:hAnsi="Times New Roman"/>
        </w:rPr>
        <w:t>:</w:t>
      </w:r>
    </w:p>
    <w:p w:rsidR="00F702A5" w:rsidRPr="000C4010" w:rsidP="00C104C1">
      <w:pPr>
        <w:numPr>
          <w:numId w:val="42"/>
        </w:numPr>
        <w:autoSpaceDE w:val="0"/>
        <w:autoSpaceDN w:val="0"/>
        <w:bidi w:val="0"/>
        <w:adjustRightInd w:val="0"/>
        <w:spacing w:before="120" w:after="120"/>
        <w:ind w:left="851" w:hanging="284"/>
        <w:jc w:val="both"/>
        <w:rPr>
          <w:rFonts w:ascii="Times New Roman" w:hAnsi="Times New Roman"/>
          <w:bCs/>
          <w:iCs/>
          <w:u w:val="single"/>
        </w:rPr>
      </w:pPr>
      <w:r w:rsidRPr="000C4010" w:rsidR="00C104C1">
        <w:rPr>
          <w:rFonts w:ascii="Times New Roman" w:hAnsi="Times New Roman"/>
          <w:bCs/>
          <w:iCs/>
        </w:rPr>
        <w:t xml:space="preserve"> </w:t>
      </w:r>
      <w:r w:rsidRPr="000C4010" w:rsidR="00C104C1">
        <w:rPr>
          <w:rFonts w:ascii="Times New Roman" w:hAnsi="Times New Roman"/>
          <w:bCs/>
          <w:iCs/>
          <w:u w:val="single"/>
        </w:rPr>
        <w:t>l</w:t>
      </w:r>
      <w:r w:rsidRPr="000C4010">
        <w:rPr>
          <w:rFonts w:ascii="Times New Roman" w:hAnsi="Times New Roman"/>
          <w:bCs/>
          <w:iCs/>
          <w:u w:val="single"/>
        </w:rPr>
        <w:t>egislatívne akty:</w:t>
      </w:r>
    </w:p>
    <w:p w:rsidR="00B87628" w:rsidRPr="000C4010" w:rsidP="008E091F">
      <w:pPr>
        <w:pStyle w:val="ListParagraph"/>
        <w:widowControl/>
        <w:numPr>
          <w:numId w:val="41"/>
        </w:numPr>
        <w:autoSpaceDE w:val="0"/>
        <w:autoSpaceDN w:val="0"/>
        <w:bidi w:val="0"/>
        <w:adjustRightInd/>
        <w:spacing w:before="100" w:beforeAutospacing="1" w:after="120"/>
        <w:ind w:left="964" w:hanging="454"/>
        <w:contextualSpacing w:val="0"/>
        <w:jc w:val="both"/>
        <w:rPr>
          <w:rFonts w:ascii="Times New Roman" w:hAnsi="Times New Roman"/>
          <w:iCs/>
        </w:rPr>
      </w:pPr>
      <w:r w:rsidRPr="000C4010" w:rsidR="00F702A5">
        <w:rPr>
          <w:rFonts w:ascii="Times New Roman" w:hAnsi="Times New Roman"/>
          <w:bCs/>
        </w:rPr>
        <w:t xml:space="preserve">   </w:t>
      </w:r>
      <w:r w:rsidRPr="000C4010">
        <w:rPr>
          <w:rFonts w:ascii="Times New Roman" w:hAnsi="Times New Roman"/>
          <w:bCs/>
        </w:rPr>
        <w:t xml:space="preserve"> </w:t>
      </w:r>
      <w:r w:rsidRPr="000C4010" w:rsidR="00C104C1">
        <w:rPr>
          <w:rFonts w:ascii="Times New Roman" w:hAnsi="Times New Roman"/>
          <w:bCs/>
        </w:rPr>
        <w:t xml:space="preserve"> </w:t>
      </w:r>
      <w:r w:rsidRPr="000C4010">
        <w:rPr>
          <w:rFonts w:ascii="Times New Roman" w:hAnsi="Times New Roman"/>
          <w:bCs/>
        </w:rPr>
        <w:t xml:space="preserve">smernica Európskeho parlamentu a Rady </w:t>
      </w:r>
      <w:r w:rsidRPr="000C4010">
        <w:rPr>
          <w:rFonts w:ascii="Times New Roman" w:hAnsi="Times New Roman"/>
          <w:bCs/>
          <w:u w:val="single"/>
        </w:rPr>
        <w:t>2014/65/EÚ</w:t>
      </w:r>
      <w:r w:rsidRPr="000C4010">
        <w:rPr>
          <w:rFonts w:ascii="Times New Roman" w:hAnsi="Times New Roman"/>
          <w:bCs/>
        </w:rPr>
        <w:t xml:space="preserve"> z 15. mája 2014 o trhoch s finančnými nástrojmi, ktorou sa mení smernica 2002/92/ES a smernica 2011/61/EÚ (</w:t>
      </w:r>
      <w:r w:rsidRPr="000C4010">
        <w:rPr>
          <w:rFonts w:ascii="Times New Roman" w:hAnsi="Times New Roman"/>
          <w:bCs/>
          <w:iCs/>
        </w:rPr>
        <w:t>Ú. v. EÚ L 173, 12.6.2014)</w:t>
      </w:r>
      <w:r w:rsidRPr="000C4010" w:rsidR="00FB0E41">
        <w:rPr>
          <w:rFonts w:ascii="Times New Roman" w:hAnsi="Times New Roman"/>
          <w:bCs/>
          <w:iCs/>
        </w:rPr>
        <w:t xml:space="preserve"> v platnom znení</w:t>
      </w:r>
      <w:r w:rsidRPr="000C4010">
        <w:rPr>
          <w:rFonts w:ascii="Times New Roman" w:hAnsi="Times New Roman"/>
          <w:bCs/>
          <w:iCs/>
        </w:rPr>
        <w:t>,</w:t>
      </w:r>
    </w:p>
    <w:p w:rsidR="00664466" w:rsidRPr="000C4010" w:rsidP="008E091F">
      <w:pPr>
        <w:pStyle w:val="ListParagraph"/>
        <w:widowControl/>
        <w:numPr>
          <w:numId w:val="41"/>
        </w:numPr>
        <w:autoSpaceDE w:val="0"/>
        <w:autoSpaceDN w:val="0"/>
        <w:bidi w:val="0"/>
        <w:adjustRightInd/>
        <w:spacing w:before="100" w:beforeAutospacing="1" w:after="120"/>
        <w:ind w:left="964" w:hanging="454"/>
        <w:contextualSpacing w:val="0"/>
        <w:jc w:val="both"/>
        <w:rPr>
          <w:rFonts w:ascii="Times New Roman" w:hAnsi="Times New Roman"/>
          <w:iCs/>
        </w:rPr>
      </w:pPr>
      <w:r w:rsidRPr="000C4010">
        <w:rPr>
          <w:rFonts w:ascii="Times New Roman" w:hAnsi="Times New Roman"/>
          <w:bCs/>
          <w:iCs/>
        </w:rPr>
        <w:t xml:space="preserve"> </w:t>
        <w:tab/>
      </w:r>
      <w:r w:rsidRPr="000C4010">
        <w:rPr>
          <w:rFonts w:ascii="Times New Roman" w:hAnsi="Times New Roman"/>
          <w:bCs/>
          <w:iCs/>
        </w:rPr>
        <w:t xml:space="preserve">smernica Európskeho parlamentu a Rady </w:t>
      </w:r>
      <w:r w:rsidRPr="000C4010">
        <w:rPr>
          <w:rFonts w:ascii="Times New Roman" w:hAnsi="Times New Roman"/>
          <w:bCs/>
          <w:iCs/>
          <w:u w:val="single"/>
        </w:rPr>
        <w:t>2011/61/EÚ</w:t>
      </w:r>
      <w:r w:rsidRPr="000C4010">
        <w:rPr>
          <w:rFonts w:ascii="Times New Roman" w:hAnsi="Times New Roman"/>
          <w:bCs/>
          <w:iCs/>
        </w:rPr>
        <w:t xml:space="preserve"> z 8. júna 2011 o správcoch alternatívnych investičných fondov a o zmene a doplnení smerníc 2003/41/ES a 2009/65/ES a nariadení (ES) č. 1060/2009 a (EÚ) č. 1095/2010 (Ú. v. EÚ L 174, 1.7.2011) v platnom znení</w:t>
      </w:r>
      <w:r w:rsidRPr="000C4010">
        <w:rPr>
          <w:rFonts w:ascii="Times New Roman" w:hAnsi="Times New Roman"/>
          <w:bCs/>
          <w:iCs/>
        </w:rPr>
        <w:t>,</w:t>
      </w:r>
    </w:p>
    <w:p w:rsidR="00647CC4" w:rsidRPr="000C4010" w:rsidP="008E091F">
      <w:pPr>
        <w:pStyle w:val="ListParagraph"/>
        <w:widowControl/>
        <w:numPr>
          <w:numId w:val="41"/>
        </w:numPr>
        <w:tabs>
          <w:tab w:val="left" w:pos="964"/>
          <w:tab w:val="left" w:pos="993"/>
        </w:tabs>
        <w:autoSpaceDE w:val="0"/>
        <w:autoSpaceDN w:val="0"/>
        <w:bidi w:val="0"/>
        <w:adjustRightInd/>
        <w:spacing w:after="120"/>
        <w:ind w:left="964" w:hanging="454"/>
        <w:contextualSpacing w:val="0"/>
        <w:jc w:val="both"/>
        <w:rPr>
          <w:rFonts w:ascii="Times New Roman" w:hAnsi="Times New Roman"/>
          <w:iCs/>
        </w:rPr>
      </w:pPr>
      <w:r w:rsidRPr="000C4010">
        <w:rPr>
          <w:rFonts w:ascii="Times New Roman" w:hAnsi="Times New Roman"/>
          <w:bCs/>
          <w:iCs/>
        </w:rPr>
        <w:t>nariadenie Európskeho parlamentu a Rady (EÚ) č. </w:t>
      </w:r>
      <w:r w:rsidRPr="000C4010">
        <w:rPr>
          <w:rFonts w:ascii="Times New Roman" w:hAnsi="Times New Roman"/>
          <w:bCs/>
          <w:iCs/>
          <w:u w:val="single"/>
        </w:rPr>
        <w:t>909/2014</w:t>
      </w:r>
      <w:r w:rsidRPr="000C4010">
        <w:rPr>
          <w:rFonts w:ascii="Times New Roman" w:hAnsi="Times New Roman"/>
          <w:bCs/>
          <w:iCs/>
        </w:rPr>
        <w:t xml:space="preserve"> z  23. júla 2014 o zlepšení vyrovnania transakcií s cennými papiermi v Európskej únii, centrálnych depozitároch cenných papierov a o zmene smerníc 98/26/ES a 2014/65/EÚ a nariadenia (EÚ) č. 236/2012 (Ú. v. EÚ L 257, 28.08.2014)</w:t>
      </w:r>
      <w:r w:rsidRPr="000C4010" w:rsidR="007F6E27">
        <w:rPr>
          <w:rFonts w:ascii="Times New Roman" w:hAnsi="Times New Roman"/>
          <w:bCs/>
          <w:iCs/>
        </w:rPr>
        <w:t xml:space="preserve"> v platnom znení</w:t>
      </w:r>
      <w:r w:rsidRPr="000C4010">
        <w:rPr>
          <w:rFonts w:ascii="Times New Roman" w:hAnsi="Times New Roman"/>
          <w:bCs/>
          <w:iCs/>
        </w:rPr>
        <w:t xml:space="preserve">, </w:t>
      </w:r>
    </w:p>
    <w:p w:rsidR="008E091F" w:rsidRPr="000C4010" w:rsidP="008E091F">
      <w:pPr>
        <w:pStyle w:val="ListParagraph"/>
        <w:widowControl/>
        <w:numPr>
          <w:numId w:val="41"/>
        </w:numPr>
        <w:tabs>
          <w:tab w:val="left" w:pos="964"/>
          <w:tab w:val="left" w:pos="993"/>
        </w:tabs>
        <w:autoSpaceDE w:val="0"/>
        <w:autoSpaceDN w:val="0"/>
        <w:bidi w:val="0"/>
        <w:adjustRightInd/>
        <w:spacing w:after="120"/>
        <w:ind w:left="964" w:hanging="454"/>
        <w:contextualSpacing w:val="0"/>
        <w:jc w:val="both"/>
        <w:rPr>
          <w:rFonts w:ascii="Times New Roman" w:hAnsi="Times New Roman"/>
          <w:iCs/>
        </w:rPr>
      </w:pPr>
      <w:r w:rsidRPr="000C4010">
        <w:rPr>
          <w:rFonts w:ascii="Times New Roman" w:hAnsi="Times New Roman"/>
          <w:bCs/>
          <w:iCs/>
        </w:rPr>
        <w:t xml:space="preserve">nariadenie Európskeho parlamentu a Rady (EÚ) č. </w:t>
      </w:r>
      <w:r w:rsidRPr="000C4010">
        <w:rPr>
          <w:rFonts w:ascii="Times New Roman" w:hAnsi="Times New Roman"/>
          <w:bCs/>
          <w:iCs/>
          <w:u w:val="single"/>
        </w:rPr>
        <w:t>806/2014</w:t>
      </w:r>
      <w:r w:rsidRPr="000C4010">
        <w:rPr>
          <w:rFonts w:ascii="Times New Roman" w:hAnsi="Times New Roman"/>
          <w:bCs/>
          <w:iCs/>
        </w:rPr>
        <w:t xml:space="preserve"> z  15. júla 2014, ktorým sa stanovujú jednotné pravidlá a jednotný postup riešenia krízových situácií úverových inštitúcií a určitých investičných spoločností v rámci jednotného mechanizmu riešenia krízových situácií a jednotného fondu na riešenie krízových situácií a ktorým sa mení nariadenie (EÚ) č. 1093/2010</w:t>
      </w:r>
      <w:r w:rsidRPr="000C4010" w:rsidR="00C41273">
        <w:rPr>
          <w:rFonts w:ascii="Times New Roman" w:hAnsi="Times New Roman"/>
          <w:bCs/>
          <w:iCs/>
        </w:rPr>
        <w:t xml:space="preserve"> (Ú. v. EÚ L 225, 30.7.2014)</w:t>
      </w:r>
      <w:r w:rsidRPr="000C4010">
        <w:rPr>
          <w:rFonts w:ascii="Times New Roman" w:hAnsi="Times New Roman"/>
          <w:bCs/>
          <w:iCs/>
        </w:rPr>
        <w:t>,</w:t>
      </w:r>
    </w:p>
    <w:p w:rsidR="004261F2" w:rsidRPr="000C4010" w:rsidP="008E091F">
      <w:pPr>
        <w:pStyle w:val="ListParagraph"/>
        <w:widowControl/>
        <w:numPr>
          <w:numId w:val="41"/>
        </w:numPr>
        <w:tabs>
          <w:tab w:val="left" w:pos="964"/>
          <w:tab w:val="left" w:pos="993"/>
        </w:tabs>
        <w:autoSpaceDE w:val="0"/>
        <w:autoSpaceDN w:val="0"/>
        <w:bidi w:val="0"/>
        <w:adjustRightInd/>
        <w:spacing w:after="120"/>
        <w:ind w:left="964" w:hanging="454"/>
        <w:contextualSpacing w:val="0"/>
        <w:jc w:val="both"/>
        <w:rPr>
          <w:rFonts w:ascii="Times New Roman" w:hAnsi="Times New Roman"/>
          <w:iCs/>
        </w:rPr>
      </w:pPr>
      <w:r w:rsidRPr="000C4010">
        <w:rPr>
          <w:rFonts w:ascii="Times New Roman" w:hAnsi="Times New Roman"/>
          <w:bCs/>
          <w:iCs/>
        </w:rPr>
        <w:t>nariadenie Európskeho parlamentu a Rady (EÚ) č. </w:t>
      </w:r>
      <w:r w:rsidRPr="000C4010">
        <w:rPr>
          <w:rFonts w:ascii="Times New Roman" w:hAnsi="Times New Roman"/>
          <w:bCs/>
          <w:iCs/>
          <w:u w:val="single"/>
        </w:rPr>
        <w:t>600/2014</w:t>
      </w:r>
      <w:r w:rsidRPr="000C4010">
        <w:rPr>
          <w:rFonts w:ascii="Times New Roman" w:hAnsi="Times New Roman"/>
          <w:bCs/>
          <w:iCs/>
        </w:rPr>
        <w:t xml:space="preserve"> z 15. mája 2014 o trhoch s finančnými nástrojmi, ktorým sa mení nariadenie (EÚ) č. 648/2012 (Ú. v. EÚ L 173, 12.6.2014)</w:t>
      </w:r>
      <w:r w:rsidRPr="000C4010" w:rsidR="007F6E27">
        <w:rPr>
          <w:rFonts w:ascii="Times New Roman" w:hAnsi="Times New Roman"/>
          <w:bCs/>
          <w:iCs/>
        </w:rPr>
        <w:t xml:space="preserve"> v platnom znení</w:t>
      </w:r>
      <w:r w:rsidRPr="000C4010">
        <w:rPr>
          <w:rFonts w:ascii="Times New Roman" w:hAnsi="Times New Roman"/>
          <w:bCs/>
          <w:iCs/>
        </w:rPr>
        <w:t>,</w:t>
      </w:r>
    </w:p>
    <w:p w:rsidR="008E091F" w:rsidRPr="000C4010" w:rsidP="008E091F">
      <w:pPr>
        <w:pStyle w:val="ListParagraph"/>
        <w:widowControl/>
        <w:numPr>
          <w:numId w:val="41"/>
        </w:numPr>
        <w:tabs>
          <w:tab w:val="left" w:pos="964"/>
          <w:tab w:val="left" w:pos="993"/>
        </w:tabs>
        <w:autoSpaceDE w:val="0"/>
        <w:autoSpaceDN w:val="0"/>
        <w:bidi w:val="0"/>
        <w:adjustRightInd/>
        <w:spacing w:after="120"/>
        <w:ind w:left="964" w:hanging="454"/>
        <w:contextualSpacing w:val="0"/>
        <w:jc w:val="both"/>
        <w:rPr>
          <w:rFonts w:ascii="Times New Roman" w:hAnsi="Times New Roman"/>
          <w:iCs/>
        </w:rPr>
      </w:pPr>
      <w:r w:rsidRPr="000C4010">
        <w:rPr>
          <w:rFonts w:ascii="Times New Roman" w:hAnsi="Times New Roman"/>
          <w:bCs/>
        </w:rPr>
        <w:t>nariadenie Európskeho parlamentu a Rady (EÚ) č. </w:t>
      </w:r>
      <w:r w:rsidRPr="000C4010">
        <w:rPr>
          <w:rFonts w:ascii="Times New Roman" w:hAnsi="Times New Roman"/>
          <w:bCs/>
          <w:u w:val="single"/>
        </w:rPr>
        <w:t>596/2014</w:t>
      </w:r>
      <w:r w:rsidRPr="000C4010">
        <w:rPr>
          <w:rFonts w:ascii="Times New Roman" w:hAnsi="Times New Roman"/>
          <w:bCs/>
        </w:rPr>
        <w:t xml:space="preserve"> zo 16. apríla 2014 o zneužívaní trhu (nariadenie o zneužívaní trhu) a o zrušení smernice Európskeho parlamentu a Rady 2003/6/ES a smerníc Komisie 2003/124/ES, 2003/125/ES a 2004/72/ES (</w:t>
      </w:r>
      <w:r w:rsidRPr="000C4010" w:rsidR="00C31BD2">
        <w:rPr>
          <w:rFonts w:ascii="Times New Roman" w:hAnsi="Times New Roman"/>
          <w:bCs/>
          <w:iCs/>
        </w:rPr>
        <w:t>Ú. v. EÚ L 173, 12.06.2014)</w:t>
      </w:r>
      <w:r w:rsidRPr="000C4010" w:rsidR="00F64562">
        <w:rPr>
          <w:rFonts w:ascii="Times New Roman" w:hAnsi="Times New Roman"/>
          <w:bCs/>
          <w:iCs/>
        </w:rPr>
        <w:t xml:space="preserve"> v platnom znení</w:t>
      </w:r>
      <w:r w:rsidRPr="000C4010" w:rsidR="00C31BD2">
        <w:rPr>
          <w:rFonts w:ascii="Times New Roman" w:hAnsi="Times New Roman"/>
          <w:bCs/>
          <w:iCs/>
        </w:rPr>
        <w:t>,</w:t>
      </w:r>
    </w:p>
    <w:p w:rsidR="00647CC4" w:rsidRPr="000C4010" w:rsidP="00C31BD2">
      <w:pPr>
        <w:pStyle w:val="ListParagraph"/>
        <w:widowControl/>
        <w:numPr>
          <w:numId w:val="41"/>
        </w:numPr>
        <w:tabs>
          <w:tab w:val="left" w:pos="964"/>
          <w:tab w:val="left" w:pos="993"/>
        </w:tabs>
        <w:bidi w:val="0"/>
        <w:adjustRightInd/>
        <w:spacing w:after="120"/>
        <w:ind w:left="964" w:hanging="454"/>
        <w:contextualSpacing w:val="0"/>
        <w:jc w:val="both"/>
        <w:rPr>
          <w:rFonts w:ascii="Times New Roman" w:hAnsi="Times New Roman"/>
        </w:rPr>
      </w:pPr>
      <w:r w:rsidRPr="000C4010">
        <w:rPr>
          <w:rFonts w:ascii="Times New Roman" w:hAnsi="Times New Roman"/>
        </w:rPr>
        <w:t xml:space="preserve">nariadenie Európskeho parlamentu a Rady (EÚ) č. </w:t>
      </w:r>
      <w:r w:rsidRPr="000C4010">
        <w:rPr>
          <w:rFonts w:ascii="Times New Roman" w:hAnsi="Times New Roman"/>
          <w:u w:val="single"/>
        </w:rPr>
        <w:t>575/2013</w:t>
      </w:r>
      <w:r w:rsidRPr="000C4010">
        <w:rPr>
          <w:rFonts w:ascii="Times New Roman" w:hAnsi="Times New Roman"/>
        </w:rPr>
        <w:t xml:space="preserve"> z 26. júna 2013 o prudenciálnych požiadavkách na úverové inštitúcie a investičné spoločnosti a o zmene nariadenia (EÚ) č. 648/2012 (</w:t>
      </w:r>
      <w:r w:rsidRPr="000C4010">
        <w:rPr>
          <w:rFonts w:ascii="Times New Roman" w:hAnsi="Times New Roman"/>
          <w:iCs/>
        </w:rPr>
        <w:t>Ú. v. EÚ L 176, 27.6.2013) v platnom znení,</w:t>
      </w:r>
    </w:p>
    <w:p w:rsidR="00647CC4" w:rsidRPr="000C4010" w:rsidP="008160E8">
      <w:pPr>
        <w:pStyle w:val="ListParagraph"/>
        <w:widowControl/>
        <w:numPr>
          <w:numId w:val="41"/>
        </w:numPr>
        <w:tabs>
          <w:tab w:val="left" w:pos="964"/>
          <w:tab w:val="left" w:pos="993"/>
        </w:tabs>
        <w:bidi w:val="0"/>
        <w:adjustRightInd/>
        <w:spacing w:before="120" w:after="120"/>
        <w:ind w:left="964" w:hanging="454"/>
        <w:contextualSpacing w:val="0"/>
        <w:jc w:val="both"/>
        <w:rPr>
          <w:rFonts w:ascii="Times New Roman" w:hAnsi="Times New Roman"/>
        </w:rPr>
      </w:pPr>
      <w:r w:rsidRPr="000C4010">
        <w:rPr>
          <w:rFonts w:ascii="Times New Roman" w:hAnsi="Times New Roman"/>
          <w:iCs/>
        </w:rPr>
        <w:t xml:space="preserve">nariadenie </w:t>
      </w:r>
      <w:r w:rsidRPr="000C4010">
        <w:rPr>
          <w:rFonts w:ascii="Times New Roman" w:hAnsi="Times New Roman"/>
          <w:bCs/>
          <w:iCs/>
        </w:rPr>
        <w:t xml:space="preserve">Európskeho parlamentu a Rady (EÚ) č. </w:t>
      </w:r>
      <w:r w:rsidRPr="000C4010">
        <w:rPr>
          <w:rFonts w:ascii="Times New Roman" w:hAnsi="Times New Roman"/>
          <w:bCs/>
          <w:iCs/>
          <w:u w:val="single"/>
        </w:rPr>
        <w:t>648/2012</w:t>
      </w:r>
      <w:r w:rsidRPr="000C4010">
        <w:rPr>
          <w:rFonts w:ascii="Times New Roman" w:hAnsi="Times New Roman"/>
          <w:bCs/>
          <w:iCs/>
        </w:rPr>
        <w:t xml:space="preserve"> zo 4. júla 2012 o mimoburzových derivátoch, centrálnych protistranách a archívoch obchodných údajov (Ú. v. EÚ L 201, 27.7.2012) v platnom znení,</w:t>
      </w:r>
    </w:p>
    <w:p w:rsidR="00F702A5" w:rsidRPr="000C4010" w:rsidP="008160E8">
      <w:pPr>
        <w:pStyle w:val="ListParagraph"/>
        <w:widowControl/>
        <w:numPr>
          <w:numId w:val="41"/>
        </w:numPr>
        <w:tabs>
          <w:tab w:val="left" w:pos="964"/>
          <w:tab w:val="left" w:pos="993"/>
        </w:tabs>
        <w:autoSpaceDE w:val="0"/>
        <w:autoSpaceDN w:val="0"/>
        <w:bidi w:val="0"/>
        <w:adjustRightInd/>
        <w:spacing w:after="120"/>
        <w:ind w:left="964" w:hanging="454"/>
        <w:contextualSpacing w:val="0"/>
        <w:jc w:val="both"/>
        <w:rPr>
          <w:rFonts w:ascii="Times New Roman" w:hAnsi="Times New Roman"/>
          <w:iCs/>
        </w:rPr>
      </w:pPr>
      <w:r w:rsidRPr="000C4010">
        <w:rPr>
          <w:rFonts w:ascii="Times New Roman" w:hAnsi="Times New Roman"/>
          <w:bCs/>
          <w:iCs/>
        </w:rPr>
        <w:t xml:space="preserve">nariadenie </w:t>
      </w:r>
      <w:r w:rsidRPr="000C4010">
        <w:rPr>
          <w:rFonts w:ascii="Times New Roman" w:hAnsi="Times New Roman"/>
        </w:rPr>
        <w:t xml:space="preserve">Európskeho parlamentu a Rady (EÚ) č. </w:t>
      </w:r>
      <w:r w:rsidRPr="000C4010">
        <w:rPr>
          <w:rFonts w:ascii="Times New Roman" w:hAnsi="Times New Roman"/>
          <w:u w:val="single"/>
        </w:rPr>
        <w:t>1092/2010</w:t>
      </w:r>
      <w:r w:rsidRPr="000C4010">
        <w:rPr>
          <w:rFonts w:ascii="Times New Roman" w:hAnsi="Times New Roman"/>
        </w:rPr>
        <w:t xml:space="preserve"> z </w:t>
      </w:r>
      <w:r w:rsidRPr="000C4010" w:rsidR="00BC2000">
        <w:rPr>
          <w:rFonts w:ascii="Times New Roman" w:hAnsi="Times New Roman"/>
        </w:rPr>
        <w:t xml:space="preserve"> </w:t>
      </w:r>
      <w:r w:rsidRPr="000C4010">
        <w:rPr>
          <w:rFonts w:ascii="Times New Roman" w:hAnsi="Times New Roman"/>
        </w:rPr>
        <w:t>24. novembra 2010 o makroprudenciálnom dohľade Európskej únie nad finančným systémom a o zriadení Európskeho výboru pre systémové riziká (</w:t>
      </w:r>
      <w:r w:rsidRPr="000C4010">
        <w:rPr>
          <w:rFonts w:ascii="Times New Roman" w:hAnsi="Times New Roman"/>
          <w:iCs/>
        </w:rPr>
        <w:t>Ú. v. EÚ L 331, 15.12.2010),</w:t>
      </w:r>
    </w:p>
    <w:p w:rsidR="001B52D6" w:rsidRPr="000C4010" w:rsidP="00466338">
      <w:pPr>
        <w:autoSpaceDE w:val="0"/>
        <w:autoSpaceDN w:val="0"/>
        <w:bidi w:val="0"/>
        <w:spacing w:after="120"/>
        <w:ind w:left="964" w:hanging="454"/>
        <w:jc w:val="both"/>
        <w:rPr>
          <w:rFonts w:ascii="Times New Roman" w:hAnsi="Times New Roman"/>
          <w:iCs/>
        </w:rPr>
      </w:pPr>
      <w:r w:rsidRPr="000C4010" w:rsidR="00F702A5">
        <w:rPr>
          <w:rFonts w:ascii="Times New Roman" w:hAnsi="Times New Roman"/>
          <w:iCs/>
        </w:rPr>
        <w:t xml:space="preserve">-   </w:t>
      </w:r>
      <w:r w:rsidRPr="000C4010" w:rsidR="00C104C1">
        <w:rPr>
          <w:rFonts w:ascii="Times New Roman" w:hAnsi="Times New Roman"/>
          <w:iCs/>
        </w:rPr>
        <w:t xml:space="preserve"> </w:t>
      </w:r>
      <w:r w:rsidRPr="000C4010" w:rsidR="008160E8">
        <w:rPr>
          <w:rFonts w:ascii="Times New Roman" w:hAnsi="Times New Roman"/>
          <w:iCs/>
        </w:rPr>
        <w:t xml:space="preserve"> </w:t>
      </w:r>
      <w:r w:rsidRPr="000C4010" w:rsidR="00F702A5">
        <w:rPr>
          <w:rFonts w:ascii="Times New Roman" w:hAnsi="Times New Roman"/>
          <w:iCs/>
        </w:rPr>
        <w:t xml:space="preserve">nariadenie </w:t>
      </w:r>
      <w:r w:rsidRPr="000C4010" w:rsidR="00F702A5">
        <w:rPr>
          <w:rFonts w:ascii="Times New Roman" w:hAnsi="Times New Roman"/>
          <w:bCs/>
        </w:rPr>
        <w:t xml:space="preserve">Európskeho parlamentu a Rady (EÚ) č. </w:t>
      </w:r>
      <w:r w:rsidRPr="000C4010" w:rsidR="00F702A5">
        <w:rPr>
          <w:rFonts w:ascii="Times New Roman" w:hAnsi="Times New Roman"/>
          <w:bCs/>
          <w:u w:val="single"/>
        </w:rPr>
        <w:t>1095/2010</w:t>
      </w:r>
      <w:r w:rsidRPr="000C4010" w:rsidR="00F702A5">
        <w:rPr>
          <w:rFonts w:ascii="Times New Roman" w:hAnsi="Times New Roman"/>
          <w:bCs/>
        </w:rPr>
        <w:t xml:space="preserve"> z  24. novembra 2010, ktorým sa zriaďuje Európsky orgán dohľadu (Európsky orgán pre cenné papiere a trhy) a ktorým sa mení a dopĺňa rozhodnutie č. 716/2009/ES a zrušuje rozhodnutie Komisie 2009/77/ES (</w:t>
      </w:r>
      <w:r w:rsidRPr="000C4010" w:rsidR="00F702A5">
        <w:rPr>
          <w:rFonts w:ascii="Times New Roman" w:hAnsi="Times New Roman"/>
          <w:iCs/>
        </w:rPr>
        <w:t xml:space="preserve">Ú. v. EÚ L 331, </w:t>
      </w:r>
      <w:r w:rsidRPr="000C4010" w:rsidR="00551842">
        <w:rPr>
          <w:rFonts w:ascii="Times New Roman" w:hAnsi="Times New Roman"/>
          <w:iCs/>
        </w:rPr>
        <w:t>15.12.2010)</w:t>
      </w:r>
      <w:r w:rsidRPr="000C4010" w:rsidR="00647CC4">
        <w:rPr>
          <w:rFonts w:ascii="Times New Roman" w:hAnsi="Times New Roman"/>
          <w:iCs/>
        </w:rPr>
        <w:t xml:space="preserve"> v platnom znení</w:t>
      </w:r>
      <w:r w:rsidRPr="000C4010" w:rsidR="002B5E51">
        <w:rPr>
          <w:rFonts w:ascii="Times New Roman" w:hAnsi="Times New Roman"/>
          <w:iCs/>
        </w:rPr>
        <w:t>.</w:t>
      </w:r>
    </w:p>
    <w:p w:rsidR="002568D6" w:rsidRPr="000C4010" w:rsidP="002568D6">
      <w:pPr>
        <w:numPr>
          <w:numId w:val="42"/>
        </w:numPr>
        <w:autoSpaceDE w:val="0"/>
        <w:autoSpaceDN w:val="0"/>
        <w:bidi w:val="0"/>
        <w:adjustRightInd w:val="0"/>
        <w:spacing w:before="120" w:after="120"/>
        <w:ind w:left="850" w:hanging="283"/>
        <w:jc w:val="both"/>
        <w:rPr>
          <w:rFonts w:ascii="Times New Roman" w:hAnsi="Times New Roman"/>
          <w:bCs/>
          <w:iCs/>
          <w:u w:val="single"/>
        </w:rPr>
      </w:pPr>
      <w:r w:rsidRPr="000C4010" w:rsidR="009E14C2">
        <w:rPr>
          <w:rFonts w:ascii="Times New Roman" w:hAnsi="Times New Roman"/>
          <w:bCs/>
          <w:iCs/>
          <w:u w:val="single"/>
        </w:rPr>
        <w:t>ne</w:t>
      </w:r>
      <w:r w:rsidRPr="000C4010">
        <w:rPr>
          <w:rFonts w:ascii="Times New Roman" w:hAnsi="Times New Roman"/>
          <w:bCs/>
          <w:iCs/>
          <w:u w:val="single"/>
        </w:rPr>
        <w:t>legislatívne akty:</w:t>
      </w:r>
    </w:p>
    <w:p w:rsidR="00507F95" w:rsidRPr="000C4010" w:rsidP="0040641E">
      <w:pPr>
        <w:numPr>
          <w:numId w:val="41"/>
        </w:numPr>
        <w:autoSpaceDE w:val="0"/>
        <w:autoSpaceDN w:val="0"/>
        <w:bidi w:val="0"/>
        <w:spacing w:after="120"/>
        <w:ind w:left="993" w:hanging="483"/>
        <w:jc w:val="both"/>
        <w:rPr>
          <w:rFonts w:ascii="Times New Roman" w:hAnsi="Times New Roman"/>
          <w:iCs/>
        </w:rPr>
      </w:pPr>
      <w:r w:rsidRPr="000C4010" w:rsidR="002568D6">
        <w:rPr>
          <w:rFonts w:ascii="Times New Roman" w:hAnsi="Times New Roman"/>
          <w:bCs/>
          <w:iCs/>
        </w:rPr>
        <w:t xml:space="preserve">    </w:t>
      </w:r>
      <w:r w:rsidRPr="000C4010" w:rsidR="0040641E">
        <w:rPr>
          <w:rFonts w:ascii="Times New Roman" w:hAnsi="Times New Roman"/>
          <w:bCs/>
          <w:iCs/>
        </w:rPr>
        <w:t xml:space="preserve"> </w:t>
      </w:r>
      <w:r w:rsidRPr="000C4010">
        <w:rPr>
          <w:rFonts w:ascii="Times New Roman" w:hAnsi="Times New Roman"/>
          <w:bCs/>
          <w:iCs/>
        </w:rPr>
        <w:t>d</w:t>
      </w:r>
      <w:r w:rsidRPr="000C4010">
        <w:rPr>
          <w:rFonts w:ascii="Times New Roman" w:hAnsi="Times New Roman"/>
          <w:bCs/>
          <w:bdr w:val="nil"/>
          <w:shd w:val="clear" w:color="auto" w:fill="FFFFFF"/>
        </w:rPr>
        <w:t xml:space="preserve">elegované nariadenie Komisie (EÚ) </w:t>
      </w:r>
      <w:r w:rsidRPr="000C4010">
        <w:rPr>
          <w:rFonts w:ascii="Times New Roman" w:hAnsi="Times New Roman"/>
          <w:bCs/>
          <w:u w:val="single"/>
          <w:bdr w:val="nil"/>
          <w:shd w:val="clear" w:color="auto" w:fill="FFFFFF"/>
        </w:rPr>
        <w:t>2016/301</w:t>
      </w:r>
      <w:r w:rsidRPr="000C4010">
        <w:rPr>
          <w:rFonts w:ascii="Times New Roman" w:hAnsi="Times New Roman"/>
          <w:bCs/>
          <w:bdr w:val="nil"/>
          <w:shd w:val="clear" w:color="auto" w:fill="FFFFFF"/>
        </w:rPr>
        <w:t xml:space="preserve"> z 30. novembra 2015, ktorým sa dopĺňa smernica Európskeho parlamentu a Rady 2003/71/ES, pokiaľ ide o regulačné technické predpisy týkajúce sa schvaľovania a uverejňovania prospektov a šírenia inzerátov, a ktorým sa mení nariadenie Komisie (ES) č. 809/2004 (</w:t>
      </w:r>
      <w:r w:rsidRPr="000C4010">
        <w:rPr>
          <w:rFonts w:ascii="Times New Roman" w:hAnsi="Times New Roman"/>
          <w:iCs/>
        </w:rPr>
        <w:t>Ú. v. EÚ L 58, 4.3.2016),</w:t>
      </w:r>
    </w:p>
    <w:p w:rsidR="0040641E" w:rsidRPr="000C4010" w:rsidP="0040641E">
      <w:pPr>
        <w:numPr>
          <w:numId w:val="41"/>
        </w:numPr>
        <w:autoSpaceDE w:val="0"/>
        <w:autoSpaceDN w:val="0"/>
        <w:bidi w:val="0"/>
        <w:spacing w:after="120"/>
        <w:ind w:left="993" w:hanging="483"/>
        <w:jc w:val="both"/>
        <w:rPr>
          <w:rFonts w:ascii="Times New Roman" w:hAnsi="Times New Roman"/>
          <w:iCs/>
        </w:rPr>
      </w:pPr>
      <w:r w:rsidRPr="000C4010" w:rsidR="00507F95">
        <w:rPr>
          <w:rFonts w:ascii="Times New Roman" w:hAnsi="Times New Roman"/>
          <w:bCs/>
        </w:rPr>
        <w:t xml:space="preserve">     </w:t>
      </w:r>
      <w:r w:rsidRPr="000C4010">
        <w:rPr>
          <w:rFonts w:ascii="Times New Roman" w:hAnsi="Times New Roman"/>
          <w:bCs/>
        </w:rPr>
        <w:t>v</w:t>
      </w:r>
      <w:r w:rsidRPr="000C4010" w:rsidR="00DA381A">
        <w:rPr>
          <w:rFonts w:ascii="Times New Roman" w:hAnsi="Times New Roman"/>
          <w:bCs/>
        </w:rPr>
        <w:t xml:space="preserve">ykonávacia smernica Komisie (EÚ) </w:t>
      </w:r>
      <w:r w:rsidRPr="000C4010" w:rsidR="00DA381A">
        <w:rPr>
          <w:rFonts w:ascii="Times New Roman" w:hAnsi="Times New Roman"/>
          <w:bCs/>
          <w:u w:val="single"/>
        </w:rPr>
        <w:t>2015/2392</w:t>
      </w:r>
      <w:r w:rsidRPr="000C4010" w:rsidR="00DA381A">
        <w:rPr>
          <w:rFonts w:ascii="Times New Roman" w:hAnsi="Times New Roman"/>
          <w:bCs/>
        </w:rPr>
        <w:t xml:space="preserve"> zo 17. decembra 2015 o nariadení Európskeho parlamentu a Rady (EÚ) č. 596/2014, pokiaľ ide o nahlasovanie skutočných alebo možných porušení daného nariadenia príslušným orgánom</w:t>
      </w:r>
      <w:r w:rsidRPr="000C4010">
        <w:rPr>
          <w:rFonts w:ascii="Times New Roman" w:hAnsi="Times New Roman"/>
          <w:bCs/>
        </w:rPr>
        <w:t xml:space="preserve"> (</w:t>
      </w:r>
      <w:r w:rsidRPr="000C4010">
        <w:rPr>
          <w:rFonts w:ascii="Times New Roman" w:hAnsi="Times New Roman"/>
          <w:iCs/>
        </w:rPr>
        <w:t>Ú. v. EÚ L 332, 18.12.2015),</w:t>
      </w:r>
    </w:p>
    <w:p w:rsidR="005E7B79" w:rsidRPr="000C4010" w:rsidP="00005E79">
      <w:pPr>
        <w:numPr>
          <w:numId w:val="41"/>
        </w:numPr>
        <w:autoSpaceDE w:val="0"/>
        <w:autoSpaceDN w:val="0"/>
        <w:bidi w:val="0"/>
        <w:spacing w:after="240"/>
        <w:ind w:left="993" w:hanging="483"/>
        <w:jc w:val="both"/>
        <w:rPr>
          <w:rFonts w:ascii="Times New Roman" w:hAnsi="Times New Roman"/>
          <w:iCs/>
        </w:rPr>
      </w:pPr>
      <w:r w:rsidRPr="000C4010" w:rsidR="00DA381A">
        <w:rPr>
          <w:rFonts w:ascii="Times New Roman" w:hAnsi="Times New Roman"/>
          <w:bCs/>
          <w:iCs/>
        </w:rPr>
        <w:t xml:space="preserve">     </w:t>
      </w:r>
      <w:r w:rsidRPr="000C4010">
        <w:rPr>
          <w:rFonts w:ascii="Times New Roman" w:hAnsi="Times New Roman"/>
          <w:bCs/>
          <w:bdr w:val="nil"/>
          <w:shd w:val="clear" w:color="auto" w:fill="FFFFFF"/>
        </w:rPr>
        <w:t>delegované nariadenie Komisie (EÚ) č. </w:t>
      </w:r>
      <w:r w:rsidRPr="000C4010">
        <w:rPr>
          <w:rFonts w:ascii="Times New Roman" w:hAnsi="Times New Roman"/>
          <w:bCs/>
          <w:u w:val="single"/>
          <w:bdr w:val="nil"/>
          <w:shd w:val="clear" w:color="auto" w:fill="FFFFFF"/>
        </w:rPr>
        <w:t>241/2014</w:t>
      </w:r>
      <w:r w:rsidRPr="000C4010">
        <w:rPr>
          <w:rFonts w:ascii="Times New Roman" w:hAnsi="Times New Roman"/>
          <w:bCs/>
          <w:bdr w:val="nil"/>
          <w:shd w:val="clear" w:color="auto" w:fill="FFFFFF"/>
        </w:rPr>
        <w:t xml:space="preserve"> zo 7. januára 2014, ktorým sa dopĺňa nariadenie Európskeho parlamentu a Rady (EÚ) č. 575/2013, pokiaľ ide o regulačné technické predpisy týkajúce sa požiadaviek na vlastné zdroje inštitúcií (</w:t>
      </w:r>
      <w:r w:rsidRPr="000C4010">
        <w:rPr>
          <w:rFonts w:ascii="Times New Roman" w:hAnsi="Times New Roman"/>
          <w:iCs/>
        </w:rPr>
        <w:t>Ú. v. EÚ L 74, 14.3.2014) v platnom znení,</w:t>
      </w:r>
    </w:p>
    <w:p w:rsidR="002568D6" w:rsidRPr="000C4010" w:rsidP="00005E79">
      <w:pPr>
        <w:numPr>
          <w:numId w:val="41"/>
        </w:numPr>
        <w:autoSpaceDE w:val="0"/>
        <w:autoSpaceDN w:val="0"/>
        <w:bidi w:val="0"/>
        <w:spacing w:after="240"/>
        <w:ind w:left="993" w:hanging="483"/>
        <w:jc w:val="both"/>
        <w:rPr>
          <w:rFonts w:ascii="Times New Roman" w:hAnsi="Times New Roman"/>
          <w:iCs/>
        </w:rPr>
      </w:pPr>
      <w:r w:rsidRPr="000C4010" w:rsidR="005E7B79">
        <w:rPr>
          <w:rFonts w:ascii="Times New Roman" w:hAnsi="Times New Roman"/>
          <w:bCs/>
          <w:iCs/>
        </w:rPr>
        <w:t xml:space="preserve">     </w:t>
      </w:r>
      <w:r w:rsidRPr="000C4010" w:rsidR="004541BF">
        <w:rPr>
          <w:rFonts w:ascii="Times New Roman" w:hAnsi="Times New Roman"/>
          <w:bCs/>
          <w:iCs/>
        </w:rPr>
        <w:t>u</w:t>
      </w:r>
      <w:r w:rsidRPr="000C4010" w:rsidR="004541BF">
        <w:rPr>
          <w:rFonts w:ascii="Times New Roman" w:hAnsi="Times New Roman"/>
          <w:bCs/>
          <w:bdr w:val="nil"/>
          <w:shd w:val="clear" w:color="auto" w:fill="FFFFFF"/>
        </w:rPr>
        <w:t>smernenie Európskej centrálnej banky (EÚ) 2015/510 z 19. decembra 2014 o vykonávaní rámca menovej politiky Eurosystému (</w:t>
      </w:r>
      <w:r w:rsidRPr="000C4010" w:rsidR="004541BF">
        <w:rPr>
          <w:rFonts w:ascii="Times New Roman" w:hAnsi="Times New Roman"/>
          <w:bCs/>
          <w:u w:val="single"/>
          <w:bdr w:val="nil"/>
          <w:shd w:val="clear" w:color="auto" w:fill="FFFFFF"/>
        </w:rPr>
        <w:t>ECB/2014/60</w:t>
      </w:r>
      <w:r w:rsidRPr="000C4010" w:rsidR="004541BF">
        <w:rPr>
          <w:rFonts w:ascii="Times New Roman" w:hAnsi="Times New Roman"/>
          <w:bCs/>
          <w:bdr w:val="nil"/>
          <w:shd w:val="clear" w:color="auto" w:fill="FFFFFF"/>
        </w:rPr>
        <w:t>) (</w:t>
      </w:r>
      <w:r w:rsidRPr="000C4010" w:rsidR="004541BF">
        <w:rPr>
          <w:rFonts w:ascii="Times New Roman" w:hAnsi="Times New Roman"/>
          <w:iCs/>
        </w:rPr>
        <w:t>Ú. v. EÚ L 91, 2.4.2015)</w:t>
      </w:r>
      <w:r w:rsidRPr="000C4010" w:rsidR="00C55FEA">
        <w:rPr>
          <w:rFonts w:ascii="Times New Roman" w:hAnsi="Times New Roman"/>
          <w:iCs/>
        </w:rPr>
        <w:t xml:space="preserve"> v platnom znení</w:t>
      </w:r>
      <w:r w:rsidRPr="000C4010" w:rsidR="00507F95">
        <w:rPr>
          <w:rFonts w:ascii="Times New Roman" w:hAnsi="Times New Roman"/>
          <w:iCs/>
        </w:rPr>
        <w:t>.</w:t>
      </w:r>
    </w:p>
    <w:p w:rsidR="00F702A5" w:rsidRPr="000C4010" w:rsidP="00F702A5">
      <w:pPr>
        <w:pStyle w:val="BodyTextIndent"/>
        <w:bidi w:val="0"/>
        <w:spacing w:after="120"/>
        <w:ind w:left="540" w:firstLine="0"/>
        <w:rPr>
          <w:rFonts w:ascii="Times New Roman" w:hAnsi="Times New Roman"/>
          <w:b/>
          <w:bCs/>
          <w:i/>
          <w:iCs/>
        </w:rPr>
      </w:pPr>
      <w:r w:rsidRPr="000C4010">
        <w:rPr>
          <w:rFonts w:ascii="Times New Roman" w:hAnsi="Times New Roman"/>
          <w:b/>
          <w:bCs/>
          <w:iCs/>
        </w:rPr>
        <w:t>Sekundárne právo</w:t>
      </w:r>
      <w:r w:rsidRPr="000C4010">
        <w:rPr>
          <w:rFonts w:ascii="Times New Roman" w:hAnsi="Times New Roman"/>
          <w:b/>
          <w:bCs/>
          <w:i/>
          <w:iCs/>
        </w:rPr>
        <w:t xml:space="preserve"> </w:t>
      </w:r>
      <w:r w:rsidRPr="000C4010">
        <w:rPr>
          <w:rFonts w:ascii="Times New Roman" w:hAnsi="Times New Roman"/>
        </w:rPr>
        <w:t xml:space="preserve">(prijaté pred nadobudnutím platnosti Lisabonskej zmluvy, ktorou sa mení a dopĺňa </w:t>
      </w:r>
      <w:r w:rsidRPr="000C4010" w:rsidR="00D94FA8">
        <w:rPr>
          <w:rFonts w:ascii="Times New Roman" w:hAnsi="Times New Roman"/>
        </w:rPr>
        <w:t xml:space="preserve">Zmluva o Európskej únii a Zmluva o založení Európskeho spoločenstva </w:t>
      </w:r>
      <w:r w:rsidRPr="000C4010">
        <w:rPr>
          <w:rFonts w:ascii="Times New Roman" w:hAnsi="Times New Roman"/>
        </w:rPr>
        <w:t>- do 30. novembra 2009)</w:t>
      </w:r>
      <w:r w:rsidRPr="000C4010" w:rsidR="00D94FA8">
        <w:rPr>
          <w:rFonts w:ascii="Times New Roman" w:hAnsi="Times New Roman"/>
        </w:rPr>
        <w:t>:</w:t>
      </w:r>
    </w:p>
    <w:p w:rsidR="00BC654C" w:rsidRPr="000C4010" w:rsidP="00C703D2">
      <w:pPr>
        <w:numPr>
          <w:numId w:val="5"/>
        </w:numPr>
        <w:tabs>
          <w:tab w:val="clear" w:pos="870"/>
          <w:tab w:val="num" w:pos="993"/>
        </w:tabs>
        <w:bidi w:val="0"/>
        <w:adjustRightInd w:val="0"/>
        <w:spacing w:after="120"/>
        <w:ind w:left="992" w:hanging="454"/>
        <w:jc w:val="both"/>
        <w:rPr>
          <w:rFonts w:ascii="Times New Roman" w:hAnsi="Times New Roman"/>
        </w:rPr>
      </w:pPr>
      <w:r w:rsidRPr="000C4010">
        <w:rPr>
          <w:rFonts w:ascii="Times New Roman" w:hAnsi="Times New Roman"/>
        </w:rPr>
        <w:t xml:space="preserve">smernica Európskeho parlamentu a Rady </w:t>
      </w:r>
      <w:r w:rsidRPr="000C4010">
        <w:rPr>
          <w:rFonts w:ascii="Times New Roman" w:hAnsi="Times New Roman"/>
          <w:u w:val="single"/>
        </w:rPr>
        <w:t>97/9/ES</w:t>
      </w:r>
      <w:r w:rsidRPr="000C4010">
        <w:rPr>
          <w:rFonts w:ascii="Times New Roman" w:hAnsi="Times New Roman"/>
        </w:rPr>
        <w:t xml:space="preserve"> z 3. marca 1997 o systémoch náhrad pre investorov (</w:t>
      </w:r>
      <w:r w:rsidRPr="000C4010" w:rsidR="00AE1F4A">
        <w:rPr>
          <w:rFonts w:ascii="Times New Roman" w:hAnsi="Times New Roman"/>
        </w:rPr>
        <w:t>Mimoriadne vydanie Ú. v. EÚ, kap.</w:t>
      </w:r>
      <w:r w:rsidRPr="000C4010" w:rsidR="00AE1F4A">
        <w:rPr>
          <w:rStyle w:val="Emphasis"/>
          <w:rFonts w:ascii="Times New Roman" w:hAnsi="Times New Roman"/>
          <w:i w:val="0"/>
        </w:rPr>
        <w:t xml:space="preserve">6/zv. 2, </w:t>
      </w:r>
      <w:r w:rsidRPr="000C4010" w:rsidR="00AE1F4A">
        <w:rPr>
          <w:rFonts w:ascii="Times New Roman" w:hAnsi="Times New Roman"/>
          <w:iCs/>
        </w:rPr>
        <w:t>Ú. v. ES L 84, 26.3.1997</w:t>
      </w:r>
      <w:r w:rsidRPr="000C4010">
        <w:rPr>
          <w:rStyle w:val="Emphasis"/>
          <w:rFonts w:ascii="Times New Roman" w:hAnsi="Times New Roman"/>
          <w:i w:val="0"/>
        </w:rPr>
        <w:t>)</w:t>
      </w:r>
      <w:r w:rsidRPr="000C4010">
        <w:rPr>
          <w:rFonts w:ascii="Times New Roman" w:hAnsi="Times New Roman"/>
        </w:rPr>
        <w:t>,</w:t>
      </w:r>
    </w:p>
    <w:p w:rsidR="003D4B96" w:rsidRPr="000C4010" w:rsidP="00C703D2">
      <w:pPr>
        <w:numPr>
          <w:numId w:val="5"/>
        </w:numPr>
        <w:tabs>
          <w:tab w:val="clear" w:pos="870"/>
          <w:tab w:val="num" w:pos="993"/>
        </w:tabs>
        <w:bidi w:val="0"/>
        <w:adjustRightInd w:val="0"/>
        <w:spacing w:after="120"/>
        <w:ind w:left="993" w:hanging="454"/>
        <w:jc w:val="both"/>
        <w:rPr>
          <w:rFonts w:ascii="Times New Roman" w:hAnsi="Times New Roman"/>
        </w:rPr>
      </w:pPr>
      <w:r w:rsidRPr="000C4010">
        <w:rPr>
          <w:rFonts w:ascii="Times New Roman" w:hAnsi="Times New Roman"/>
        </w:rPr>
        <w:t>smernic</w:t>
      </w:r>
      <w:r w:rsidRPr="000C4010" w:rsidR="00B27F24">
        <w:rPr>
          <w:rFonts w:ascii="Times New Roman" w:hAnsi="Times New Roman"/>
        </w:rPr>
        <w:t>a</w:t>
      </w:r>
      <w:r w:rsidRPr="000C4010">
        <w:rPr>
          <w:rFonts w:ascii="Times New Roman" w:hAnsi="Times New Roman"/>
        </w:rPr>
        <w:t xml:space="preserve"> </w:t>
      </w:r>
      <w:r w:rsidRPr="000C4010" w:rsidR="001D5A02">
        <w:rPr>
          <w:rFonts w:ascii="Times New Roman" w:hAnsi="Times New Roman"/>
        </w:rPr>
        <w:t xml:space="preserve">Európskeho parlamentu a </w:t>
      </w:r>
      <w:r w:rsidRPr="000C4010">
        <w:rPr>
          <w:rFonts w:ascii="Times New Roman" w:hAnsi="Times New Roman"/>
        </w:rPr>
        <w:t xml:space="preserve">Rady </w:t>
      </w:r>
      <w:r w:rsidRPr="000C4010">
        <w:rPr>
          <w:rFonts w:ascii="Times New Roman" w:hAnsi="Times New Roman"/>
          <w:u w:val="single"/>
        </w:rPr>
        <w:t>9</w:t>
      </w:r>
      <w:r w:rsidRPr="000C4010" w:rsidR="001D5A02">
        <w:rPr>
          <w:rFonts w:ascii="Times New Roman" w:hAnsi="Times New Roman"/>
          <w:u w:val="single"/>
        </w:rPr>
        <w:t>8</w:t>
      </w:r>
      <w:r w:rsidRPr="000C4010">
        <w:rPr>
          <w:rFonts w:ascii="Times New Roman" w:hAnsi="Times New Roman"/>
          <w:u w:val="single"/>
        </w:rPr>
        <w:t>/</w:t>
      </w:r>
      <w:r w:rsidRPr="000C4010" w:rsidR="001D5A02">
        <w:rPr>
          <w:rFonts w:ascii="Times New Roman" w:hAnsi="Times New Roman"/>
          <w:u w:val="single"/>
        </w:rPr>
        <w:t>26</w:t>
      </w:r>
      <w:r w:rsidRPr="000C4010">
        <w:rPr>
          <w:rFonts w:ascii="Times New Roman" w:hAnsi="Times New Roman"/>
          <w:u w:val="single"/>
        </w:rPr>
        <w:t>/ES</w:t>
      </w:r>
      <w:r w:rsidRPr="000C4010">
        <w:rPr>
          <w:rFonts w:ascii="Times New Roman" w:hAnsi="Times New Roman"/>
        </w:rPr>
        <w:t xml:space="preserve"> z </w:t>
      </w:r>
      <w:r w:rsidRPr="000C4010" w:rsidR="001D5A02">
        <w:rPr>
          <w:rFonts w:ascii="Times New Roman" w:hAnsi="Times New Roman"/>
        </w:rPr>
        <w:t xml:space="preserve"> 19</w:t>
      </w:r>
      <w:r w:rsidRPr="000C4010">
        <w:rPr>
          <w:rFonts w:ascii="Times New Roman" w:hAnsi="Times New Roman"/>
        </w:rPr>
        <w:t>. </w:t>
      </w:r>
      <w:r w:rsidRPr="000C4010" w:rsidR="001D5A02">
        <w:rPr>
          <w:rFonts w:ascii="Times New Roman" w:hAnsi="Times New Roman"/>
        </w:rPr>
        <w:t>mája 1998</w:t>
      </w:r>
      <w:r w:rsidRPr="000C4010">
        <w:rPr>
          <w:rFonts w:ascii="Times New Roman" w:hAnsi="Times New Roman"/>
        </w:rPr>
        <w:t xml:space="preserve"> o</w:t>
      </w:r>
      <w:r w:rsidRPr="000C4010" w:rsidR="001D5A02">
        <w:rPr>
          <w:rFonts w:ascii="Times New Roman" w:hAnsi="Times New Roman"/>
        </w:rPr>
        <w:t> konečnom zúčtovaní v platobných systémoch a zúčtovacích systémoch cenných papierov</w:t>
      </w:r>
      <w:r w:rsidRPr="000C4010">
        <w:rPr>
          <w:rFonts w:ascii="Times New Roman" w:hAnsi="Times New Roman"/>
        </w:rPr>
        <w:t xml:space="preserve"> </w:t>
      </w:r>
      <w:r w:rsidRPr="000C4010">
        <w:rPr>
          <w:rFonts w:ascii="Times New Roman" w:hAnsi="Times New Roman"/>
        </w:rPr>
        <w:t>(</w:t>
      </w:r>
      <w:r w:rsidRPr="000C4010" w:rsidR="00AE1F4A">
        <w:rPr>
          <w:rFonts w:ascii="Times New Roman" w:hAnsi="Times New Roman"/>
        </w:rPr>
        <w:t xml:space="preserve">Mimoriadne vydanie </w:t>
      </w:r>
      <w:r w:rsidRPr="000C4010" w:rsidR="00AE1F4A">
        <w:rPr>
          <w:rFonts w:ascii="Times New Roman" w:hAnsi="Times New Roman"/>
        </w:rPr>
        <w:t>Ú.v.</w:t>
      </w:r>
      <w:r w:rsidRPr="000C4010" w:rsidR="00AE1F4A">
        <w:rPr>
          <w:rFonts w:ascii="Times New Roman" w:hAnsi="Times New Roman"/>
          <w:i/>
          <w:iCs/>
        </w:rPr>
        <w:t xml:space="preserve"> </w:t>
      </w:r>
      <w:r w:rsidRPr="000C4010" w:rsidR="00AE1F4A">
        <w:rPr>
          <w:rFonts w:ascii="Times New Roman" w:hAnsi="Times New Roman"/>
        </w:rPr>
        <w:t xml:space="preserve">EÚ, kap.  6/ zv. 3, </w:t>
      </w:r>
      <w:r w:rsidRPr="000C4010" w:rsidR="00AE1F4A">
        <w:rPr>
          <w:rFonts w:ascii="Times New Roman" w:hAnsi="Times New Roman"/>
          <w:iCs/>
        </w:rPr>
        <w:t>Ú. v. ES L 166, 11.6.1998</w:t>
      </w:r>
      <w:r w:rsidRPr="000C4010">
        <w:rPr>
          <w:rFonts w:ascii="Times New Roman" w:hAnsi="Times New Roman"/>
        </w:rPr>
        <w:t>)</w:t>
      </w:r>
      <w:r w:rsidRPr="000C4010" w:rsidR="004B78EE">
        <w:rPr>
          <w:rFonts w:ascii="Times New Roman" w:hAnsi="Times New Roman"/>
        </w:rPr>
        <w:t xml:space="preserve"> v platnom znení</w:t>
      </w:r>
      <w:r w:rsidRPr="000C4010">
        <w:rPr>
          <w:rFonts w:ascii="Times New Roman" w:hAnsi="Times New Roman"/>
        </w:rPr>
        <w:t>,</w:t>
      </w:r>
    </w:p>
    <w:p w:rsidR="00BC654C" w:rsidRPr="000C4010" w:rsidP="00C703D2">
      <w:pPr>
        <w:numPr>
          <w:numId w:val="5"/>
        </w:numPr>
        <w:tabs>
          <w:tab w:val="clear" w:pos="870"/>
          <w:tab w:val="num" w:pos="993"/>
        </w:tabs>
        <w:bidi w:val="0"/>
        <w:adjustRightInd w:val="0"/>
        <w:spacing w:after="120"/>
        <w:ind w:left="993" w:hanging="454"/>
        <w:jc w:val="both"/>
        <w:rPr>
          <w:rFonts w:ascii="Times New Roman" w:hAnsi="Times New Roman"/>
        </w:rPr>
      </w:pPr>
      <w:r w:rsidRPr="000C4010">
        <w:rPr>
          <w:rFonts w:ascii="Times New Roman" w:hAnsi="Times New Roman"/>
        </w:rPr>
        <w:t xml:space="preserve">smernica Európskeho parlamentu a Rady </w:t>
      </w:r>
      <w:r w:rsidRPr="000C4010">
        <w:rPr>
          <w:rFonts w:ascii="Times New Roman" w:hAnsi="Times New Roman"/>
          <w:u w:val="single"/>
        </w:rPr>
        <w:t>2001/34/ES</w:t>
      </w:r>
      <w:r w:rsidRPr="000C4010">
        <w:rPr>
          <w:rFonts w:ascii="Times New Roman" w:hAnsi="Times New Roman"/>
        </w:rPr>
        <w:t xml:space="preserve"> z 28. mája 2001 o prijímaní cenných papierov  na kótovanie na burze cenných papierov a o informáciách, ktoré sa o týchto cenných papieroch m</w:t>
      </w:r>
      <w:r w:rsidRPr="000C4010" w:rsidR="004B78EE">
        <w:rPr>
          <w:rFonts w:ascii="Times New Roman" w:hAnsi="Times New Roman"/>
        </w:rPr>
        <w:t>usia zverejňovať</w:t>
      </w:r>
      <w:r w:rsidRPr="000C4010">
        <w:rPr>
          <w:rFonts w:ascii="Times New Roman" w:hAnsi="Times New Roman"/>
        </w:rPr>
        <w:t xml:space="preserve"> (</w:t>
      </w:r>
      <w:r w:rsidRPr="000C4010" w:rsidR="00AE1F4A">
        <w:rPr>
          <w:rFonts w:ascii="Times New Roman" w:hAnsi="Times New Roman"/>
        </w:rPr>
        <w:t xml:space="preserve">Mimoriadne vydanie Ú. v. EÚ, kap. </w:t>
      </w:r>
      <w:r w:rsidRPr="000C4010" w:rsidR="00AE1F4A">
        <w:rPr>
          <w:rStyle w:val="Emphasis"/>
          <w:rFonts w:ascii="Times New Roman" w:hAnsi="Times New Roman"/>
          <w:i w:val="0"/>
        </w:rPr>
        <w:t xml:space="preserve">6/zv. 4, </w:t>
      </w:r>
      <w:r w:rsidRPr="000C4010" w:rsidR="00AE1F4A">
        <w:rPr>
          <w:rFonts w:ascii="Times New Roman" w:hAnsi="Times New Roman"/>
          <w:iCs/>
        </w:rPr>
        <w:t>Ú. v. ES L 184, 6.7.2001</w:t>
      </w:r>
      <w:r w:rsidRPr="000C4010">
        <w:rPr>
          <w:rStyle w:val="Emphasis"/>
          <w:rFonts w:ascii="Times New Roman" w:hAnsi="Times New Roman"/>
          <w:i w:val="0"/>
        </w:rPr>
        <w:t>)</w:t>
      </w:r>
      <w:r w:rsidRPr="000C4010" w:rsidR="004B78EE">
        <w:rPr>
          <w:rFonts w:ascii="Times New Roman" w:hAnsi="Times New Roman"/>
        </w:rPr>
        <w:t xml:space="preserve"> v platnom znení</w:t>
      </w:r>
      <w:r w:rsidRPr="000C4010">
        <w:rPr>
          <w:rFonts w:ascii="Times New Roman" w:hAnsi="Times New Roman"/>
        </w:rPr>
        <w:t>,</w:t>
      </w:r>
    </w:p>
    <w:p w:rsidR="00C003B1" w:rsidRPr="000C4010" w:rsidP="00C703D2">
      <w:pPr>
        <w:numPr>
          <w:numId w:val="6"/>
        </w:numPr>
        <w:tabs>
          <w:tab w:val="clear" w:pos="870"/>
          <w:tab w:val="num" w:pos="993"/>
        </w:tabs>
        <w:bidi w:val="0"/>
        <w:adjustRightInd w:val="0"/>
        <w:spacing w:after="120"/>
        <w:ind w:left="992" w:hanging="454"/>
        <w:jc w:val="both"/>
        <w:rPr>
          <w:rFonts w:ascii="Times New Roman" w:hAnsi="Times New Roman"/>
        </w:rPr>
      </w:pPr>
      <w:r w:rsidRPr="000C4010" w:rsidR="003D4B96">
        <w:rPr>
          <w:rFonts w:ascii="Times New Roman" w:hAnsi="Times New Roman"/>
          <w:bCs/>
        </w:rPr>
        <w:t>smernic</w:t>
      </w:r>
      <w:r w:rsidRPr="000C4010" w:rsidR="00B27F24">
        <w:rPr>
          <w:rFonts w:ascii="Times New Roman" w:hAnsi="Times New Roman"/>
          <w:bCs/>
        </w:rPr>
        <w:t>a</w:t>
      </w:r>
      <w:r w:rsidRPr="000C4010" w:rsidR="003D4B96">
        <w:rPr>
          <w:rFonts w:ascii="Times New Roman" w:hAnsi="Times New Roman"/>
          <w:bCs/>
        </w:rPr>
        <w:t xml:space="preserve"> </w:t>
      </w:r>
      <w:r w:rsidRPr="000C4010" w:rsidR="001D5A02">
        <w:rPr>
          <w:rFonts w:ascii="Times New Roman" w:hAnsi="Times New Roman"/>
          <w:bCs/>
        </w:rPr>
        <w:t xml:space="preserve">Európskeho parlamentu a </w:t>
      </w:r>
      <w:r w:rsidRPr="000C4010" w:rsidR="003D4B96">
        <w:rPr>
          <w:rFonts w:ascii="Times New Roman" w:hAnsi="Times New Roman"/>
          <w:bCs/>
        </w:rPr>
        <w:t xml:space="preserve">Rady </w:t>
      </w:r>
      <w:r w:rsidRPr="000C4010" w:rsidR="003D4B96">
        <w:rPr>
          <w:rFonts w:ascii="Times New Roman" w:hAnsi="Times New Roman"/>
          <w:bCs/>
          <w:u w:val="single"/>
        </w:rPr>
        <w:t>200</w:t>
      </w:r>
      <w:r w:rsidRPr="000C4010" w:rsidR="001D5A02">
        <w:rPr>
          <w:rFonts w:ascii="Times New Roman" w:hAnsi="Times New Roman"/>
          <w:bCs/>
          <w:u w:val="single"/>
        </w:rPr>
        <w:t>2</w:t>
      </w:r>
      <w:r w:rsidRPr="000C4010" w:rsidR="003D4B96">
        <w:rPr>
          <w:rFonts w:ascii="Times New Roman" w:hAnsi="Times New Roman"/>
          <w:bCs/>
          <w:u w:val="single"/>
        </w:rPr>
        <w:t>/4</w:t>
      </w:r>
      <w:r w:rsidRPr="000C4010" w:rsidR="001D5A02">
        <w:rPr>
          <w:rFonts w:ascii="Times New Roman" w:hAnsi="Times New Roman"/>
          <w:bCs/>
          <w:u w:val="single"/>
        </w:rPr>
        <w:t>7</w:t>
      </w:r>
      <w:r w:rsidRPr="000C4010" w:rsidR="003D4B96">
        <w:rPr>
          <w:rFonts w:ascii="Times New Roman" w:hAnsi="Times New Roman"/>
          <w:bCs/>
          <w:u w:val="single"/>
        </w:rPr>
        <w:t>/ES</w:t>
      </w:r>
      <w:r w:rsidRPr="000C4010" w:rsidR="003D4B96">
        <w:rPr>
          <w:rFonts w:ascii="Times New Roman" w:hAnsi="Times New Roman"/>
          <w:bCs/>
        </w:rPr>
        <w:t xml:space="preserve"> z </w:t>
      </w:r>
      <w:r w:rsidRPr="000C4010" w:rsidR="001D5A02">
        <w:rPr>
          <w:rFonts w:ascii="Times New Roman" w:hAnsi="Times New Roman"/>
          <w:bCs/>
        </w:rPr>
        <w:t>6</w:t>
      </w:r>
      <w:r w:rsidRPr="000C4010" w:rsidR="003D4B96">
        <w:rPr>
          <w:rFonts w:ascii="Times New Roman" w:hAnsi="Times New Roman"/>
          <w:bCs/>
        </w:rPr>
        <w:t>. júna 200</w:t>
      </w:r>
      <w:r w:rsidRPr="000C4010" w:rsidR="001D5A02">
        <w:rPr>
          <w:rFonts w:ascii="Times New Roman" w:hAnsi="Times New Roman"/>
          <w:bCs/>
        </w:rPr>
        <w:t>2</w:t>
      </w:r>
      <w:r w:rsidRPr="000C4010" w:rsidR="003D4B96">
        <w:rPr>
          <w:rFonts w:ascii="Times New Roman" w:hAnsi="Times New Roman"/>
          <w:bCs/>
        </w:rPr>
        <w:t xml:space="preserve"> </w:t>
      </w:r>
      <w:r w:rsidRPr="000C4010" w:rsidR="003D4B96">
        <w:rPr>
          <w:rFonts w:ascii="Times New Roman" w:hAnsi="Times New Roman"/>
        </w:rPr>
        <w:t>o</w:t>
      </w:r>
      <w:r w:rsidRPr="000C4010" w:rsidR="001D5A02">
        <w:rPr>
          <w:rFonts w:ascii="Times New Roman" w:hAnsi="Times New Roman"/>
        </w:rPr>
        <w:t> dohodách o finančných zárukách</w:t>
      </w:r>
      <w:r w:rsidRPr="000C4010" w:rsidR="003D4B96">
        <w:rPr>
          <w:rFonts w:ascii="Times New Roman" w:hAnsi="Times New Roman"/>
        </w:rPr>
        <w:t xml:space="preserve"> </w:t>
      </w:r>
      <w:r w:rsidRPr="000C4010" w:rsidR="003D4B96">
        <w:rPr>
          <w:rFonts w:ascii="Times New Roman" w:hAnsi="Times New Roman"/>
        </w:rPr>
        <w:t>(</w:t>
      </w:r>
      <w:r w:rsidRPr="000C4010" w:rsidR="00AE1F4A">
        <w:rPr>
          <w:rFonts w:ascii="Times New Roman" w:hAnsi="Times New Roman"/>
        </w:rPr>
        <w:t xml:space="preserve">Mimoriadne vydanie </w:t>
      </w:r>
      <w:r w:rsidRPr="000C4010" w:rsidR="00AE1F4A">
        <w:rPr>
          <w:rFonts w:ascii="Times New Roman" w:hAnsi="Times New Roman"/>
        </w:rPr>
        <w:t>Ú.v.</w:t>
      </w:r>
      <w:r w:rsidRPr="000C4010" w:rsidR="00AE1F4A">
        <w:rPr>
          <w:rFonts w:ascii="Times New Roman" w:hAnsi="Times New Roman"/>
          <w:i/>
          <w:iCs/>
        </w:rPr>
        <w:t xml:space="preserve"> </w:t>
      </w:r>
      <w:r w:rsidRPr="000C4010" w:rsidR="00AE1F4A">
        <w:rPr>
          <w:rFonts w:ascii="Times New Roman" w:hAnsi="Times New Roman"/>
        </w:rPr>
        <w:t xml:space="preserve">EÚ, kap. 10/ zv. 3, </w:t>
      </w:r>
      <w:r w:rsidRPr="000C4010" w:rsidR="00AE1F4A">
        <w:rPr>
          <w:rFonts w:ascii="Times New Roman" w:hAnsi="Times New Roman"/>
          <w:iCs/>
        </w:rPr>
        <w:t>Ú. v. ES L 168, 27.6.2002</w:t>
      </w:r>
      <w:r w:rsidRPr="000C4010" w:rsidR="001D5A02">
        <w:rPr>
          <w:rFonts w:ascii="Times New Roman" w:hAnsi="Times New Roman"/>
        </w:rPr>
        <w:t>)</w:t>
      </w:r>
      <w:r w:rsidRPr="000C4010" w:rsidR="004B78EE">
        <w:rPr>
          <w:rFonts w:ascii="Times New Roman" w:hAnsi="Times New Roman"/>
        </w:rPr>
        <w:t xml:space="preserve"> v platnom znení</w:t>
      </w:r>
      <w:r w:rsidRPr="000C4010" w:rsidR="00BC654C">
        <w:rPr>
          <w:rFonts w:ascii="Times New Roman" w:hAnsi="Times New Roman"/>
        </w:rPr>
        <w:t>,</w:t>
      </w:r>
    </w:p>
    <w:p w:rsidR="00BC654C" w:rsidRPr="000C4010" w:rsidP="00C703D2">
      <w:pPr>
        <w:numPr>
          <w:numId w:val="6"/>
        </w:numPr>
        <w:tabs>
          <w:tab w:val="clear" w:pos="870"/>
          <w:tab w:val="num" w:pos="993"/>
        </w:tabs>
        <w:bidi w:val="0"/>
        <w:adjustRightInd w:val="0"/>
        <w:spacing w:after="120"/>
        <w:ind w:left="993" w:hanging="454"/>
        <w:jc w:val="both"/>
        <w:rPr>
          <w:rFonts w:ascii="Times New Roman" w:hAnsi="Times New Roman"/>
        </w:rPr>
      </w:pPr>
      <w:r w:rsidRPr="000C4010">
        <w:rPr>
          <w:rFonts w:ascii="Times New Roman" w:hAnsi="Times New Roman"/>
        </w:rPr>
        <w:t xml:space="preserve">smernica Európskeho parlamentu a Rady </w:t>
      </w:r>
      <w:r w:rsidRPr="000C4010">
        <w:rPr>
          <w:rFonts w:ascii="Times New Roman" w:hAnsi="Times New Roman"/>
          <w:u w:val="single"/>
        </w:rPr>
        <w:t>2002/87/ES</w:t>
      </w:r>
      <w:r w:rsidRPr="000C4010">
        <w:rPr>
          <w:rFonts w:ascii="Times New Roman" w:hAnsi="Times New Roman"/>
        </w:rPr>
        <w:t xml:space="preserve"> zo 16. decembra 2002 o doplnkovom dohľade nad úverovými inštitúciami, poisťovňami a investičnými spoločnosťami vo finančnom konglomeráte, ktorou sa menia a dopĺňajú smernice Rady 73/239/EHS, 79/267/EHS, 92/49/EHS, 92/96/EHS, 93/6/EHS a 93/22/EHS a smernice Európskeho parlamentu a Rady 98/78/</w:t>
      </w:r>
      <w:r w:rsidRPr="000C4010" w:rsidR="004B78EE">
        <w:rPr>
          <w:rFonts w:ascii="Times New Roman" w:hAnsi="Times New Roman"/>
        </w:rPr>
        <w:t xml:space="preserve">ES a 2000/12/ES </w:t>
      </w:r>
      <w:r w:rsidRPr="000C4010">
        <w:rPr>
          <w:rFonts w:ascii="Times New Roman" w:hAnsi="Times New Roman"/>
        </w:rPr>
        <w:t>(</w:t>
      </w:r>
      <w:r w:rsidRPr="000C4010" w:rsidR="00AE1F4A">
        <w:rPr>
          <w:rFonts w:ascii="Times New Roman" w:hAnsi="Times New Roman"/>
        </w:rPr>
        <w:t>Mimoriadne vydanie Ú. v. EÚ, kap.</w:t>
      </w:r>
      <w:r w:rsidRPr="000C4010" w:rsidR="00AE1F4A">
        <w:rPr>
          <w:rStyle w:val="Emphasis"/>
          <w:rFonts w:ascii="Times New Roman" w:hAnsi="Times New Roman"/>
          <w:i w:val="0"/>
        </w:rPr>
        <w:t xml:space="preserve">6/zv. 4, </w:t>
      </w:r>
      <w:r w:rsidRPr="000C4010" w:rsidR="00AE1F4A">
        <w:rPr>
          <w:rFonts w:ascii="Times New Roman" w:hAnsi="Times New Roman"/>
          <w:iCs/>
        </w:rPr>
        <w:t>Ú. v. EÚ L 35, 11.2.2003</w:t>
      </w:r>
      <w:r w:rsidRPr="000C4010">
        <w:rPr>
          <w:rStyle w:val="Emphasis"/>
          <w:rFonts w:ascii="Times New Roman" w:hAnsi="Times New Roman"/>
          <w:i w:val="0"/>
        </w:rPr>
        <w:t>)</w:t>
      </w:r>
      <w:r w:rsidRPr="000C4010" w:rsidR="004B78EE">
        <w:rPr>
          <w:rFonts w:ascii="Times New Roman" w:hAnsi="Times New Roman"/>
        </w:rPr>
        <w:t xml:space="preserve"> v platnom znení</w:t>
      </w:r>
      <w:r w:rsidRPr="000C4010">
        <w:rPr>
          <w:rFonts w:ascii="Times New Roman" w:hAnsi="Times New Roman"/>
        </w:rPr>
        <w:t>,</w:t>
      </w:r>
    </w:p>
    <w:p w:rsidR="000C4010" w:rsidRPr="000C4010" w:rsidP="000C4010">
      <w:pPr>
        <w:numPr>
          <w:numId w:val="6"/>
        </w:numPr>
        <w:tabs>
          <w:tab w:val="clear" w:pos="870"/>
          <w:tab w:val="num" w:pos="993"/>
        </w:tabs>
        <w:bidi w:val="0"/>
        <w:adjustRightInd w:val="0"/>
        <w:spacing w:after="120"/>
        <w:ind w:left="993" w:hanging="454"/>
        <w:jc w:val="both"/>
        <w:rPr>
          <w:rFonts w:ascii="Times New Roman" w:hAnsi="Times New Roman"/>
        </w:rPr>
      </w:pPr>
      <w:r w:rsidRPr="000C4010">
        <w:rPr>
          <w:rFonts w:ascii="Times New Roman" w:hAnsi="Times New Roman"/>
          <w:bCs/>
          <w:bdr w:val="nil"/>
          <w:shd w:val="clear" w:color="auto" w:fill="FFFFFF"/>
        </w:rPr>
        <w:t>smernica Európskeho parlamentu a</w:t>
      </w:r>
      <w:r w:rsidR="005B22CA">
        <w:rPr>
          <w:rFonts w:ascii="Times New Roman" w:hAnsi="Times New Roman"/>
          <w:bCs/>
          <w:bdr w:val="nil"/>
          <w:shd w:val="clear" w:color="auto" w:fill="FFFFFF"/>
        </w:rPr>
        <w:t> </w:t>
      </w:r>
      <w:r w:rsidRPr="000C4010">
        <w:rPr>
          <w:rFonts w:ascii="Times New Roman" w:hAnsi="Times New Roman"/>
          <w:bCs/>
          <w:bdr w:val="nil"/>
          <w:shd w:val="clear" w:color="auto" w:fill="FFFFFF"/>
        </w:rPr>
        <w:t>Rady</w:t>
      </w:r>
      <w:r w:rsidR="005B22CA">
        <w:rPr>
          <w:rFonts w:ascii="Times New Roman" w:hAnsi="Times New Roman"/>
          <w:bCs/>
          <w:bdr w:val="nil"/>
          <w:shd w:val="clear" w:color="auto" w:fill="FFFFFF"/>
        </w:rPr>
        <w:t xml:space="preserve"> </w:t>
      </w:r>
      <w:r w:rsidRPr="005B22CA" w:rsidR="005B22CA">
        <w:rPr>
          <w:rFonts w:ascii="Times New Roman" w:hAnsi="Times New Roman"/>
          <w:bCs/>
          <w:u w:val="single"/>
          <w:bdr w:val="nil"/>
          <w:shd w:val="clear" w:color="auto" w:fill="FFFFFF"/>
        </w:rPr>
        <w:t>2002/92/ES</w:t>
      </w:r>
      <w:r w:rsidRPr="000C4010">
        <w:rPr>
          <w:rFonts w:ascii="Times New Roman" w:hAnsi="Times New Roman"/>
          <w:bCs/>
          <w:bdr w:val="nil"/>
          <w:shd w:val="clear" w:color="auto" w:fill="FFFFFF"/>
        </w:rPr>
        <w:t xml:space="preserve"> z 9. decembra 2002 o sprostredkovaní poistenia </w:t>
      </w:r>
      <w:r w:rsidRPr="000C4010">
        <w:rPr>
          <w:rFonts w:ascii="Times New Roman" w:hAnsi="Times New Roman"/>
        </w:rPr>
        <w:t>(Mimoriadne vydanie Ú. v. EÚ, kap.</w:t>
      </w:r>
      <w:r w:rsidRPr="000C4010">
        <w:rPr>
          <w:rStyle w:val="Emphasis"/>
          <w:rFonts w:ascii="Times New Roman" w:hAnsi="Times New Roman"/>
          <w:i w:val="0"/>
        </w:rPr>
        <w:t>6/zv. 4</w:t>
      </w:r>
      <w:r w:rsidRPr="000C4010">
        <w:rPr>
          <w:rStyle w:val="Emphasis"/>
          <w:rFonts w:ascii="Times New Roman" w:hAnsi="Times New Roman"/>
          <w:i w:val="0"/>
        </w:rPr>
        <w:t xml:space="preserve">, </w:t>
      </w:r>
      <w:r w:rsidRPr="000C4010">
        <w:rPr>
          <w:rFonts w:ascii="Times New Roman" w:hAnsi="Times New Roman"/>
          <w:iCs/>
        </w:rPr>
        <w:t>Ú. v. ES L 9, 15.1.2003</w:t>
      </w:r>
      <w:r w:rsidRPr="000C4010">
        <w:rPr>
          <w:rFonts w:ascii="Times New Roman" w:hAnsi="Times New Roman"/>
          <w:iCs/>
        </w:rPr>
        <w:t xml:space="preserve">) </w:t>
      </w:r>
      <w:r w:rsidRPr="000C4010">
        <w:rPr>
          <w:rFonts w:ascii="Times New Roman" w:hAnsi="Times New Roman"/>
        </w:rPr>
        <w:t>v platnom znení,</w:t>
      </w:r>
    </w:p>
    <w:p w:rsidR="00BC654C" w:rsidRPr="000C4010" w:rsidP="00C703D2">
      <w:pPr>
        <w:numPr>
          <w:numId w:val="6"/>
        </w:numPr>
        <w:tabs>
          <w:tab w:val="clear" w:pos="870"/>
          <w:tab w:val="num" w:pos="993"/>
        </w:tabs>
        <w:bidi w:val="0"/>
        <w:adjustRightInd w:val="0"/>
        <w:spacing w:after="120"/>
        <w:ind w:left="992" w:hanging="454"/>
        <w:jc w:val="both"/>
        <w:rPr>
          <w:rFonts w:ascii="Times New Roman" w:hAnsi="Times New Roman"/>
        </w:rPr>
      </w:pPr>
      <w:r w:rsidRPr="000C4010">
        <w:rPr>
          <w:rFonts w:ascii="Times New Roman" w:hAnsi="Times New Roman"/>
        </w:rPr>
        <w:t xml:space="preserve">smernica Európskeho parlamentu a Rady </w:t>
      </w:r>
      <w:r w:rsidRPr="000C4010">
        <w:rPr>
          <w:rFonts w:ascii="Times New Roman" w:hAnsi="Times New Roman"/>
          <w:u w:val="single"/>
        </w:rPr>
        <w:t>2003/71/ES</w:t>
      </w:r>
      <w:r w:rsidRPr="000C4010">
        <w:rPr>
          <w:rFonts w:ascii="Times New Roman" w:hAnsi="Times New Roman"/>
        </w:rPr>
        <w:t xml:space="preserve"> zo 4. novembra 2003 o prospekte, ktorý sa zverejňuje pri verejnej ponuke cenných papierov alebo ich prijatí na obchodovanie, a o zmene a doplnení smernice 2001/34/ES (</w:t>
      </w:r>
      <w:r w:rsidRPr="000C4010" w:rsidR="00AE1F4A">
        <w:rPr>
          <w:rFonts w:ascii="Times New Roman" w:hAnsi="Times New Roman"/>
        </w:rPr>
        <w:t>Mimoriadne vydanie Ú. v. EÚ, kap.</w:t>
      </w:r>
      <w:r w:rsidRPr="000C4010" w:rsidR="00AE1F4A">
        <w:rPr>
          <w:rStyle w:val="Emphasis"/>
          <w:rFonts w:ascii="Times New Roman" w:hAnsi="Times New Roman"/>
          <w:i w:val="0"/>
        </w:rPr>
        <w:t xml:space="preserve">6/zv. 6, </w:t>
      </w:r>
      <w:r w:rsidRPr="000C4010" w:rsidR="00AE1F4A">
        <w:rPr>
          <w:rFonts w:ascii="Times New Roman" w:hAnsi="Times New Roman"/>
          <w:iCs/>
        </w:rPr>
        <w:t>Ú. v. EÚ L 345, 31.12.2003</w:t>
      </w:r>
      <w:r w:rsidRPr="000C4010">
        <w:rPr>
          <w:rStyle w:val="Emphasis"/>
          <w:rFonts w:ascii="Times New Roman" w:hAnsi="Times New Roman"/>
          <w:i w:val="0"/>
        </w:rPr>
        <w:t>)</w:t>
      </w:r>
      <w:r w:rsidRPr="000C4010" w:rsidR="004B78EE">
        <w:rPr>
          <w:rFonts w:ascii="Times New Roman" w:hAnsi="Times New Roman"/>
        </w:rPr>
        <w:t xml:space="preserve"> v platnom znení</w:t>
      </w:r>
      <w:r w:rsidRPr="000C4010">
        <w:rPr>
          <w:rFonts w:ascii="Times New Roman" w:hAnsi="Times New Roman"/>
        </w:rPr>
        <w:t>,</w:t>
      </w:r>
    </w:p>
    <w:p w:rsidR="00BB2B07" w:rsidRPr="000C4010" w:rsidP="00C703D2">
      <w:pPr>
        <w:pStyle w:val="BodyTextIndent"/>
        <w:numPr>
          <w:numId w:val="29"/>
        </w:numPr>
        <w:tabs>
          <w:tab w:val="clear" w:pos="856"/>
          <w:tab w:val="num" w:pos="993"/>
        </w:tabs>
        <w:autoSpaceDE w:val="0"/>
        <w:autoSpaceDN w:val="0"/>
        <w:bidi w:val="0"/>
        <w:adjustRightInd w:val="0"/>
        <w:spacing w:after="120"/>
        <w:ind w:left="992" w:hanging="454"/>
        <w:rPr>
          <w:rFonts w:ascii="Times New Roman" w:hAnsi="Times New Roman"/>
        </w:rPr>
      </w:pPr>
      <w:r w:rsidRPr="000C4010">
        <w:rPr>
          <w:rFonts w:ascii="Times New Roman" w:hAnsi="Times New Roman"/>
        </w:rPr>
        <w:t xml:space="preserve">smernica Európskeho parlamentu a Rady </w:t>
      </w:r>
      <w:r w:rsidRPr="000C4010">
        <w:rPr>
          <w:rFonts w:ascii="Times New Roman" w:hAnsi="Times New Roman"/>
          <w:u w:val="single"/>
        </w:rPr>
        <w:t>2004/25/ES</w:t>
      </w:r>
      <w:r w:rsidRPr="000C4010">
        <w:rPr>
          <w:rFonts w:ascii="Times New Roman" w:hAnsi="Times New Roman"/>
        </w:rPr>
        <w:t xml:space="preserve"> z 21. apríla 2004 o ponukách na prevzatie (Mimoriadne vydanie Ú. v. EÚ, kap.</w:t>
      </w:r>
      <w:r w:rsidRPr="000C4010">
        <w:rPr>
          <w:rStyle w:val="Emphasis"/>
          <w:rFonts w:ascii="Times New Roman" w:hAnsi="Times New Roman"/>
          <w:i w:val="0"/>
        </w:rPr>
        <w:t>17/zv. 2</w:t>
      </w:r>
      <w:r w:rsidRPr="000C4010" w:rsidR="006649A3">
        <w:rPr>
          <w:rStyle w:val="Emphasis"/>
          <w:rFonts w:ascii="Times New Roman" w:hAnsi="Times New Roman"/>
          <w:i w:val="0"/>
        </w:rPr>
        <w:t xml:space="preserve">, </w:t>
      </w:r>
      <w:r w:rsidRPr="000C4010" w:rsidR="006649A3">
        <w:rPr>
          <w:rFonts w:ascii="Times New Roman" w:hAnsi="Times New Roman"/>
          <w:iCs/>
        </w:rPr>
        <w:t>Ú. v. EÚ L 142, 30.4.2004</w:t>
      </w:r>
      <w:r w:rsidRPr="000C4010">
        <w:rPr>
          <w:rStyle w:val="Emphasis"/>
          <w:rFonts w:ascii="Times New Roman" w:hAnsi="Times New Roman"/>
          <w:i w:val="0"/>
        </w:rPr>
        <w:t>)</w:t>
      </w:r>
      <w:r w:rsidRPr="000C4010" w:rsidR="006F1AF4">
        <w:rPr>
          <w:rFonts w:ascii="Times New Roman" w:hAnsi="Times New Roman"/>
        </w:rPr>
        <w:t xml:space="preserve"> v platnom znení,</w:t>
      </w:r>
    </w:p>
    <w:p w:rsidR="00BB2B07" w:rsidRPr="000C4010" w:rsidP="004B78EE">
      <w:pPr>
        <w:pStyle w:val="BodyTextIndent"/>
        <w:numPr>
          <w:numId w:val="32"/>
        </w:numPr>
        <w:tabs>
          <w:tab w:val="clear" w:pos="856"/>
          <w:tab w:val="num" w:pos="993"/>
        </w:tabs>
        <w:autoSpaceDE w:val="0"/>
        <w:autoSpaceDN w:val="0"/>
        <w:bidi w:val="0"/>
        <w:adjustRightInd w:val="0"/>
        <w:spacing w:after="120"/>
        <w:ind w:left="992" w:hanging="482"/>
        <w:rPr>
          <w:rFonts w:ascii="Times New Roman" w:hAnsi="Times New Roman"/>
        </w:rPr>
      </w:pPr>
      <w:r w:rsidRPr="000C4010">
        <w:rPr>
          <w:rFonts w:ascii="Times New Roman" w:hAnsi="Times New Roman"/>
        </w:rPr>
        <w:t xml:space="preserve">smernica Európskeho parlamentu a Rady </w:t>
      </w:r>
      <w:r w:rsidRPr="000C4010">
        <w:rPr>
          <w:rFonts w:ascii="Times New Roman" w:hAnsi="Times New Roman"/>
          <w:u w:val="single"/>
        </w:rPr>
        <w:t>2004/109/ES</w:t>
      </w:r>
      <w:r w:rsidRPr="000C4010">
        <w:rPr>
          <w:rFonts w:ascii="Times New Roman" w:hAnsi="Times New Roman"/>
        </w:rPr>
        <w:t xml:space="preserve"> z 15. decembra 2004 o harmonizácii požiadaviek na transparentnosť v súvislosti s informáciami o emitentoch, ktorých cenné papiere sú prijaté na obchodovanie na regulovanom trhu, a ktorou sa mení a dopĺňa sme</w:t>
      </w:r>
      <w:r w:rsidRPr="000C4010" w:rsidR="004B78EE">
        <w:rPr>
          <w:rFonts w:ascii="Times New Roman" w:hAnsi="Times New Roman"/>
        </w:rPr>
        <w:t xml:space="preserve">rnica 2001/34/ES </w:t>
      </w:r>
      <w:r w:rsidRPr="000C4010">
        <w:rPr>
          <w:rFonts w:ascii="Times New Roman" w:hAnsi="Times New Roman"/>
        </w:rPr>
        <w:t>(Ú. v. EÚ L 390, 31.12.2004)</w:t>
      </w:r>
      <w:r w:rsidRPr="000C4010" w:rsidR="004B78EE">
        <w:rPr>
          <w:rFonts w:ascii="Times New Roman" w:hAnsi="Times New Roman"/>
        </w:rPr>
        <w:t xml:space="preserve"> v platnom znení</w:t>
      </w:r>
      <w:r w:rsidRPr="000C4010">
        <w:rPr>
          <w:rFonts w:ascii="Times New Roman" w:hAnsi="Times New Roman"/>
        </w:rPr>
        <w:t>,</w:t>
      </w:r>
    </w:p>
    <w:p w:rsidR="00BB2B07" w:rsidRPr="000C4010" w:rsidP="004B78EE">
      <w:pPr>
        <w:pStyle w:val="BodyTextIndent"/>
        <w:numPr>
          <w:numId w:val="34"/>
        </w:numPr>
        <w:tabs>
          <w:tab w:val="clear" w:pos="856"/>
          <w:tab w:val="num" w:pos="993"/>
        </w:tabs>
        <w:autoSpaceDE w:val="0"/>
        <w:autoSpaceDN w:val="0"/>
        <w:bidi w:val="0"/>
        <w:adjustRightInd w:val="0"/>
        <w:spacing w:after="120"/>
        <w:ind w:left="992" w:hanging="482"/>
        <w:rPr>
          <w:rFonts w:ascii="Times New Roman" w:hAnsi="Times New Roman"/>
        </w:rPr>
      </w:pPr>
      <w:r w:rsidRPr="000C4010">
        <w:rPr>
          <w:rFonts w:ascii="Times New Roman" w:hAnsi="Times New Roman"/>
        </w:rPr>
        <w:t xml:space="preserve">smernica Komisie </w:t>
      </w:r>
      <w:r w:rsidRPr="000C4010">
        <w:rPr>
          <w:rFonts w:ascii="Times New Roman" w:hAnsi="Times New Roman"/>
          <w:u w:val="single"/>
        </w:rPr>
        <w:t>2006/73/ES</w:t>
      </w:r>
      <w:r w:rsidRPr="000C4010">
        <w:rPr>
          <w:rFonts w:ascii="Times New Roman" w:hAnsi="Times New Roman"/>
        </w:rPr>
        <w:t xml:space="preserve"> z 10. augusta 2006, ktorou sa vykonáva smernica Európskeho parlamentu a Rady 2004/39/ES, pokiaľ ide o organizačné požiadavky a podmienky výkonu činnosti investičných spoločností, ako aj o vymedzené pojmy na účely uvedenej smernice (Ú. v. EÚ L 241, 2.9.2006),</w:t>
      </w:r>
    </w:p>
    <w:p w:rsidR="00F42AB7" w:rsidRPr="000C4010" w:rsidP="004B78EE">
      <w:pPr>
        <w:pStyle w:val="BodyTextIndent"/>
        <w:numPr>
          <w:numId w:val="34"/>
        </w:numPr>
        <w:tabs>
          <w:tab w:val="clear" w:pos="856"/>
          <w:tab w:val="num" w:pos="993"/>
        </w:tabs>
        <w:autoSpaceDE w:val="0"/>
        <w:autoSpaceDN w:val="0"/>
        <w:bidi w:val="0"/>
        <w:adjustRightInd w:val="0"/>
        <w:spacing w:after="120"/>
        <w:ind w:left="992" w:hanging="482"/>
        <w:rPr>
          <w:rStyle w:val="Emphasis"/>
          <w:rFonts w:ascii="Times New Roman" w:hAnsi="Times New Roman"/>
          <w:iCs w:val="0"/>
        </w:rPr>
      </w:pPr>
      <w:r w:rsidRPr="000C4010">
        <w:rPr>
          <w:rStyle w:val="Emphasis"/>
          <w:rFonts w:ascii="Times New Roman" w:hAnsi="Times New Roman"/>
          <w:i w:val="0"/>
        </w:rPr>
        <w:t xml:space="preserve">smernica Európskeho parlamentu a Rady </w:t>
      </w:r>
      <w:r w:rsidRPr="000C4010">
        <w:rPr>
          <w:rStyle w:val="Emphasis"/>
          <w:rFonts w:ascii="Times New Roman" w:hAnsi="Times New Roman"/>
          <w:i w:val="0"/>
          <w:u w:val="single"/>
        </w:rPr>
        <w:t>2007/36/ES</w:t>
      </w:r>
      <w:r w:rsidRPr="000C4010">
        <w:rPr>
          <w:rStyle w:val="Emphasis"/>
          <w:rFonts w:ascii="Times New Roman" w:hAnsi="Times New Roman"/>
          <w:i w:val="0"/>
        </w:rPr>
        <w:t xml:space="preserve"> z 11. júla 2007 o výkone určitých práv akcionárov spoločností registrovaných na regulovanom trhu ( Ú.v. EÚ L 184, 14.7. 2007)</w:t>
      </w:r>
      <w:r w:rsidRPr="000C4010" w:rsidR="001E280A">
        <w:rPr>
          <w:rStyle w:val="Emphasis"/>
          <w:rFonts w:ascii="Times New Roman" w:hAnsi="Times New Roman"/>
          <w:i w:val="0"/>
        </w:rPr>
        <w:t xml:space="preserve"> v platnom znení</w:t>
      </w:r>
      <w:r w:rsidRPr="000C4010">
        <w:rPr>
          <w:rStyle w:val="Emphasis"/>
          <w:rFonts w:ascii="Times New Roman" w:hAnsi="Times New Roman"/>
          <w:i w:val="0"/>
        </w:rPr>
        <w:t xml:space="preserve">, </w:t>
      </w:r>
    </w:p>
    <w:p w:rsidR="00BB2B07" w:rsidRPr="000C4010" w:rsidP="004B78EE">
      <w:pPr>
        <w:pStyle w:val="BodyTextIndent"/>
        <w:numPr>
          <w:numId w:val="34"/>
        </w:numPr>
        <w:tabs>
          <w:tab w:val="clear" w:pos="856"/>
          <w:tab w:val="num" w:pos="993"/>
        </w:tabs>
        <w:autoSpaceDE w:val="0"/>
        <w:autoSpaceDN w:val="0"/>
        <w:bidi w:val="0"/>
        <w:adjustRightInd w:val="0"/>
        <w:spacing w:after="120"/>
        <w:ind w:left="992" w:hanging="482"/>
        <w:rPr>
          <w:rFonts w:ascii="Times New Roman" w:hAnsi="Times New Roman"/>
          <w:i/>
        </w:rPr>
      </w:pPr>
      <w:r w:rsidRPr="000C4010">
        <w:rPr>
          <w:rFonts w:ascii="Times New Roman" w:hAnsi="Times New Roman"/>
        </w:rPr>
        <w:t>nariadenie Komisie (ES) č. </w:t>
      </w:r>
      <w:r w:rsidRPr="000C4010">
        <w:rPr>
          <w:rFonts w:ascii="Times New Roman" w:hAnsi="Times New Roman"/>
          <w:u w:val="single"/>
        </w:rPr>
        <w:t>809/2004</w:t>
      </w:r>
      <w:r w:rsidRPr="000C4010">
        <w:rPr>
          <w:rFonts w:ascii="Times New Roman" w:hAnsi="Times New Roman"/>
        </w:rPr>
        <w:t xml:space="preserve"> z 29. apríla 2004, ktorým sa vykonáva smernica 2003/71/ES Európskeho parlamentu a Rady, pokiaľ ide o informácie obsiahnuté v prospekte, ako aj ich formát, uvádzanie odkazov a uverejnenie týchto prospektov a šírenie reklamy (Mimoriadne vydanie Ú. v. EÚ, kap.</w:t>
      </w:r>
      <w:r w:rsidRPr="000C4010">
        <w:rPr>
          <w:rStyle w:val="Emphasis"/>
          <w:rFonts w:ascii="Times New Roman" w:hAnsi="Times New Roman"/>
          <w:i w:val="0"/>
        </w:rPr>
        <w:t>6/zv. 7</w:t>
      </w:r>
      <w:r w:rsidRPr="000C4010" w:rsidR="00B270E8">
        <w:rPr>
          <w:rStyle w:val="Emphasis"/>
          <w:rFonts w:ascii="Times New Roman" w:hAnsi="Times New Roman"/>
          <w:i w:val="0"/>
        </w:rPr>
        <w:t xml:space="preserve">, </w:t>
      </w:r>
      <w:r w:rsidRPr="000C4010" w:rsidR="00B270E8">
        <w:rPr>
          <w:rFonts w:ascii="Times New Roman" w:hAnsi="Times New Roman"/>
          <w:iCs/>
        </w:rPr>
        <w:t>Ú. v. EÚ L 149, 30.4.2004</w:t>
      </w:r>
      <w:r w:rsidRPr="000C4010">
        <w:rPr>
          <w:rStyle w:val="Emphasis"/>
          <w:rFonts w:ascii="Times New Roman" w:hAnsi="Times New Roman"/>
          <w:i w:val="0"/>
        </w:rPr>
        <w:t>)</w:t>
      </w:r>
      <w:r w:rsidRPr="000C4010" w:rsidR="004B78EE">
        <w:rPr>
          <w:rFonts w:ascii="Times New Roman" w:hAnsi="Times New Roman"/>
        </w:rPr>
        <w:t xml:space="preserve"> v platnom znení</w:t>
      </w:r>
      <w:r w:rsidRPr="000C4010">
        <w:rPr>
          <w:rStyle w:val="Emphasis"/>
          <w:rFonts w:ascii="Times New Roman" w:hAnsi="Times New Roman"/>
          <w:i w:val="0"/>
        </w:rPr>
        <w:t>,</w:t>
      </w:r>
    </w:p>
    <w:p w:rsidR="00BB2B07" w:rsidRPr="000C4010" w:rsidP="004B78EE">
      <w:pPr>
        <w:pStyle w:val="BodyTextIndent"/>
        <w:numPr>
          <w:numId w:val="35"/>
        </w:numPr>
        <w:tabs>
          <w:tab w:val="clear" w:pos="856"/>
          <w:tab w:val="num" w:pos="993"/>
        </w:tabs>
        <w:autoSpaceDE w:val="0"/>
        <w:autoSpaceDN w:val="0"/>
        <w:bidi w:val="0"/>
        <w:adjustRightInd w:val="0"/>
        <w:spacing w:after="120"/>
        <w:ind w:left="992" w:hanging="482"/>
        <w:rPr>
          <w:rFonts w:ascii="Times New Roman" w:hAnsi="Times New Roman"/>
        </w:rPr>
      </w:pPr>
      <w:r w:rsidRPr="000C4010">
        <w:rPr>
          <w:rStyle w:val="Strong"/>
          <w:rFonts w:ascii="Times New Roman" w:hAnsi="Times New Roman"/>
          <w:b w:val="0"/>
          <w:bCs w:val="0"/>
        </w:rPr>
        <w:t>nariadenie Komisie (ES) č. </w:t>
      </w:r>
      <w:r w:rsidRPr="000C4010">
        <w:rPr>
          <w:rStyle w:val="Strong"/>
          <w:rFonts w:ascii="Times New Roman" w:hAnsi="Times New Roman"/>
          <w:b w:val="0"/>
          <w:bCs w:val="0"/>
          <w:u w:val="single"/>
        </w:rPr>
        <w:t>1287/2006</w:t>
      </w:r>
      <w:r w:rsidRPr="000C4010">
        <w:rPr>
          <w:rStyle w:val="Strong"/>
          <w:rFonts w:ascii="Times New Roman" w:hAnsi="Times New Roman"/>
          <w:b w:val="0"/>
          <w:bCs w:val="0"/>
        </w:rPr>
        <w:t xml:space="preserve"> z 10. augusta 2006, ktorým sa vykonáva smernica Európskeho parlamentu a Rady 2004/39/ES, pokiaľ ide o povinnosti pri vedení záznamov pre investičné spoločnosti, oznamovanie transakcií, priehľadnosť trhu, prijatie finančných nástrojov na obchodovanie a vymedzené pojmy na účely tejto smernice (Ú. v. EÚ L 241,</w:t>
      </w:r>
      <w:r w:rsidRPr="000C4010">
        <w:rPr>
          <w:rFonts w:ascii="Times New Roman" w:hAnsi="Times New Roman"/>
        </w:rPr>
        <w:t xml:space="preserve"> 2.9.2006)</w:t>
      </w:r>
      <w:r w:rsidRPr="000C4010" w:rsidR="0022704D">
        <w:rPr>
          <w:rFonts w:ascii="Times New Roman" w:hAnsi="Times New Roman"/>
        </w:rPr>
        <w:t>,</w:t>
      </w:r>
    </w:p>
    <w:p w:rsidR="0022704D" w:rsidRPr="000C4010" w:rsidP="004B78EE">
      <w:pPr>
        <w:pStyle w:val="BodyTextIndent"/>
        <w:numPr>
          <w:numId w:val="35"/>
        </w:numPr>
        <w:tabs>
          <w:tab w:val="clear" w:pos="856"/>
          <w:tab w:val="num" w:pos="993"/>
        </w:tabs>
        <w:autoSpaceDE w:val="0"/>
        <w:autoSpaceDN w:val="0"/>
        <w:bidi w:val="0"/>
        <w:adjustRightInd w:val="0"/>
        <w:spacing w:after="120"/>
        <w:ind w:left="992" w:hanging="482"/>
        <w:rPr>
          <w:rFonts w:ascii="Times New Roman" w:hAnsi="Times New Roman"/>
        </w:rPr>
      </w:pPr>
      <w:r w:rsidRPr="000C4010">
        <w:rPr>
          <w:rFonts w:ascii="Times New Roman" w:hAnsi="Times New Roman"/>
        </w:rPr>
        <w:t xml:space="preserve">nariadenie Európskeho parlamentu a Rady (ES) č. </w:t>
      </w:r>
      <w:r w:rsidRPr="000C4010">
        <w:rPr>
          <w:rFonts w:ascii="Times New Roman" w:hAnsi="Times New Roman"/>
          <w:u w:val="single"/>
        </w:rPr>
        <w:t>1060/2009</w:t>
      </w:r>
      <w:r w:rsidRPr="000C4010">
        <w:rPr>
          <w:rFonts w:ascii="Times New Roman" w:hAnsi="Times New Roman"/>
        </w:rPr>
        <w:t xml:space="preserve"> zo 16. septembra 2009 o ratingových agentúrach (</w:t>
      </w:r>
      <w:r w:rsidRPr="000C4010">
        <w:rPr>
          <w:rFonts w:ascii="Times New Roman" w:hAnsi="Times New Roman"/>
          <w:iCs/>
        </w:rPr>
        <w:t>Ú. v. EÚ L 302, 17.11.2009)</w:t>
      </w:r>
      <w:r w:rsidRPr="000C4010" w:rsidR="008E091F">
        <w:rPr>
          <w:rFonts w:ascii="Times New Roman" w:hAnsi="Times New Roman"/>
          <w:iCs/>
        </w:rPr>
        <w:t xml:space="preserve"> v platnom znení</w:t>
      </w:r>
      <w:r w:rsidRPr="000C4010">
        <w:rPr>
          <w:rFonts w:ascii="Times New Roman" w:hAnsi="Times New Roman"/>
          <w:iCs/>
        </w:rPr>
        <w:t>.</w:t>
      </w:r>
    </w:p>
    <w:p w:rsidR="003D4B96" w:rsidRPr="000C4010" w:rsidP="00755517">
      <w:pPr>
        <w:numPr>
          <w:ilvl w:val="1"/>
          <w:numId w:val="1"/>
        </w:numPr>
        <w:bidi w:val="0"/>
        <w:spacing w:after="120"/>
        <w:rPr>
          <w:rFonts w:ascii="Times New Roman" w:hAnsi="Times New Roman"/>
          <w:lang w:eastAsia="cs-CZ"/>
        </w:rPr>
      </w:pPr>
      <w:r w:rsidRPr="000C4010">
        <w:rPr>
          <w:rFonts w:ascii="Times New Roman" w:hAnsi="Times New Roman"/>
          <w:lang w:eastAsia="cs-CZ"/>
        </w:rPr>
        <w:t>je obsiahnutá v judikatúre Súdneho dvora Európsk</w:t>
      </w:r>
      <w:r w:rsidRPr="000C4010" w:rsidR="001277E0">
        <w:rPr>
          <w:rFonts w:ascii="Times New Roman" w:hAnsi="Times New Roman"/>
          <w:lang w:eastAsia="cs-CZ"/>
        </w:rPr>
        <w:t>ej</w:t>
      </w:r>
      <w:r w:rsidRPr="000C4010">
        <w:rPr>
          <w:rFonts w:ascii="Times New Roman" w:hAnsi="Times New Roman"/>
          <w:lang w:eastAsia="cs-CZ"/>
        </w:rPr>
        <w:t xml:space="preserve"> </w:t>
      </w:r>
      <w:r w:rsidRPr="000C4010" w:rsidR="00C003B1">
        <w:rPr>
          <w:rFonts w:ascii="Times New Roman" w:hAnsi="Times New Roman"/>
          <w:lang w:eastAsia="cs-CZ"/>
        </w:rPr>
        <w:t>únie</w:t>
      </w:r>
      <w:r w:rsidRPr="000C4010">
        <w:rPr>
          <w:rFonts w:ascii="Times New Roman" w:hAnsi="Times New Roman"/>
          <w:lang w:eastAsia="cs-CZ"/>
        </w:rPr>
        <w:t>:</w:t>
      </w:r>
    </w:p>
    <w:p w:rsidR="00883D01" w:rsidRPr="000C4010" w:rsidP="00883D01">
      <w:pPr>
        <w:pStyle w:val="BodyText"/>
        <w:numPr>
          <w:numId w:val="39"/>
        </w:numPr>
        <w:bidi w:val="0"/>
        <w:jc w:val="both"/>
        <w:rPr>
          <w:rFonts w:ascii="Times New Roman" w:hAnsi="Times New Roman"/>
        </w:rPr>
      </w:pPr>
      <w:r w:rsidRPr="000C4010">
        <w:rPr>
          <w:rFonts w:ascii="Times New Roman" w:hAnsi="Times New Roman"/>
        </w:rPr>
        <w:t>rozhodnut</w:t>
      </w:r>
      <w:r w:rsidRPr="000C4010" w:rsidR="00BB7CF7">
        <w:rPr>
          <w:rFonts w:ascii="Times New Roman" w:hAnsi="Times New Roman"/>
        </w:rPr>
        <w:t>ie</w:t>
      </w:r>
      <w:r w:rsidRPr="000C4010">
        <w:rPr>
          <w:rFonts w:ascii="Times New Roman" w:hAnsi="Times New Roman"/>
        </w:rPr>
        <w:t xml:space="preserve"> Súdneho dvora vo veci C - </w:t>
      </w:r>
      <w:r w:rsidRPr="000C4010">
        <w:rPr>
          <w:rFonts w:ascii="Times New Roman" w:hAnsi="Times New Roman"/>
          <w:lang w:val="et-EE"/>
        </w:rPr>
        <w:t>384/93</w:t>
      </w:r>
      <w:r w:rsidRPr="000C4010">
        <w:rPr>
          <w:rFonts w:ascii="Times New Roman" w:hAnsi="Times New Roman"/>
        </w:rPr>
        <w:t xml:space="preserve">, Alpine Investments v. Minister van Financiën, </w:t>
      </w:r>
      <w:r w:rsidRPr="000C4010" w:rsidR="00D62EAE">
        <w:rPr>
          <w:rFonts w:ascii="Times New Roman" w:hAnsi="Times New Roman"/>
        </w:rPr>
        <w:t>[</w:t>
      </w:r>
      <w:r w:rsidRPr="000C4010">
        <w:rPr>
          <w:rFonts w:ascii="Times New Roman" w:hAnsi="Times New Roman"/>
        </w:rPr>
        <w:t>1995</w:t>
      </w:r>
      <w:r w:rsidRPr="000C4010" w:rsidR="00D62EAE">
        <w:rPr>
          <w:rFonts w:ascii="Times New Roman" w:hAnsi="Times New Roman"/>
        </w:rPr>
        <w:t>]</w:t>
      </w:r>
      <w:r w:rsidRPr="000C4010" w:rsidR="00BB7CF7">
        <w:rPr>
          <w:rFonts w:ascii="Times New Roman" w:hAnsi="Times New Roman"/>
        </w:rPr>
        <w:t>,</w:t>
      </w:r>
    </w:p>
    <w:p w:rsidR="00883D01" w:rsidRPr="000C4010" w:rsidP="00883D01">
      <w:pPr>
        <w:pStyle w:val="BodyText"/>
        <w:numPr>
          <w:numId w:val="39"/>
        </w:numPr>
        <w:bidi w:val="0"/>
        <w:jc w:val="both"/>
        <w:rPr>
          <w:rFonts w:ascii="Times New Roman" w:hAnsi="Times New Roman"/>
        </w:rPr>
      </w:pPr>
      <w:r w:rsidRPr="000C4010" w:rsidR="00BB7CF7">
        <w:rPr>
          <w:rFonts w:ascii="Times New Roman" w:hAnsi="Times New Roman"/>
        </w:rPr>
        <w:t>r</w:t>
      </w:r>
      <w:r w:rsidRPr="000C4010">
        <w:rPr>
          <w:rFonts w:ascii="Times New Roman" w:hAnsi="Times New Roman"/>
        </w:rPr>
        <w:t>ozhodnut</w:t>
      </w:r>
      <w:r w:rsidRPr="000C4010" w:rsidR="00BB7CF7">
        <w:rPr>
          <w:rFonts w:ascii="Times New Roman" w:hAnsi="Times New Roman"/>
        </w:rPr>
        <w:t>ie</w:t>
      </w:r>
      <w:r w:rsidRPr="000C4010">
        <w:rPr>
          <w:rFonts w:ascii="Times New Roman" w:hAnsi="Times New Roman"/>
        </w:rPr>
        <w:t xml:space="preserve"> Súdneho dvora vo veci C - </w:t>
      </w:r>
      <w:r w:rsidRPr="000C4010">
        <w:rPr>
          <w:rFonts w:ascii="Times New Roman" w:hAnsi="Times New Roman"/>
          <w:lang w:val="et-EE"/>
        </w:rPr>
        <w:t>356/00</w:t>
      </w:r>
      <w:r w:rsidRPr="000C4010">
        <w:rPr>
          <w:rFonts w:ascii="Times New Roman" w:hAnsi="Times New Roman"/>
        </w:rPr>
        <w:t xml:space="preserve">, </w:t>
      </w:r>
      <w:r w:rsidRPr="000C4010">
        <w:rPr>
          <w:rFonts w:ascii="Times New Roman" w:hAnsi="Times New Roman"/>
          <w:bCs/>
        </w:rPr>
        <w:t>Antonio Testa, Lido Lazzeri v. Commissione Nazionale per le Società e la Borsa (Consob)</w:t>
      </w:r>
      <w:r w:rsidRPr="000C4010">
        <w:rPr>
          <w:rFonts w:ascii="Times New Roman" w:hAnsi="Times New Roman"/>
        </w:rPr>
        <w:t xml:space="preserve">, </w:t>
      </w:r>
      <w:r w:rsidRPr="000C4010" w:rsidR="00D62EAE">
        <w:rPr>
          <w:rFonts w:ascii="Times New Roman" w:hAnsi="Times New Roman"/>
        </w:rPr>
        <w:t>[</w:t>
      </w:r>
      <w:r w:rsidRPr="000C4010">
        <w:rPr>
          <w:rFonts w:ascii="Times New Roman" w:hAnsi="Times New Roman"/>
        </w:rPr>
        <w:t>2002</w:t>
      </w:r>
      <w:r w:rsidRPr="000C4010" w:rsidR="00D62EAE">
        <w:rPr>
          <w:rFonts w:ascii="Times New Roman" w:hAnsi="Times New Roman"/>
        </w:rPr>
        <w:t>]</w:t>
      </w:r>
      <w:r w:rsidRPr="000C4010">
        <w:rPr>
          <w:rFonts w:ascii="Times New Roman" w:hAnsi="Times New Roman"/>
        </w:rPr>
        <w:t>,</w:t>
      </w:r>
    </w:p>
    <w:p w:rsidR="00883D01" w:rsidRPr="000C4010" w:rsidP="00144443">
      <w:pPr>
        <w:pStyle w:val="BodyText"/>
        <w:numPr>
          <w:numId w:val="39"/>
        </w:numPr>
        <w:bidi w:val="0"/>
        <w:spacing w:after="240"/>
        <w:jc w:val="both"/>
        <w:rPr>
          <w:rFonts w:ascii="Times New Roman" w:hAnsi="Times New Roman"/>
        </w:rPr>
      </w:pPr>
      <w:r w:rsidRPr="000C4010" w:rsidR="00BB7CF7">
        <w:rPr>
          <w:rFonts w:ascii="Times New Roman" w:hAnsi="Times New Roman"/>
        </w:rPr>
        <w:t>r</w:t>
      </w:r>
      <w:r w:rsidRPr="000C4010">
        <w:rPr>
          <w:rFonts w:ascii="Times New Roman" w:hAnsi="Times New Roman"/>
        </w:rPr>
        <w:t>ozhodnut</w:t>
      </w:r>
      <w:r w:rsidRPr="000C4010" w:rsidR="00BB7CF7">
        <w:rPr>
          <w:rFonts w:ascii="Times New Roman" w:hAnsi="Times New Roman"/>
        </w:rPr>
        <w:t>ie</w:t>
      </w:r>
      <w:r w:rsidRPr="000C4010">
        <w:rPr>
          <w:rFonts w:ascii="Times New Roman" w:hAnsi="Times New Roman"/>
        </w:rPr>
        <w:t xml:space="preserve"> Súdneho dvora vo veci C </w:t>
      </w:r>
      <w:r w:rsidRPr="000C4010" w:rsidR="00D518A2">
        <w:rPr>
          <w:rFonts w:ascii="Times New Roman" w:hAnsi="Times New Roman"/>
        </w:rPr>
        <w:t>-</w:t>
      </w:r>
      <w:r w:rsidRPr="000C4010">
        <w:rPr>
          <w:rFonts w:ascii="Times New Roman" w:hAnsi="Times New Roman"/>
        </w:rPr>
        <w:t xml:space="preserve"> 417/97, E</w:t>
      </w:r>
      <w:r w:rsidRPr="000C4010" w:rsidR="00D62EAE">
        <w:rPr>
          <w:rFonts w:ascii="Times New Roman" w:hAnsi="Times New Roman"/>
        </w:rPr>
        <w:t>K</w:t>
      </w:r>
      <w:r w:rsidRPr="000C4010">
        <w:rPr>
          <w:rFonts w:ascii="Times New Roman" w:hAnsi="Times New Roman"/>
          <w:bCs/>
        </w:rPr>
        <w:t xml:space="preserve"> v. Luxemburské veľkovojvodstvo</w:t>
      </w:r>
      <w:r w:rsidRPr="000C4010" w:rsidR="00BB7CF7">
        <w:rPr>
          <w:rFonts w:ascii="Times New Roman" w:hAnsi="Times New Roman"/>
        </w:rPr>
        <w:t xml:space="preserve">, </w:t>
      </w:r>
      <w:r w:rsidRPr="000C4010" w:rsidR="00D62EAE">
        <w:rPr>
          <w:rFonts w:ascii="Times New Roman" w:hAnsi="Times New Roman"/>
        </w:rPr>
        <w:t>[</w:t>
      </w:r>
      <w:r w:rsidRPr="000C4010" w:rsidR="00BB7CF7">
        <w:rPr>
          <w:rFonts w:ascii="Times New Roman" w:hAnsi="Times New Roman"/>
        </w:rPr>
        <w:t>1999</w:t>
      </w:r>
      <w:r w:rsidRPr="000C4010" w:rsidR="00D62EAE">
        <w:rPr>
          <w:rFonts w:ascii="Times New Roman" w:hAnsi="Times New Roman"/>
        </w:rPr>
        <w:t>]</w:t>
      </w:r>
      <w:r w:rsidRPr="000C4010">
        <w:rPr>
          <w:rFonts w:ascii="Times New Roman" w:hAnsi="Times New Roman"/>
        </w:rPr>
        <w:t>.</w:t>
      </w:r>
    </w:p>
    <w:p w:rsidR="003D4B96" w:rsidRPr="000C4010" w:rsidP="00484C78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0C4010">
        <w:rPr>
          <w:rFonts w:ascii="Times New Roman" w:hAnsi="Times New Roman"/>
          <w:b/>
          <w:bCs/>
        </w:rPr>
        <w:t>Záväzky Slovenskej republiky vo vzťahu k Európskej únii:</w:t>
      </w:r>
    </w:p>
    <w:p w:rsidR="00C003B1" w:rsidRPr="000C4010" w:rsidP="002F1F6B">
      <w:pPr>
        <w:numPr>
          <w:numId w:val="14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0C4010" w:rsidR="004261F2">
        <w:rPr>
          <w:rFonts w:ascii="Times New Roman" w:hAnsi="Times New Roman"/>
          <w:lang w:eastAsia="cs-CZ"/>
        </w:rPr>
        <w:t xml:space="preserve">Lehota na prebratie </w:t>
      </w:r>
      <w:r w:rsidRPr="000C4010" w:rsidR="004261F2">
        <w:rPr>
          <w:rFonts w:ascii="Times New Roman" w:hAnsi="Times New Roman"/>
        </w:rPr>
        <w:t>smernice 2014/65/EÚ</w:t>
      </w:r>
      <w:r w:rsidRPr="000C4010" w:rsidR="007B67E3">
        <w:rPr>
          <w:rFonts w:ascii="Times New Roman" w:hAnsi="Times New Roman"/>
        </w:rPr>
        <w:t xml:space="preserve"> v znení smernice (EÚ) 2016/1034</w:t>
      </w:r>
      <w:r w:rsidRPr="000C4010" w:rsidR="004261F2">
        <w:rPr>
          <w:rFonts w:ascii="Times New Roman" w:hAnsi="Times New Roman"/>
        </w:rPr>
        <w:t xml:space="preserve"> bola určená do 3.7. 201</w:t>
      </w:r>
      <w:r w:rsidRPr="000C4010" w:rsidR="007B67E3">
        <w:rPr>
          <w:rFonts w:ascii="Times New Roman" w:hAnsi="Times New Roman"/>
        </w:rPr>
        <w:t>7</w:t>
      </w:r>
      <w:r w:rsidRPr="000C4010" w:rsidR="006311AE">
        <w:rPr>
          <w:rFonts w:ascii="Times New Roman" w:hAnsi="Times New Roman"/>
        </w:rPr>
        <w:t>.</w:t>
      </w:r>
      <w:r w:rsidRPr="000C4010" w:rsidR="00F554B8">
        <w:rPr>
          <w:rFonts w:ascii="Times New Roman" w:hAnsi="Times New Roman"/>
        </w:rPr>
        <w:t xml:space="preserve"> </w:t>
      </w:r>
    </w:p>
    <w:p w:rsidR="004261F2" w:rsidRPr="000C4010" w:rsidP="00F4178C">
      <w:pPr>
        <w:numPr>
          <w:numId w:val="14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0C4010">
        <w:rPr>
          <w:rFonts w:ascii="Times New Roman" w:hAnsi="Times New Roman"/>
        </w:rPr>
        <w:t xml:space="preserve">Lehota na predloženie návrhu právneho prepisu na rokovanie vlády podľa určenia gestorských ústredných orgánov štátnej správy zodpovedných za prebratie smerníc a vypracovanie tabuliek zhody k návrhom všeobecne záväzných právnych predpisov, ktorým sa zabezpečí prebratie smernice </w:t>
      </w:r>
      <w:r w:rsidRPr="000C4010" w:rsidR="007B67E3">
        <w:rPr>
          <w:rFonts w:ascii="Times New Roman" w:hAnsi="Times New Roman"/>
        </w:rPr>
        <w:t>2014/65/EÚ v znení smernice (EÚ) 2016/1034, bola stanovená do 28. 2. 2017</w:t>
      </w:r>
      <w:r w:rsidRPr="000C4010">
        <w:rPr>
          <w:rFonts w:ascii="Times New Roman" w:hAnsi="Times New Roman"/>
        </w:rPr>
        <w:t>.</w:t>
      </w:r>
    </w:p>
    <w:p w:rsidR="003D4B96" w:rsidRPr="000C4010" w:rsidP="00484C78">
      <w:pPr>
        <w:numPr>
          <w:numId w:val="14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0C4010">
        <w:rPr>
          <w:rFonts w:ascii="Times New Roman" w:hAnsi="Times New Roman"/>
          <w:lang w:eastAsia="cs-CZ"/>
        </w:rPr>
        <w:t xml:space="preserve">Proti SR </w:t>
      </w:r>
      <w:r w:rsidRPr="000C4010" w:rsidR="00510539">
        <w:rPr>
          <w:rFonts w:ascii="Times New Roman" w:hAnsi="Times New Roman"/>
          <w:lang w:eastAsia="cs-CZ"/>
        </w:rPr>
        <w:t>ne</w:t>
      </w:r>
      <w:r w:rsidRPr="000C4010" w:rsidR="009351B3">
        <w:rPr>
          <w:rFonts w:ascii="Times New Roman" w:hAnsi="Times New Roman"/>
          <w:lang w:eastAsia="cs-CZ"/>
        </w:rPr>
        <w:t>bolo</w:t>
      </w:r>
      <w:r w:rsidRPr="000C4010">
        <w:rPr>
          <w:rFonts w:ascii="Times New Roman" w:hAnsi="Times New Roman"/>
          <w:lang w:eastAsia="cs-CZ"/>
        </w:rPr>
        <w:t xml:space="preserve"> začaté konani</w:t>
      </w:r>
      <w:r w:rsidRPr="000C4010" w:rsidR="009351B3">
        <w:rPr>
          <w:rFonts w:ascii="Times New Roman" w:hAnsi="Times New Roman"/>
          <w:lang w:eastAsia="cs-CZ"/>
        </w:rPr>
        <w:t>e</w:t>
      </w:r>
      <w:r w:rsidRPr="000C4010">
        <w:rPr>
          <w:rFonts w:ascii="Times New Roman" w:hAnsi="Times New Roman"/>
          <w:lang w:eastAsia="cs-CZ"/>
        </w:rPr>
        <w:t xml:space="preserve"> o porušení Zmluvy o</w:t>
      </w:r>
      <w:r w:rsidRPr="000C4010" w:rsidR="00943E30">
        <w:rPr>
          <w:rFonts w:ascii="Times New Roman" w:hAnsi="Times New Roman"/>
          <w:lang w:eastAsia="cs-CZ"/>
        </w:rPr>
        <w:t xml:space="preserve"> fungovaní </w:t>
      </w:r>
      <w:r w:rsidRPr="000C4010">
        <w:rPr>
          <w:rFonts w:ascii="Times New Roman" w:hAnsi="Times New Roman"/>
          <w:lang w:eastAsia="cs-CZ"/>
        </w:rPr>
        <w:t>Európsk</w:t>
      </w:r>
      <w:r w:rsidRPr="000C4010" w:rsidR="00943E30">
        <w:rPr>
          <w:rFonts w:ascii="Times New Roman" w:hAnsi="Times New Roman"/>
          <w:lang w:eastAsia="cs-CZ"/>
        </w:rPr>
        <w:t>ej únie</w:t>
      </w:r>
      <w:r w:rsidRPr="000C4010">
        <w:rPr>
          <w:rFonts w:ascii="Times New Roman" w:hAnsi="Times New Roman"/>
          <w:lang w:eastAsia="cs-CZ"/>
        </w:rPr>
        <w:t xml:space="preserve"> podľa čl. 2</w:t>
      </w:r>
      <w:r w:rsidRPr="000C4010" w:rsidR="00943E30">
        <w:rPr>
          <w:rFonts w:ascii="Times New Roman" w:hAnsi="Times New Roman"/>
          <w:lang w:eastAsia="cs-CZ"/>
        </w:rPr>
        <w:t>58</w:t>
      </w:r>
      <w:r w:rsidRPr="000C4010">
        <w:rPr>
          <w:rFonts w:ascii="Times New Roman" w:hAnsi="Times New Roman"/>
          <w:lang w:eastAsia="cs-CZ"/>
        </w:rPr>
        <w:t xml:space="preserve"> až 2</w:t>
      </w:r>
      <w:r w:rsidRPr="000C4010" w:rsidR="00943E30">
        <w:rPr>
          <w:rFonts w:ascii="Times New Roman" w:hAnsi="Times New Roman"/>
          <w:lang w:eastAsia="cs-CZ"/>
        </w:rPr>
        <w:t>60</w:t>
      </w:r>
      <w:r w:rsidRPr="000C4010" w:rsidR="00C06979">
        <w:rPr>
          <w:rFonts w:ascii="Times New Roman" w:hAnsi="Times New Roman"/>
          <w:lang w:eastAsia="cs-CZ"/>
        </w:rPr>
        <w:t>.</w:t>
      </w:r>
    </w:p>
    <w:p w:rsidR="002B1FD8" w:rsidRPr="000C4010" w:rsidP="00A21D98">
      <w:pPr>
        <w:numPr>
          <w:numId w:val="14"/>
        </w:numPr>
        <w:tabs>
          <w:tab w:val="num" w:pos="426"/>
          <w:tab w:val="clear" w:pos="720"/>
        </w:tabs>
        <w:bidi w:val="0"/>
        <w:spacing w:after="240"/>
        <w:ind w:left="426" w:hanging="426"/>
        <w:jc w:val="both"/>
        <w:rPr>
          <w:rFonts w:ascii="Times New Roman" w:hAnsi="Times New Roman"/>
          <w:lang w:eastAsia="cs-CZ"/>
        </w:rPr>
      </w:pPr>
      <w:r w:rsidRPr="000C4010" w:rsidR="00803962">
        <w:rPr>
          <w:rFonts w:ascii="Times New Roman" w:hAnsi="Times New Roman"/>
          <w:lang w:eastAsia="cs-CZ"/>
        </w:rPr>
        <w:t>Smernica 201</w:t>
      </w:r>
      <w:r w:rsidRPr="000C4010" w:rsidR="00D62EAE">
        <w:rPr>
          <w:rFonts w:ascii="Times New Roman" w:hAnsi="Times New Roman"/>
          <w:lang w:eastAsia="cs-CZ"/>
        </w:rPr>
        <w:t>4/</w:t>
      </w:r>
      <w:r w:rsidRPr="000C4010" w:rsidR="00F431D4">
        <w:rPr>
          <w:rFonts w:ascii="Times New Roman" w:hAnsi="Times New Roman"/>
          <w:lang w:eastAsia="cs-CZ"/>
        </w:rPr>
        <w:t>65</w:t>
      </w:r>
      <w:r w:rsidRPr="000C4010" w:rsidR="00803962">
        <w:rPr>
          <w:rFonts w:ascii="Times New Roman" w:hAnsi="Times New Roman"/>
          <w:lang w:eastAsia="cs-CZ"/>
        </w:rPr>
        <w:t>/EÚ b</w:t>
      </w:r>
      <w:r w:rsidRPr="000C4010" w:rsidR="00E36B09">
        <w:rPr>
          <w:rFonts w:ascii="Times New Roman" w:hAnsi="Times New Roman"/>
          <w:lang w:eastAsia="cs-CZ"/>
        </w:rPr>
        <w:t>ola</w:t>
      </w:r>
      <w:r w:rsidRPr="000C4010" w:rsidR="00684143">
        <w:rPr>
          <w:rFonts w:ascii="Times New Roman" w:hAnsi="Times New Roman"/>
          <w:lang w:eastAsia="cs-CZ"/>
        </w:rPr>
        <w:t xml:space="preserve"> </w:t>
      </w:r>
      <w:r w:rsidRPr="000C4010" w:rsidR="00803962">
        <w:rPr>
          <w:rFonts w:ascii="Times New Roman" w:hAnsi="Times New Roman"/>
          <w:lang w:eastAsia="cs-CZ"/>
        </w:rPr>
        <w:t>prebratá do</w:t>
      </w:r>
      <w:r w:rsidRPr="000C4010" w:rsidR="00D62EAE">
        <w:rPr>
          <w:rFonts w:ascii="Times New Roman" w:hAnsi="Times New Roman"/>
          <w:lang w:eastAsia="cs-CZ"/>
        </w:rPr>
        <w:t xml:space="preserve"> zákona </w:t>
      </w:r>
      <w:r w:rsidRPr="000C4010" w:rsidR="006E639E">
        <w:rPr>
          <w:rFonts w:ascii="Times New Roman" w:hAnsi="Times New Roman"/>
          <w:lang w:eastAsia="cs-CZ"/>
        </w:rPr>
        <w:t xml:space="preserve">č. </w:t>
      </w:r>
      <w:r w:rsidRPr="000C4010">
        <w:rPr>
          <w:rFonts w:ascii="Times New Roman" w:hAnsi="Times New Roman"/>
          <w:lang w:eastAsia="cs-CZ"/>
        </w:rPr>
        <w:t xml:space="preserve">566/2001 </w:t>
      </w:r>
      <w:r w:rsidRPr="000C4010" w:rsidR="00133F14">
        <w:rPr>
          <w:rFonts w:ascii="Times New Roman" w:hAnsi="Times New Roman"/>
          <w:lang w:eastAsia="cs-CZ"/>
        </w:rPr>
        <w:t xml:space="preserve">Z.z. </w:t>
      </w:r>
      <w:r w:rsidRPr="000C4010">
        <w:rPr>
          <w:rFonts w:ascii="Times New Roman" w:hAnsi="Times New Roman"/>
          <w:lang w:eastAsia="cs-CZ"/>
        </w:rPr>
        <w:t>o cenných papieroch a investičných službách a o zmene a doplnení niektorých zákonov (zákon o cenných papieroch) v znení neskorších predpisov</w:t>
      </w:r>
      <w:r w:rsidRPr="000C4010" w:rsidR="00133F14">
        <w:rPr>
          <w:rFonts w:ascii="Times New Roman" w:hAnsi="Times New Roman"/>
          <w:lang w:eastAsia="cs-CZ"/>
        </w:rPr>
        <w:t>,</w:t>
      </w:r>
      <w:r w:rsidRPr="000C4010">
        <w:rPr>
          <w:rFonts w:ascii="Times New Roman" w:hAnsi="Times New Roman"/>
          <w:lang w:eastAsia="cs-CZ"/>
        </w:rPr>
        <w:t xml:space="preserve"> </w:t>
      </w:r>
      <w:r w:rsidRPr="000C4010" w:rsidR="00C16227">
        <w:rPr>
          <w:rFonts w:ascii="Times New Roman" w:hAnsi="Times New Roman"/>
          <w:lang w:eastAsia="cs-CZ"/>
        </w:rPr>
        <w:t xml:space="preserve">do zákona č. 429/2002 Z.z. o burze cenných papierov v znení neskorších predpisov, </w:t>
      </w:r>
      <w:r w:rsidRPr="000C4010" w:rsidR="00133F14">
        <w:rPr>
          <w:rFonts w:ascii="Times New Roman" w:hAnsi="Times New Roman"/>
          <w:lang w:eastAsia="cs-CZ"/>
        </w:rPr>
        <w:t xml:space="preserve">do zákona č. </w:t>
      </w:r>
      <w:r w:rsidRPr="000C4010" w:rsidR="006E639E">
        <w:rPr>
          <w:rFonts w:ascii="Times New Roman" w:hAnsi="Times New Roman"/>
          <w:lang w:eastAsia="cs-CZ"/>
        </w:rPr>
        <w:t>747/2004 Z.z. o dohľade nad finančným trhom a o zmene niektorých zákono</w:t>
      </w:r>
      <w:r w:rsidRPr="000C4010" w:rsidR="00275543">
        <w:rPr>
          <w:rFonts w:ascii="Times New Roman" w:hAnsi="Times New Roman"/>
          <w:lang w:eastAsia="cs-CZ"/>
        </w:rPr>
        <w:t>v v znení neskorších predpisov,</w:t>
      </w:r>
      <w:r w:rsidRPr="000C4010">
        <w:rPr>
          <w:rFonts w:ascii="Times New Roman" w:hAnsi="Times New Roman"/>
          <w:lang w:eastAsia="cs-CZ"/>
        </w:rPr>
        <w:t xml:space="preserve"> do zákona č. </w:t>
      </w:r>
      <w:r w:rsidRPr="000C4010" w:rsidR="00C16227">
        <w:rPr>
          <w:rFonts w:ascii="Times New Roman" w:hAnsi="Times New Roman"/>
          <w:lang w:eastAsia="cs-CZ"/>
        </w:rPr>
        <w:t>186</w:t>
      </w:r>
      <w:r w:rsidRPr="000C4010">
        <w:rPr>
          <w:rFonts w:ascii="Times New Roman" w:hAnsi="Times New Roman"/>
          <w:lang w:eastAsia="cs-CZ"/>
        </w:rPr>
        <w:t>/200</w:t>
      </w:r>
      <w:r w:rsidRPr="000C4010" w:rsidR="00C16227">
        <w:rPr>
          <w:rFonts w:ascii="Times New Roman" w:hAnsi="Times New Roman"/>
          <w:lang w:eastAsia="cs-CZ"/>
        </w:rPr>
        <w:t>9</w:t>
      </w:r>
      <w:r w:rsidRPr="000C4010">
        <w:rPr>
          <w:rFonts w:ascii="Times New Roman" w:hAnsi="Times New Roman"/>
          <w:lang w:eastAsia="cs-CZ"/>
        </w:rPr>
        <w:t xml:space="preserve"> Z.z. </w:t>
      </w:r>
      <w:r w:rsidRPr="000C4010" w:rsidR="00C16227">
        <w:rPr>
          <w:rFonts w:ascii="Times New Roman" w:hAnsi="Times New Roman"/>
        </w:rPr>
        <w:t xml:space="preserve">o finančnom sprostredkovaní a finančnom poradenstve a o zmene a doplnení niektorých zákonov </w:t>
      </w:r>
      <w:r w:rsidRPr="000C4010">
        <w:rPr>
          <w:rFonts w:ascii="Times New Roman" w:hAnsi="Times New Roman"/>
          <w:lang w:eastAsia="cs-CZ"/>
        </w:rPr>
        <w:t>v znení neskorších predpisov</w:t>
      </w:r>
      <w:r w:rsidRPr="000C4010" w:rsidR="00275543">
        <w:rPr>
          <w:rFonts w:ascii="Times New Roman" w:hAnsi="Times New Roman"/>
          <w:lang w:eastAsia="cs-CZ"/>
        </w:rPr>
        <w:t xml:space="preserve"> a do zákona č. 203/2011</w:t>
      </w:r>
      <w:r w:rsidR="00845AD3">
        <w:rPr>
          <w:rFonts w:ascii="Times New Roman" w:hAnsi="Times New Roman"/>
          <w:lang w:eastAsia="cs-CZ"/>
        </w:rPr>
        <w:t xml:space="preserve"> Z.z.</w:t>
      </w:r>
      <w:r w:rsidRPr="000C4010" w:rsidR="00275543">
        <w:rPr>
          <w:rFonts w:ascii="Times New Roman" w:hAnsi="Times New Roman"/>
          <w:lang w:eastAsia="cs-CZ"/>
        </w:rPr>
        <w:t xml:space="preserve"> o kolektívnom investovaní v znení neskorších predpisov</w:t>
      </w:r>
      <w:r w:rsidRPr="000C4010">
        <w:rPr>
          <w:rFonts w:ascii="Times New Roman" w:hAnsi="Times New Roman"/>
          <w:lang w:eastAsia="cs-CZ"/>
        </w:rPr>
        <w:t>.</w:t>
      </w:r>
    </w:p>
    <w:p w:rsidR="003D4B96" w:rsidRPr="000C4010" w:rsidP="00484C78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0C4010">
        <w:rPr>
          <w:rFonts w:ascii="Times New Roman" w:hAnsi="Times New Roman"/>
          <w:b/>
          <w:bCs/>
        </w:rPr>
        <w:t>Stupeň zlučiteľnosti návrhu zákona s právom Európskej únie:</w:t>
      </w:r>
    </w:p>
    <w:p w:rsidR="003D4B96" w:rsidRPr="000C4010" w:rsidP="00356DA2">
      <w:pPr>
        <w:bidi w:val="0"/>
        <w:spacing w:after="120"/>
        <w:ind w:left="425" w:hanging="425"/>
        <w:jc w:val="both"/>
        <w:rPr>
          <w:rFonts w:ascii="Times New Roman" w:hAnsi="Times New Roman"/>
        </w:rPr>
      </w:pPr>
      <w:r w:rsidRPr="000C4010">
        <w:rPr>
          <w:rFonts w:ascii="Times New Roman" w:hAnsi="Times New Roman"/>
        </w:rPr>
        <w:tab/>
      </w:r>
      <w:r w:rsidRPr="000C4010" w:rsidR="006572E9">
        <w:rPr>
          <w:rFonts w:ascii="Times New Roman" w:hAnsi="Times New Roman"/>
        </w:rPr>
        <w:t>Úplný</w:t>
      </w:r>
      <w:r w:rsidRPr="000C4010">
        <w:rPr>
          <w:rFonts w:ascii="Times New Roman" w:hAnsi="Times New Roman"/>
        </w:rPr>
        <w:t>.</w:t>
      </w:r>
    </w:p>
    <w:p w:rsidR="003D4B96" w:rsidRPr="000C4010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0C4010">
        <w:rPr>
          <w:rFonts w:ascii="Times New Roman" w:hAnsi="Times New Roman"/>
          <w:b/>
          <w:bCs/>
        </w:rPr>
        <w:t xml:space="preserve">Gestor a spolupracujúce rezorty: </w:t>
      </w:r>
    </w:p>
    <w:p w:rsidR="003D4B96" w:rsidRPr="000C4010" w:rsidP="00010A2C">
      <w:pPr>
        <w:bidi w:val="0"/>
        <w:spacing w:after="120"/>
        <w:ind w:left="360"/>
        <w:jc w:val="both"/>
        <w:rPr>
          <w:rFonts w:ascii="Times New Roman" w:hAnsi="Times New Roman"/>
        </w:rPr>
      </w:pPr>
      <w:r w:rsidRPr="000C4010">
        <w:rPr>
          <w:rFonts w:ascii="Times New Roman" w:hAnsi="Times New Roman"/>
        </w:rPr>
        <w:t xml:space="preserve"> Ministerstvo financií Slovenskej republiky</w:t>
      </w:r>
      <w:r w:rsidRPr="000C4010" w:rsidR="00C05455">
        <w:rPr>
          <w:rFonts w:ascii="Times New Roman" w:hAnsi="Times New Roman"/>
        </w:rPr>
        <w:t>, Národná banka Slovenska</w:t>
      </w:r>
      <w:r w:rsidRPr="000C4010">
        <w:rPr>
          <w:rFonts w:ascii="Times New Roman" w:hAnsi="Times New Roman"/>
        </w:rPr>
        <w:t>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Times New Roman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A0" w:rsidP="003A3E4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65FA0" w:rsidP="003A3E4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A0" w:rsidP="003A3E4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45AD3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065FA0" w:rsidP="003A3E4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22F73D5"/>
    <w:multiLevelType w:val="hybridMultilevel"/>
    <w:tmpl w:val="645A5FD0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D3D01B9"/>
    <w:multiLevelType w:val="multilevel"/>
    <w:tmpl w:val="7B063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DA7739C"/>
    <w:multiLevelType w:val="hybridMultilevel"/>
    <w:tmpl w:val="D416E05A"/>
    <w:lvl w:ilvl="0">
      <w:start w:val="1"/>
      <w:numFmt w:val="bullet"/>
      <w:lvlText w:val=""/>
      <w:lvlJc w:val="left"/>
      <w:pPr>
        <w:tabs>
          <w:tab w:val="num" w:pos="975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0C349EF"/>
    <w:multiLevelType w:val="hybridMultilevel"/>
    <w:tmpl w:val="35EE77EC"/>
    <w:lvl w:ilvl="0">
      <w:start w:val="6"/>
      <w:numFmt w:val="bullet"/>
      <w:lvlText w:val="-"/>
      <w:lvlJc w:val="left"/>
      <w:pPr>
        <w:ind w:left="115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5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58D7AFF"/>
    <w:multiLevelType w:val="hybridMultilevel"/>
    <w:tmpl w:val="9C224F70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70133AB"/>
    <w:multiLevelType w:val="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FA5069"/>
    <w:multiLevelType w:val="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3245065"/>
    <w:multiLevelType w:val="hybridMultilevel"/>
    <w:tmpl w:val="32D8CEFE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344296C"/>
    <w:multiLevelType w:val="hybridMultilevel"/>
    <w:tmpl w:val="7146F338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2261410"/>
    <w:multiLevelType w:val="hybridMultilevel"/>
    <w:tmpl w:val="CDBADBAA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3C07D76"/>
    <w:multiLevelType w:val="hybridMultilevel"/>
    <w:tmpl w:val="B4B0612A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5F23AE4"/>
    <w:multiLevelType w:val="hybridMultilevel"/>
    <w:tmpl w:val="FDDCA2A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71C7174"/>
    <w:multiLevelType w:val="hybridMultilevel"/>
    <w:tmpl w:val="41526C8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9E53F62"/>
    <w:multiLevelType w:val="hybridMultilevel"/>
    <w:tmpl w:val="E772AD7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3B6149ED"/>
    <w:multiLevelType w:val="hybridMultilevel"/>
    <w:tmpl w:val="BBBA82D6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3DCE3838"/>
    <w:multiLevelType w:val="hybridMultilevel"/>
    <w:tmpl w:val="E91A34D0"/>
    <w:lvl w:ilvl="0">
      <w:start w:val="1"/>
      <w:numFmt w:val="bullet"/>
      <w:lvlText w:val=""/>
      <w:lvlJc w:val="left"/>
      <w:pPr>
        <w:tabs>
          <w:tab w:val="num" w:pos="1078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915"/>
        </w:tabs>
        <w:ind w:left="1218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58"/>
        </w:tabs>
        <w:ind w:left="35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78"/>
        </w:tabs>
        <w:ind w:left="427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98"/>
        </w:tabs>
        <w:ind w:left="49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18"/>
        </w:tabs>
        <w:ind w:left="57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38"/>
        </w:tabs>
        <w:ind w:left="643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58"/>
        </w:tabs>
        <w:ind w:left="7158" w:hanging="360"/>
      </w:pPr>
      <w:rPr>
        <w:rFonts w:ascii="Wingdings" w:hAnsi="Wingdings" w:hint="default"/>
      </w:rPr>
    </w:lvl>
  </w:abstractNum>
  <w:abstractNum w:abstractNumId="20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44313CE"/>
    <w:multiLevelType w:val="hybridMultilevel"/>
    <w:tmpl w:val="E0F4B6C4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4B1C323B"/>
    <w:multiLevelType w:val="hybridMultilevel"/>
    <w:tmpl w:val="5B38C8BC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54297064"/>
    <w:multiLevelType w:val="hybridMultilevel"/>
    <w:tmpl w:val="E9505112"/>
    <w:lvl w:ilvl="0">
      <w:start w:val="1"/>
      <w:numFmt w:val="bullet"/>
      <w:lvlText w:val=""/>
      <w:lvlJc w:val="left"/>
      <w:pPr>
        <w:tabs>
          <w:tab w:val="num" w:pos="1078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546B46E9"/>
    <w:multiLevelType w:val="hybridMultilevel"/>
    <w:tmpl w:val="DD98A01E"/>
    <w:lvl w:ilvl="0">
      <w:start w:val="1"/>
      <w:numFmt w:val="decimal"/>
      <w:lvlText w:val="2.%1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A9E2C08"/>
    <w:multiLevelType w:val="hybridMultilevel"/>
    <w:tmpl w:val="C2B2A008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31">
    <w:nsid w:val="5D0B44FF"/>
    <w:multiLevelType w:val="hybridMultilevel"/>
    <w:tmpl w:val="763A0D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Unicode MS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F03261"/>
    <w:multiLevelType w:val="hybridMultilevel"/>
    <w:tmpl w:val="D8A269E6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1482A11"/>
    <w:multiLevelType w:val="hybridMultilevel"/>
    <w:tmpl w:val="37807AFC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7A306750"/>
    <w:multiLevelType w:val="hybridMultilevel"/>
    <w:tmpl w:val="9BA8F3D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>
    <w:nsid w:val="7C4824F5"/>
    <w:multiLevelType w:val="hybridMultilevel"/>
    <w:tmpl w:val="257E9B6A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7EB83C56"/>
    <w:multiLevelType w:val="hybridMultilevel"/>
    <w:tmpl w:val="BED22D96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0"/>
  </w:num>
  <w:num w:numId="16">
    <w:abstractNumId w:val="5"/>
  </w:num>
  <w:num w:numId="17">
    <w:abstractNumId w:val="7"/>
  </w:num>
  <w:num w:numId="18">
    <w:abstractNumId w:val="10"/>
  </w:num>
  <w:num w:numId="19">
    <w:abstractNumId w:val="2"/>
  </w:num>
  <w:num w:numId="20">
    <w:abstractNumId w:val="33"/>
  </w:num>
  <w:num w:numId="21">
    <w:abstractNumId w:val="36"/>
  </w:num>
  <w:num w:numId="22">
    <w:abstractNumId w:val="19"/>
  </w:num>
  <w:num w:numId="23">
    <w:abstractNumId w:val="3"/>
  </w:num>
  <w:num w:numId="24">
    <w:abstractNumId w:val="25"/>
  </w:num>
  <w:num w:numId="25">
    <w:abstractNumId w:val="27"/>
  </w:num>
  <w:num w:numId="26">
    <w:abstractNumId w:val="35"/>
  </w:num>
  <w:num w:numId="27">
    <w:abstractNumId w:val="13"/>
  </w:num>
  <w:num w:numId="28">
    <w:abstractNumId w:val="23"/>
  </w:num>
  <w:num w:numId="29">
    <w:abstractNumId w:val="14"/>
  </w:num>
  <w:num w:numId="30">
    <w:abstractNumId w:val="17"/>
  </w:num>
  <w:num w:numId="31">
    <w:abstractNumId w:val="37"/>
  </w:num>
  <w:num w:numId="32">
    <w:abstractNumId w:val="11"/>
  </w:num>
  <w:num w:numId="33">
    <w:abstractNumId w:val="12"/>
  </w:num>
  <w:num w:numId="34">
    <w:abstractNumId w:val="1"/>
  </w:num>
  <w:num w:numId="35">
    <w:abstractNumId w:val="16"/>
  </w:num>
  <w:num w:numId="36">
    <w:abstractNumId w:val="21"/>
  </w:num>
  <w:num w:numId="37">
    <w:abstractNumId w:val="6"/>
  </w:num>
  <w:num w:numId="38">
    <w:abstractNumId w:val="39"/>
  </w:num>
  <w:num w:numId="39">
    <w:abstractNumId w:val="4"/>
  </w:num>
  <w:num w:numId="40">
    <w:abstractNumId w:val="9"/>
  </w:num>
  <w:num w:numId="41">
    <w:abstractNumId w:val="29"/>
  </w:num>
  <w:num w:numId="42">
    <w:abstractNumId w:val="34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D4B96"/>
    <w:rsid w:val="00005E79"/>
    <w:rsid w:val="00010A2C"/>
    <w:rsid w:val="000208E3"/>
    <w:rsid w:val="00023AA9"/>
    <w:rsid w:val="00040E40"/>
    <w:rsid w:val="00065FA0"/>
    <w:rsid w:val="00066BF0"/>
    <w:rsid w:val="00074AF9"/>
    <w:rsid w:val="000768E7"/>
    <w:rsid w:val="000829A4"/>
    <w:rsid w:val="00094FD4"/>
    <w:rsid w:val="000A5AE1"/>
    <w:rsid w:val="000A6797"/>
    <w:rsid w:val="000C4010"/>
    <w:rsid w:val="000C6ABE"/>
    <w:rsid w:val="000D7419"/>
    <w:rsid w:val="001122F3"/>
    <w:rsid w:val="001277E0"/>
    <w:rsid w:val="00133F14"/>
    <w:rsid w:val="00143A69"/>
    <w:rsid w:val="00144443"/>
    <w:rsid w:val="001453B6"/>
    <w:rsid w:val="0015378D"/>
    <w:rsid w:val="00155F89"/>
    <w:rsid w:val="00156EC5"/>
    <w:rsid w:val="00162489"/>
    <w:rsid w:val="0018085F"/>
    <w:rsid w:val="00186DEC"/>
    <w:rsid w:val="001A428F"/>
    <w:rsid w:val="001B3F26"/>
    <w:rsid w:val="001B52D6"/>
    <w:rsid w:val="001D5A02"/>
    <w:rsid w:val="001E280A"/>
    <w:rsid w:val="001F21CF"/>
    <w:rsid w:val="001F56D3"/>
    <w:rsid w:val="002027A5"/>
    <w:rsid w:val="0022704D"/>
    <w:rsid w:val="002415A0"/>
    <w:rsid w:val="002568D6"/>
    <w:rsid w:val="002628A3"/>
    <w:rsid w:val="002650C1"/>
    <w:rsid w:val="00275543"/>
    <w:rsid w:val="00285631"/>
    <w:rsid w:val="00291544"/>
    <w:rsid w:val="002B1FD8"/>
    <w:rsid w:val="002B5E51"/>
    <w:rsid w:val="002B69E1"/>
    <w:rsid w:val="002C2990"/>
    <w:rsid w:val="002E59D3"/>
    <w:rsid w:val="002F1F6B"/>
    <w:rsid w:val="002F2E05"/>
    <w:rsid w:val="003346D2"/>
    <w:rsid w:val="00355ECD"/>
    <w:rsid w:val="00356DA2"/>
    <w:rsid w:val="00363363"/>
    <w:rsid w:val="0039427E"/>
    <w:rsid w:val="003A0186"/>
    <w:rsid w:val="003A3E4B"/>
    <w:rsid w:val="003B48A2"/>
    <w:rsid w:val="003D4B96"/>
    <w:rsid w:val="003E653D"/>
    <w:rsid w:val="0040641E"/>
    <w:rsid w:val="00422DB6"/>
    <w:rsid w:val="00424AB9"/>
    <w:rsid w:val="004261F2"/>
    <w:rsid w:val="00437349"/>
    <w:rsid w:val="004444AE"/>
    <w:rsid w:val="00450E35"/>
    <w:rsid w:val="004541BF"/>
    <w:rsid w:val="00466338"/>
    <w:rsid w:val="00484C78"/>
    <w:rsid w:val="00494FD8"/>
    <w:rsid w:val="004953A5"/>
    <w:rsid w:val="004A2A4C"/>
    <w:rsid w:val="004B2DAC"/>
    <w:rsid w:val="004B78EE"/>
    <w:rsid w:val="004D0072"/>
    <w:rsid w:val="004E03D1"/>
    <w:rsid w:val="004F7C32"/>
    <w:rsid w:val="00507F95"/>
    <w:rsid w:val="00510539"/>
    <w:rsid w:val="00551231"/>
    <w:rsid w:val="00551842"/>
    <w:rsid w:val="00576C7F"/>
    <w:rsid w:val="005B22CA"/>
    <w:rsid w:val="005B416D"/>
    <w:rsid w:val="005C23DD"/>
    <w:rsid w:val="005D2962"/>
    <w:rsid w:val="005D576B"/>
    <w:rsid w:val="005E42E9"/>
    <w:rsid w:val="005E7B79"/>
    <w:rsid w:val="00600329"/>
    <w:rsid w:val="00616BF7"/>
    <w:rsid w:val="006311AE"/>
    <w:rsid w:val="006357C7"/>
    <w:rsid w:val="0064267C"/>
    <w:rsid w:val="00646C06"/>
    <w:rsid w:val="00647CC4"/>
    <w:rsid w:val="0065712F"/>
    <w:rsid w:val="006572E9"/>
    <w:rsid w:val="00664466"/>
    <w:rsid w:val="006649A3"/>
    <w:rsid w:val="00676CEC"/>
    <w:rsid w:val="00684143"/>
    <w:rsid w:val="00693073"/>
    <w:rsid w:val="00696264"/>
    <w:rsid w:val="00696F78"/>
    <w:rsid w:val="006A0BEE"/>
    <w:rsid w:val="006B5026"/>
    <w:rsid w:val="006B637D"/>
    <w:rsid w:val="006D03E1"/>
    <w:rsid w:val="006D4294"/>
    <w:rsid w:val="006D6558"/>
    <w:rsid w:val="006E639E"/>
    <w:rsid w:val="006F0F2A"/>
    <w:rsid w:val="006F1AF4"/>
    <w:rsid w:val="00702363"/>
    <w:rsid w:val="00722D6B"/>
    <w:rsid w:val="00755517"/>
    <w:rsid w:val="00791395"/>
    <w:rsid w:val="007B67E3"/>
    <w:rsid w:val="007D2268"/>
    <w:rsid w:val="007F3BA1"/>
    <w:rsid w:val="007F6E27"/>
    <w:rsid w:val="00801751"/>
    <w:rsid w:val="00803962"/>
    <w:rsid w:val="00807931"/>
    <w:rsid w:val="008160E8"/>
    <w:rsid w:val="00820F78"/>
    <w:rsid w:val="00834206"/>
    <w:rsid w:val="00840F88"/>
    <w:rsid w:val="00844EF4"/>
    <w:rsid w:val="00845AD3"/>
    <w:rsid w:val="00883D01"/>
    <w:rsid w:val="00886A65"/>
    <w:rsid w:val="008B44D0"/>
    <w:rsid w:val="008B4A82"/>
    <w:rsid w:val="008C187A"/>
    <w:rsid w:val="008D7C92"/>
    <w:rsid w:val="008E091F"/>
    <w:rsid w:val="008E0CED"/>
    <w:rsid w:val="008E1965"/>
    <w:rsid w:val="008E581F"/>
    <w:rsid w:val="008F5272"/>
    <w:rsid w:val="008F5766"/>
    <w:rsid w:val="00901ECE"/>
    <w:rsid w:val="009351B3"/>
    <w:rsid w:val="00943E30"/>
    <w:rsid w:val="009B46EF"/>
    <w:rsid w:val="009D5DD3"/>
    <w:rsid w:val="009E14C2"/>
    <w:rsid w:val="009E271D"/>
    <w:rsid w:val="00A07427"/>
    <w:rsid w:val="00A21D98"/>
    <w:rsid w:val="00A4213D"/>
    <w:rsid w:val="00A71786"/>
    <w:rsid w:val="00A81D12"/>
    <w:rsid w:val="00A95335"/>
    <w:rsid w:val="00AB626A"/>
    <w:rsid w:val="00AE1F4A"/>
    <w:rsid w:val="00B129AD"/>
    <w:rsid w:val="00B14845"/>
    <w:rsid w:val="00B270E8"/>
    <w:rsid w:val="00B27F24"/>
    <w:rsid w:val="00B466D8"/>
    <w:rsid w:val="00B71A2A"/>
    <w:rsid w:val="00B82C2C"/>
    <w:rsid w:val="00B856B3"/>
    <w:rsid w:val="00B87628"/>
    <w:rsid w:val="00BA0ED0"/>
    <w:rsid w:val="00BB2B07"/>
    <w:rsid w:val="00BB71A9"/>
    <w:rsid w:val="00BB7CF7"/>
    <w:rsid w:val="00BC2000"/>
    <w:rsid w:val="00BC654C"/>
    <w:rsid w:val="00BD49F4"/>
    <w:rsid w:val="00BE0C66"/>
    <w:rsid w:val="00C003B1"/>
    <w:rsid w:val="00C05455"/>
    <w:rsid w:val="00C06979"/>
    <w:rsid w:val="00C104C1"/>
    <w:rsid w:val="00C11BB3"/>
    <w:rsid w:val="00C1258E"/>
    <w:rsid w:val="00C16227"/>
    <w:rsid w:val="00C16357"/>
    <w:rsid w:val="00C23B03"/>
    <w:rsid w:val="00C31BD2"/>
    <w:rsid w:val="00C41273"/>
    <w:rsid w:val="00C55FEA"/>
    <w:rsid w:val="00C703D2"/>
    <w:rsid w:val="00C90F71"/>
    <w:rsid w:val="00CB4AF0"/>
    <w:rsid w:val="00CD1ED4"/>
    <w:rsid w:val="00CE5B52"/>
    <w:rsid w:val="00D3024E"/>
    <w:rsid w:val="00D34622"/>
    <w:rsid w:val="00D44539"/>
    <w:rsid w:val="00D518A2"/>
    <w:rsid w:val="00D62EAE"/>
    <w:rsid w:val="00D73505"/>
    <w:rsid w:val="00D74A1F"/>
    <w:rsid w:val="00D77AB2"/>
    <w:rsid w:val="00D94FA8"/>
    <w:rsid w:val="00D9609C"/>
    <w:rsid w:val="00D962E1"/>
    <w:rsid w:val="00DA381A"/>
    <w:rsid w:val="00DB07B5"/>
    <w:rsid w:val="00DB6ED8"/>
    <w:rsid w:val="00DD526A"/>
    <w:rsid w:val="00DE5B29"/>
    <w:rsid w:val="00E001B0"/>
    <w:rsid w:val="00E032F6"/>
    <w:rsid w:val="00E35E58"/>
    <w:rsid w:val="00E36B09"/>
    <w:rsid w:val="00E4042B"/>
    <w:rsid w:val="00E4494A"/>
    <w:rsid w:val="00E70E9A"/>
    <w:rsid w:val="00E76198"/>
    <w:rsid w:val="00E95214"/>
    <w:rsid w:val="00EB6182"/>
    <w:rsid w:val="00EC3505"/>
    <w:rsid w:val="00EC6FA4"/>
    <w:rsid w:val="00EE5E85"/>
    <w:rsid w:val="00EF646A"/>
    <w:rsid w:val="00F20827"/>
    <w:rsid w:val="00F25943"/>
    <w:rsid w:val="00F4178C"/>
    <w:rsid w:val="00F42AB7"/>
    <w:rsid w:val="00F431D4"/>
    <w:rsid w:val="00F50439"/>
    <w:rsid w:val="00F50689"/>
    <w:rsid w:val="00F554B8"/>
    <w:rsid w:val="00F64562"/>
    <w:rsid w:val="00F702A5"/>
    <w:rsid w:val="00F81C8B"/>
    <w:rsid w:val="00FA0B31"/>
    <w:rsid w:val="00FA1942"/>
    <w:rsid w:val="00FB0E41"/>
    <w:rsid w:val="00FC28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3D4B9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3D4B96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3D4B96"/>
    <w:pPr>
      <w:ind w:firstLine="709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rsid w:val="003D4B96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cs-CZ" w:eastAsia="sk-SK" w:bidi="ar-SA"/>
    </w:rPr>
  </w:style>
  <w:style w:type="character" w:customStyle="1" w:styleId="ZkladntextChar0">
    <w:name w:val="Základní text Char"/>
    <w:basedOn w:val="DefaultParagraphFont"/>
    <w:rsid w:val="003D4B96"/>
    <w:rPr>
      <w:rFonts w:cs="Times New Roman"/>
      <w:color w:val="000000"/>
      <w:sz w:val="24"/>
      <w:szCs w:val="24"/>
      <w:rtl w:val="0"/>
      <w:cs w:val="0"/>
      <w:lang w:val="sk-SK" w:eastAsia="sk-SK"/>
    </w:rPr>
  </w:style>
  <w:style w:type="character" w:styleId="Emphasis">
    <w:name w:val="Emphasis"/>
    <w:basedOn w:val="DefaultParagraphFont"/>
    <w:uiPriority w:val="20"/>
    <w:qFormat/>
    <w:rsid w:val="003D4B96"/>
    <w:rPr>
      <w:rFonts w:cs="Times New Roman"/>
      <w:i/>
      <w:iCs/>
      <w:rtl w:val="0"/>
      <w:cs w:val="0"/>
    </w:rPr>
  </w:style>
  <w:style w:type="paragraph" w:styleId="Footer">
    <w:name w:val="footer"/>
    <w:basedOn w:val="Normal"/>
    <w:link w:val="PtaChar"/>
    <w:uiPriority w:val="99"/>
    <w:rsid w:val="003A3E4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A3E4B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0768E7"/>
    <w:rPr>
      <w:rFonts w:cs="Times New Roman"/>
      <w:color w:val="808080"/>
      <w:rtl w:val="0"/>
      <w:cs w:val="0"/>
    </w:rPr>
  </w:style>
  <w:style w:type="character" w:styleId="Strong">
    <w:name w:val="Strong"/>
    <w:basedOn w:val="DefaultParagraphFont"/>
    <w:uiPriority w:val="22"/>
    <w:qFormat/>
    <w:rsid w:val="00BB2B07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99"/>
    <w:qFormat/>
    <w:rsid w:val="00F702A5"/>
    <w:pPr>
      <w:widowControl w:val="0"/>
      <w:adjustRightInd w:val="0"/>
      <w:ind w:left="720"/>
      <w:contextualSpacing/>
      <w:jc w:val="left"/>
    </w:pPr>
  </w:style>
  <w:style w:type="character" w:customStyle="1" w:styleId="PlaceholderText1">
    <w:name w:val="Placeholder Text1"/>
    <w:basedOn w:val="DefaultParagraphFont"/>
    <w:uiPriority w:val="99"/>
    <w:semiHidden/>
    <w:rsid w:val="00F50689"/>
    <w:rPr>
      <w:rFonts w:cs="Times New Roman"/>
      <w:color w:val="808080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D62EA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D62EAE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D62EAE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29154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91544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40C3-B248-4502-9AB0-5D0A8A3F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4</Pages>
  <Words>1551</Words>
  <Characters>8841</Characters>
  <Application>Microsoft Office Word</Application>
  <DocSecurity>0</DocSecurity>
  <Lines>0</Lines>
  <Paragraphs>0</Paragraphs>
  <ScaleCrop>false</ScaleCrop>
  <Company/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Zamecnikova Petra</dc:creator>
  <cp:lastModifiedBy>Zamecnikova Petra</cp:lastModifiedBy>
  <cp:revision>12</cp:revision>
  <cp:lastPrinted>2016-12-29T17:07:00Z</cp:lastPrinted>
  <dcterms:created xsi:type="dcterms:W3CDTF">2016-12-02T12:49:00Z</dcterms:created>
  <dcterms:modified xsi:type="dcterms:W3CDTF">2017-02-27T11:01:00Z</dcterms:modified>
</cp:coreProperties>
</file>