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55C63">
        <w:rPr>
          <w:sz w:val="22"/>
          <w:szCs w:val="22"/>
        </w:rPr>
        <w:t>868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55C63">
        <w:t>552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55C63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55C63">
        <w:rPr>
          <w:rFonts w:cs="Arial"/>
          <w:szCs w:val="22"/>
        </w:rPr>
        <w:t>Mariana KOTLEBU, Stanislava DROBNÉHO, Milana MAZUREKA a Stanislava MIZÍKA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D55C63">
        <w:rPr>
          <w:rFonts w:cs="Arial"/>
          <w:szCs w:val="22"/>
        </w:rPr>
        <w:t>zákon č. 300/2005 Z. z. Trestný zákon v znení neskorších predpisov a ktorým sa mení a dopĺňa zákon č. 326/2005 Z. z. o lesoch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55C63">
        <w:rPr>
          <w:rFonts w:cs="Arial"/>
          <w:szCs w:val="22"/>
        </w:rPr>
        <w:t>536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55C63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F785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9F785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F7859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F785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C1941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589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F7859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55C63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194</Words>
  <Characters>1109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2017-04-24T11:28:00Z</cp:lastPrinted>
  <dcterms:created xsi:type="dcterms:W3CDTF">2017-04-25T07:54:00Z</dcterms:created>
  <dcterms:modified xsi:type="dcterms:W3CDTF">2017-04-25T07:54:00Z</dcterms:modified>
</cp:coreProperties>
</file>