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A5C3A">
        <w:rPr>
          <w:sz w:val="22"/>
          <w:szCs w:val="22"/>
        </w:rPr>
        <w:t>840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A5C3A">
        <w:t>536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A5C3A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A5C3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A5C3A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A5C3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FA5C3A">
        <w:rPr>
          <w:rFonts w:cs="Arial"/>
          <w:szCs w:val="22"/>
        </w:rPr>
        <w:t>zákon č. 50/1976 Zb. o územnom plánovaní a stavebnom poriadku (stavebný zákon)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A5C3A">
        <w:rPr>
          <w:rFonts w:cs="Arial"/>
          <w:szCs w:val="22"/>
        </w:rPr>
        <w:t>520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A5C3A">
        <w:rPr>
          <w:rFonts w:cs="Arial"/>
          <w:szCs w:val="22"/>
        </w:rPr>
        <w:t>21.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A5C3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FA5C3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A5C3A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A5C3A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93FA2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D0570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A5C3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181</Words>
  <Characters>1032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2017-04-24T07:06:00Z</cp:lastPrinted>
  <dcterms:created xsi:type="dcterms:W3CDTF">2017-04-25T07:50:00Z</dcterms:created>
  <dcterms:modified xsi:type="dcterms:W3CDTF">2017-04-25T07:50:00Z</dcterms:modified>
</cp:coreProperties>
</file>