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66593">
        <w:rPr>
          <w:sz w:val="22"/>
          <w:szCs w:val="22"/>
        </w:rPr>
        <w:t>828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66593">
        <w:t>528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66593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66593">
        <w:rPr>
          <w:rFonts w:cs="Arial"/>
          <w:szCs w:val="22"/>
        </w:rPr>
        <w:t>Evy SMOLÍKOVEJ, Jaroslava PAŠKU, Magdalény KUCIAŇOVEJ a Tibora BERNAŤÁKA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666593">
        <w:rPr>
          <w:rFonts w:cs="Arial"/>
          <w:szCs w:val="22"/>
        </w:rPr>
        <w:t>zákon č. 404/2011 Z. z. o pobyte cudzincov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66593">
        <w:rPr>
          <w:rFonts w:cs="Arial"/>
          <w:szCs w:val="22"/>
        </w:rPr>
        <w:t>514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66593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665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6665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66593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66593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44D9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66593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643F9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2017-04-21T06:48:00Z</cp:lastPrinted>
  <dcterms:created xsi:type="dcterms:W3CDTF">2017-04-25T07:47:00Z</dcterms:created>
  <dcterms:modified xsi:type="dcterms:W3CDTF">2017-04-25T07:47:00Z</dcterms:modified>
</cp:coreProperties>
</file>