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17622F">
      <w:pPr>
        <w:bidi w:val="0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17622F">
      <w:pPr>
        <w:bidi w:val="0"/>
        <w:jc w:val="both"/>
        <w:rPr>
          <w:b/>
          <w:bCs/>
        </w:rPr>
      </w:pPr>
    </w:p>
    <w:p w:rsidR="0017622F" w:rsidP="0017622F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17622F">
      <w:pPr>
        <w:tabs>
          <w:tab w:val="num" w:pos="0"/>
        </w:tabs>
        <w:bidi w:val="0"/>
      </w:pPr>
    </w:p>
    <w:p w:rsidR="0034268B" w:rsidP="0020104E">
      <w:pPr>
        <w:tabs>
          <w:tab w:val="num" w:pos="0"/>
        </w:tabs>
        <w:bidi w:val="0"/>
        <w:jc w:val="both"/>
      </w:pPr>
      <w:r w:rsidR="00FA08DC">
        <w:tab/>
      </w:r>
      <w:r w:rsidR="0092447A">
        <w:t>Poslan</w:t>
      </w:r>
      <w:r>
        <w:rPr>
          <w:rFonts w:hint="default"/>
        </w:rPr>
        <w:t>kyň</w:t>
      </w:r>
      <w:r>
        <w:rPr>
          <w:rFonts w:hint="default"/>
        </w:rPr>
        <w:t xml:space="preserve">a </w:t>
      </w:r>
      <w:r w:rsidR="000B4E2E">
        <w:rPr>
          <w:rFonts w:hint="default"/>
        </w:rPr>
        <w:t>Ná</w:t>
      </w:r>
      <w:r w:rsidR="000B4E2E">
        <w:rPr>
          <w:rFonts w:hint="default"/>
        </w:rPr>
        <w:t xml:space="preserve">rodnej rady Slovenskej republiky </w:t>
      </w:r>
      <w:r>
        <w:rPr>
          <w:rFonts w:hint="default"/>
        </w:rPr>
        <w:t>Simona Petrí</w:t>
      </w:r>
      <w:r>
        <w:rPr>
          <w:rFonts w:hint="default"/>
        </w:rPr>
        <w:t>k predkladá</w:t>
      </w:r>
      <w:r>
        <w:rPr>
          <w:rFonts w:hint="default"/>
        </w:rPr>
        <w:t xml:space="preserve"> na rokovanie Ná</w:t>
      </w:r>
      <w:r>
        <w:rPr>
          <w:rFonts w:hint="default"/>
        </w:rPr>
        <w:t xml:space="preserve">rodnej rady Slovenskej republiky </w:t>
      </w:r>
      <w:r w:rsidR="009B3727">
        <w:rPr>
          <w:rFonts w:hint="default"/>
        </w:rPr>
        <w:t>ná</w:t>
      </w:r>
      <w:r w:rsidR="009B3727">
        <w:rPr>
          <w:rFonts w:hint="default"/>
        </w:rPr>
        <w:t>vrh na vydanie zá</w:t>
      </w:r>
      <w:r w:rsidR="009B3727">
        <w:rPr>
          <w:rFonts w:hint="default"/>
        </w:rPr>
        <w:t xml:space="preserve">kona, </w:t>
      </w:r>
      <w:r w:rsidRPr="0034268B">
        <w:rPr>
          <w:rFonts w:hint="default"/>
        </w:rPr>
        <w:t>ktorý</w:t>
      </w:r>
      <w:r w:rsidRPr="0034268B">
        <w:rPr>
          <w:rFonts w:hint="default"/>
        </w:rPr>
        <w:t>m sa mení</w:t>
      </w:r>
      <w:r w:rsidRPr="0034268B">
        <w:rPr>
          <w:rFonts w:hint="default"/>
        </w:rPr>
        <w:t xml:space="preserve"> a dopĺň</w:t>
      </w:r>
      <w:r w:rsidRPr="0034268B">
        <w:rPr>
          <w:rFonts w:hint="default"/>
        </w:rPr>
        <w:t>a zá</w:t>
      </w:r>
      <w:r w:rsidRPr="0034268B">
        <w:rPr>
          <w:rFonts w:hint="default"/>
        </w:rPr>
        <w:t>kon č</w:t>
      </w:r>
      <w:r w:rsidRPr="0034268B">
        <w:rPr>
          <w:rFonts w:hint="default"/>
        </w:rPr>
        <w:t>. 461/2003 Z. z. o sociá</w:t>
      </w:r>
      <w:r w:rsidRPr="0034268B">
        <w:rPr>
          <w:rFonts w:hint="default"/>
        </w:rPr>
        <w:t>lnom poistení</w:t>
      </w:r>
      <w:r w:rsidRPr="0034268B">
        <w:rPr>
          <w:rFonts w:hint="default"/>
        </w:rPr>
        <w:t xml:space="preserve"> v znení</w:t>
      </w:r>
      <w:r w:rsidRPr="0034268B">
        <w:rPr>
          <w:rFonts w:hint="default"/>
        </w:rPr>
        <w:t xml:space="preserve"> neskorší</w:t>
      </w:r>
      <w:r w:rsidRPr="0034268B">
        <w:rPr>
          <w:rFonts w:hint="default"/>
        </w:rPr>
        <w:t>ch predpisov a ktorý</w:t>
      </w:r>
      <w:r w:rsidRPr="0034268B">
        <w:rPr>
          <w:rFonts w:hint="default"/>
        </w:rPr>
        <w:t>m sa menia a dopĺň</w:t>
      </w:r>
      <w:r w:rsidRPr="0034268B">
        <w:rPr>
          <w:rFonts w:hint="default"/>
        </w:rPr>
        <w:t>ajú</w:t>
      </w:r>
      <w:r w:rsidRPr="0034268B">
        <w:rPr>
          <w:rFonts w:hint="default"/>
        </w:rPr>
        <w:t xml:space="preserve"> niektoré</w:t>
      </w:r>
      <w:r w:rsidRPr="0034268B">
        <w:rPr>
          <w:rFonts w:hint="default"/>
        </w:rPr>
        <w:t xml:space="preserve"> zá</w:t>
      </w:r>
      <w:r w:rsidRPr="0034268B">
        <w:rPr>
          <w:rFonts w:hint="default"/>
        </w:rPr>
        <w:t>kony.</w:t>
      </w:r>
    </w:p>
    <w:p w:rsidR="004958F3" w:rsidP="0020104E">
      <w:pPr>
        <w:tabs>
          <w:tab w:val="num" w:pos="0"/>
        </w:tabs>
        <w:bidi w:val="0"/>
        <w:jc w:val="both"/>
      </w:pPr>
    </w:p>
    <w:p w:rsidR="00AD7E73" w:rsidP="00AD7E73">
      <w:pPr>
        <w:tabs>
          <w:tab w:val="num" w:pos="0"/>
        </w:tabs>
        <w:bidi w:val="0"/>
        <w:jc w:val="both"/>
      </w:pPr>
      <w:r w:rsidR="004958F3">
        <w:tab/>
      </w:r>
      <w:r w:rsidR="004958F3">
        <w:rPr>
          <w:rFonts w:hint="default"/>
        </w:rPr>
        <w:t>Cieľ</w:t>
      </w:r>
      <w:r w:rsidR="004958F3">
        <w:rPr>
          <w:rFonts w:hint="default"/>
        </w:rPr>
        <w:t>om predkladané</w:t>
      </w:r>
      <w:r w:rsidR="004958F3">
        <w:rPr>
          <w:rFonts w:hint="default"/>
        </w:rPr>
        <w:t>ho ná</w:t>
      </w:r>
      <w:r w:rsidR="004958F3">
        <w:rPr>
          <w:rFonts w:hint="default"/>
        </w:rPr>
        <w:t xml:space="preserve">vrhu je </w:t>
      </w:r>
      <w:r>
        <w:rPr>
          <w:rFonts w:hint="default"/>
        </w:rPr>
        <w:t>zavedenie dá</w:t>
      </w:r>
      <w:r>
        <w:rPr>
          <w:rFonts w:hint="default"/>
        </w:rPr>
        <w:t>vky otcovskej popô</w:t>
      </w:r>
      <w:r>
        <w:rPr>
          <w:rFonts w:hint="default"/>
        </w:rPr>
        <w:t>rodnej starostlivosti (ď</w:t>
      </w:r>
      <w:r>
        <w:rPr>
          <w:rFonts w:hint="default"/>
        </w:rPr>
        <w:t>alej len „</w:t>
      </w:r>
      <w:r>
        <w:rPr>
          <w:rFonts w:hint="default"/>
        </w:rPr>
        <w:t>otcovské“</w:t>
      </w:r>
      <w:r>
        <w:rPr>
          <w:rFonts w:hint="default"/>
        </w:rPr>
        <w:t>) do systé</w:t>
      </w:r>
      <w:r>
        <w:rPr>
          <w:rFonts w:hint="default"/>
        </w:rPr>
        <w:t>mu nemocenské</w:t>
      </w:r>
      <w:r>
        <w:rPr>
          <w:rFonts w:hint="default"/>
        </w:rPr>
        <w:t>ho poistenia. Úč</w:t>
      </w:r>
      <w:r>
        <w:rPr>
          <w:rFonts w:hint="default"/>
        </w:rPr>
        <w:t>elom otcovské</w:t>
      </w:r>
      <w:r>
        <w:rPr>
          <w:rFonts w:hint="default"/>
        </w:rPr>
        <w:t>ho je primá</w:t>
      </w:r>
      <w:r>
        <w:rPr>
          <w:rFonts w:hint="default"/>
        </w:rPr>
        <w:t>rne posilnenie vä</w:t>
      </w:r>
      <w:r>
        <w:rPr>
          <w:rFonts w:hint="default"/>
        </w:rPr>
        <w:t>zby medzi dieť</w:t>
      </w:r>
      <w:r>
        <w:rPr>
          <w:rFonts w:hint="default"/>
        </w:rPr>
        <w:t>ať</w:t>
      </w:r>
      <w:r>
        <w:rPr>
          <w:rFonts w:hint="default"/>
        </w:rPr>
        <w:t>om, matkou a otcom v </w:t>
      </w:r>
      <w:r>
        <w:rPr>
          <w:rFonts w:hint="default"/>
        </w:rPr>
        <w:t>tesnom období</w:t>
      </w:r>
      <w:r>
        <w:rPr>
          <w:rFonts w:hint="default"/>
        </w:rPr>
        <w:t xml:space="preserve"> po narodení</w:t>
      </w:r>
      <w:r>
        <w:rPr>
          <w:rFonts w:hint="default"/>
        </w:rPr>
        <w:t xml:space="preserve"> dieť</w:t>
      </w:r>
      <w:r>
        <w:rPr>
          <w:rFonts w:hint="default"/>
        </w:rPr>
        <w:t>ať</w:t>
      </w:r>
      <w:r>
        <w:rPr>
          <w:rFonts w:hint="default"/>
        </w:rPr>
        <w:t xml:space="preserve">a. </w:t>
      </w:r>
      <w:r w:rsidRPr="00AD7E73">
        <w:t xml:space="preserve">Otec je </w:t>
      </w:r>
      <w:r>
        <w:rPr>
          <w:rFonts w:hint="default"/>
        </w:rPr>
        <w:t>po narodení</w:t>
      </w:r>
      <w:r>
        <w:rPr>
          <w:rFonts w:hint="default"/>
        </w:rPr>
        <w:t xml:space="preserve"> dieť</w:t>
      </w:r>
      <w:r>
        <w:rPr>
          <w:rFonts w:hint="default"/>
        </w:rPr>
        <w:t>ať</w:t>
      </w:r>
      <w:r>
        <w:rPr>
          <w:rFonts w:hint="default"/>
        </w:rPr>
        <w:t xml:space="preserve">a </w:t>
      </w:r>
      <w:r w:rsidRPr="00AD7E73">
        <w:rPr>
          <w:rFonts w:hint="default"/>
        </w:rPr>
        <w:t>nezastupiteľ</w:t>
      </w:r>
      <w:r w:rsidRPr="00AD7E73">
        <w:rPr>
          <w:rFonts w:hint="default"/>
        </w:rPr>
        <w:t>ný</w:t>
      </w:r>
      <w:r w:rsidRPr="00AD7E73">
        <w:rPr>
          <w:rFonts w:hint="default"/>
        </w:rPr>
        <w:t xml:space="preserve"> pri starostlivosti o st</w:t>
      </w:r>
      <w:r>
        <w:rPr>
          <w:rFonts w:hint="default"/>
        </w:rPr>
        <w:t>arš</w:t>
      </w:r>
      <w:r>
        <w:rPr>
          <w:rFonts w:hint="default"/>
        </w:rPr>
        <w:t>ie deti poč</w:t>
      </w:r>
      <w:r>
        <w:rPr>
          <w:rFonts w:hint="default"/>
        </w:rPr>
        <w:t xml:space="preserve">as </w:t>
      </w:r>
      <w:r>
        <w:rPr>
          <w:rFonts w:hint="default"/>
        </w:rPr>
        <w:t>pobytu manž</w:t>
      </w:r>
      <w:r>
        <w:rPr>
          <w:rFonts w:hint="default"/>
        </w:rPr>
        <w:t>elky</w:t>
      </w:r>
      <w:r w:rsidRPr="00AD7E73">
        <w:rPr>
          <w:rFonts w:hint="default"/>
        </w:rPr>
        <w:t xml:space="preserve"> v pô</w:t>
      </w:r>
      <w:r w:rsidRPr="00AD7E73">
        <w:rPr>
          <w:rFonts w:hint="default"/>
        </w:rPr>
        <w:t xml:space="preserve">rodnici. </w:t>
      </w:r>
    </w:p>
    <w:p w:rsidR="00AD7E73" w:rsidP="00AD7E73">
      <w:pPr>
        <w:tabs>
          <w:tab w:val="num" w:pos="0"/>
        </w:tabs>
        <w:bidi w:val="0"/>
        <w:jc w:val="both"/>
      </w:pPr>
    </w:p>
    <w:p w:rsidR="00AD7E73" w:rsidP="00AD7E73">
      <w:pPr>
        <w:tabs>
          <w:tab w:val="num" w:pos="0"/>
        </w:tabs>
        <w:bidi w:val="0"/>
        <w:jc w:val="both"/>
      </w:pPr>
      <w:r>
        <w:tab/>
      </w:r>
      <w:r w:rsidRPr="00AD7E73">
        <w:rPr>
          <w:rFonts w:hint="default"/>
        </w:rPr>
        <w:t>Je doká</w:t>
      </w:r>
      <w:r w:rsidRPr="00AD7E73">
        <w:rPr>
          <w:rFonts w:hint="default"/>
        </w:rPr>
        <w:t>zané</w:t>
      </w:r>
      <w:r w:rsidRPr="00AD7E73">
        <w:rPr>
          <w:rFonts w:hint="default"/>
        </w:rPr>
        <w:t>, ž</w:t>
      </w:r>
      <w:r w:rsidRPr="00AD7E73">
        <w:rPr>
          <w:rFonts w:hint="default"/>
        </w:rPr>
        <w:t>e otcovská</w:t>
      </w:r>
      <w:r w:rsidRPr="00AD7E73">
        <w:rPr>
          <w:rFonts w:hint="default"/>
        </w:rPr>
        <w:t xml:space="preserve"> </w:t>
      </w:r>
      <w:r w:rsidR="00E1264A">
        <w:rPr>
          <w:rFonts w:hint="default"/>
        </w:rPr>
        <w:t>„</w:t>
      </w:r>
      <w:r w:rsidRPr="00AD7E73">
        <w:t>dovolenka</w:t>
      </w:r>
      <w:r w:rsidR="00E1264A">
        <w:rPr>
          <w:rFonts w:hint="default"/>
        </w:rPr>
        <w:t>“</w:t>
      </w:r>
      <w:r w:rsidRPr="00AD7E73">
        <w:rPr>
          <w:rFonts w:hint="default"/>
        </w:rPr>
        <w:t xml:space="preserve"> vedie aj po jej skonč</w:t>
      </w:r>
      <w:r w:rsidRPr="00AD7E73">
        <w:rPr>
          <w:rFonts w:hint="default"/>
        </w:rPr>
        <w:t>ení</w:t>
      </w:r>
      <w:r w:rsidRPr="00AD7E73">
        <w:rPr>
          <w:rFonts w:hint="default"/>
        </w:rPr>
        <w:t xml:space="preserve"> k väčš</w:t>
      </w:r>
      <w:r w:rsidRPr="00AD7E73">
        <w:rPr>
          <w:rFonts w:hint="default"/>
        </w:rPr>
        <w:t>ej angaž</w:t>
      </w:r>
      <w:r w:rsidRPr="00AD7E73">
        <w:rPr>
          <w:rFonts w:hint="default"/>
        </w:rPr>
        <w:t>ovanosti otcov na starostlivosti o ich deti. Zdieľ</w:t>
      </w:r>
      <w:r w:rsidRPr="00AD7E73">
        <w:rPr>
          <w:rFonts w:hint="default"/>
        </w:rPr>
        <w:t>anie rodič</w:t>
      </w:r>
      <w:r w:rsidRPr="00AD7E73">
        <w:rPr>
          <w:rFonts w:hint="default"/>
        </w:rPr>
        <w:t>ovský</w:t>
      </w:r>
      <w:r w:rsidRPr="00AD7E73">
        <w:rPr>
          <w:rFonts w:hint="default"/>
        </w:rPr>
        <w:t>ch povinností</w:t>
      </w:r>
      <w:r w:rsidRPr="00AD7E73">
        <w:rPr>
          <w:rFonts w:hint="default"/>
        </w:rPr>
        <w:t xml:space="preserve"> tiež</w:t>
      </w:r>
      <w:r w:rsidRPr="00AD7E73">
        <w:rPr>
          <w:rFonts w:hint="default"/>
        </w:rPr>
        <w:t xml:space="preserve"> zmazá</w:t>
      </w:r>
      <w:r w:rsidRPr="00AD7E73">
        <w:rPr>
          <w:rFonts w:hint="default"/>
        </w:rPr>
        <w:t>va znevý</w:t>
      </w:r>
      <w:r w:rsidRPr="00AD7E73">
        <w:rPr>
          <w:rFonts w:hint="default"/>
        </w:rPr>
        <w:t>hodnenie ž</w:t>
      </w:r>
      <w:r w:rsidRPr="00AD7E73">
        <w:rPr>
          <w:rFonts w:hint="default"/>
        </w:rPr>
        <w:t>ien na trhu prá</w:t>
      </w:r>
      <w:r w:rsidRPr="00AD7E73">
        <w:rPr>
          <w:rFonts w:hint="default"/>
        </w:rPr>
        <w:t>ce. Dnes už</w:t>
      </w:r>
      <w:r w:rsidRPr="00AD7E73">
        <w:rPr>
          <w:rFonts w:hint="default"/>
        </w:rPr>
        <w:t xml:space="preserve"> sí</w:t>
      </w:r>
      <w:r w:rsidRPr="00AD7E73">
        <w:rPr>
          <w:rFonts w:hint="default"/>
        </w:rPr>
        <w:t>ce otcovia n</w:t>
      </w:r>
      <w:r w:rsidRPr="00AD7E73">
        <w:rPr>
          <w:rFonts w:hint="default"/>
        </w:rPr>
        <w:t>á</w:t>
      </w:r>
      <w:r w:rsidRPr="00AD7E73">
        <w:rPr>
          <w:rFonts w:hint="default"/>
        </w:rPr>
        <w:t>rok na materskú</w:t>
      </w:r>
      <w:r w:rsidRPr="00AD7E73">
        <w:rPr>
          <w:rFonts w:hint="default"/>
        </w:rPr>
        <w:t xml:space="preserve"> majú</w:t>
      </w:r>
      <w:r w:rsidRPr="00AD7E73">
        <w:rPr>
          <w:rFonts w:hint="default"/>
        </w:rPr>
        <w:t>, no nemôž</w:t>
      </w:r>
      <w:r w:rsidRPr="00AD7E73">
        <w:rPr>
          <w:rFonts w:hint="default"/>
        </w:rPr>
        <w:t>u si ju vziať</w:t>
      </w:r>
      <w:r w:rsidRPr="00AD7E73">
        <w:rPr>
          <w:rFonts w:hint="default"/>
        </w:rPr>
        <w:t xml:space="preserve"> poč</w:t>
      </w:r>
      <w:r w:rsidRPr="00AD7E73">
        <w:rPr>
          <w:rFonts w:hint="default"/>
        </w:rPr>
        <w:t>as doby, keď</w:t>
      </w:r>
      <w:r w:rsidRPr="00AD7E73">
        <w:rPr>
          <w:rFonts w:hint="default"/>
        </w:rPr>
        <w:t xml:space="preserve"> je na materskej matka dieť</w:t>
      </w:r>
      <w:r w:rsidRPr="00AD7E73">
        <w:rPr>
          <w:rFonts w:hint="default"/>
        </w:rPr>
        <w:t>ať</w:t>
      </w:r>
      <w:r w:rsidRPr="00AD7E73">
        <w:rPr>
          <w:rFonts w:hint="default"/>
        </w:rPr>
        <w:t>a. Otec by tak zí</w:t>
      </w:r>
      <w:r w:rsidRPr="00AD7E73">
        <w:rPr>
          <w:rFonts w:hint="default"/>
        </w:rPr>
        <w:t>skal ná</w:t>
      </w:r>
      <w:r w:rsidRPr="00AD7E73">
        <w:rPr>
          <w:rFonts w:hint="default"/>
        </w:rPr>
        <w:t>rok na dva týž</w:t>
      </w:r>
      <w:r w:rsidRPr="00AD7E73">
        <w:rPr>
          <w:rFonts w:hint="default"/>
        </w:rPr>
        <w:t>dne platené</w:t>
      </w:r>
      <w:r w:rsidRPr="00AD7E73">
        <w:rPr>
          <w:rFonts w:hint="default"/>
        </w:rPr>
        <w:t>ho voľ</w:t>
      </w:r>
      <w:r w:rsidRPr="00AD7E73">
        <w:rPr>
          <w:rFonts w:hint="default"/>
        </w:rPr>
        <w:t>na navyš</w:t>
      </w:r>
      <w:r w:rsidRPr="00AD7E73">
        <w:rPr>
          <w:rFonts w:hint="default"/>
        </w:rPr>
        <w:t>e poč</w:t>
      </w:r>
      <w:r w:rsidRPr="00AD7E73">
        <w:rPr>
          <w:rFonts w:hint="default"/>
        </w:rPr>
        <w:t>as š</w:t>
      </w:r>
      <w:r w:rsidRPr="00AD7E73">
        <w:rPr>
          <w:rFonts w:hint="default"/>
        </w:rPr>
        <w:t>estonedelia a rovnako ako matka by zí</w:t>
      </w:r>
      <w:r w:rsidRPr="00AD7E73">
        <w:rPr>
          <w:rFonts w:hint="default"/>
        </w:rPr>
        <w:t>skal ná</w:t>
      </w:r>
      <w:r w:rsidRPr="00AD7E73">
        <w:rPr>
          <w:rFonts w:hint="default"/>
        </w:rPr>
        <w:t>rok na 75</w:t>
      </w:r>
      <w:r>
        <w:t xml:space="preserve"> </w:t>
      </w:r>
      <w:r w:rsidRPr="00AD7E73">
        <w:t xml:space="preserve">% </w:t>
      </w:r>
      <w:r>
        <w:t xml:space="preserve">dennej </w:t>
      </w:r>
      <w:r w:rsidRPr="00AD7E73">
        <w:rPr>
          <w:rFonts w:hint="default"/>
        </w:rPr>
        <w:t>mzdy zo Sociá</w:t>
      </w:r>
      <w:r w:rsidRPr="00AD7E73">
        <w:rPr>
          <w:rFonts w:hint="default"/>
        </w:rPr>
        <w:t>lnej poisť</w:t>
      </w:r>
      <w:r w:rsidRPr="00AD7E73">
        <w:rPr>
          <w:rFonts w:hint="default"/>
        </w:rPr>
        <w:t>ovne.</w:t>
      </w:r>
      <w:r>
        <w:t xml:space="preserve"> Ote</w:t>
      </w:r>
      <w:r>
        <w:rPr>
          <w:rFonts w:hint="default"/>
        </w:rPr>
        <w:t>c bude mať</w:t>
      </w:r>
      <w:r>
        <w:rPr>
          <w:rFonts w:hint="default"/>
        </w:rPr>
        <w:t xml:space="preserve"> podľ</w:t>
      </w:r>
      <w:r>
        <w:rPr>
          <w:rFonts w:hint="default"/>
        </w:rPr>
        <w:t>a predkladané</w:t>
      </w:r>
      <w:r>
        <w:rPr>
          <w:rFonts w:hint="default"/>
        </w:rPr>
        <w:t>ho ná</w:t>
      </w:r>
      <w:r>
        <w:rPr>
          <w:rFonts w:hint="default"/>
        </w:rPr>
        <w:t>vrhu zá</w:t>
      </w:r>
      <w:r>
        <w:rPr>
          <w:rFonts w:hint="default"/>
        </w:rPr>
        <w:t>kona ná</w:t>
      </w:r>
      <w:r>
        <w:rPr>
          <w:rFonts w:hint="default"/>
        </w:rPr>
        <w:t>rok na otcovské</w:t>
      </w:r>
      <w:r>
        <w:rPr>
          <w:rFonts w:hint="default"/>
        </w:rPr>
        <w:t xml:space="preserve"> len vtedy, ak bol v </w:t>
      </w:r>
      <w:r>
        <w:rPr>
          <w:rFonts w:hint="default"/>
        </w:rPr>
        <w:t>posledný</w:t>
      </w:r>
      <w:r>
        <w:rPr>
          <w:rFonts w:hint="default"/>
        </w:rPr>
        <w:t>ch dvoch rokoch pred narodení</w:t>
      </w:r>
      <w:r>
        <w:rPr>
          <w:rFonts w:hint="default"/>
        </w:rPr>
        <w:t>m dieť</w:t>
      </w:r>
      <w:r>
        <w:rPr>
          <w:rFonts w:hint="default"/>
        </w:rPr>
        <w:t>ať</w:t>
      </w:r>
      <w:r>
        <w:rPr>
          <w:rFonts w:hint="default"/>
        </w:rPr>
        <w:t>a nemocensky poistený</w:t>
      </w:r>
      <w:r>
        <w:rPr>
          <w:rFonts w:hint="default"/>
        </w:rPr>
        <w:t xml:space="preserve"> najmenej 270 dní</w:t>
      </w:r>
      <w:r>
        <w:rPr>
          <w:rFonts w:hint="default"/>
        </w:rPr>
        <w:t xml:space="preserve">, t. j. </w:t>
      </w:r>
      <w:r w:rsidR="00EC2D76">
        <w:rPr>
          <w:rFonts w:hint="default"/>
        </w:rPr>
        <w:t>podieľ</w:t>
      </w:r>
      <w:r w:rsidR="00EC2D76">
        <w:rPr>
          <w:rFonts w:hint="default"/>
        </w:rPr>
        <w:t>al sa na fungovaní</w:t>
      </w:r>
      <w:r w:rsidR="00EC2D76">
        <w:rPr>
          <w:rFonts w:hint="default"/>
        </w:rPr>
        <w:t xml:space="preserve"> sociá</w:t>
      </w:r>
      <w:r w:rsidR="00EC2D76">
        <w:rPr>
          <w:rFonts w:hint="default"/>
        </w:rPr>
        <w:t>lneho systé</w:t>
      </w:r>
      <w:r w:rsidR="00EC2D76">
        <w:rPr>
          <w:rFonts w:hint="default"/>
        </w:rPr>
        <w:t>mu. Tá</w:t>
      </w:r>
      <w:r w:rsidR="00EC2D76">
        <w:rPr>
          <w:rFonts w:hint="default"/>
        </w:rPr>
        <w:t>to podmienka je rovnaká</w:t>
      </w:r>
      <w:r w:rsidR="00EC2D76">
        <w:rPr>
          <w:rFonts w:hint="default"/>
        </w:rPr>
        <w:t xml:space="preserve"> ako v </w:t>
      </w:r>
      <w:r w:rsidR="00EC2D76">
        <w:rPr>
          <w:rFonts w:hint="default"/>
        </w:rPr>
        <w:t>prí</w:t>
      </w:r>
      <w:r w:rsidR="00EC2D76">
        <w:rPr>
          <w:rFonts w:hint="default"/>
        </w:rPr>
        <w:t>pa</w:t>
      </w:r>
      <w:r w:rsidR="00EC2D76">
        <w:rPr>
          <w:rFonts w:hint="default"/>
        </w:rPr>
        <w:t>de poskytovania materské</w:t>
      </w:r>
      <w:r w:rsidR="00EC2D76">
        <w:rPr>
          <w:rFonts w:hint="default"/>
        </w:rPr>
        <w:t>ho.</w:t>
      </w:r>
    </w:p>
    <w:p w:rsidR="00EC2D76" w:rsidP="00AD7E73">
      <w:pPr>
        <w:tabs>
          <w:tab w:val="num" w:pos="0"/>
        </w:tabs>
        <w:bidi w:val="0"/>
        <w:jc w:val="both"/>
      </w:pPr>
    </w:p>
    <w:p w:rsidR="00036F72" w:rsidP="00AD7E73">
      <w:pPr>
        <w:tabs>
          <w:tab w:val="num" w:pos="0"/>
        </w:tabs>
        <w:bidi w:val="0"/>
        <w:jc w:val="both"/>
      </w:pPr>
      <w:r w:rsidR="00EC2D76">
        <w:tab/>
      </w:r>
      <w:r w:rsidR="00EC2D76">
        <w:t>Z </w:t>
      </w:r>
      <w:r w:rsidR="00EC2D76">
        <w:rPr>
          <w:rFonts w:hint="default"/>
        </w:rPr>
        <w:t>pohľ</w:t>
      </w:r>
      <w:r w:rsidR="00EC2D76">
        <w:rPr>
          <w:rFonts w:hint="default"/>
        </w:rPr>
        <w:t>adu komparatí</w:t>
      </w:r>
      <w:r w:rsidR="00EC2D76">
        <w:rPr>
          <w:rFonts w:hint="default"/>
        </w:rPr>
        <w:t>vneho prá</w:t>
      </w:r>
      <w:r w:rsidR="00EC2D76">
        <w:rPr>
          <w:rFonts w:hint="default"/>
        </w:rPr>
        <w:t>va považ</w:t>
      </w:r>
      <w:r w:rsidR="00EC2D76">
        <w:rPr>
          <w:rFonts w:hint="default"/>
        </w:rPr>
        <w:t>uje predkladateľ</w:t>
      </w:r>
      <w:r w:rsidR="00EC2D76">
        <w:rPr>
          <w:rFonts w:hint="default"/>
        </w:rPr>
        <w:t>ka za dô</w:t>
      </w:r>
      <w:r w:rsidR="00EC2D76">
        <w:rPr>
          <w:rFonts w:hint="default"/>
        </w:rPr>
        <w:t>lež</w:t>
      </w:r>
      <w:r w:rsidR="00EC2D76">
        <w:rPr>
          <w:rFonts w:hint="default"/>
        </w:rPr>
        <w:t>ité</w:t>
      </w:r>
      <w:r w:rsidR="00EC2D76">
        <w:rPr>
          <w:rFonts w:hint="default"/>
        </w:rPr>
        <w:t xml:space="preserve"> pripomenúť</w:t>
      </w:r>
      <w:r w:rsidR="00EC2D76">
        <w:rPr>
          <w:rFonts w:hint="default"/>
        </w:rPr>
        <w:t>, ž</w:t>
      </w:r>
      <w:r w:rsidR="00EC2D76">
        <w:rPr>
          <w:rFonts w:hint="default"/>
        </w:rPr>
        <w:t>e Slovenská</w:t>
      </w:r>
      <w:r w:rsidR="00EC2D76">
        <w:rPr>
          <w:rFonts w:hint="default"/>
        </w:rPr>
        <w:t xml:space="preserve"> republika patrí</w:t>
      </w:r>
      <w:r w:rsidR="00EC2D76">
        <w:rPr>
          <w:rFonts w:hint="default"/>
        </w:rPr>
        <w:t xml:space="preserve"> v </w:t>
      </w:r>
      <w:r w:rsidR="00EC2D76">
        <w:rPr>
          <w:rFonts w:hint="default"/>
        </w:rPr>
        <w:t>súč</w:t>
      </w:r>
      <w:r w:rsidR="00EC2D76">
        <w:rPr>
          <w:rFonts w:hint="default"/>
        </w:rPr>
        <w:t>asnosti k </w:t>
      </w:r>
      <w:r w:rsidR="00EC2D76">
        <w:rPr>
          <w:rFonts w:hint="default"/>
        </w:rPr>
        <w:t>menš</w:t>
      </w:r>
      <w:r w:rsidR="00EC2D76">
        <w:rPr>
          <w:rFonts w:hint="default"/>
        </w:rPr>
        <w:t>ine č</w:t>
      </w:r>
      <w:r w:rsidR="00EC2D76">
        <w:rPr>
          <w:rFonts w:hint="default"/>
        </w:rPr>
        <w:t>lenský</w:t>
      </w:r>
      <w:r w:rsidR="00EC2D76">
        <w:rPr>
          <w:rFonts w:hint="default"/>
        </w:rPr>
        <w:t>ch š</w:t>
      </w:r>
      <w:r w:rsidR="00EC2D76">
        <w:rPr>
          <w:rFonts w:hint="default"/>
        </w:rPr>
        <w:t>tá</w:t>
      </w:r>
      <w:r w:rsidR="00EC2D76">
        <w:rPr>
          <w:rFonts w:hint="default"/>
        </w:rPr>
        <w:t>tov Euró</w:t>
      </w:r>
      <w:r w:rsidR="00EC2D76">
        <w:rPr>
          <w:rFonts w:hint="default"/>
        </w:rPr>
        <w:t>pskej ú</w:t>
      </w:r>
      <w:r w:rsidR="00EC2D76">
        <w:rPr>
          <w:rFonts w:hint="default"/>
        </w:rPr>
        <w:t>nie, v </w:t>
      </w:r>
      <w:r w:rsidR="00EC2D76">
        <w:rPr>
          <w:rFonts w:hint="default"/>
        </w:rPr>
        <w:t>ktorý</w:t>
      </w:r>
      <w:r w:rsidR="00EC2D76">
        <w:rPr>
          <w:rFonts w:hint="default"/>
        </w:rPr>
        <w:t>ch otcovské</w:t>
      </w:r>
      <w:r w:rsidR="00EC2D76">
        <w:rPr>
          <w:rFonts w:hint="default"/>
        </w:rPr>
        <w:t xml:space="preserve"> alebo obdobná</w:t>
      </w:r>
      <w:r w:rsidR="00EC2D76">
        <w:rPr>
          <w:rFonts w:hint="default"/>
        </w:rPr>
        <w:t xml:space="preserve"> podpora absentuje</w:t>
      </w:r>
      <w:r w:rsidR="00962D8A">
        <w:t>. V </w:t>
      </w:r>
      <w:r w:rsidR="00962D8A">
        <w:rPr>
          <w:rFonts w:hint="default"/>
        </w:rPr>
        <w:t>troch š</w:t>
      </w:r>
      <w:r w:rsidR="00962D8A">
        <w:rPr>
          <w:rFonts w:hint="default"/>
        </w:rPr>
        <w:t>t</w:t>
      </w:r>
      <w:r w:rsidR="00962D8A">
        <w:rPr>
          <w:rFonts w:hint="default"/>
        </w:rPr>
        <w:t>vrtiná</w:t>
      </w:r>
      <w:r w:rsidR="00962D8A">
        <w:rPr>
          <w:rFonts w:hint="default"/>
        </w:rPr>
        <w:t xml:space="preserve">ch </w:t>
      </w:r>
      <w:r>
        <w:rPr>
          <w:rFonts w:hint="default"/>
        </w:rPr>
        <w:t>č</w:t>
      </w:r>
      <w:r>
        <w:rPr>
          <w:rFonts w:hint="default"/>
        </w:rPr>
        <w:t>lenský</w:t>
      </w:r>
      <w:r>
        <w:rPr>
          <w:rFonts w:hint="default"/>
        </w:rPr>
        <w:t>ch š</w:t>
      </w:r>
      <w:r>
        <w:rPr>
          <w:rFonts w:hint="default"/>
        </w:rPr>
        <w:t>tá</w:t>
      </w:r>
      <w:r>
        <w:rPr>
          <w:rFonts w:hint="default"/>
        </w:rPr>
        <w:t xml:space="preserve">tov </w:t>
      </w:r>
      <w:r w:rsidR="00183364">
        <w:t xml:space="preserve">(21 z 28) </w:t>
      </w:r>
      <w:r>
        <w:rPr>
          <w:rFonts w:hint="default"/>
        </w:rPr>
        <w:t>je totiž</w:t>
      </w:r>
      <w:r>
        <w:rPr>
          <w:rFonts w:hint="default"/>
        </w:rPr>
        <w:t xml:space="preserve"> stav nasledovný</w:t>
      </w:r>
      <w:r>
        <w:rPr>
          <w:rFonts w:hint="default"/>
        </w:rPr>
        <w:t>:</w:t>
      </w:r>
      <w:r>
        <w:rPr>
          <w:rStyle w:val="FootnoteReference"/>
          <w:rtl w:val="0"/>
        </w:rPr>
        <w:footnoteReference w:id="2"/>
      </w:r>
    </w:p>
    <w:p w:rsidR="00036F72" w:rsidP="00AD7E73">
      <w:pPr>
        <w:tabs>
          <w:tab w:val="num" w:pos="0"/>
        </w:tabs>
        <w:bidi w:val="0"/>
        <w:jc w:val="both"/>
      </w:pPr>
    </w:p>
    <w:tbl>
      <w:tblPr>
        <w:tblStyle w:val="TableGrid"/>
        <w:tblW w:w="0" w:type="auto"/>
        <w:tblLook w:val="04A0"/>
      </w:tblPr>
      <w:tblGrid>
        <w:gridCol w:w="4606"/>
        <w:gridCol w:w="4606"/>
      </w:tblGrid>
      <w:tr>
        <w:tblPrEx>
          <w:tblW w:w="0" w:type="auto"/>
          <w:tblLook w:val="04A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4B6BA6">
            <w:pPr>
              <w:tabs>
                <w:tab w:val="num" w:pos="0"/>
              </w:tabs>
              <w:bidi w:val="0"/>
              <w:jc w:val="center"/>
              <w:rPr>
                <w:rFonts w:hint="default"/>
              </w:rPr>
            </w:pPr>
            <w:r w:rsidRPr="00AF10B0">
              <w:rPr>
                <w:rFonts w:hint="default"/>
              </w:rPr>
              <w:t>Č</w:t>
            </w:r>
            <w:r w:rsidRPr="00AF10B0">
              <w:rPr>
                <w:rFonts w:hint="default"/>
              </w:rPr>
              <w:t>lenský</w:t>
            </w:r>
            <w:r w:rsidRPr="00AF10B0">
              <w:rPr>
                <w:rFonts w:hint="default"/>
              </w:rPr>
              <w:t xml:space="preserve"> š</w:t>
            </w:r>
            <w:r w:rsidRPr="00AF10B0">
              <w:rPr>
                <w:rFonts w:hint="default"/>
              </w:rPr>
              <w:t>tá</w:t>
            </w:r>
            <w:r w:rsidRPr="00AF10B0">
              <w:rPr>
                <w:rFonts w:hint="default"/>
              </w:rPr>
              <w:t>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4B6BA6">
            <w:pPr>
              <w:tabs>
                <w:tab w:val="num" w:pos="0"/>
              </w:tabs>
              <w:bidi w:val="0"/>
              <w:jc w:val="center"/>
              <w:rPr>
                <w:rFonts w:hint="default"/>
              </w:rPr>
            </w:pPr>
            <w:r w:rsidRPr="00AF10B0">
              <w:rPr>
                <w:rFonts w:hint="default"/>
              </w:rPr>
              <w:t>Ú</w:t>
            </w:r>
            <w:r w:rsidRPr="00AF10B0">
              <w:rPr>
                <w:rFonts w:hint="default"/>
              </w:rPr>
              <w:t>prava</w:t>
            </w:r>
          </w:p>
        </w:tc>
      </w:tr>
      <w:tr>
        <w:tblPrEx>
          <w:tblW w:w="0" w:type="auto"/>
          <w:tblLook w:val="04A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</w:pPr>
            <w:r w:rsidRPr="00AF10B0">
              <w:t>Belgicko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</w:pPr>
            <w:r w:rsidRPr="00AF10B0" w:rsidR="004B6BA6">
              <w:rPr>
                <w:rFonts w:hint="default"/>
              </w:rPr>
              <w:t>10 dní</w:t>
            </w:r>
            <w:r w:rsidRPr="00AF10B0" w:rsidR="004B6BA6">
              <w:rPr>
                <w:rFonts w:hint="default"/>
              </w:rPr>
              <w:t>, z toho prvé</w:t>
            </w:r>
            <w:r w:rsidRPr="00AF10B0" w:rsidR="004B6BA6">
              <w:rPr>
                <w:rFonts w:hint="default"/>
              </w:rPr>
              <w:t xml:space="preserve"> tri 100 % a ď</w:t>
            </w:r>
            <w:r w:rsidRPr="00AF10B0" w:rsidR="004B6BA6">
              <w:rPr>
                <w:rFonts w:hint="default"/>
              </w:rPr>
              <w:t>alší</w:t>
            </w:r>
            <w:r w:rsidRPr="00AF10B0" w:rsidR="004B6BA6">
              <w:rPr>
                <w:rFonts w:hint="default"/>
              </w:rPr>
              <w:t>ch 7 dní</w:t>
            </w:r>
            <w:r w:rsidRPr="00AF10B0" w:rsidR="004B6BA6">
              <w:rPr>
                <w:rFonts w:hint="default"/>
              </w:rPr>
              <w:t xml:space="preserve"> 82 % z predchá</w:t>
            </w:r>
            <w:r w:rsidRPr="00AF10B0" w:rsidR="004B6BA6">
              <w:rPr>
                <w:rFonts w:hint="default"/>
              </w:rPr>
              <w:t>dzajú</w:t>
            </w:r>
            <w:r w:rsidRPr="00AF10B0" w:rsidR="004B6BA6">
              <w:rPr>
                <w:rFonts w:hint="default"/>
              </w:rPr>
              <w:t>cej mzdy (vyšš</w:t>
            </w:r>
            <w:r w:rsidRPr="00AF10B0" w:rsidR="004B6BA6">
              <w:rPr>
                <w:rFonts w:hint="default"/>
              </w:rPr>
              <w:t>ia výš</w:t>
            </w:r>
            <w:r w:rsidRPr="00AF10B0" w:rsidR="004B6BA6">
              <w:rPr>
                <w:rFonts w:hint="default"/>
              </w:rPr>
              <w:t>ka ako materská</w:t>
            </w:r>
            <w:r w:rsidRPr="00AF10B0" w:rsidR="004B6BA6">
              <w:rPr>
                <w:rFonts w:hint="default"/>
              </w:rPr>
              <w:t>)</w:t>
            </w:r>
          </w:p>
        </w:tc>
      </w:tr>
      <w:tr>
        <w:tblPrEx>
          <w:tblW w:w="0" w:type="auto"/>
          <w:tblLook w:val="04A0"/>
        </w:tblPrEx>
        <w:trPr>
          <w:trHeight w:val="60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</w:pPr>
            <w:r w:rsidRPr="00AF10B0">
              <w:t>Bulharsko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3364" w:rsidRPr="00AF10B0" w:rsidP="00183364">
            <w:pPr>
              <w:tabs>
                <w:tab w:val="num" w:pos="0"/>
              </w:tabs>
              <w:bidi w:val="0"/>
              <w:jc w:val="both"/>
            </w:pPr>
            <w:r w:rsidRPr="00AF10B0" w:rsidR="004B6BA6">
              <w:rPr>
                <w:rFonts w:hint="default"/>
              </w:rPr>
              <w:t>15 dní</w:t>
            </w:r>
            <w:r w:rsidRPr="00AF10B0" w:rsidR="004B6BA6">
              <w:rPr>
                <w:rFonts w:hint="default"/>
              </w:rPr>
              <w:t>, 90 % z predchá</w:t>
            </w:r>
            <w:r w:rsidRPr="00AF10B0" w:rsidR="004B6BA6">
              <w:rPr>
                <w:rFonts w:hint="default"/>
              </w:rPr>
              <w:t>dzajú</w:t>
            </w:r>
            <w:r w:rsidRPr="00AF10B0" w:rsidR="004B6BA6">
              <w:rPr>
                <w:rFonts w:hint="default"/>
              </w:rPr>
              <w:t>ceho zá</w:t>
            </w:r>
            <w:r w:rsidRPr="00AF10B0" w:rsidR="004B6BA6">
              <w:rPr>
                <w:rFonts w:hint="default"/>
              </w:rPr>
              <w:t>robku (rovnaká</w:t>
            </w:r>
            <w:r w:rsidRPr="00AF10B0" w:rsidR="004B6BA6">
              <w:rPr>
                <w:rFonts w:hint="default"/>
              </w:rPr>
              <w:t xml:space="preserve"> </w:t>
            </w:r>
            <w:r w:rsidRPr="00AF10B0" w:rsidR="004B6BA6">
              <w:rPr>
                <w:rFonts w:hint="default"/>
              </w:rPr>
              <w:t>výš</w:t>
            </w:r>
            <w:r w:rsidRPr="00AF10B0" w:rsidR="004B6BA6">
              <w:rPr>
                <w:rFonts w:hint="default"/>
              </w:rPr>
              <w:t>ka ako materská</w:t>
            </w:r>
            <w:r w:rsidRPr="00AF10B0" w:rsidR="004B6BA6">
              <w:rPr>
                <w:rFonts w:hint="default"/>
              </w:rPr>
              <w:t>)</w:t>
            </w:r>
          </w:p>
        </w:tc>
      </w:tr>
      <w:tr>
        <w:tblPrEx>
          <w:tblW w:w="0" w:type="auto"/>
          <w:tblLook w:val="04A0"/>
        </w:tblPrEx>
        <w:trPr>
          <w:trHeight w:val="41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3364" w:rsidRPr="00AF10B0" w:rsidP="00AD7E73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Č</w:t>
            </w:r>
            <w:r w:rsidRPr="00AF10B0">
              <w:rPr>
                <w:rFonts w:hint="default"/>
              </w:rPr>
              <w:t>eská</w:t>
            </w:r>
            <w:r w:rsidRPr="00AF10B0">
              <w:rPr>
                <w:rFonts w:hint="default"/>
              </w:rPr>
              <w:t xml:space="preserve"> republika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3364" w:rsidRPr="00AF10B0" w:rsidP="00AD7E73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7 dní</w:t>
            </w:r>
            <w:r w:rsidRPr="00AF10B0">
              <w:rPr>
                <w:rFonts w:hint="default"/>
              </w:rPr>
              <w:t>, 70 % denné</w:t>
            </w:r>
            <w:r w:rsidRPr="00AF10B0">
              <w:rPr>
                <w:rFonts w:hint="default"/>
              </w:rPr>
              <w:t>ho vymeriavacieho zá</w:t>
            </w:r>
            <w:r w:rsidRPr="00AF10B0">
              <w:rPr>
                <w:rFonts w:hint="default"/>
              </w:rPr>
              <w:t>kladu</w:t>
            </w:r>
          </w:p>
        </w:tc>
      </w:tr>
      <w:tr>
        <w:tblPrEx>
          <w:tblW w:w="0" w:type="auto"/>
          <w:tblLook w:val="04A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Dá</w:t>
            </w:r>
            <w:r w:rsidRPr="00AF10B0">
              <w:rPr>
                <w:rFonts w:hint="default"/>
              </w:rPr>
              <w:t>nsko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14 po sebe idú</w:t>
            </w:r>
            <w:r w:rsidRPr="00AF10B0">
              <w:rPr>
                <w:rFonts w:hint="default"/>
              </w:rPr>
              <w:t>cich dní</w:t>
            </w:r>
            <w:r w:rsidRPr="00AF10B0">
              <w:rPr>
                <w:rFonts w:hint="default"/>
              </w:rPr>
              <w:t xml:space="preserve"> (10 pracovný</w:t>
            </w:r>
            <w:r w:rsidRPr="00AF10B0">
              <w:rPr>
                <w:rFonts w:hint="default"/>
              </w:rPr>
              <w:t>ch), 100 % predchá</w:t>
            </w:r>
            <w:r w:rsidRPr="00AF10B0">
              <w:rPr>
                <w:rFonts w:hint="default"/>
              </w:rPr>
              <w:t>dzajú</w:t>
            </w:r>
            <w:r w:rsidRPr="00AF10B0">
              <w:rPr>
                <w:rFonts w:hint="default"/>
              </w:rPr>
              <w:t>cej mzdy (väčš</w:t>
            </w:r>
            <w:r w:rsidRPr="00AF10B0">
              <w:rPr>
                <w:rFonts w:hint="default"/>
              </w:rPr>
              <w:t>inou viac ako materská</w:t>
            </w:r>
            <w:r w:rsidRPr="00AF10B0">
              <w:rPr>
                <w:rFonts w:hint="default"/>
              </w:rPr>
              <w:t>)</w:t>
            </w:r>
          </w:p>
        </w:tc>
      </w:tr>
      <w:tr>
        <w:tblPrEx>
          <w:tblW w:w="0" w:type="auto"/>
          <w:tblLook w:val="04A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Estó</w:t>
            </w:r>
            <w:r w:rsidRPr="00AF10B0">
              <w:rPr>
                <w:rFonts w:hint="default"/>
              </w:rPr>
              <w:t>nsko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10 pracovný</w:t>
            </w:r>
            <w:r w:rsidRPr="00AF10B0">
              <w:rPr>
                <w:rFonts w:hint="default"/>
              </w:rPr>
              <w:t>ch dní</w:t>
            </w:r>
            <w:r w:rsidRPr="00AF10B0">
              <w:rPr>
                <w:rFonts w:hint="default"/>
              </w:rPr>
              <w:t>, 100 % predchá</w:t>
            </w:r>
            <w:r w:rsidRPr="00AF10B0">
              <w:rPr>
                <w:rFonts w:hint="default"/>
              </w:rPr>
              <w:t>dzajú</w:t>
            </w:r>
            <w:r w:rsidRPr="00AF10B0">
              <w:rPr>
                <w:rFonts w:hint="default"/>
              </w:rPr>
              <w:t>ceho prí</w:t>
            </w:r>
            <w:r w:rsidRPr="00AF10B0">
              <w:rPr>
                <w:rFonts w:hint="default"/>
              </w:rPr>
              <w:t>jmu (rovnaká</w:t>
            </w:r>
            <w:r w:rsidRPr="00AF10B0">
              <w:rPr>
                <w:rFonts w:hint="default"/>
              </w:rPr>
              <w:t xml:space="preserve"> </w:t>
            </w:r>
            <w:r w:rsidRPr="00AF10B0">
              <w:rPr>
                <w:rFonts w:hint="default"/>
              </w:rPr>
              <w:t>výš</w:t>
            </w:r>
            <w:r w:rsidRPr="00AF10B0">
              <w:rPr>
                <w:rFonts w:hint="default"/>
              </w:rPr>
              <w:t>ka ako materská</w:t>
            </w:r>
            <w:r w:rsidRPr="00AF10B0">
              <w:rPr>
                <w:rFonts w:hint="default"/>
              </w:rPr>
              <w:t>)</w:t>
            </w:r>
          </w:p>
        </w:tc>
      </w:tr>
      <w:tr>
        <w:tblPrEx>
          <w:tblW w:w="0" w:type="auto"/>
          <w:tblLook w:val="04A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Gré</w:t>
            </w:r>
            <w:r w:rsidRPr="00AF10B0">
              <w:rPr>
                <w:rFonts w:hint="default"/>
              </w:rPr>
              <w:t>cko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2 dni, 100 % predchá</w:t>
            </w:r>
            <w:r w:rsidRPr="00AF10B0">
              <w:rPr>
                <w:rFonts w:hint="default"/>
              </w:rPr>
              <w:t>dzajú</w:t>
            </w:r>
            <w:r w:rsidRPr="00AF10B0">
              <w:rPr>
                <w:rFonts w:hint="default"/>
              </w:rPr>
              <w:t>ceho prí</w:t>
            </w:r>
            <w:r w:rsidRPr="00AF10B0">
              <w:rPr>
                <w:rFonts w:hint="default"/>
              </w:rPr>
              <w:t>jmu (väčš</w:t>
            </w:r>
            <w:r w:rsidRPr="00AF10B0">
              <w:rPr>
                <w:rFonts w:hint="default"/>
              </w:rPr>
              <w:t>inou rovnaká</w:t>
            </w:r>
            <w:r w:rsidRPr="00AF10B0">
              <w:rPr>
                <w:rFonts w:hint="default"/>
              </w:rPr>
              <w:t xml:space="preserve"> výš</w:t>
            </w:r>
            <w:r w:rsidRPr="00AF10B0">
              <w:rPr>
                <w:rFonts w:hint="default"/>
              </w:rPr>
              <w:t>ka ako materská</w:t>
            </w:r>
            <w:r w:rsidRPr="00AF10B0">
              <w:rPr>
                <w:rFonts w:hint="default"/>
              </w:rPr>
              <w:t>)</w:t>
            </w:r>
          </w:p>
        </w:tc>
      </w:tr>
      <w:tr>
        <w:tblPrEx>
          <w:tblW w:w="0" w:type="auto"/>
          <w:tblLook w:val="04A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Š</w:t>
            </w:r>
            <w:r w:rsidRPr="00AF10B0">
              <w:rPr>
                <w:rFonts w:hint="default"/>
              </w:rPr>
              <w:t>panielsko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13 po sebe idú</w:t>
            </w:r>
            <w:r w:rsidRPr="00AF10B0">
              <w:rPr>
                <w:rFonts w:hint="default"/>
              </w:rPr>
              <w:t>cich dní</w:t>
            </w:r>
            <w:r w:rsidRPr="00AF10B0">
              <w:rPr>
                <w:rFonts w:hint="default"/>
              </w:rPr>
              <w:t>, v prí</w:t>
            </w:r>
            <w:r w:rsidRPr="00AF10B0">
              <w:rPr>
                <w:rFonts w:hint="default"/>
              </w:rPr>
              <w:t>pade narodenia ď</w:t>
            </w:r>
            <w:r w:rsidRPr="00AF10B0">
              <w:rPr>
                <w:rFonts w:hint="default"/>
              </w:rPr>
              <w:t>alš</w:t>
            </w:r>
            <w:r w:rsidRPr="00AF10B0">
              <w:rPr>
                <w:rFonts w:hint="default"/>
              </w:rPr>
              <w:t>ieho dieť</w:t>
            </w:r>
            <w:r w:rsidRPr="00AF10B0">
              <w:rPr>
                <w:rFonts w:hint="default"/>
              </w:rPr>
              <w:t>ať</w:t>
            </w:r>
            <w:r w:rsidRPr="00AF10B0">
              <w:rPr>
                <w:rFonts w:hint="default"/>
              </w:rPr>
              <w:t>a +2 dni, 100 % predchá</w:t>
            </w:r>
            <w:r w:rsidRPr="00AF10B0">
              <w:rPr>
                <w:rFonts w:hint="default"/>
              </w:rPr>
              <w:t>dzajú</w:t>
            </w:r>
            <w:r w:rsidRPr="00AF10B0">
              <w:rPr>
                <w:rFonts w:hint="default"/>
              </w:rPr>
              <w:t>ceho prí</w:t>
            </w:r>
            <w:r w:rsidRPr="00AF10B0">
              <w:rPr>
                <w:rFonts w:hint="default"/>
              </w:rPr>
              <w:t>jmu (rovnaká</w:t>
            </w:r>
            <w:r w:rsidRPr="00AF10B0">
              <w:rPr>
                <w:rFonts w:hint="default"/>
              </w:rPr>
              <w:t xml:space="preserve"> výš</w:t>
            </w:r>
            <w:r w:rsidRPr="00AF10B0">
              <w:rPr>
                <w:rFonts w:hint="default"/>
              </w:rPr>
              <w:t>ka ako materská</w:t>
            </w:r>
            <w:r w:rsidRPr="00AF10B0">
              <w:rPr>
                <w:rFonts w:hint="default"/>
              </w:rPr>
              <w:t>)</w:t>
            </w:r>
          </w:p>
        </w:tc>
      </w:tr>
      <w:tr>
        <w:tblPrEx>
          <w:tblW w:w="0" w:type="auto"/>
          <w:tblLook w:val="04A0"/>
        </w:tblPrEx>
        <w:trPr>
          <w:trHeight w:val="7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Fí</w:t>
            </w:r>
            <w:r w:rsidRPr="00AF10B0">
              <w:rPr>
                <w:rFonts w:hint="default"/>
              </w:rPr>
              <w:t>nsko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54 dn</w:t>
            </w:r>
            <w:r w:rsidRPr="00AF10B0">
              <w:rPr>
                <w:rFonts w:hint="default"/>
              </w:rPr>
              <w:t>í</w:t>
            </w:r>
            <w:r w:rsidRPr="00AF10B0">
              <w:rPr>
                <w:rFonts w:hint="default"/>
              </w:rPr>
              <w:t>, platba zá</w:t>
            </w:r>
            <w:r w:rsidRPr="00AF10B0">
              <w:rPr>
                <w:rFonts w:hint="default"/>
              </w:rPr>
              <w:t>visí</w:t>
            </w:r>
            <w:r w:rsidRPr="00AF10B0">
              <w:rPr>
                <w:rFonts w:hint="default"/>
              </w:rPr>
              <w:t xml:space="preserve"> na predchá</w:t>
            </w:r>
            <w:r w:rsidRPr="00AF10B0">
              <w:rPr>
                <w:rFonts w:hint="default"/>
              </w:rPr>
              <w:t>dzajú</w:t>
            </w:r>
            <w:r w:rsidRPr="00AF10B0">
              <w:rPr>
                <w:rFonts w:hint="default"/>
              </w:rPr>
              <w:t>com prí</w:t>
            </w:r>
            <w:r w:rsidRPr="00AF10B0">
              <w:rPr>
                <w:rFonts w:hint="default"/>
              </w:rPr>
              <w:t>jme, až</w:t>
            </w:r>
            <w:r w:rsidRPr="00AF10B0">
              <w:rPr>
                <w:rFonts w:hint="default"/>
              </w:rPr>
              <w:t xml:space="preserve"> 75 % z predchá</w:t>
            </w:r>
            <w:r w:rsidRPr="00AF10B0">
              <w:rPr>
                <w:rFonts w:hint="default"/>
              </w:rPr>
              <w:t>dzajú</w:t>
            </w:r>
            <w:r w:rsidRPr="00AF10B0">
              <w:rPr>
                <w:rFonts w:hint="default"/>
              </w:rPr>
              <w:t>ceho prí</w:t>
            </w:r>
            <w:r w:rsidRPr="00AF10B0">
              <w:rPr>
                <w:rFonts w:hint="default"/>
              </w:rPr>
              <w:t>jmu, minimá</w:t>
            </w:r>
            <w:r w:rsidRPr="00AF10B0">
              <w:rPr>
                <w:rFonts w:hint="default"/>
              </w:rPr>
              <w:t>lne vš</w:t>
            </w:r>
            <w:r w:rsidRPr="00AF10B0">
              <w:rPr>
                <w:rFonts w:hint="default"/>
              </w:rPr>
              <w:t>ak 23,92 eur za deň</w:t>
            </w:r>
            <w:r w:rsidRPr="00AF10B0">
              <w:rPr>
                <w:rFonts w:hint="default"/>
              </w:rPr>
              <w:t xml:space="preserve"> (iný</w:t>
            </w:r>
            <w:r w:rsidRPr="00AF10B0">
              <w:rPr>
                <w:rFonts w:hint="default"/>
              </w:rPr>
              <w:t xml:space="preserve"> spô</w:t>
            </w:r>
            <w:r w:rsidRPr="00AF10B0">
              <w:rPr>
                <w:rFonts w:hint="default"/>
              </w:rPr>
              <w:t>sob stanovenie výš</w:t>
            </w:r>
            <w:r w:rsidRPr="00AF10B0">
              <w:rPr>
                <w:rFonts w:hint="default"/>
              </w:rPr>
              <w:t>ky ako u materskej)</w:t>
            </w:r>
          </w:p>
        </w:tc>
      </w:tr>
      <w:tr>
        <w:tblPrEx>
          <w:tblW w:w="0" w:type="auto"/>
          <w:tblLook w:val="04A0"/>
        </w:tblPrEx>
        <w:trPr>
          <w:trHeight w:val="1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Francú</w:t>
            </w:r>
            <w:r w:rsidRPr="00AF10B0">
              <w:rPr>
                <w:rFonts w:hint="default"/>
              </w:rPr>
              <w:t>zsko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11 pracovný</w:t>
            </w:r>
            <w:r w:rsidRPr="00AF10B0">
              <w:rPr>
                <w:rFonts w:hint="default"/>
              </w:rPr>
              <w:t>ch dní</w:t>
            </w:r>
            <w:r w:rsidRPr="00AF10B0">
              <w:rPr>
                <w:rFonts w:hint="default"/>
              </w:rPr>
              <w:t>, 100 % predchá</w:t>
            </w:r>
            <w:r w:rsidRPr="00AF10B0">
              <w:rPr>
                <w:rFonts w:hint="default"/>
              </w:rPr>
              <w:t>dzajú</w:t>
            </w:r>
            <w:r w:rsidRPr="00AF10B0">
              <w:rPr>
                <w:rFonts w:hint="default"/>
              </w:rPr>
              <w:t>ceho obmedzené</w:t>
            </w:r>
            <w:r w:rsidRPr="00AF10B0">
              <w:rPr>
                <w:rFonts w:hint="default"/>
              </w:rPr>
              <w:t>ho prí</w:t>
            </w:r>
            <w:r w:rsidRPr="00AF10B0">
              <w:rPr>
                <w:rFonts w:hint="default"/>
              </w:rPr>
              <w:t>jmu, pre verejný</w:t>
            </w:r>
            <w:r w:rsidRPr="00AF10B0">
              <w:rPr>
                <w:rFonts w:hint="default"/>
              </w:rPr>
              <w:t xml:space="preserve"> sektor obmedz</w:t>
            </w:r>
            <w:r w:rsidRPr="00AF10B0">
              <w:rPr>
                <w:rFonts w:hint="default"/>
              </w:rPr>
              <w:t>ený</w:t>
            </w:r>
            <w:r w:rsidRPr="00AF10B0">
              <w:rPr>
                <w:rFonts w:hint="default"/>
              </w:rPr>
              <w:t xml:space="preserve"> nie je (rovnaká</w:t>
            </w:r>
            <w:r w:rsidRPr="00AF10B0">
              <w:rPr>
                <w:rFonts w:hint="default"/>
              </w:rPr>
              <w:t xml:space="preserve"> výš</w:t>
            </w:r>
            <w:r w:rsidRPr="00AF10B0">
              <w:rPr>
                <w:rFonts w:hint="default"/>
              </w:rPr>
              <w:t>ka ako materská</w:t>
            </w:r>
            <w:r w:rsidRPr="00AF10B0">
              <w:rPr>
                <w:rFonts w:hint="default"/>
              </w:rPr>
              <w:t>)</w:t>
            </w:r>
          </w:p>
        </w:tc>
      </w:tr>
      <w:tr>
        <w:tblPrEx>
          <w:tblW w:w="0" w:type="auto"/>
          <w:tblLook w:val="04A0"/>
        </w:tblPrEx>
        <w:trPr>
          <w:trHeight w:val="1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Maď</w:t>
            </w:r>
            <w:r w:rsidRPr="00AF10B0">
              <w:rPr>
                <w:rFonts w:hint="default"/>
              </w:rPr>
              <w:t>arsko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5 dní</w:t>
            </w:r>
            <w:r w:rsidRPr="00AF10B0">
              <w:rPr>
                <w:rFonts w:hint="default"/>
              </w:rPr>
              <w:t xml:space="preserve"> behom prvý</w:t>
            </w:r>
            <w:r w:rsidRPr="00AF10B0">
              <w:rPr>
                <w:rFonts w:hint="default"/>
              </w:rPr>
              <w:t>ch dvoch mesiacov ž</w:t>
            </w:r>
            <w:r w:rsidRPr="00AF10B0">
              <w:rPr>
                <w:rFonts w:hint="default"/>
              </w:rPr>
              <w:t>ivota dieť</w:t>
            </w:r>
            <w:r w:rsidRPr="00AF10B0">
              <w:rPr>
                <w:rFonts w:hint="default"/>
              </w:rPr>
              <w:t>ať</w:t>
            </w:r>
            <w:r w:rsidRPr="00AF10B0">
              <w:rPr>
                <w:rFonts w:hint="default"/>
              </w:rPr>
              <w:t>a, 100 % predchá</w:t>
            </w:r>
            <w:r w:rsidRPr="00AF10B0">
              <w:rPr>
                <w:rFonts w:hint="default"/>
              </w:rPr>
              <w:t>dzajú</w:t>
            </w:r>
            <w:r w:rsidRPr="00AF10B0">
              <w:rPr>
                <w:rFonts w:hint="default"/>
              </w:rPr>
              <w:t>ceho platu (väčš</w:t>
            </w:r>
            <w:r w:rsidRPr="00AF10B0">
              <w:rPr>
                <w:rFonts w:hint="default"/>
              </w:rPr>
              <w:t>ia výš</w:t>
            </w:r>
            <w:r w:rsidRPr="00AF10B0">
              <w:rPr>
                <w:rFonts w:hint="default"/>
              </w:rPr>
              <w:t>ka než</w:t>
            </w:r>
            <w:r w:rsidRPr="00AF10B0">
              <w:rPr>
                <w:rFonts w:hint="default"/>
              </w:rPr>
              <w:t xml:space="preserve"> materská</w:t>
            </w:r>
            <w:r w:rsidRPr="00AF10B0">
              <w:rPr>
                <w:rFonts w:hint="default"/>
              </w:rPr>
              <w:t>)</w:t>
            </w:r>
          </w:p>
        </w:tc>
      </w:tr>
      <w:tr>
        <w:tblPrEx>
          <w:tblW w:w="0" w:type="auto"/>
          <w:tblLook w:val="04A0"/>
        </w:tblPrEx>
        <w:trPr>
          <w:trHeight w:val="1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</w:pPr>
            <w:r w:rsidRPr="00AF10B0">
              <w:t>Taliansko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1 deň</w:t>
            </w:r>
            <w:r w:rsidRPr="00AF10B0">
              <w:rPr>
                <w:rFonts w:hint="default"/>
              </w:rPr>
              <w:t xml:space="preserve"> 100 % predchá</w:t>
            </w:r>
            <w:r w:rsidRPr="00AF10B0">
              <w:rPr>
                <w:rFonts w:hint="default"/>
              </w:rPr>
              <w:t>dzajú</w:t>
            </w:r>
            <w:r w:rsidRPr="00AF10B0">
              <w:rPr>
                <w:rFonts w:hint="default"/>
              </w:rPr>
              <w:t>cej mzdy (vyšš</w:t>
            </w:r>
            <w:r w:rsidRPr="00AF10B0">
              <w:rPr>
                <w:rFonts w:hint="default"/>
              </w:rPr>
              <w:t>ia než</w:t>
            </w:r>
            <w:r w:rsidRPr="00AF10B0">
              <w:rPr>
                <w:rFonts w:hint="default"/>
              </w:rPr>
              <w:t xml:space="preserve"> materská</w:t>
            </w:r>
            <w:r w:rsidRPr="00AF10B0">
              <w:rPr>
                <w:rFonts w:hint="default"/>
              </w:rPr>
              <w:t>), je mož</w:t>
            </w:r>
            <w:r w:rsidRPr="00AF10B0">
              <w:rPr>
                <w:rFonts w:hint="default"/>
              </w:rPr>
              <w:t>né</w:t>
            </w:r>
            <w:r w:rsidRPr="00AF10B0">
              <w:rPr>
                <w:rFonts w:hint="default"/>
              </w:rPr>
              <w:t xml:space="preserve"> previesť</w:t>
            </w:r>
            <w:r w:rsidRPr="00AF10B0">
              <w:rPr>
                <w:rFonts w:hint="default"/>
              </w:rPr>
              <w:t xml:space="preserve"> so sú</w:t>
            </w:r>
            <w:r w:rsidRPr="00AF10B0">
              <w:rPr>
                <w:rFonts w:hint="default"/>
              </w:rPr>
              <w:t xml:space="preserve">hlasom </w:t>
            </w:r>
            <w:r w:rsidRPr="00AF10B0">
              <w:rPr>
                <w:rFonts w:hint="default"/>
              </w:rPr>
              <w:t>matky jeden pracovný</w:t>
            </w:r>
            <w:r w:rsidRPr="00AF10B0">
              <w:rPr>
                <w:rFonts w:hint="default"/>
              </w:rPr>
              <w:t xml:space="preserve"> deň</w:t>
            </w:r>
            <w:r w:rsidRPr="00AF10B0">
              <w:rPr>
                <w:rFonts w:hint="default"/>
              </w:rPr>
              <w:t xml:space="preserve"> z materskej na otca</w:t>
            </w:r>
          </w:p>
        </w:tc>
      </w:tr>
      <w:tr>
        <w:tblPrEx>
          <w:tblW w:w="0" w:type="auto"/>
          <w:tblLook w:val="04A0"/>
        </w:tblPrEx>
        <w:trPr>
          <w:trHeight w:val="16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</w:pPr>
            <w:r w:rsidRPr="00AF10B0">
              <w:t>Litva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28 dní</w:t>
            </w:r>
            <w:r w:rsidRPr="00AF10B0">
              <w:rPr>
                <w:rFonts w:hint="default"/>
              </w:rPr>
              <w:t xml:space="preserve"> po narodení</w:t>
            </w:r>
            <w:r w:rsidRPr="00AF10B0">
              <w:rPr>
                <w:rFonts w:hint="default"/>
              </w:rPr>
              <w:t xml:space="preserve"> dieť</w:t>
            </w:r>
            <w:r w:rsidRPr="00AF10B0">
              <w:rPr>
                <w:rFonts w:hint="default"/>
              </w:rPr>
              <w:t>ať</w:t>
            </w:r>
            <w:r w:rsidRPr="00AF10B0">
              <w:rPr>
                <w:rFonts w:hint="default"/>
              </w:rPr>
              <w:t>a, 100 % z predchá</w:t>
            </w:r>
            <w:r w:rsidRPr="00AF10B0">
              <w:rPr>
                <w:rFonts w:hint="default"/>
              </w:rPr>
              <w:t>dzajú</w:t>
            </w:r>
            <w:r w:rsidRPr="00AF10B0">
              <w:rPr>
                <w:rFonts w:hint="default"/>
              </w:rPr>
              <w:t>ceho obmedzené</w:t>
            </w:r>
            <w:r w:rsidRPr="00AF10B0">
              <w:rPr>
                <w:rFonts w:hint="default"/>
              </w:rPr>
              <w:t>ho prí</w:t>
            </w:r>
            <w:r w:rsidRPr="00AF10B0">
              <w:rPr>
                <w:rFonts w:hint="default"/>
              </w:rPr>
              <w:t>jmu (rovnaká</w:t>
            </w:r>
            <w:r w:rsidRPr="00AF10B0">
              <w:rPr>
                <w:rFonts w:hint="default"/>
              </w:rPr>
              <w:t xml:space="preserve"> výš</w:t>
            </w:r>
            <w:r w:rsidRPr="00AF10B0">
              <w:rPr>
                <w:rFonts w:hint="default"/>
              </w:rPr>
              <w:t>ka ako materská</w:t>
            </w:r>
            <w:r w:rsidRPr="00AF10B0">
              <w:rPr>
                <w:rFonts w:hint="default"/>
              </w:rPr>
              <w:t>)</w:t>
            </w:r>
          </w:p>
        </w:tc>
      </w:tr>
      <w:tr>
        <w:tblPrEx>
          <w:tblW w:w="0" w:type="auto"/>
          <w:tblLook w:val="04A0"/>
        </w:tblPrEx>
        <w:trPr>
          <w:trHeight w:val="1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</w:pPr>
            <w:r w:rsidRPr="00AF10B0">
              <w:t>Luxembursko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2 dni 100 % z predchá</w:t>
            </w:r>
            <w:r w:rsidRPr="00AF10B0">
              <w:rPr>
                <w:rFonts w:hint="default"/>
              </w:rPr>
              <w:t>dzajú</w:t>
            </w:r>
            <w:r w:rsidRPr="00AF10B0">
              <w:rPr>
                <w:rFonts w:hint="default"/>
              </w:rPr>
              <w:t>ceho prí</w:t>
            </w:r>
            <w:r w:rsidRPr="00AF10B0">
              <w:rPr>
                <w:rFonts w:hint="default"/>
              </w:rPr>
              <w:t>jmu (rovnaká</w:t>
            </w:r>
            <w:r w:rsidRPr="00AF10B0">
              <w:rPr>
                <w:rFonts w:hint="default"/>
              </w:rPr>
              <w:t xml:space="preserve"> výš</w:t>
            </w:r>
            <w:r w:rsidRPr="00AF10B0">
              <w:rPr>
                <w:rFonts w:hint="default"/>
              </w:rPr>
              <w:t>ka ako materská</w:t>
            </w:r>
            <w:r w:rsidRPr="00AF10B0">
              <w:rPr>
                <w:rFonts w:hint="default"/>
              </w:rPr>
              <w:t>)</w:t>
            </w:r>
          </w:p>
        </w:tc>
      </w:tr>
      <w:tr>
        <w:tblPrEx>
          <w:tblW w:w="0" w:type="auto"/>
          <w:tblLook w:val="04A0"/>
        </w:tblPrEx>
        <w:trPr>
          <w:trHeight w:val="1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Lotyš</w:t>
            </w:r>
            <w:r w:rsidRPr="00AF10B0">
              <w:rPr>
                <w:rFonts w:hint="default"/>
              </w:rPr>
              <w:t>sko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 xml:space="preserve">10 </w:t>
            </w:r>
            <w:r w:rsidRPr="00AF10B0">
              <w:rPr>
                <w:rFonts w:hint="default"/>
              </w:rPr>
              <w:t>kalendá</w:t>
            </w:r>
            <w:r w:rsidRPr="00AF10B0">
              <w:rPr>
                <w:rFonts w:hint="default"/>
              </w:rPr>
              <w:t>rnych dní</w:t>
            </w:r>
            <w:r w:rsidRPr="00AF10B0">
              <w:rPr>
                <w:rFonts w:hint="default"/>
              </w:rPr>
              <w:t xml:space="preserve"> (8 pracovný</w:t>
            </w:r>
            <w:r w:rsidRPr="00AF10B0">
              <w:rPr>
                <w:rFonts w:hint="default"/>
              </w:rPr>
              <w:t>ch), 100 % z predchá</w:t>
            </w:r>
            <w:r w:rsidRPr="00AF10B0">
              <w:rPr>
                <w:rFonts w:hint="default"/>
              </w:rPr>
              <w:t>dzajú</w:t>
            </w:r>
            <w:r w:rsidRPr="00AF10B0">
              <w:rPr>
                <w:rFonts w:hint="default"/>
              </w:rPr>
              <w:t>cej mzdy (vyšš</w:t>
            </w:r>
            <w:r w:rsidRPr="00AF10B0">
              <w:rPr>
                <w:rFonts w:hint="default"/>
              </w:rPr>
              <w:t>ia než</w:t>
            </w:r>
            <w:r w:rsidRPr="00AF10B0">
              <w:rPr>
                <w:rFonts w:hint="default"/>
              </w:rPr>
              <w:t xml:space="preserve"> materská</w:t>
            </w:r>
            <w:r w:rsidRPr="00AF10B0">
              <w:rPr>
                <w:rFonts w:hint="default"/>
              </w:rPr>
              <w:t>)</w:t>
            </w:r>
          </w:p>
        </w:tc>
      </w:tr>
      <w:tr>
        <w:tblPrEx>
          <w:tblW w:w="0" w:type="auto"/>
          <w:tblLook w:val="04A0"/>
        </w:tblPrEx>
        <w:trPr>
          <w:trHeight w:val="1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</w:pPr>
            <w:r w:rsidRPr="00AF10B0">
              <w:t>Malta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2 dni 100 % z predchá</w:t>
            </w:r>
            <w:r w:rsidRPr="00AF10B0">
              <w:rPr>
                <w:rFonts w:hint="default"/>
              </w:rPr>
              <w:t>dzajú</w:t>
            </w:r>
            <w:r w:rsidRPr="00AF10B0">
              <w:rPr>
                <w:rFonts w:hint="default"/>
              </w:rPr>
              <w:t>ceho prí</w:t>
            </w:r>
            <w:r w:rsidRPr="00AF10B0">
              <w:rPr>
                <w:rFonts w:hint="default"/>
              </w:rPr>
              <w:t>jmu (rovnaká</w:t>
            </w:r>
            <w:r w:rsidRPr="00AF10B0">
              <w:rPr>
                <w:rFonts w:hint="default"/>
              </w:rPr>
              <w:t xml:space="preserve"> výš</w:t>
            </w:r>
            <w:r w:rsidRPr="00AF10B0">
              <w:rPr>
                <w:rFonts w:hint="default"/>
              </w:rPr>
              <w:t>ka ako materská</w:t>
            </w:r>
            <w:r w:rsidRPr="00AF10B0">
              <w:rPr>
                <w:rFonts w:hint="default"/>
              </w:rPr>
              <w:t>)</w:t>
            </w:r>
          </w:p>
        </w:tc>
      </w:tr>
      <w:tr>
        <w:tblPrEx>
          <w:tblW w:w="0" w:type="auto"/>
          <w:tblLook w:val="04A0"/>
        </w:tblPrEx>
        <w:trPr>
          <w:trHeight w:val="9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584C21">
            <w:pPr>
              <w:tabs>
                <w:tab w:val="num" w:pos="0"/>
              </w:tabs>
              <w:bidi w:val="0"/>
              <w:jc w:val="both"/>
            </w:pPr>
            <w:r w:rsidRPr="00AF10B0">
              <w:t>Holandsko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584C21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2 dni 100 % z predchá</w:t>
            </w:r>
            <w:r w:rsidRPr="00AF10B0">
              <w:rPr>
                <w:rFonts w:hint="default"/>
              </w:rPr>
              <w:t>dzajú</w:t>
            </w:r>
            <w:r w:rsidRPr="00AF10B0">
              <w:rPr>
                <w:rFonts w:hint="default"/>
              </w:rPr>
              <w:t>ceho prí</w:t>
            </w:r>
            <w:r w:rsidRPr="00AF10B0">
              <w:rPr>
                <w:rFonts w:hint="default"/>
              </w:rPr>
              <w:t>jmu (rovnaká</w:t>
            </w:r>
            <w:r w:rsidRPr="00AF10B0">
              <w:rPr>
                <w:rFonts w:hint="default"/>
              </w:rPr>
              <w:t xml:space="preserve"> výš</w:t>
            </w:r>
            <w:r w:rsidRPr="00AF10B0">
              <w:rPr>
                <w:rFonts w:hint="default"/>
              </w:rPr>
              <w:t>ka ako materská</w:t>
            </w:r>
            <w:r w:rsidRPr="00AF10B0">
              <w:rPr>
                <w:rFonts w:hint="default"/>
              </w:rPr>
              <w:t>)</w:t>
            </w:r>
          </w:p>
        </w:tc>
      </w:tr>
      <w:tr>
        <w:tblPrEx>
          <w:tblW w:w="0" w:type="auto"/>
          <w:tblLook w:val="04A0"/>
        </w:tblPrEx>
        <w:trPr>
          <w:trHeight w:val="9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584C21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Poľ</w:t>
            </w:r>
            <w:r w:rsidRPr="00AF10B0">
              <w:rPr>
                <w:rFonts w:hint="default"/>
              </w:rPr>
              <w:t>sko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584C21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14 dní</w:t>
            </w:r>
            <w:r w:rsidRPr="00AF10B0">
              <w:rPr>
                <w:rFonts w:hint="default"/>
              </w:rPr>
              <w:t xml:space="preserve"> 100 %</w:t>
            </w:r>
            <w:r w:rsidRPr="00AF10B0">
              <w:rPr>
                <w:rFonts w:hint="default"/>
              </w:rPr>
              <w:t xml:space="preserve"> z predchá</w:t>
            </w:r>
            <w:r w:rsidRPr="00AF10B0">
              <w:rPr>
                <w:rFonts w:hint="default"/>
              </w:rPr>
              <w:t>dzajú</w:t>
            </w:r>
            <w:r w:rsidRPr="00AF10B0">
              <w:rPr>
                <w:rFonts w:hint="default"/>
              </w:rPr>
              <w:t>ceho prí</w:t>
            </w:r>
            <w:r w:rsidRPr="00AF10B0">
              <w:rPr>
                <w:rFonts w:hint="default"/>
              </w:rPr>
              <w:t>jmu (rovnaká</w:t>
            </w:r>
            <w:r w:rsidRPr="00AF10B0">
              <w:rPr>
                <w:rFonts w:hint="default"/>
              </w:rPr>
              <w:t xml:space="preserve"> výš</w:t>
            </w:r>
            <w:r w:rsidRPr="00AF10B0">
              <w:rPr>
                <w:rFonts w:hint="default"/>
              </w:rPr>
              <w:t>ka ako materská</w:t>
            </w:r>
            <w:r w:rsidRPr="00AF10B0">
              <w:rPr>
                <w:rFonts w:hint="default"/>
              </w:rPr>
              <w:t>)</w:t>
            </w:r>
          </w:p>
        </w:tc>
      </w:tr>
      <w:tr>
        <w:tblPrEx>
          <w:tblW w:w="0" w:type="auto"/>
          <w:tblLook w:val="04A0"/>
        </w:tblPrEx>
        <w:trPr>
          <w:trHeight w:val="9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584C21">
            <w:pPr>
              <w:tabs>
                <w:tab w:val="num" w:pos="0"/>
              </w:tabs>
              <w:bidi w:val="0"/>
              <w:jc w:val="both"/>
            </w:pPr>
            <w:r w:rsidRPr="00AF10B0">
              <w:t>Rumunsko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584C21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5 pracovný</w:t>
            </w:r>
            <w:r w:rsidRPr="00AF10B0">
              <w:rPr>
                <w:rFonts w:hint="default"/>
              </w:rPr>
              <w:t>ch dní</w:t>
            </w:r>
            <w:r w:rsidRPr="00AF10B0">
              <w:rPr>
                <w:rFonts w:hint="default"/>
              </w:rPr>
              <w:t xml:space="preserve"> (ď</w:t>
            </w:r>
            <w:r w:rsidRPr="00AF10B0">
              <w:rPr>
                <w:rFonts w:hint="default"/>
              </w:rPr>
              <w:t>alší</w:t>
            </w:r>
            <w:r w:rsidRPr="00AF10B0">
              <w:rPr>
                <w:rFonts w:hint="default"/>
              </w:rPr>
              <w:t>ch 10 v prí</w:t>
            </w:r>
            <w:r w:rsidRPr="00AF10B0">
              <w:rPr>
                <w:rFonts w:hint="default"/>
              </w:rPr>
              <w:t>pade, ž</w:t>
            </w:r>
            <w:r w:rsidRPr="00AF10B0">
              <w:rPr>
                <w:rFonts w:hint="default"/>
              </w:rPr>
              <w:t>e otec navš</w:t>
            </w:r>
            <w:r w:rsidRPr="00AF10B0">
              <w:rPr>
                <w:rFonts w:hint="default"/>
              </w:rPr>
              <w:t>tevuje kurzy starostlivosti o dieť</w:t>
            </w:r>
            <w:r w:rsidRPr="00AF10B0">
              <w:rPr>
                <w:rFonts w:hint="default"/>
              </w:rPr>
              <w:t>a), 100 % predchá</w:t>
            </w:r>
            <w:r w:rsidRPr="00AF10B0">
              <w:rPr>
                <w:rFonts w:hint="default"/>
              </w:rPr>
              <w:t>dzajú</w:t>
            </w:r>
            <w:r w:rsidRPr="00AF10B0">
              <w:rPr>
                <w:rFonts w:hint="default"/>
              </w:rPr>
              <w:t>ceho prí</w:t>
            </w:r>
            <w:r w:rsidRPr="00AF10B0">
              <w:rPr>
                <w:rFonts w:hint="default"/>
              </w:rPr>
              <w:t>jmu (vyšš</w:t>
            </w:r>
            <w:r w:rsidRPr="00AF10B0">
              <w:rPr>
                <w:rFonts w:hint="default"/>
              </w:rPr>
              <w:t>ia výš</w:t>
            </w:r>
            <w:r w:rsidRPr="00AF10B0">
              <w:rPr>
                <w:rFonts w:hint="default"/>
              </w:rPr>
              <w:t>ka než</w:t>
            </w:r>
            <w:r w:rsidRPr="00AF10B0">
              <w:rPr>
                <w:rFonts w:hint="default"/>
              </w:rPr>
              <w:t xml:space="preserve"> materská</w:t>
            </w:r>
            <w:r w:rsidRPr="00AF10B0">
              <w:rPr>
                <w:rFonts w:hint="default"/>
              </w:rPr>
              <w:t>)</w:t>
            </w:r>
          </w:p>
        </w:tc>
      </w:tr>
      <w:tr>
        <w:tblPrEx>
          <w:tblW w:w="0" w:type="auto"/>
          <w:tblLook w:val="04A0"/>
        </w:tblPrEx>
        <w:trPr>
          <w:trHeight w:val="9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584C21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Š</w:t>
            </w:r>
            <w:r w:rsidRPr="00AF10B0">
              <w:rPr>
                <w:rFonts w:hint="default"/>
              </w:rPr>
              <w:t>vé</w:t>
            </w:r>
            <w:r w:rsidRPr="00AF10B0">
              <w:rPr>
                <w:rFonts w:hint="default"/>
              </w:rPr>
              <w:t>dsko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584C21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14 dní</w:t>
            </w:r>
            <w:r w:rsidRPr="00AF10B0">
              <w:rPr>
                <w:rFonts w:hint="default"/>
              </w:rPr>
              <w:t>, 80 % z predchá</w:t>
            </w:r>
            <w:r w:rsidRPr="00AF10B0">
              <w:rPr>
                <w:rFonts w:hint="default"/>
              </w:rPr>
              <w:t>dzajú</w:t>
            </w:r>
            <w:r w:rsidRPr="00AF10B0">
              <w:rPr>
                <w:rFonts w:hint="default"/>
              </w:rPr>
              <w:t>ceho o</w:t>
            </w:r>
            <w:r w:rsidRPr="00AF10B0">
              <w:rPr>
                <w:rFonts w:hint="default"/>
              </w:rPr>
              <w:t>bmedzené</w:t>
            </w:r>
            <w:r w:rsidRPr="00AF10B0">
              <w:rPr>
                <w:rFonts w:hint="default"/>
              </w:rPr>
              <w:t>ho prí</w:t>
            </w:r>
            <w:r w:rsidRPr="00AF10B0">
              <w:rPr>
                <w:rFonts w:hint="default"/>
              </w:rPr>
              <w:t>jmu (väčš</w:t>
            </w:r>
            <w:r w:rsidRPr="00AF10B0">
              <w:rPr>
                <w:rFonts w:hint="default"/>
              </w:rPr>
              <w:t>inou rovnaká</w:t>
            </w:r>
            <w:r w:rsidRPr="00AF10B0">
              <w:rPr>
                <w:rFonts w:hint="default"/>
              </w:rPr>
              <w:t xml:space="preserve"> výš</w:t>
            </w:r>
            <w:r w:rsidRPr="00AF10B0">
              <w:rPr>
                <w:rFonts w:hint="default"/>
              </w:rPr>
              <w:t>ka ako materská</w:t>
            </w:r>
            <w:r w:rsidRPr="00AF10B0">
              <w:rPr>
                <w:rFonts w:hint="default"/>
              </w:rPr>
              <w:t>)</w:t>
            </w:r>
          </w:p>
        </w:tc>
      </w:tr>
      <w:tr>
        <w:tblPrEx>
          <w:tblW w:w="0" w:type="auto"/>
          <w:tblLook w:val="04A0"/>
        </w:tblPrEx>
        <w:trPr>
          <w:trHeight w:val="9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584C21">
            <w:pPr>
              <w:tabs>
                <w:tab w:val="num" w:pos="0"/>
              </w:tabs>
              <w:bidi w:val="0"/>
              <w:jc w:val="both"/>
            </w:pPr>
            <w:r w:rsidRPr="00AF10B0">
              <w:t>Slovinsko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584C21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90 kalendá</w:t>
            </w:r>
            <w:r w:rsidRPr="00AF10B0">
              <w:rPr>
                <w:rFonts w:hint="default"/>
              </w:rPr>
              <w:t>rnych dní</w:t>
            </w:r>
            <w:r w:rsidRPr="00AF10B0">
              <w:rPr>
                <w:rFonts w:hint="default"/>
              </w:rPr>
              <w:t xml:space="preserve"> , prvý</w:t>
            </w:r>
            <w:r w:rsidRPr="00AF10B0">
              <w:rPr>
                <w:rFonts w:hint="default"/>
              </w:rPr>
              <w:t>ch 15 dní</w:t>
            </w:r>
            <w:r w:rsidRPr="00AF10B0">
              <w:rPr>
                <w:rFonts w:hint="default"/>
              </w:rPr>
              <w:t xml:space="preserve"> 100 % z predchá</w:t>
            </w:r>
            <w:r w:rsidRPr="00AF10B0">
              <w:rPr>
                <w:rFonts w:hint="default"/>
              </w:rPr>
              <w:t>dzajú</w:t>
            </w:r>
            <w:r w:rsidRPr="00AF10B0">
              <w:rPr>
                <w:rFonts w:hint="default"/>
              </w:rPr>
              <w:t>ceho prí</w:t>
            </w:r>
            <w:r w:rsidRPr="00AF10B0">
              <w:rPr>
                <w:rFonts w:hint="default"/>
              </w:rPr>
              <w:t>jmu (rovnaká</w:t>
            </w:r>
            <w:r w:rsidRPr="00AF10B0">
              <w:rPr>
                <w:rFonts w:hint="default"/>
              </w:rPr>
              <w:t xml:space="preserve"> výš</w:t>
            </w:r>
            <w:r w:rsidRPr="00AF10B0">
              <w:rPr>
                <w:rFonts w:hint="default"/>
              </w:rPr>
              <w:t>ka ako materská</w:t>
            </w:r>
            <w:r w:rsidRPr="00AF10B0">
              <w:rPr>
                <w:rFonts w:hint="default"/>
              </w:rPr>
              <w:t>), potom zá</w:t>
            </w:r>
            <w:r w:rsidRPr="00AF10B0">
              <w:rPr>
                <w:rFonts w:hint="default"/>
              </w:rPr>
              <w:t>kladná</w:t>
            </w:r>
            <w:r w:rsidRPr="00AF10B0">
              <w:rPr>
                <w:rFonts w:hint="default"/>
              </w:rPr>
              <w:t xml:space="preserve"> pevná</w:t>
            </w:r>
            <w:r w:rsidRPr="00AF10B0">
              <w:rPr>
                <w:rFonts w:hint="default"/>
              </w:rPr>
              <w:t xml:space="preserve"> č</w:t>
            </w:r>
            <w:r w:rsidRPr="00AF10B0">
              <w:rPr>
                <w:rFonts w:hint="default"/>
              </w:rPr>
              <w:t>iastka</w:t>
            </w:r>
          </w:p>
        </w:tc>
      </w:tr>
      <w:tr>
        <w:tblPrEx>
          <w:tblW w:w="0" w:type="auto"/>
          <w:tblLook w:val="04A0"/>
        </w:tblPrEx>
        <w:trPr>
          <w:trHeight w:val="9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584C21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Spojené</w:t>
            </w:r>
            <w:r w:rsidRPr="00AF10B0">
              <w:rPr>
                <w:rFonts w:hint="default"/>
              </w:rPr>
              <w:t xml:space="preserve"> kráľ</w:t>
            </w:r>
            <w:r w:rsidRPr="00AF10B0">
              <w:rPr>
                <w:rFonts w:hint="default"/>
              </w:rPr>
              <w:t>ovstvo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584C21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14 dní</w:t>
            </w:r>
            <w:r w:rsidRPr="00AF10B0">
              <w:rPr>
                <w:rFonts w:hint="default"/>
              </w:rPr>
              <w:t xml:space="preserve"> 90 % priemerné</w:t>
            </w:r>
            <w:r w:rsidRPr="00AF10B0">
              <w:rPr>
                <w:rFonts w:hint="default"/>
              </w:rPr>
              <w:t>ho mesač</w:t>
            </w:r>
            <w:r w:rsidRPr="00AF10B0">
              <w:rPr>
                <w:rFonts w:hint="default"/>
              </w:rPr>
              <w:t>né</w:t>
            </w:r>
            <w:r w:rsidRPr="00AF10B0">
              <w:rPr>
                <w:rFonts w:hint="default"/>
              </w:rPr>
              <w:t>ho prí</w:t>
            </w:r>
            <w:r w:rsidRPr="00AF10B0">
              <w:rPr>
                <w:rFonts w:hint="default"/>
              </w:rPr>
              <w:t xml:space="preserve">jmu, </w:t>
            </w:r>
            <w:r w:rsidRPr="00AF10B0">
              <w:rPr>
                <w:rFonts w:hint="default"/>
              </w:rPr>
              <w:t>ak osoba zará</w:t>
            </w:r>
            <w:r w:rsidRPr="00AF10B0">
              <w:rPr>
                <w:rFonts w:hint="default"/>
              </w:rPr>
              <w:t>ba menej ako 167 eur za týž</w:t>
            </w:r>
            <w:r w:rsidRPr="00AF10B0">
              <w:rPr>
                <w:rFonts w:hint="default"/>
              </w:rPr>
              <w:t>deň</w:t>
            </w:r>
            <w:r w:rsidRPr="00AF10B0">
              <w:rPr>
                <w:rFonts w:hint="default"/>
              </w:rPr>
              <w:t>, alebo pevná</w:t>
            </w:r>
            <w:r w:rsidRPr="00AF10B0">
              <w:rPr>
                <w:rFonts w:hint="default"/>
              </w:rPr>
              <w:t xml:space="preserve"> č</w:t>
            </w:r>
            <w:r w:rsidRPr="00AF10B0">
              <w:rPr>
                <w:rFonts w:hint="default"/>
              </w:rPr>
              <w:t>iastka (obdobná</w:t>
            </w:r>
            <w:r w:rsidRPr="00AF10B0">
              <w:rPr>
                <w:rFonts w:hint="default"/>
              </w:rPr>
              <w:t xml:space="preserve"> výš</w:t>
            </w:r>
            <w:r w:rsidRPr="00AF10B0">
              <w:rPr>
                <w:rFonts w:hint="default"/>
              </w:rPr>
              <w:t>ka ako u materskej)</w:t>
            </w:r>
          </w:p>
        </w:tc>
      </w:tr>
    </w:tbl>
    <w:p w:rsidR="00EC2D76" w:rsidP="00AD7E73">
      <w:pPr>
        <w:tabs>
          <w:tab w:val="num" w:pos="0"/>
        </w:tabs>
        <w:bidi w:val="0"/>
        <w:jc w:val="both"/>
      </w:pPr>
      <w:r>
        <w:tab/>
      </w:r>
    </w:p>
    <w:p w:rsidR="00AD7E73" w:rsidP="0034268B">
      <w:pPr>
        <w:tabs>
          <w:tab w:val="num" w:pos="0"/>
        </w:tabs>
        <w:bidi w:val="0"/>
        <w:jc w:val="both"/>
      </w:pPr>
      <w:r w:rsidR="00E1264A">
        <w:tab/>
      </w:r>
      <w:r w:rsidR="00E1264A">
        <w:rPr>
          <w:rFonts w:hint="default"/>
        </w:rPr>
        <w:t>Predkladaný</w:t>
      </w:r>
      <w:r w:rsidR="00E1264A">
        <w:rPr>
          <w:rFonts w:hint="default"/>
        </w:rPr>
        <w:t>m ná</w:t>
      </w:r>
      <w:r w:rsidR="00E1264A">
        <w:rPr>
          <w:rFonts w:hint="default"/>
        </w:rPr>
        <w:t>vrhom zá</w:t>
      </w:r>
      <w:r w:rsidR="00E1264A">
        <w:rPr>
          <w:rFonts w:hint="default"/>
        </w:rPr>
        <w:t>kona sa tak otcovské</w:t>
      </w:r>
      <w:r w:rsidR="00E1264A">
        <w:rPr>
          <w:rFonts w:hint="default"/>
        </w:rPr>
        <w:t xml:space="preserve"> zavá</w:t>
      </w:r>
      <w:r w:rsidR="00E1264A">
        <w:rPr>
          <w:rFonts w:hint="default"/>
        </w:rPr>
        <w:t>dza v </w:t>
      </w:r>
      <w:r w:rsidR="00E1264A">
        <w:rPr>
          <w:rFonts w:hint="default"/>
        </w:rPr>
        <w:t>podobnej dĺž</w:t>
      </w:r>
      <w:r w:rsidR="00E1264A">
        <w:rPr>
          <w:rFonts w:hint="default"/>
        </w:rPr>
        <w:t>ke ako v </w:t>
      </w:r>
      <w:r w:rsidR="00E1264A">
        <w:rPr>
          <w:rFonts w:hint="default"/>
        </w:rPr>
        <w:t>Poľ</w:t>
      </w:r>
      <w:r w:rsidR="00E1264A">
        <w:rPr>
          <w:rFonts w:hint="default"/>
        </w:rPr>
        <w:t>sku alebo Bulharsku.</w:t>
      </w:r>
    </w:p>
    <w:p w:rsidR="00AD7E73" w:rsidP="0034268B">
      <w:pPr>
        <w:tabs>
          <w:tab w:val="num" w:pos="0"/>
        </w:tabs>
        <w:bidi w:val="0"/>
        <w:jc w:val="both"/>
      </w:pPr>
    </w:p>
    <w:p w:rsidR="00892550" w:rsidP="00892550">
      <w:pPr>
        <w:tabs>
          <w:tab w:val="num" w:pos="0"/>
        </w:tabs>
        <w:bidi w:val="0"/>
        <w:jc w:val="both"/>
        <w:rPr>
          <w:rFonts w:hint="default"/>
        </w:rPr>
      </w:pPr>
      <w:r w:rsidR="00CA14F3">
        <w:tab/>
      </w:r>
      <w:r>
        <w:rPr>
          <w:rFonts w:hint="default"/>
        </w:rPr>
        <w:t>Ná</w:t>
      </w:r>
      <w:r>
        <w:rPr>
          <w:rFonts w:hint="default"/>
        </w:rPr>
        <w:t>vrh zá</w:t>
      </w:r>
      <w:r>
        <w:rPr>
          <w:rFonts w:hint="default"/>
        </w:rPr>
        <w:t>kona je v sú</w:t>
      </w:r>
      <w:r>
        <w:rPr>
          <w:rFonts w:hint="default"/>
        </w:rPr>
        <w:t>lade s Ú</w:t>
      </w:r>
      <w:r>
        <w:rPr>
          <w:rFonts w:hint="default"/>
        </w:rPr>
        <w:t xml:space="preserve">stavou Slovenskej </w:t>
      </w:r>
      <w:r>
        <w:rPr>
          <w:rFonts w:hint="default"/>
        </w:rPr>
        <w:t>republiky, ú</w:t>
      </w:r>
      <w:r>
        <w:rPr>
          <w:rFonts w:hint="default"/>
        </w:rPr>
        <w:t>stavný</w:t>
      </w:r>
      <w:r>
        <w:rPr>
          <w:rFonts w:hint="default"/>
        </w:rPr>
        <w:t>mi zá</w:t>
      </w:r>
      <w:r>
        <w:rPr>
          <w:rFonts w:hint="default"/>
        </w:rPr>
        <w:t>konmi a iný</w:t>
      </w:r>
      <w:r>
        <w:rPr>
          <w:rFonts w:hint="default"/>
        </w:rPr>
        <w:t>mi zá</w:t>
      </w:r>
      <w:r>
        <w:rPr>
          <w:rFonts w:hint="default"/>
        </w:rPr>
        <w:t>konmi, medziná</w:t>
      </w:r>
      <w:r>
        <w:rPr>
          <w:rFonts w:hint="default"/>
        </w:rPr>
        <w:t>rodný</w:t>
      </w:r>
      <w:r>
        <w:rPr>
          <w:rFonts w:hint="default"/>
        </w:rPr>
        <w:t>mi zmluvami a iný</w:t>
      </w:r>
      <w:r>
        <w:rPr>
          <w:rFonts w:hint="default"/>
        </w:rPr>
        <w:t>mi medziná</w:t>
      </w:r>
      <w:r>
        <w:rPr>
          <w:rFonts w:hint="default"/>
        </w:rPr>
        <w:t>rodný</w:t>
      </w:r>
      <w:r>
        <w:rPr>
          <w:rFonts w:hint="default"/>
        </w:rPr>
        <w:t>mi dokumentmi, ktorý</w:t>
      </w:r>
      <w:r>
        <w:rPr>
          <w:rFonts w:hint="default"/>
        </w:rPr>
        <w:t>mi je Slovenská</w:t>
      </w:r>
      <w:r>
        <w:rPr>
          <w:rFonts w:hint="default"/>
        </w:rPr>
        <w:t xml:space="preserve"> republika viazaná.</w:t>
      </w:r>
    </w:p>
    <w:p w:rsidR="00DA4D1B" w:rsidRPr="00DA4D1B" w:rsidP="00892550">
      <w:pPr>
        <w:widowControl/>
        <w:suppressAutoHyphens w:val="0"/>
        <w:bidi w:val="0"/>
        <w:spacing w:after="200" w:line="276" w:lineRule="auto"/>
        <w:rPr>
          <w:b/>
          <w:u w:val="single"/>
        </w:rPr>
      </w:pPr>
      <w:r w:rsidR="00892550">
        <w:br w:type="page"/>
      </w: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254990" w:rsidP="00FE122E">
      <w:pPr>
        <w:bidi w:val="0"/>
        <w:rPr>
          <w:b/>
          <w:u w:val="single"/>
        </w:rPr>
      </w:pPr>
      <w:r w:rsidRPr="00DA4D1B" w:rsidR="00DA4D1B">
        <w:rPr>
          <w:b/>
          <w:u w:val="single"/>
        </w:rPr>
        <w:t>K </w:t>
      </w:r>
      <w:r w:rsidRPr="00DA4D1B" w:rsidR="00DA4D1B">
        <w:rPr>
          <w:rFonts w:hint="default"/>
          <w:b/>
          <w:u w:val="single"/>
        </w:rPr>
        <w:t>Č</w:t>
      </w:r>
      <w:r w:rsidRPr="00DA4D1B" w:rsidR="00DA4D1B">
        <w:rPr>
          <w:rFonts w:hint="default"/>
          <w:b/>
          <w:u w:val="single"/>
        </w:rPr>
        <w:t>l. I</w:t>
      </w:r>
    </w:p>
    <w:p w:rsidR="009970DE" w:rsidP="00FE122E">
      <w:pPr>
        <w:bidi w:val="0"/>
        <w:rPr>
          <w:b/>
          <w:u w:val="single"/>
        </w:rPr>
      </w:pPr>
    </w:p>
    <w:p w:rsidR="009970DE" w:rsidP="00FE122E">
      <w:pPr>
        <w:bidi w:val="0"/>
        <w:rPr>
          <w:b/>
        </w:rPr>
      </w:pPr>
      <w:r>
        <w:rPr>
          <w:b/>
        </w:rPr>
        <w:t>K bodu 1</w:t>
      </w:r>
    </w:p>
    <w:p w:rsidR="009970DE" w:rsidP="00FE122E">
      <w:pPr>
        <w:bidi w:val="0"/>
        <w:rPr>
          <w:b/>
        </w:rPr>
      </w:pPr>
    </w:p>
    <w:p w:rsidR="009970DE" w:rsidP="00FE122E">
      <w:pPr>
        <w:bidi w:val="0"/>
        <w:rPr>
          <w:rFonts w:hint="default"/>
        </w:rPr>
      </w:pPr>
      <w:r>
        <w:rPr>
          <w:rFonts w:hint="default"/>
        </w:rPr>
        <w:t>Okruh nemocenský</w:t>
      </w:r>
      <w:r>
        <w:rPr>
          <w:rFonts w:hint="default"/>
        </w:rPr>
        <w:t>ch dá</w:t>
      </w:r>
      <w:r>
        <w:rPr>
          <w:rFonts w:hint="default"/>
        </w:rPr>
        <w:t>vok poskytovaný</w:t>
      </w:r>
      <w:r>
        <w:rPr>
          <w:rFonts w:hint="default"/>
        </w:rPr>
        <w:t>ch z </w:t>
      </w:r>
      <w:r>
        <w:rPr>
          <w:rFonts w:hint="default"/>
        </w:rPr>
        <w:t>nemocenské</w:t>
      </w:r>
      <w:r>
        <w:rPr>
          <w:rFonts w:hint="default"/>
        </w:rPr>
        <w:t>ho poistenia sa rozš</w:t>
      </w:r>
      <w:r>
        <w:rPr>
          <w:rFonts w:hint="default"/>
        </w:rPr>
        <w:t>ir</w:t>
      </w:r>
      <w:r>
        <w:rPr>
          <w:rFonts w:hint="default"/>
        </w:rPr>
        <w:t>uje o </w:t>
      </w:r>
      <w:r>
        <w:rPr>
          <w:rFonts w:hint="default"/>
        </w:rPr>
        <w:t>dá</w:t>
      </w:r>
      <w:r>
        <w:rPr>
          <w:rFonts w:hint="default"/>
        </w:rPr>
        <w:t>vku otcovskej popô</w:t>
      </w:r>
      <w:r>
        <w:rPr>
          <w:rFonts w:hint="default"/>
        </w:rPr>
        <w:t>rodnej starostlivosti, t. j. otcovské.</w:t>
      </w:r>
    </w:p>
    <w:p w:rsidR="009970DE" w:rsidP="00FE122E">
      <w:pPr>
        <w:bidi w:val="0"/>
        <w:rPr>
          <w:rFonts w:hint="default"/>
        </w:rPr>
      </w:pPr>
    </w:p>
    <w:p w:rsidR="009970DE" w:rsidRPr="0065169E" w:rsidP="00FE122E">
      <w:pPr>
        <w:bidi w:val="0"/>
        <w:rPr>
          <w:b/>
        </w:rPr>
      </w:pPr>
      <w:r w:rsidRPr="0065169E">
        <w:rPr>
          <w:b/>
        </w:rPr>
        <w:t>K bodu 2</w:t>
      </w:r>
    </w:p>
    <w:p w:rsidR="009970DE" w:rsidP="00FE122E">
      <w:pPr>
        <w:bidi w:val="0"/>
      </w:pPr>
    </w:p>
    <w:p w:rsidR="009970DE" w:rsidP="0065169E">
      <w:pPr>
        <w:bidi w:val="0"/>
        <w:jc w:val="both"/>
      </w:pPr>
      <w:r>
        <w:rPr>
          <w:rFonts w:hint="default"/>
        </w:rPr>
        <w:t>Do zá</w:t>
      </w:r>
      <w:r>
        <w:rPr>
          <w:rFonts w:hint="default"/>
        </w:rPr>
        <w:t>kona o </w:t>
      </w:r>
      <w:r>
        <w:rPr>
          <w:rFonts w:hint="default"/>
        </w:rPr>
        <w:t>sociá</w:t>
      </w:r>
      <w:r>
        <w:rPr>
          <w:rFonts w:hint="default"/>
        </w:rPr>
        <w:t>lnom poistení</w:t>
      </w:r>
      <w:r>
        <w:rPr>
          <w:rFonts w:hint="default"/>
        </w:rPr>
        <w:t xml:space="preserve"> sa vkladajú</w:t>
      </w:r>
      <w:r>
        <w:rPr>
          <w:rFonts w:hint="default"/>
        </w:rPr>
        <w:t xml:space="preserve"> ustanovenia o </w:t>
      </w:r>
      <w:r>
        <w:rPr>
          <w:rFonts w:hint="default"/>
        </w:rPr>
        <w:t>podmienkach ná</w:t>
      </w:r>
      <w:r>
        <w:rPr>
          <w:rFonts w:hint="default"/>
        </w:rPr>
        <w:t>roku na otcovské</w:t>
      </w:r>
      <w:r>
        <w:rPr>
          <w:rFonts w:hint="default"/>
        </w:rPr>
        <w:t>, poskytovaní</w:t>
      </w:r>
      <w:r>
        <w:rPr>
          <w:rFonts w:hint="default"/>
        </w:rPr>
        <w:t xml:space="preserve"> otcovské</w:t>
      </w:r>
      <w:r>
        <w:rPr>
          <w:rFonts w:hint="default"/>
        </w:rPr>
        <w:t>ho a </w:t>
      </w:r>
      <w:r>
        <w:rPr>
          <w:rFonts w:hint="default"/>
        </w:rPr>
        <w:t>jeho výš</w:t>
      </w:r>
      <w:r>
        <w:rPr>
          <w:rFonts w:hint="default"/>
        </w:rPr>
        <w:t>ke. Vychá</w:t>
      </w:r>
      <w:r>
        <w:rPr>
          <w:rFonts w:hint="default"/>
        </w:rPr>
        <w:t>dza sa pritom z </w:t>
      </w:r>
      <w:r>
        <w:rPr>
          <w:rFonts w:hint="default"/>
        </w:rPr>
        <w:t>ú</w:t>
      </w:r>
      <w:r>
        <w:rPr>
          <w:rFonts w:hint="default"/>
        </w:rPr>
        <w:t>pravy materské</w:t>
      </w:r>
      <w:r>
        <w:rPr>
          <w:rFonts w:hint="default"/>
        </w:rPr>
        <w:t>ho, a teda pri otc</w:t>
      </w:r>
      <w:r>
        <w:rPr>
          <w:rFonts w:hint="default"/>
        </w:rPr>
        <w:t>ovskom bude existovať</w:t>
      </w:r>
      <w:r>
        <w:rPr>
          <w:rFonts w:hint="default"/>
        </w:rPr>
        <w:t xml:space="preserve"> rovnaká</w:t>
      </w:r>
      <w:r>
        <w:rPr>
          <w:rFonts w:hint="default"/>
        </w:rPr>
        <w:t xml:space="preserve"> podmienka poistenia (270 dní</w:t>
      </w:r>
      <w:r w:rsidR="0065169E">
        <w:rPr>
          <w:rFonts w:hint="default"/>
        </w:rPr>
        <w:t>), ako aj rovnaká</w:t>
      </w:r>
      <w:r w:rsidR="0065169E">
        <w:rPr>
          <w:rFonts w:hint="default"/>
        </w:rPr>
        <w:t xml:space="preserve"> výš</w:t>
      </w:r>
      <w:r w:rsidR="0065169E">
        <w:rPr>
          <w:rFonts w:hint="default"/>
        </w:rPr>
        <w:t>ka za deň</w:t>
      </w:r>
      <w:r w:rsidR="0065169E">
        <w:rPr>
          <w:rFonts w:hint="default"/>
        </w:rPr>
        <w:t xml:space="preserve"> (75 % denné</w:t>
      </w:r>
      <w:r w:rsidR="0065169E">
        <w:rPr>
          <w:rFonts w:hint="default"/>
        </w:rPr>
        <w:t>ho vymeriavacieho zá</w:t>
      </w:r>
      <w:r w:rsidR="0065169E">
        <w:rPr>
          <w:rFonts w:hint="default"/>
        </w:rPr>
        <w:t>kladu).</w:t>
      </w:r>
    </w:p>
    <w:p w:rsidR="0065169E" w:rsidP="0065169E">
      <w:pPr>
        <w:bidi w:val="0"/>
        <w:jc w:val="both"/>
      </w:pPr>
    </w:p>
    <w:p w:rsidR="0065169E" w:rsidRPr="0065169E" w:rsidP="0065169E">
      <w:pPr>
        <w:bidi w:val="0"/>
        <w:jc w:val="both"/>
        <w:rPr>
          <w:b/>
        </w:rPr>
      </w:pPr>
      <w:r w:rsidRPr="0065169E">
        <w:rPr>
          <w:b/>
        </w:rPr>
        <w:t>K bodu 3</w:t>
      </w:r>
    </w:p>
    <w:p w:rsidR="0065169E" w:rsidP="0065169E">
      <w:pPr>
        <w:bidi w:val="0"/>
        <w:jc w:val="both"/>
      </w:pPr>
    </w:p>
    <w:p w:rsidR="0065169E" w:rsidP="0065169E">
      <w:pPr>
        <w:bidi w:val="0"/>
        <w:jc w:val="both"/>
        <w:rPr>
          <w:rFonts w:hint="default"/>
        </w:rPr>
      </w:pPr>
      <w:r>
        <w:rPr>
          <w:rFonts w:hint="default"/>
        </w:rPr>
        <w:t>Navrhuje sa, aby poistenec nemal ná</w:t>
      </w:r>
      <w:r>
        <w:rPr>
          <w:rFonts w:hint="default"/>
        </w:rPr>
        <w:t>rok na vý</w:t>
      </w:r>
      <w:r>
        <w:rPr>
          <w:rFonts w:hint="default"/>
        </w:rPr>
        <w:t>platu dá</w:t>
      </w:r>
      <w:r>
        <w:rPr>
          <w:rFonts w:hint="default"/>
        </w:rPr>
        <w:t>vky v </w:t>
      </w:r>
      <w:r>
        <w:rPr>
          <w:rFonts w:hint="default"/>
        </w:rPr>
        <w:t>nezamestnanosti za dni, poč</w:t>
      </w:r>
      <w:r>
        <w:rPr>
          <w:rFonts w:hint="default"/>
        </w:rPr>
        <w:t>as ktorý</w:t>
      </w:r>
      <w:r>
        <w:rPr>
          <w:rFonts w:hint="default"/>
        </w:rPr>
        <w:t>ch sa mu vyplá</w:t>
      </w:r>
      <w:r>
        <w:rPr>
          <w:rFonts w:hint="default"/>
        </w:rPr>
        <w:t>ca otcovsk</w:t>
      </w:r>
      <w:r>
        <w:rPr>
          <w:rFonts w:hint="default"/>
        </w:rPr>
        <w:t>é</w:t>
      </w:r>
      <w:r>
        <w:rPr>
          <w:rFonts w:hint="default"/>
        </w:rPr>
        <w:t>. Rovnaké</w:t>
      </w:r>
      <w:r>
        <w:rPr>
          <w:rFonts w:hint="default"/>
        </w:rPr>
        <w:t xml:space="preserve"> obmedzenie existuje už</w:t>
      </w:r>
      <w:r>
        <w:rPr>
          <w:rFonts w:hint="default"/>
        </w:rPr>
        <w:t xml:space="preserve"> dnes pri materskom.</w:t>
      </w:r>
    </w:p>
    <w:p w:rsidR="0065169E" w:rsidP="0065169E">
      <w:pPr>
        <w:bidi w:val="0"/>
        <w:jc w:val="both"/>
        <w:rPr>
          <w:rFonts w:hint="default"/>
        </w:rPr>
      </w:pPr>
    </w:p>
    <w:p w:rsidR="0065169E" w:rsidRPr="0065169E" w:rsidP="0065169E">
      <w:pPr>
        <w:bidi w:val="0"/>
        <w:jc w:val="both"/>
        <w:rPr>
          <w:b/>
        </w:rPr>
      </w:pPr>
      <w:r w:rsidRPr="0065169E">
        <w:rPr>
          <w:b/>
        </w:rPr>
        <w:t>K bodu 4</w:t>
      </w:r>
    </w:p>
    <w:p w:rsidR="0065169E" w:rsidP="0065169E">
      <w:pPr>
        <w:bidi w:val="0"/>
        <w:jc w:val="both"/>
      </w:pPr>
    </w:p>
    <w:p w:rsidR="0065169E" w:rsidP="0065169E">
      <w:pPr>
        <w:bidi w:val="0"/>
        <w:jc w:val="both"/>
        <w:rPr>
          <w:rFonts w:hint="default"/>
        </w:rPr>
      </w:pPr>
      <w:r>
        <w:t>V </w:t>
      </w:r>
      <w:r>
        <w:rPr>
          <w:rFonts w:hint="default"/>
        </w:rPr>
        <w:t>období</w:t>
      </w:r>
      <w:r>
        <w:rPr>
          <w:rFonts w:hint="default"/>
        </w:rPr>
        <w:t>, keď</w:t>
      </w:r>
      <w:r>
        <w:rPr>
          <w:rFonts w:hint="default"/>
        </w:rPr>
        <w:t xml:space="preserve"> sa vymedzené</w:t>
      </w:r>
      <w:r>
        <w:rPr>
          <w:rFonts w:hint="default"/>
        </w:rPr>
        <w:t>mu okruhu fyzický</w:t>
      </w:r>
      <w:r>
        <w:rPr>
          <w:rFonts w:hint="default"/>
        </w:rPr>
        <w:t>ch osô</w:t>
      </w:r>
      <w:r>
        <w:rPr>
          <w:rFonts w:hint="default"/>
        </w:rPr>
        <w:t>b poskytuje materské</w:t>
      </w:r>
      <w:r>
        <w:rPr>
          <w:rFonts w:hint="default"/>
        </w:rPr>
        <w:t>, platí</w:t>
      </w:r>
      <w:r>
        <w:rPr>
          <w:rFonts w:hint="default"/>
        </w:rPr>
        <w:t xml:space="preserve"> za ň</w:t>
      </w:r>
      <w:r>
        <w:rPr>
          <w:rFonts w:hint="default"/>
        </w:rPr>
        <w:t>u poistné</w:t>
      </w:r>
      <w:r>
        <w:rPr>
          <w:rFonts w:hint="default"/>
        </w:rPr>
        <w:t xml:space="preserve"> na starobné</w:t>
      </w:r>
      <w:r>
        <w:rPr>
          <w:rFonts w:hint="default"/>
        </w:rPr>
        <w:t xml:space="preserve"> poistenie, invalidné</w:t>
      </w:r>
      <w:r>
        <w:rPr>
          <w:rFonts w:hint="default"/>
        </w:rPr>
        <w:t xml:space="preserve"> poistenie a </w:t>
      </w:r>
      <w:r>
        <w:rPr>
          <w:rFonts w:hint="default"/>
        </w:rPr>
        <w:t>poistné</w:t>
      </w:r>
      <w:r>
        <w:rPr>
          <w:rFonts w:hint="default"/>
        </w:rPr>
        <w:t xml:space="preserve"> do rezervné</w:t>
      </w:r>
      <w:r>
        <w:rPr>
          <w:rFonts w:hint="default"/>
        </w:rPr>
        <w:t>ho fondu solidarity š</w:t>
      </w:r>
      <w:r>
        <w:rPr>
          <w:rFonts w:hint="default"/>
        </w:rPr>
        <w:t>tá</w:t>
      </w:r>
      <w:r>
        <w:rPr>
          <w:rFonts w:hint="default"/>
        </w:rPr>
        <w:t>t. Poč</w:t>
      </w:r>
      <w:r>
        <w:rPr>
          <w:rFonts w:hint="default"/>
        </w:rPr>
        <w:t>as 14-d</w:t>
      </w:r>
      <w:r>
        <w:rPr>
          <w:rFonts w:hint="default"/>
        </w:rPr>
        <w:t>ň</w:t>
      </w:r>
      <w:r>
        <w:rPr>
          <w:rFonts w:hint="default"/>
        </w:rPr>
        <w:t>ové</w:t>
      </w:r>
      <w:r>
        <w:rPr>
          <w:rFonts w:hint="default"/>
        </w:rPr>
        <w:t>ho obdobia poberania otcovské</w:t>
      </w:r>
      <w:r>
        <w:rPr>
          <w:rFonts w:hint="default"/>
        </w:rPr>
        <w:t>ho bude platiť</w:t>
      </w:r>
      <w:r>
        <w:rPr>
          <w:rFonts w:hint="default"/>
        </w:rPr>
        <w:t xml:space="preserve"> rovnaká</w:t>
      </w:r>
      <w:r>
        <w:rPr>
          <w:rFonts w:hint="default"/>
        </w:rPr>
        <w:t xml:space="preserve"> ú</w:t>
      </w:r>
      <w:r>
        <w:rPr>
          <w:rFonts w:hint="default"/>
        </w:rPr>
        <w:t>prava aj pri otcovskom.</w:t>
      </w:r>
    </w:p>
    <w:p w:rsidR="0065169E" w:rsidP="0065169E">
      <w:pPr>
        <w:bidi w:val="0"/>
        <w:jc w:val="both"/>
        <w:rPr>
          <w:rFonts w:hint="default"/>
        </w:rPr>
      </w:pPr>
    </w:p>
    <w:p w:rsidR="0065169E" w:rsidRPr="0065169E" w:rsidP="0065169E">
      <w:pPr>
        <w:bidi w:val="0"/>
        <w:jc w:val="both"/>
        <w:rPr>
          <w:b/>
        </w:rPr>
      </w:pPr>
      <w:r w:rsidRPr="0065169E">
        <w:rPr>
          <w:b/>
        </w:rPr>
        <w:t>K </w:t>
      </w:r>
      <w:r w:rsidR="00C7568B">
        <w:rPr>
          <w:b/>
        </w:rPr>
        <w:t>bodom</w:t>
      </w:r>
      <w:r w:rsidRPr="0065169E">
        <w:rPr>
          <w:b/>
        </w:rPr>
        <w:t xml:space="preserve"> 5 a 6</w:t>
      </w:r>
    </w:p>
    <w:p w:rsidR="0065169E" w:rsidP="0065169E">
      <w:pPr>
        <w:bidi w:val="0"/>
        <w:jc w:val="both"/>
      </w:pPr>
    </w:p>
    <w:p w:rsidR="0065169E" w:rsidP="0065169E">
      <w:pPr>
        <w:bidi w:val="0"/>
        <w:jc w:val="both"/>
        <w:rPr>
          <w:rFonts w:hint="default"/>
        </w:rPr>
      </w:pPr>
      <w:r>
        <w:rPr>
          <w:rFonts w:hint="default"/>
        </w:rPr>
        <w:t>Legislatí</w:t>
      </w:r>
      <w:r>
        <w:rPr>
          <w:rFonts w:hint="default"/>
        </w:rPr>
        <w:t>vno-technická</w:t>
      </w:r>
      <w:r>
        <w:rPr>
          <w:rFonts w:hint="default"/>
        </w:rPr>
        <w:t xml:space="preserve"> ú</w:t>
      </w:r>
      <w:r>
        <w:rPr>
          <w:rFonts w:hint="default"/>
        </w:rPr>
        <w:t>prava nadvä</w:t>
      </w:r>
      <w:r>
        <w:rPr>
          <w:rFonts w:hint="default"/>
        </w:rPr>
        <w:t>zujú</w:t>
      </w:r>
      <w:r>
        <w:rPr>
          <w:rFonts w:hint="default"/>
        </w:rPr>
        <w:t>ca na predchá</w:t>
      </w:r>
      <w:r>
        <w:rPr>
          <w:rFonts w:hint="default"/>
        </w:rPr>
        <w:t>dzajú</w:t>
      </w:r>
      <w:r>
        <w:rPr>
          <w:rFonts w:hint="default"/>
        </w:rPr>
        <w:t>ce novelizač</w:t>
      </w:r>
      <w:r>
        <w:rPr>
          <w:rFonts w:hint="default"/>
        </w:rPr>
        <w:t>né</w:t>
      </w:r>
      <w:r>
        <w:rPr>
          <w:rFonts w:hint="default"/>
        </w:rPr>
        <w:t xml:space="preserve"> body.</w:t>
      </w:r>
    </w:p>
    <w:p w:rsidR="00C7568B" w:rsidP="0065169E">
      <w:pPr>
        <w:bidi w:val="0"/>
        <w:jc w:val="both"/>
      </w:pPr>
    </w:p>
    <w:p w:rsidR="00C7568B" w:rsidRPr="00FD4097" w:rsidP="0065169E">
      <w:pPr>
        <w:bidi w:val="0"/>
        <w:jc w:val="both"/>
        <w:rPr>
          <w:b/>
        </w:rPr>
      </w:pPr>
      <w:r w:rsidRPr="00FD4097">
        <w:rPr>
          <w:b/>
        </w:rPr>
        <w:t>K bodu 7</w:t>
      </w:r>
    </w:p>
    <w:p w:rsidR="00FD4097" w:rsidP="0065169E">
      <w:pPr>
        <w:bidi w:val="0"/>
        <w:jc w:val="both"/>
      </w:pPr>
    </w:p>
    <w:p w:rsidR="00FD4097" w:rsidP="00FD4097">
      <w:pPr>
        <w:bidi w:val="0"/>
        <w:jc w:val="both"/>
        <w:rPr>
          <w:b/>
          <w:u w:val="single"/>
        </w:rPr>
      </w:pPr>
      <w:r>
        <w:rPr>
          <w:rFonts w:hint="default"/>
        </w:rPr>
        <w:t>Oznamovacia povinnosť</w:t>
      </w:r>
      <w:r>
        <w:rPr>
          <w:rFonts w:hint="default"/>
        </w:rPr>
        <w:t xml:space="preserve"> zamestná</w:t>
      </w:r>
      <w:r>
        <w:rPr>
          <w:rFonts w:hint="default"/>
        </w:rPr>
        <w:t>vateľ</w:t>
      </w:r>
      <w:r>
        <w:rPr>
          <w:rFonts w:hint="default"/>
        </w:rPr>
        <w:t>a smerom k </w:t>
      </w:r>
      <w:r>
        <w:rPr>
          <w:rFonts w:hint="default"/>
        </w:rPr>
        <w:t>poboč</w:t>
      </w:r>
      <w:r>
        <w:rPr>
          <w:rFonts w:hint="default"/>
        </w:rPr>
        <w:t>ke sociá</w:t>
      </w:r>
      <w:r>
        <w:rPr>
          <w:rFonts w:hint="default"/>
        </w:rPr>
        <w:t xml:space="preserve">lnej </w:t>
      </w:r>
      <w:r>
        <w:rPr>
          <w:rFonts w:hint="default"/>
        </w:rPr>
        <w:t>poisť</w:t>
      </w:r>
      <w:r>
        <w:rPr>
          <w:rFonts w:hint="default"/>
        </w:rPr>
        <w:t>ovne sa rozš</w:t>
      </w:r>
      <w:r>
        <w:rPr>
          <w:rFonts w:hint="default"/>
        </w:rPr>
        <w:t>iruje o </w:t>
      </w:r>
      <w:r>
        <w:rPr>
          <w:rFonts w:hint="default"/>
        </w:rPr>
        <w:t>prí</w:t>
      </w:r>
      <w:r>
        <w:rPr>
          <w:rFonts w:hint="default"/>
        </w:rPr>
        <w:t>pad zamestnanca s </w:t>
      </w:r>
      <w:r>
        <w:rPr>
          <w:rFonts w:hint="default"/>
        </w:rPr>
        <w:t>otcovský</w:t>
      </w:r>
      <w:r>
        <w:rPr>
          <w:rFonts w:hint="default"/>
        </w:rPr>
        <w:t>m.</w:t>
      </w:r>
    </w:p>
    <w:p w:rsidR="00FD4097" w:rsidP="00FE122E">
      <w:pPr>
        <w:bidi w:val="0"/>
        <w:rPr>
          <w:b/>
          <w:u w:val="single"/>
        </w:rPr>
      </w:pPr>
    </w:p>
    <w:p w:rsidR="00913923" w:rsidP="00EE7B57">
      <w:pPr>
        <w:bidi w:val="0"/>
        <w:jc w:val="both"/>
        <w:rPr>
          <w:b/>
          <w:u w:val="single"/>
        </w:rPr>
      </w:pPr>
      <w:r w:rsidRPr="00364BEB" w:rsidR="00364BEB">
        <w:rPr>
          <w:b/>
          <w:u w:val="single"/>
        </w:rPr>
        <w:t>K </w:t>
      </w:r>
      <w:r w:rsidRPr="00364BEB" w:rsidR="00364BEB">
        <w:rPr>
          <w:rFonts w:hint="default"/>
          <w:b/>
          <w:u w:val="single"/>
        </w:rPr>
        <w:t>Č</w:t>
      </w:r>
      <w:r w:rsidRPr="00364BEB" w:rsidR="00364BEB">
        <w:rPr>
          <w:rFonts w:hint="default"/>
          <w:b/>
          <w:u w:val="single"/>
        </w:rPr>
        <w:t>l. II</w:t>
      </w:r>
    </w:p>
    <w:p w:rsidR="005063AF" w:rsidP="00EE7B57">
      <w:pPr>
        <w:bidi w:val="0"/>
        <w:jc w:val="both"/>
        <w:rPr>
          <w:b/>
          <w:u w:val="single"/>
        </w:rPr>
      </w:pPr>
    </w:p>
    <w:p w:rsidR="005276B0" w:rsidRPr="005063AF" w:rsidP="00EE7B57">
      <w:pPr>
        <w:bidi w:val="0"/>
        <w:jc w:val="both"/>
        <w:rPr>
          <w:b/>
        </w:rPr>
      </w:pPr>
      <w:r w:rsidR="009970DE">
        <w:rPr>
          <w:rFonts w:hint="default"/>
        </w:rPr>
        <w:t>Obdobie poberania otcovské</w:t>
      </w:r>
      <w:r w:rsidR="009970DE">
        <w:rPr>
          <w:rFonts w:hint="default"/>
        </w:rPr>
        <w:t>ho sa navrhuje zaradiť</w:t>
      </w:r>
      <w:r w:rsidR="009970DE">
        <w:rPr>
          <w:rFonts w:hint="default"/>
        </w:rPr>
        <w:t xml:space="preserve"> medzi dô</w:t>
      </w:r>
      <w:r w:rsidR="009970DE">
        <w:rPr>
          <w:rFonts w:hint="default"/>
        </w:rPr>
        <w:t>lež</w:t>
      </w:r>
      <w:r w:rsidR="009970DE">
        <w:rPr>
          <w:rFonts w:hint="default"/>
        </w:rPr>
        <w:t>ité</w:t>
      </w:r>
      <w:r w:rsidR="009970DE">
        <w:rPr>
          <w:rFonts w:hint="default"/>
        </w:rPr>
        <w:t xml:space="preserve"> osobné</w:t>
      </w:r>
      <w:r w:rsidR="009970DE">
        <w:rPr>
          <w:rFonts w:hint="default"/>
        </w:rPr>
        <w:t xml:space="preserve"> prekáž</w:t>
      </w:r>
      <w:r w:rsidR="009970DE">
        <w:rPr>
          <w:rFonts w:hint="default"/>
        </w:rPr>
        <w:t>ky v </w:t>
      </w:r>
      <w:r w:rsidR="009970DE">
        <w:rPr>
          <w:rFonts w:hint="default"/>
        </w:rPr>
        <w:t>prá</w:t>
      </w:r>
      <w:r w:rsidR="009970DE">
        <w:rPr>
          <w:rFonts w:hint="default"/>
        </w:rPr>
        <w:t>ci.</w:t>
      </w:r>
    </w:p>
    <w:p w:rsidR="00364BEB" w:rsidP="00EE7B57">
      <w:pPr>
        <w:bidi w:val="0"/>
        <w:jc w:val="both"/>
        <w:rPr>
          <w:b/>
          <w:u w:val="single"/>
        </w:rPr>
      </w:pPr>
    </w:p>
    <w:p w:rsidR="00E7579F" w:rsidP="00EE7B57">
      <w:pPr>
        <w:bidi w:val="0"/>
        <w:jc w:val="both"/>
        <w:rPr>
          <w:b/>
          <w:u w:val="single"/>
        </w:rPr>
      </w:pPr>
      <w:r w:rsidRPr="00E7579F">
        <w:rPr>
          <w:b/>
          <w:u w:val="single"/>
        </w:rPr>
        <w:t>K </w:t>
      </w:r>
      <w:r w:rsidRPr="00E7579F">
        <w:rPr>
          <w:rFonts w:hint="default"/>
          <w:b/>
          <w:u w:val="single"/>
        </w:rPr>
        <w:t>Č</w:t>
      </w:r>
      <w:r w:rsidRPr="00E7579F">
        <w:rPr>
          <w:rFonts w:hint="default"/>
          <w:b/>
          <w:u w:val="single"/>
        </w:rPr>
        <w:t>l. II</w:t>
      </w:r>
      <w:r w:rsidR="00364BEB">
        <w:rPr>
          <w:b/>
          <w:u w:val="single"/>
        </w:rPr>
        <w:t>I</w:t>
      </w:r>
    </w:p>
    <w:p w:rsidR="00FD4097" w:rsidP="00EE7B57">
      <w:pPr>
        <w:bidi w:val="0"/>
        <w:jc w:val="both"/>
        <w:rPr>
          <w:b/>
          <w:u w:val="single"/>
        </w:rPr>
      </w:pPr>
    </w:p>
    <w:p w:rsidR="00FD4097" w:rsidRPr="00BF175C" w:rsidP="00EE7B57">
      <w:pPr>
        <w:bidi w:val="0"/>
        <w:jc w:val="both"/>
        <w:rPr>
          <w:b/>
        </w:rPr>
      </w:pPr>
      <w:r w:rsidRPr="00BF175C">
        <w:rPr>
          <w:b/>
        </w:rPr>
        <w:t>K bodu 1</w:t>
      </w:r>
    </w:p>
    <w:p w:rsidR="00FD4097" w:rsidP="00EE7B57">
      <w:pPr>
        <w:bidi w:val="0"/>
        <w:jc w:val="both"/>
      </w:pPr>
    </w:p>
    <w:p w:rsidR="00FD4097" w:rsidP="00EE7B57">
      <w:pPr>
        <w:bidi w:val="0"/>
        <w:jc w:val="both"/>
      </w:pPr>
      <w:r w:rsidR="00BF175C">
        <w:rPr>
          <w:rFonts w:hint="default"/>
        </w:rPr>
        <w:t>Keďž</w:t>
      </w:r>
      <w:r w:rsidR="00BF175C">
        <w:rPr>
          <w:rFonts w:hint="default"/>
        </w:rPr>
        <w:t>e sociá</w:t>
      </w:r>
      <w:r w:rsidR="00BF175C">
        <w:rPr>
          <w:rFonts w:hint="default"/>
        </w:rPr>
        <w:t>lne zabezpeč</w:t>
      </w:r>
      <w:r w:rsidR="00BF175C">
        <w:rPr>
          <w:rFonts w:hint="default"/>
        </w:rPr>
        <w:t>enie policajtov a </w:t>
      </w:r>
      <w:r w:rsidR="00BF175C">
        <w:rPr>
          <w:rFonts w:hint="default"/>
        </w:rPr>
        <w:t>vojakov je upravené</w:t>
      </w:r>
      <w:r w:rsidR="00BF175C">
        <w:rPr>
          <w:rFonts w:hint="default"/>
        </w:rPr>
        <w:t xml:space="preserve"> osobitný</w:t>
      </w:r>
      <w:r w:rsidR="00BF175C">
        <w:rPr>
          <w:rFonts w:hint="default"/>
        </w:rPr>
        <w:t xml:space="preserve">m </w:t>
      </w:r>
      <w:r w:rsidR="00BF175C">
        <w:rPr>
          <w:rFonts w:hint="default"/>
        </w:rPr>
        <w:t>zá</w:t>
      </w:r>
      <w:r w:rsidR="00BF175C">
        <w:rPr>
          <w:rFonts w:hint="default"/>
        </w:rPr>
        <w:t>konom, v </w:t>
      </w:r>
      <w:r w:rsidR="00BF175C">
        <w:rPr>
          <w:rFonts w:hint="default"/>
        </w:rPr>
        <w:t>zá</w:t>
      </w:r>
      <w:r w:rsidR="00BF175C">
        <w:rPr>
          <w:rFonts w:hint="default"/>
        </w:rPr>
        <w:t>ujme vš</w:t>
      </w:r>
      <w:r w:rsidR="00BF175C">
        <w:rPr>
          <w:rFonts w:hint="default"/>
        </w:rPr>
        <w:t>eobecné</w:t>
      </w:r>
      <w:r w:rsidR="00BF175C">
        <w:rPr>
          <w:rFonts w:hint="default"/>
        </w:rPr>
        <w:t>ho zavedenia otcovské</w:t>
      </w:r>
      <w:r w:rsidR="00BF175C">
        <w:rPr>
          <w:rFonts w:hint="default"/>
        </w:rPr>
        <w:t>ho v </w:t>
      </w:r>
      <w:r w:rsidR="00BF175C">
        <w:rPr>
          <w:rFonts w:hint="default"/>
        </w:rPr>
        <w:t>systé</w:t>
      </w:r>
      <w:r w:rsidR="00BF175C">
        <w:rPr>
          <w:rFonts w:hint="default"/>
        </w:rPr>
        <w:t>me sociá</w:t>
      </w:r>
      <w:r w:rsidR="00BF175C">
        <w:rPr>
          <w:rFonts w:hint="default"/>
        </w:rPr>
        <w:t>lneho zabezpeč</w:t>
      </w:r>
      <w:r w:rsidR="00BF175C">
        <w:rPr>
          <w:rFonts w:hint="default"/>
        </w:rPr>
        <w:t>enia je potrebné</w:t>
      </w:r>
      <w:r w:rsidR="00BF175C">
        <w:rPr>
          <w:rFonts w:hint="default"/>
        </w:rPr>
        <w:t xml:space="preserve"> novelizovať</w:t>
      </w:r>
      <w:r w:rsidR="00BF175C">
        <w:rPr>
          <w:rFonts w:hint="default"/>
        </w:rPr>
        <w:t xml:space="preserve"> aj zá</w:t>
      </w:r>
      <w:r w:rsidR="00BF175C">
        <w:rPr>
          <w:rFonts w:hint="default"/>
        </w:rPr>
        <w:t>kon č</w:t>
      </w:r>
      <w:r w:rsidR="00BF175C">
        <w:rPr>
          <w:rFonts w:hint="default"/>
        </w:rPr>
        <w:t>. 328/2002 Z. z.</w:t>
      </w:r>
    </w:p>
    <w:p w:rsidR="00BF175C" w:rsidP="00EE7B57">
      <w:pPr>
        <w:bidi w:val="0"/>
        <w:jc w:val="both"/>
      </w:pPr>
    </w:p>
    <w:p w:rsidR="00BF175C" w:rsidRPr="00BF175C" w:rsidP="00BF175C">
      <w:pPr>
        <w:bidi w:val="0"/>
        <w:jc w:val="both"/>
        <w:rPr>
          <w:b/>
        </w:rPr>
      </w:pPr>
      <w:r w:rsidRPr="00BF175C">
        <w:rPr>
          <w:b/>
        </w:rPr>
        <w:t>K bodu 2</w:t>
      </w:r>
    </w:p>
    <w:p w:rsidR="00BF175C" w:rsidP="00BF175C">
      <w:pPr>
        <w:bidi w:val="0"/>
        <w:jc w:val="both"/>
        <w:rPr>
          <w:rFonts w:hint="default"/>
        </w:rPr>
      </w:pPr>
      <w:r>
        <w:rPr>
          <w:rFonts w:hint="default"/>
        </w:rPr>
        <w:t>Navrhuje sa zaviesť</w:t>
      </w:r>
      <w:r>
        <w:rPr>
          <w:rFonts w:hint="default"/>
        </w:rPr>
        <w:t xml:space="preserve"> otcovské</w:t>
      </w:r>
      <w:r>
        <w:rPr>
          <w:rFonts w:hint="default"/>
        </w:rPr>
        <w:t xml:space="preserve"> obdobný</w:t>
      </w:r>
      <w:r>
        <w:rPr>
          <w:rFonts w:hint="default"/>
        </w:rPr>
        <w:t>m spô</w:t>
      </w:r>
      <w:r>
        <w:rPr>
          <w:rFonts w:hint="default"/>
        </w:rPr>
        <w:t>sobom ako v </w:t>
      </w:r>
      <w:r>
        <w:rPr>
          <w:rFonts w:hint="default"/>
        </w:rPr>
        <w:t>zá</w:t>
      </w:r>
      <w:r>
        <w:rPr>
          <w:rFonts w:hint="default"/>
        </w:rPr>
        <w:t>kone o </w:t>
      </w:r>
      <w:r>
        <w:rPr>
          <w:rFonts w:hint="default"/>
        </w:rPr>
        <w:t>sociá</w:t>
      </w:r>
      <w:r>
        <w:rPr>
          <w:rFonts w:hint="default"/>
        </w:rPr>
        <w:t>lnom poistení.</w:t>
      </w:r>
    </w:p>
    <w:p w:rsidR="00BF175C" w:rsidP="00BF175C">
      <w:pPr>
        <w:bidi w:val="0"/>
        <w:jc w:val="both"/>
        <w:rPr>
          <w:rFonts w:hint="default"/>
        </w:rPr>
      </w:pPr>
    </w:p>
    <w:p w:rsidR="00BF175C" w:rsidRPr="00BF175C" w:rsidP="00BF175C">
      <w:pPr>
        <w:bidi w:val="0"/>
        <w:jc w:val="both"/>
        <w:rPr>
          <w:b/>
        </w:rPr>
      </w:pPr>
      <w:r w:rsidRPr="00BF175C">
        <w:rPr>
          <w:b/>
        </w:rPr>
        <w:t>K bodom 3 a 4</w:t>
      </w:r>
    </w:p>
    <w:p w:rsidR="00BF175C" w:rsidP="00BF175C">
      <w:pPr>
        <w:bidi w:val="0"/>
        <w:jc w:val="both"/>
      </w:pPr>
    </w:p>
    <w:p w:rsidR="00BF175C" w:rsidP="00BF175C">
      <w:pPr>
        <w:bidi w:val="0"/>
        <w:jc w:val="both"/>
        <w:rPr>
          <w:rFonts w:hint="default"/>
        </w:rPr>
      </w:pPr>
      <w:r>
        <w:t>Do doby trva</w:t>
      </w:r>
      <w:r>
        <w:rPr>
          <w:rFonts w:hint="default"/>
        </w:rPr>
        <w:t>nia služ</w:t>
      </w:r>
      <w:r>
        <w:rPr>
          <w:rFonts w:hint="default"/>
        </w:rPr>
        <w:t>obné</w:t>
      </w:r>
      <w:r>
        <w:rPr>
          <w:rFonts w:hint="default"/>
        </w:rPr>
        <w:t>ho pomeru policajta a </w:t>
      </w:r>
      <w:r>
        <w:rPr>
          <w:rFonts w:hint="default"/>
        </w:rPr>
        <w:t>profesioná</w:t>
      </w:r>
      <w:r>
        <w:rPr>
          <w:rFonts w:hint="default"/>
        </w:rPr>
        <w:t>lneho vojaka sa dnes započí</w:t>
      </w:r>
      <w:r>
        <w:rPr>
          <w:rFonts w:hint="default"/>
        </w:rPr>
        <w:t>tava aj materská</w:t>
      </w:r>
      <w:r>
        <w:rPr>
          <w:rFonts w:hint="default"/>
        </w:rPr>
        <w:t xml:space="preserve"> dovolenka. Navrhuje sa preto, aby rovnaký</w:t>
      </w:r>
      <w:r>
        <w:rPr>
          <w:rFonts w:hint="default"/>
        </w:rPr>
        <w:t xml:space="preserve"> princí</w:t>
      </w:r>
      <w:r>
        <w:rPr>
          <w:rFonts w:hint="default"/>
        </w:rPr>
        <w:t>p platil poč</w:t>
      </w:r>
      <w:r>
        <w:rPr>
          <w:rFonts w:hint="default"/>
        </w:rPr>
        <w:t>as poberania otcovské</w:t>
      </w:r>
      <w:r>
        <w:rPr>
          <w:rFonts w:hint="default"/>
        </w:rPr>
        <w:t>ho.</w:t>
      </w:r>
    </w:p>
    <w:p w:rsidR="00AF10B0" w:rsidP="00BF175C">
      <w:pPr>
        <w:bidi w:val="0"/>
        <w:jc w:val="both"/>
      </w:pPr>
    </w:p>
    <w:p w:rsidR="00AF10B0" w:rsidRPr="00AF10B0" w:rsidP="00BF175C">
      <w:pPr>
        <w:bidi w:val="0"/>
        <w:jc w:val="both"/>
        <w:rPr>
          <w:b/>
        </w:rPr>
      </w:pPr>
      <w:r w:rsidRPr="00AF10B0">
        <w:rPr>
          <w:b/>
        </w:rPr>
        <w:t>K bodu 5</w:t>
      </w:r>
    </w:p>
    <w:p w:rsidR="00AF10B0" w:rsidP="00BF175C">
      <w:pPr>
        <w:bidi w:val="0"/>
        <w:jc w:val="both"/>
      </w:pPr>
    </w:p>
    <w:p w:rsidR="00AF10B0" w:rsidP="00BF175C">
      <w:pPr>
        <w:bidi w:val="0"/>
        <w:jc w:val="both"/>
        <w:rPr>
          <w:rFonts w:hint="default"/>
        </w:rPr>
      </w:pPr>
      <w:r w:rsidRPr="00AF10B0">
        <w:rPr>
          <w:rFonts w:hint="default"/>
        </w:rPr>
        <w:t>Pri sú</w:t>
      </w:r>
      <w:r w:rsidRPr="00AF10B0">
        <w:rPr>
          <w:rFonts w:hint="default"/>
        </w:rPr>
        <w:t>behu ná</w:t>
      </w:r>
      <w:r w:rsidRPr="00AF10B0">
        <w:rPr>
          <w:rFonts w:hint="default"/>
        </w:rPr>
        <w:t>roku na materské</w:t>
      </w:r>
      <w:r w:rsidRPr="00AF10B0">
        <w:rPr>
          <w:rFonts w:hint="default"/>
        </w:rPr>
        <w:t xml:space="preserve"> a na vý</w:t>
      </w:r>
      <w:r w:rsidRPr="00AF10B0">
        <w:rPr>
          <w:rFonts w:hint="default"/>
        </w:rPr>
        <w:t>s</w:t>
      </w:r>
      <w:r>
        <w:rPr>
          <w:rFonts w:hint="default"/>
        </w:rPr>
        <w:t>luhový</w:t>
      </w:r>
      <w:r>
        <w:rPr>
          <w:rFonts w:hint="default"/>
        </w:rPr>
        <w:t xml:space="preserve"> prí</w:t>
      </w:r>
      <w:r>
        <w:rPr>
          <w:rFonts w:hint="default"/>
        </w:rPr>
        <w:t>spevok majú</w:t>
      </w:r>
      <w:r>
        <w:rPr>
          <w:rFonts w:hint="default"/>
        </w:rPr>
        <w:t xml:space="preserve"> policajt a </w:t>
      </w:r>
      <w:r w:rsidRPr="00AF10B0">
        <w:rPr>
          <w:rFonts w:hint="default"/>
        </w:rPr>
        <w:t>profesioná</w:t>
      </w:r>
      <w:r w:rsidRPr="00AF10B0">
        <w:rPr>
          <w:rFonts w:hint="default"/>
        </w:rPr>
        <w:t>lny vojak ná</w:t>
      </w:r>
      <w:r w:rsidRPr="00AF10B0">
        <w:rPr>
          <w:rFonts w:hint="default"/>
        </w:rPr>
        <w:t>rok na vý</w:t>
      </w:r>
      <w:r w:rsidRPr="00AF10B0">
        <w:rPr>
          <w:rFonts w:hint="default"/>
        </w:rPr>
        <w:t>platu len jednej dá</w:t>
      </w:r>
      <w:r w:rsidRPr="00AF10B0">
        <w:rPr>
          <w:rFonts w:hint="default"/>
        </w:rPr>
        <w:t>vky, a to vyšš</w:t>
      </w:r>
      <w:r w:rsidRPr="00AF10B0">
        <w:rPr>
          <w:rFonts w:hint="default"/>
        </w:rPr>
        <w:t>ej.</w:t>
      </w:r>
      <w:r>
        <w:rPr>
          <w:rFonts w:hint="default"/>
        </w:rPr>
        <w:t xml:space="preserve"> Rovnaký</w:t>
      </w:r>
      <w:r>
        <w:rPr>
          <w:rFonts w:hint="default"/>
        </w:rPr>
        <w:t xml:space="preserve"> princí</w:t>
      </w:r>
      <w:r>
        <w:rPr>
          <w:rFonts w:hint="default"/>
        </w:rPr>
        <w:t>p bude platiť</w:t>
      </w:r>
      <w:r>
        <w:rPr>
          <w:rFonts w:hint="default"/>
        </w:rPr>
        <w:t xml:space="preserve"> aj pri č</w:t>
      </w:r>
      <w:r>
        <w:rPr>
          <w:rFonts w:hint="default"/>
        </w:rPr>
        <w:t>erpaní</w:t>
      </w:r>
      <w:r>
        <w:rPr>
          <w:rFonts w:hint="default"/>
        </w:rPr>
        <w:t xml:space="preserve"> otcovské</w:t>
      </w:r>
      <w:r>
        <w:rPr>
          <w:rFonts w:hint="default"/>
        </w:rPr>
        <w:t>ho.</w:t>
      </w:r>
    </w:p>
    <w:p w:rsidR="00AF10B0" w:rsidP="00BF175C">
      <w:pPr>
        <w:bidi w:val="0"/>
        <w:jc w:val="both"/>
        <w:rPr>
          <w:rFonts w:hint="default"/>
        </w:rPr>
      </w:pPr>
    </w:p>
    <w:p w:rsidR="00AF10B0" w:rsidRPr="00AF10B0" w:rsidP="00BF175C">
      <w:pPr>
        <w:bidi w:val="0"/>
        <w:jc w:val="both"/>
        <w:rPr>
          <w:b/>
        </w:rPr>
      </w:pPr>
      <w:r w:rsidRPr="00AF10B0">
        <w:rPr>
          <w:b/>
        </w:rPr>
        <w:t>K bodom 6 a 7</w:t>
      </w:r>
    </w:p>
    <w:p w:rsidR="00AF10B0" w:rsidP="00BF175C">
      <w:pPr>
        <w:bidi w:val="0"/>
        <w:jc w:val="both"/>
      </w:pPr>
    </w:p>
    <w:p w:rsidR="00AF10B0" w:rsidP="00BF175C">
      <w:pPr>
        <w:bidi w:val="0"/>
        <w:jc w:val="both"/>
        <w:rPr>
          <w:rFonts w:hint="default"/>
        </w:rPr>
      </w:pPr>
      <w:r>
        <w:rPr>
          <w:rFonts w:hint="default"/>
        </w:rPr>
        <w:t>Legislatí</w:t>
      </w:r>
      <w:r>
        <w:rPr>
          <w:rFonts w:hint="default"/>
        </w:rPr>
        <w:t>vno-technická</w:t>
      </w:r>
      <w:r>
        <w:rPr>
          <w:rFonts w:hint="default"/>
        </w:rPr>
        <w:t xml:space="preserve"> ú</w:t>
      </w:r>
      <w:r>
        <w:rPr>
          <w:rFonts w:hint="default"/>
        </w:rPr>
        <w:t>prava.</w:t>
      </w:r>
    </w:p>
    <w:p w:rsidR="00BF175C" w:rsidP="00BF175C">
      <w:pPr>
        <w:bidi w:val="0"/>
        <w:jc w:val="both"/>
      </w:pPr>
    </w:p>
    <w:p w:rsidR="0034268B" w:rsidP="00EE7B57">
      <w:pPr>
        <w:bidi w:val="0"/>
        <w:jc w:val="both"/>
        <w:rPr>
          <w:rFonts w:hint="default"/>
          <w:b/>
          <w:u w:val="single"/>
        </w:rPr>
      </w:pPr>
      <w:r>
        <w:rPr>
          <w:b/>
          <w:u w:val="single"/>
        </w:rPr>
        <w:t>K </w:t>
      </w:r>
      <w:r>
        <w:rPr>
          <w:rFonts w:hint="default"/>
          <w:b/>
          <w:u w:val="single"/>
        </w:rPr>
        <w:t>Č</w:t>
      </w:r>
      <w:r>
        <w:rPr>
          <w:rFonts w:hint="default"/>
          <w:b/>
          <w:u w:val="single"/>
        </w:rPr>
        <w:t>l. IV</w:t>
      </w:r>
    </w:p>
    <w:p w:rsidR="00694886" w:rsidP="00EE7B57">
      <w:pPr>
        <w:bidi w:val="0"/>
        <w:jc w:val="both"/>
        <w:rPr>
          <w:b/>
          <w:u w:val="single"/>
        </w:rPr>
      </w:pPr>
    </w:p>
    <w:p w:rsidR="0034268B" w:rsidP="00EE7B57">
      <w:pPr>
        <w:bidi w:val="0"/>
        <w:jc w:val="both"/>
        <w:rPr>
          <w:rFonts w:hint="default"/>
        </w:rPr>
      </w:pPr>
      <w:r w:rsidR="00694886">
        <w:rPr>
          <w:rFonts w:hint="default"/>
        </w:rPr>
        <w:t>Stanovuje sa úč</w:t>
      </w:r>
      <w:r w:rsidR="00694886">
        <w:rPr>
          <w:rFonts w:hint="default"/>
        </w:rPr>
        <w:t>innosť</w:t>
      </w:r>
      <w:r w:rsidR="00694886">
        <w:rPr>
          <w:rFonts w:hint="default"/>
        </w:rPr>
        <w:t xml:space="preserve"> navrhovaný</w:t>
      </w:r>
      <w:r w:rsidR="00694886">
        <w:rPr>
          <w:rFonts w:hint="default"/>
        </w:rPr>
        <w:t>ch zmien</w:t>
      </w:r>
      <w:r w:rsidR="00364BEB">
        <w:t xml:space="preserve"> s </w:t>
      </w:r>
      <w:r w:rsidR="00364BEB">
        <w:rPr>
          <w:rFonts w:hint="default"/>
        </w:rPr>
        <w:t>ohľ</w:t>
      </w:r>
      <w:r w:rsidR="00364BEB">
        <w:rPr>
          <w:rFonts w:hint="default"/>
        </w:rPr>
        <w:t xml:space="preserve">adom na </w:t>
      </w:r>
      <w:r>
        <w:rPr>
          <w:rFonts w:hint="default"/>
        </w:rPr>
        <w:t>mož</w:t>
      </w:r>
      <w:r>
        <w:rPr>
          <w:rFonts w:hint="default"/>
        </w:rPr>
        <w:t>nosť</w:t>
      </w:r>
      <w:r>
        <w:rPr>
          <w:rFonts w:hint="default"/>
        </w:rPr>
        <w:t xml:space="preserve"> zapracovania </w:t>
      </w:r>
      <w:r>
        <w:rPr>
          <w:rFonts w:hint="default"/>
        </w:rPr>
        <w:t>finanč</w:t>
      </w:r>
      <w:r>
        <w:rPr>
          <w:rFonts w:hint="default"/>
        </w:rPr>
        <w:t>ný</w:t>
      </w:r>
      <w:r>
        <w:rPr>
          <w:rFonts w:hint="default"/>
        </w:rPr>
        <w:t>ch dopadov ná</w:t>
      </w:r>
      <w:r>
        <w:rPr>
          <w:rFonts w:hint="default"/>
        </w:rPr>
        <w:t>vrhu zá</w:t>
      </w:r>
      <w:r>
        <w:rPr>
          <w:rFonts w:hint="default"/>
        </w:rPr>
        <w:t>kona v </w:t>
      </w:r>
      <w:r>
        <w:rPr>
          <w:rFonts w:hint="default"/>
        </w:rPr>
        <w:t>rozpoč</w:t>
      </w:r>
      <w:r>
        <w:rPr>
          <w:rFonts w:hint="default"/>
        </w:rPr>
        <w:t>te verejnej sprá</w:t>
      </w:r>
      <w:r>
        <w:rPr>
          <w:rFonts w:hint="default"/>
        </w:rPr>
        <w:t>vy.</w:t>
      </w:r>
    </w:p>
    <w:sectPr w:rsidSect="001A799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94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04F" w:rsidRPr="00FA4094" w:rsidP="00FA4094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94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A99" w:rsidP="0090548E">
      <w:pPr>
        <w:bidi w:val="0"/>
      </w:pPr>
      <w:r>
        <w:separator/>
      </w:r>
    </w:p>
  </w:footnote>
  <w:footnote w:type="continuationSeparator" w:id="1">
    <w:p w:rsidR="00F03A99" w:rsidP="0090548E">
      <w:pPr>
        <w:bidi w:val="0"/>
      </w:pPr>
      <w:r>
        <w:continuationSeparator/>
      </w:r>
    </w:p>
  </w:footnote>
  <w:footnote w:id="2">
    <w:p>
      <w:pPr>
        <w:pStyle w:val="FootnoteText"/>
        <w:bidi w:val="0"/>
        <w:rPr>
          <w:rFonts w:ascii="Times New Roman" w:hAnsi="Times New Roman"/>
        </w:rPr>
      </w:pPr>
      <w:r w:rsidR="00183364">
        <w:rPr>
          <w:rStyle w:val="FootnoteReference"/>
          <w:rFonts w:ascii="Times New Roman" w:hAnsi="Times New Roman"/>
        </w:rPr>
        <w:footnoteRef/>
      </w:r>
      <w:r w:rsidR="00183364">
        <w:rPr>
          <w:rFonts w:ascii="Times New Roman" w:hAnsi="Times New Roman"/>
        </w:rPr>
        <w:t xml:space="preserve"> Zdroj: Ministerstvo práce a sociálnych vecí Českej republiky (2017)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94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94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94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873B12"/>
    <w:rsid w:val="00000576"/>
    <w:rsid w:val="00003D36"/>
    <w:rsid w:val="00006BC4"/>
    <w:rsid w:val="00011A4B"/>
    <w:rsid w:val="0003434F"/>
    <w:rsid w:val="00036F72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B60C7"/>
    <w:rsid w:val="000C77FF"/>
    <w:rsid w:val="000E2096"/>
    <w:rsid w:val="0011019F"/>
    <w:rsid w:val="00111AE5"/>
    <w:rsid w:val="001128E2"/>
    <w:rsid w:val="001223AF"/>
    <w:rsid w:val="001329E3"/>
    <w:rsid w:val="00135169"/>
    <w:rsid w:val="0014355E"/>
    <w:rsid w:val="00150922"/>
    <w:rsid w:val="00151E96"/>
    <w:rsid w:val="00153A2C"/>
    <w:rsid w:val="00154B93"/>
    <w:rsid w:val="00160969"/>
    <w:rsid w:val="0016770E"/>
    <w:rsid w:val="0017622F"/>
    <w:rsid w:val="00183364"/>
    <w:rsid w:val="001844B9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7094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D3038"/>
    <w:rsid w:val="002E0433"/>
    <w:rsid w:val="002E1E6C"/>
    <w:rsid w:val="002F3083"/>
    <w:rsid w:val="00336F95"/>
    <w:rsid w:val="00336FD9"/>
    <w:rsid w:val="003370AC"/>
    <w:rsid w:val="00337B4F"/>
    <w:rsid w:val="003423ED"/>
    <w:rsid w:val="0034268B"/>
    <w:rsid w:val="0034710F"/>
    <w:rsid w:val="00355C4F"/>
    <w:rsid w:val="00364BEB"/>
    <w:rsid w:val="00364C2A"/>
    <w:rsid w:val="00367762"/>
    <w:rsid w:val="003743BC"/>
    <w:rsid w:val="003760BA"/>
    <w:rsid w:val="0037704F"/>
    <w:rsid w:val="00380586"/>
    <w:rsid w:val="003968A7"/>
    <w:rsid w:val="00397539"/>
    <w:rsid w:val="003A284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33FF"/>
    <w:rsid w:val="00484A73"/>
    <w:rsid w:val="004917CB"/>
    <w:rsid w:val="00491A6D"/>
    <w:rsid w:val="004958F3"/>
    <w:rsid w:val="00496F4B"/>
    <w:rsid w:val="004A2751"/>
    <w:rsid w:val="004B0F8E"/>
    <w:rsid w:val="004B626C"/>
    <w:rsid w:val="004B6BA6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063AF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276B0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84C21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169E"/>
    <w:rsid w:val="0065651A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35AB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2539"/>
    <w:rsid w:val="00937B77"/>
    <w:rsid w:val="00962D8A"/>
    <w:rsid w:val="00963DE5"/>
    <w:rsid w:val="00966329"/>
    <w:rsid w:val="009724AF"/>
    <w:rsid w:val="009740D8"/>
    <w:rsid w:val="00977F5D"/>
    <w:rsid w:val="00981CED"/>
    <w:rsid w:val="00982D09"/>
    <w:rsid w:val="00983736"/>
    <w:rsid w:val="00984E2A"/>
    <w:rsid w:val="009850EE"/>
    <w:rsid w:val="009878B3"/>
    <w:rsid w:val="00987D38"/>
    <w:rsid w:val="00991866"/>
    <w:rsid w:val="009970DE"/>
    <w:rsid w:val="009A3C33"/>
    <w:rsid w:val="009A532B"/>
    <w:rsid w:val="009B0DE2"/>
    <w:rsid w:val="009B1A48"/>
    <w:rsid w:val="009B28CD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70E16"/>
    <w:rsid w:val="00A84BF2"/>
    <w:rsid w:val="00A87A6C"/>
    <w:rsid w:val="00AA19D6"/>
    <w:rsid w:val="00AA37E6"/>
    <w:rsid w:val="00AA5725"/>
    <w:rsid w:val="00AB41B0"/>
    <w:rsid w:val="00AC1164"/>
    <w:rsid w:val="00AC4AC4"/>
    <w:rsid w:val="00AC743E"/>
    <w:rsid w:val="00AD274C"/>
    <w:rsid w:val="00AD7DC9"/>
    <w:rsid w:val="00AD7E73"/>
    <w:rsid w:val="00AE0A25"/>
    <w:rsid w:val="00AF10B0"/>
    <w:rsid w:val="00B02805"/>
    <w:rsid w:val="00B0477F"/>
    <w:rsid w:val="00B04877"/>
    <w:rsid w:val="00B07272"/>
    <w:rsid w:val="00B22B6F"/>
    <w:rsid w:val="00B2630D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175C"/>
    <w:rsid w:val="00BF6E84"/>
    <w:rsid w:val="00C0289E"/>
    <w:rsid w:val="00C0693C"/>
    <w:rsid w:val="00C16709"/>
    <w:rsid w:val="00C17ECC"/>
    <w:rsid w:val="00C31244"/>
    <w:rsid w:val="00C36283"/>
    <w:rsid w:val="00C41815"/>
    <w:rsid w:val="00C61514"/>
    <w:rsid w:val="00C62D93"/>
    <w:rsid w:val="00C71F26"/>
    <w:rsid w:val="00C7568B"/>
    <w:rsid w:val="00C763E4"/>
    <w:rsid w:val="00C8387B"/>
    <w:rsid w:val="00C92858"/>
    <w:rsid w:val="00C9376A"/>
    <w:rsid w:val="00CA14F3"/>
    <w:rsid w:val="00CC5B65"/>
    <w:rsid w:val="00CD5655"/>
    <w:rsid w:val="00CE2496"/>
    <w:rsid w:val="00CF2A1D"/>
    <w:rsid w:val="00D03388"/>
    <w:rsid w:val="00D05B3A"/>
    <w:rsid w:val="00D1058E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42C"/>
    <w:rsid w:val="00DD4F37"/>
    <w:rsid w:val="00DD790B"/>
    <w:rsid w:val="00DE10C3"/>
    <w:rsid w:val="00E003F4"/>
    <w:rsid w:val="00E1264A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66F8C"/>
    <w:rsid w:val="00E720A8"/>
    <w:rsid w:val="00E7579F"/>
    <w:rsid w:val="00E76250"/>
    <w:rsid w:val="00E81660"/>
    <w:rsid w:val="00E8315D"/>
    <w:rsid w:val="00E857D9"/>
    <w:rsid w:val="00E8629F"/>
    <w:rsid w:val="00E947EC"/>
    <w:rsid w:val="00E97A16"/>
    <w:rsid w:val="00EA0C42"/>
    <w:rsid w:val="00EA4B15"/>
    <w:rsid w:val="00EC2D76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3A99"/>
    <w:rsid w:val="00F03CDF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4094"/>
    <w:rsid w:val="00FA57A9"/>
    <w:rsid w:val="00FA661E"/>
    <w:rsid w:val="00FB3302"/>
    <w:rsid w:val="00FB7CB4"/>
    <w:rsid w:val="00FC4A32"/>
    <w:rsid w:val="00FC6299"/>
    <w:rsid w:val="00FD2BAA"/>
    <w:rsid w:val="00FD4097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984</Words>
  <Characters>5590</Characters>
  <Application>Microsoft Office Word</Application>
  <DocSecurity>0</DocSecurity>
  <Lines>0</Lines>
  <Paragraphs>0</Paragraphs>
  <ScaleCrop>false</ScaleCrop>
  <Company/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2017-04-21T15:09:00Z</dcterms:created>
  <dcterms:modified xsi:type="dcterms:W3CDTF">2017-04-21T15:09:00Z</dcterms:modified>
</cp:coreProperties>
</file>