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242C6" w:rsidRPr="000C47C6" w:rsidP="007242C6">
      <w:pPr>
        <w:bidi w:val="0"/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:rsidR="007242C6" w:rsidRPr="000C47C6" w:rsidP="007242C6">
      <w:pPr>
        <w:bidi w:val="0"/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:rsidR="007242C6" w:rsidRPr="000C47C6" w:rsidP="007242C6">
      <w:pPr>
        <w:bidi w:val="0"/>
        <w:spacing w:after="0" w:line="240" w:lineRule="auto"/>
        <w:rPr>
          <w:rFonts w:ascii="Book Antiqua" w:hAnsi="Book Antiqua"/>
          <w:sz w:val="24"/>
          <w:szCs w:val="24"/>
        </w:rPr>
      </w:pPr>
    </w:p>
    <w:p w:rsidR="007242C6" w:rsidRPr="000C47C6" w:rsidP="007242C6">
      <w:pPr>
        <w:bidi w:val="0"/>
        <w:spacing w:after="0" w:line="240" w:lineRule="auto"/>
        <w:rPr>
          <w:rFonts w:ascii="Book Antiqua" w:hAnsi="Book Antiqua"/>
        </w:rPr>
      </w:pPr>
    </w:p>
    <w:p w:rsidR="007242C6" w:rsidRPr="000C47C6" w:rsidP="007242C6">
      <w:pPr>
        <w:bidi w:val="0"/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:rsidR="007242C6" w:rsidRPr="000C47C6" w:rsidP="007242C6">
      <w:pPr>
        <w:bidi w:val="0"/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>Skupina poslancov Národnej rady Slovenskej republiky</w:t>
      </w:r>
      <w:r w:rsidRPr="000C47C6">
        <w:rPr>
          <w:rFonts w:ascii="Book Antiqua" w:hAnsi="Book Antiqua"/>
        </w:rPr>
        <w:t> </w:t>
      </w:r>
    </w:p>
    <w:p w:rsidR="007242C6" w:rsidRPr="000C47C6" w:rsidP="007242C6">
      <w:pPr>
        <w:tabs>
          <w:tab w:val="left" w:pos="360"/>
        </w:tabs>
        <w:bidi w:val="0"/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:rsidR="007242C6" w:rsidP="007242C6">
      <w:pPr>
        <w:bidi w:val="0"/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:rsidR="00E541A0" w:rsidRPr="000C47C6" w:rsidP="007242C6">
      <w:pPr>
        <w:bidi w:val="0"/>
        <w:spacing w:after="60" w:line="240" w:lineRule="auto"/>
        <w:ind w:left="360" w:hanging="360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Návrh </w:t>
      </w:r>
      <w:r w:rsidRPr="00E541A0">
        <w:rPr>
          <w:rFonts w:ascii="Book Antiqua" w:hAnsi="Book Antiqua"/>
        </w:rPr>
        <w:t xml:space="preserve">zákona, ktorým sa mení a dopĺňa zákon Národnej rady Slovenskej republiky </w:t>
      </w:r>
      <w:r w:rsidR="00F619DA">
        <w:rPr>
          <w:rFonts w:ascii="Book Antiqua" w:hAnsi="Book Antiqua"/>
        </w:rPr>
        <w:t xml:space="preserve">         </w:t>
      </w:r>
      <w:r w:rsidRPr="00E541A0">
        <w:rPr>
          <w:rFonts w:ascii="Book Antiqua" w:hAnsi="Book Antiqua"/>
        </w:rPr>
        <w:t>č.</w:t>
      </w:r>
      <w:r w:rsidR="00F619DA">
        <w:rPr>
          <w:rFonts w:ascii="Book Antiqua" w:hAnsi="Book Antiqua"/>
        </w:rPr>
        <w:t xml:space="preserve"> </w:t>
      </w:r>
      <w:r w:rsidRPr="00E541A0">
        <w:rPr>
          <w:rFonts w:ascii="Book Antiqua" w:hAnsi="Book Antiqua"/>
        </w:rPr>
        <w:t>300/2005 Z. z. Trestný zákon v znení neskorších predpisov a ktorým sa mení a dopĺňa zákon Národnej rady Slovenskej republiky č. 326/2005 Z. z. o lesoch v znení neskorších predpisov</w:t>
      </w:r>
    </w:p>
    <w:p w:rsidR="00AB18B6" w:rsidRPr="00AB18B6" w:rsidP="00AB18B6">
      <w:pPr>
        <w:bidi w:val="0"/>
        <w:spacing w:after="0" w:line="240" w:lineRule="auto"/>
        <w:ind w:left="360"/>
        <w:jc w:val="both"/>
        <w:rPr>
          <w:rFonts w:ascii="Book Antiqua" w:hAnsi="Book Antiqua"/>
        </w:rPr>
      </w:pPr>
    </w:p>
    <w:p w:rsidR="007242C6" w:rsidRPr="000C47C6" w:rsidP="007242C6">
      <w:pPr>
        <w:bidi w:val="0"/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  <w:tab/>
        <w:t>Predmet návrhu právneho predpisu:</w:t>
      </w:r>
    </w:p>
    <w:p w:rsidR="007242C6" w:rsidRPr="000C47C6" w:rsidP="007242C6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a) nie je upravený v primárnom práve Európskej únie</w:t>
      </w:r>
    </w:p>
    <w:p w:rsidR="007242C6" w:rsidRPr="000C47C6" w:rsidP="007242C6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</w:p>
    <w:p w:rsidR="007242C6" w:rsidP="007242C6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c) nie je obsiahnutý v judikatúre Súdneho dvora Európskej únie</w:t>
      </w:r>
    </w:p>
    <w:p w:rsidR="00F619DA" w:rsidP="007242C6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</w:p>
    <w:p w:rsidR="00F619DA" w:rsidP="00F619DA">
      <w:pPr>
        <w:bidi w:val="0"/>
        <w:spacing w:after="60" w:line="240" w:lineRule="auto"/>
        <w:ind w:left="360" w:hanging="36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4</w:t>
      </w:r>
      <w:r w:rsidRPr="000C47C6">
        <w:rPr>
          <w:rFonts w:ascii="Book Antiqua" w:hAnsi="Book Antiqua"/>
          <w:b/>
          <w:bCs/>
        </w:rPr>
        <w:t>.</w:t>
        <w:tab/>
      </w:r>
      <w:r w:rsidRPr="00F619DA">
        <w:rPr>
          <w:rFonts w:ascii="Book Antiqua" w:hAnsi="Book Antiqua"/>
          <w:b/>
          <w:bCs/>
        </w:rPr>
        <w:t>Záväzky Slove</w:t>
      </w:r>
      <w:r>
        <w:rPr>
          <w:rFonts w:ascii="Book Antiqua" w:hAnsi="Book Antiqua"/>
          <w:b/>
          <w:bCs/>
        </w:rPr>
        <w:t xml:space="preserve">nskej republiky vo vzťahu k </w:t>
      </w:r>
      <w:r w:rsidRPr="00F619DA">
        <w:rPr>
          <w:rFonts w:ascii="Book Antiqua" w:hAnsi="Book Antiqua"/>
          <w:b/>
          <w:bCs/>
        </w:rPr>
        <w:t>Európskej únii</w:t>
      </w:r>
      <w:r>
        <w:rPr>
          <w:rFonts w:ascii="Book Antiqua" w:hAnsi="Book Antiqua"/>
          <w:b/>
          <w:bCs/>
        </w:rPr>
        <w:t>:</w:t>
      </w:r>
    </w:p>
    <w:p w:rsidR="00F619DA" w:rsidP="00F619DA">
      <w:pPr>
        <w:bidi w:val="0"/>
        <w:spacing w:after="60" w:line="240" w:lineRule="auto"/>
        <w:ind w:left="360" w:hanging="360"/>
        <w:rPr>
          <w:rFonts w:ascii="Book Antiqua" w:hAnsi="Book Antiqua"/>
          <w:bCs/>
        </w:rPr>
      </w:pP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Cs/>
        </w:rPr>
        <w:t>Žiadne</w:t>
      </w:r>
    </w:p>
    <w:p w:rsidR="00F619DA" w:rsidP="00F619DA">
      <w:pPr>
        <w:bidi w:val="0"/>
        <w:spacing w:after="60" w:line="240" w:lineRule="auto"/>
        <w:ind w:left="360" w:hanging="360"/>
        <w:rPr>
          <w:rFonts w:ascii="Book Antiqua" w:hAnsi="Book Antiqua"/>
          <w:bCs/>
        </w:rPr>
      </w:pPr>
    </w:p>
    <w:p w:rsidR="00F619DA" w:rsidP="00F619DA">
      <w:pPr>
        <w:bidi w:val="0"/>
        <w:spacing w:after="60" w:line="240" w:lineRule="auto"/>
        <w:ind w:left="360" w:hanging="36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5</w:t>
      </w:r>
      <w:r w:rsidRPr="000C47C6">
        <w:rPr>
          <w:rFonts w:ascii="Book Antiqua" w:hAnsi="Book Antiqua"/>
          <w:b/>
          <w:bCs/>
        </w:rPr>
        <w:t>.</w:t>
        <w:tab/>
      </w:r>
      <w:r w:rsidRPr="00F619DA">
        <w:rPr>
          <w:rFonts w:ascii="Book Antiqua" w:hAnsi="Book Antiqua"/>
          <w:b/>
          <w:bCs/>
        </w:rPr>
        <w:t>Stupeň zlučiteľnosti návrhu právneho predpisu  s   právom Európskej únie:</w:t>
      </w:r>
    </w:p>
    <w:p w:rsidR="00F619DA" w:rsidP="00F619DA">
      <w:pPr>
        <w:bidi w:val="0"/>
        <w:spacing w:after="60" w:line="240" w:lineRule="auto"/>
        <w:ind w:left="360" w:hanging="360"/>
        <w:rPr>
          <w:rFonts w:ascii="Book Antiqua" w:hAnsi="Book Antiqua"/>
          <w:bCs/>
        </w:rPr>
      </w:pPr>
      <w:r>
        <w:rPr>
          <w:rFonts w:ascii="Book Antiqua" w:hAnsi="Book Antiqua"/>
          <w:b/>
          <w:bCs/>
        </w:rPr>
        <w:tab/>
      </w:r>
      <w:r w:rsidRPr="00F619DA">
        <w:rPr>
          <w:rFonts w:ascii="Book Antiqua" w:hAnsi="Book Antiqua"/>
          <w:bCs/>
        </w:rPr>
        <w:t>Vzhľadom na body 3. a  4. sa stupeň zlučiteľnosti nevyjadruje.</w:t>
      </w:r>
    </w:p>
    <w:p w:rsidR="00F619DA" w:rsidP="00F619DA">
      <w:pPr>
        <w:bidi w:val="0"/>
        <w:spacing w:after="60" w:line="240" w:lineRule="auto"/>
        <w:ind w:left="360" w:hanging="360"/>
        <w:rPr>
          <w:rFonts w:ascii="Book Antiqua" w:hAnsi="Book Antiqua"/>
          <w:bCs/>
        </w:rPr>
      </w:pPr>
    </w:p>
    <w:p w:rsidR="00F619DA" w:rsidRPr="00F619DA" w:rsidP="00F619DA">
      <w:pPr>
        <w:bidi w:val="0"/>
        <w:spacing w:after="60" w:line="240" w:lineRule="auto"/>
        <w:ind w:left="360" w:hanging="360"/>
        <w:rPr>
          <w:rFonts w:ascii="Book Antiqua" w:hAnsi="Book Antiqua"/>
          <w:bCs/>
        </w:rPr>
      </w:pPr>
    </w:p>
    <w:p w:rsidR="00F619DA" w:rsidRPr="00F619DA" w:rsidP="00F619DA">
      <w:pPr>
        <w:bidi w:val="0"/>
        <w:spacing w:after="60" w:line="240" w:lineRule="auto"/>
        <w:ind w:left="360" w:hanging="360"/>
        <w:rPr>
          <w:rFonts w:ascii="Book Antiqua" w:hAnsi="Book Antiqua"/>
          <w:bCs/>
        </w:rPr>
      </w:pPr>
    </w:p>
    <w:p w:rsidR="00E541A0" w:rsidRPr="000C47C6" w:rsidP="007242C6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</w:p>
    <w:p w:rsidR="007242C6" w:rsidP="007242C6">
      <w:pPr>
        <w:bidi w:val="0"/>
        <w:jc w:val="both"/>
        <w:rPr>
          <w:rFonts w:ascii="Book Antiqua" w:hAnsi="Book Antiqua" w:cs="Arial"/>
        </w:rPr>
      </w:pPr>
      <w:r w:rsidR="00F619DA">
        <w:rPr>
          <w:rFonts w:ascii="Book Antiqua" w:hAnsi="Book Antiqua" w:cs="Arial"/>
        </w:rPr>
        <w:tab/>
      </w:r>
    </w:p>
    <w:p w:rsidR="007242C6" w:rsidRPr="00F619DA" w:rsidP="007242C6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F619DA">
        <w:rPr>
          <w:rFonts w:ascii="Book Antiqua" w:hAnsi="Book Antiqua"/>
          <w:b/>
          <w:bCs/>
        </w:rPr>
        <w:t>Doložka vybraných vplyvov</w:t>
      </w:r>
    </w:p>
    <w:p w:rsidR="007242C6" w:rsidRPr="00F619DA" w:rsidP="007242C6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F619DA">
        <w:rPr>
          <w:rFonts w:ascii="Book Antiqua" w:hAnsi="Book Antiqua"/>
          <w:b/>
          <w:bCs/>
        </w:rPr>
        <w:t> 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7242C6" w:rsidRPr="00F619DA" w:rsidP="00BD7363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F619DA">
        <w:rPr>
          <w:rFonts w:ascii="Book Antiqua" w:hAnsi="Book Antiqua"/>
          <w:b/>
          <w:bCs/>
          <w:sz w:val="22"/>
          <w:szCs w:val="22"/>
        </w:rPr>
        <w:t xml:space="preserve">A.1. Názov materiálu: </w:t>
      </w:r>
      <w:r w:rsidRPr="00F619DA" w:rsidR="00F619DA">
        <w:rPr>
          <w:rFonts w:ascii="Book Antiqua" w:hAnsi="Book Antiqua"/>
          <w:bCs/>
          <w:sz w:val="22"/>
          <w:szCs w:val="22"/>
        </w:rPr>
        <w:t>Návrh zákona, ktorým sa mení a dopĺňa zákon Národnej rady Slovenskej republiky č.</w:t>
      </w:r>
      <w:r w:rsidR="00F619DA">
        <w:rPr>
          <w:rFonts w:ascii="Book Antiqua" w:hAnsi="Book Antiqua"/>
          <w:bCs/>
          <w:sz w:val="22"/>
          <w:szCs w:val="22"/>
        </w:rPr>
        <w:t xml:space="preserve"> </w:t>
      </w:r>
      <w:r w:rsidRPr="00F619DA" w:rsidR="00F619DA">
        <w:rPr>
          <w:rFonts w:ascii="Book Antiqua" w:hAnsi="Book Antiqua"/>
          <w:bCs/>
          <w:sz w:val="22"/>
          <w:szCs w:val="22"/>
        </w:rPr>
        <w:t>300/2005 Z. z. Trestný zákon v znení neskorších predpisov a ktorým sa mení a dopĺňa zákon Národnej rady Slovenskej republiky č. 326/2005 Z. z. o lesoch v znení neskorších predpisov</w:t>
      </w:r>
    </w:p>
    <w:p w:rsidR="00DF0A51" w:rsidRPr="00F619DA" w:rsidP="00DF0A51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:rsidR="007242C6" w:rsidRPr="00F619DA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F619DA">
        <w:rPr>
          <w:rFonts w:ascii="Book Antiqua" w:hAnsi="Book Antiqua"/>
          <w:b/>
          <w:bCs/>
          <w:sz w:val="22"/>
          <w:szCs w:val="22"/>
        </w:rPr>
        <w:t xml:space="preserve">        Termín začatia a ukončenia PPK: </w:t>
      </w:r>
      <w:r w:rsidRPr="00F619DA">
        <w:rPr>
          <w:rFonts w:ascii="Book Antiqua" w:hAnsi="Book Antiqua"/>
          <w:bCs/>
          <w:sz w:val="22"/>
          <w:szCs w:val="22"/>
        </w:rPr>
        <w:t>bezpredmetné</w:t>
      </w:r>
    </w:p>
    <w:p w:rsidR="007242C6" w:rsidRPr="00F619DA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F619DA">
        <w:rPr>
          <w:rFonts w:ascii="Book Antiqua" w:hAnsi="Book Antiqua"/>
          <w:b/>
          <w:bCs/>
          <w:sz w:val="22"/>
          <w:szCs w:val="22"/>
        </w:rPr>
        <w:t>  </w:t>
      </w:r>
    </w:p>
    <w:p w:rsidR="007242C6" w:rsidRPr="00F619DA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F619DA">
        <w:rPr>
          <w:rFonts w:ascii="Book Antiqua" w:hAnsi="Book Antiqua"/>
          <w:b/>
          <w:bCs/>
          <w:sz w:val="22"/>
          <w:szCs w:val="22"/>
        </w:rPr>
        <w:t>A.2. Vplyvy:</w:t>
      </w:r>
    </w:p>
    <w:p w:rsidR="007242C6" w:rsidRPr="00F619DA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F619DA">
        <w:rPr>
          <w:rFonts w:ascii="Book Antiqua" w:hAnsi="Book Antiqua"/>
          <w:sz w:val="22"/>
          <w:szCs w:val="22"/>
        </w:rPr>
        <w:t> </w:t>
      </w:r>
    </w:p>
    <w:tbl>
      <w:tblPr>
        <w:tblStyle w:val="TableNormal"/>
        <w:tblW w:w="8896" w:type="dxa"/>
        <w:tblInd w:w="108" w:type="dxa"/>
        <w:tblCellMar>
          <w:left w:w="0" w:type="dxa"/>
          <w:right w:w="0" w:type="dxa"/>
        </w:tblCellMar>
      </w:tblPr>
      <w:tblGrid>
        <w:gridCol w:w="5021"/>
        <w:gridCol w:w="1259"/>
        <w:gridCol w:w="1255"/>
        <w:gridCol w:w="1361"/>
      </w:tblGrid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F619DA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  <w:szCs w:val="22"/>
              </w:rPr>
            </w:pPr>
            <w:r w:rsidRPr="00F619DA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F619DA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619DA">
              <w:rPr>
                <w:rFonts w:ascii="Book Antiqua" w:hAnsi="Book Antiqua"/>
                <w:sz w:val="22"/>
                <w:szCs w:val="22"/>
              </w:rPr>
              <w:t>Pozitívne</w:t>
            </w:r>
            <w:r w:rsidRPr="00F619DA">
              <w:rPr>
                <w:rFonts w:ascii="Book Antiqua" w:hAnsi="Book Antiqua"/>
                <w:sz w:val="22"/>
                <w:szCs w:val="22"/>
                <w:vertAlign w:val="superscript"/>
              </w:rPr>
              <w:t>*</w:t>
            </w:r>
            <w:r w:rsidRPr="00F619DA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F619DA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619DA">
              <w:rPr>
                <w:rFonts w:ascii="Book Antiqua" w:hAnsi="Book Antiqua"/>
                <w:sz w:val="22"/>
                <w:szCs w:val="22"/>
              </w:rPr>
              <w:t>Žiadne</w:t>
            </w:r>
            <w:r w:rsidRPr="00F619DA">
              <w:rPr>
                <w:rFonts w:ascii="Book Antiqua" w:hAnsi="Book Antiqua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F619DA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619DA">
              <w:rPr>
                <w:rFonts w:ascii="Book Antiqua" w:hAnsi="Book Antiqua"/>
                <w:sz w:val="22"/>
                <w:szCs w:val="22"/>
              </w:rPr>
              <w:t>Negatívne</w:t>
            </w:r>
            <w:r w:rsidRPr="00F619DA">
              <w:rPr>
                <w:rFonts w:ascii="Book Antiqua" w:hAnsi="Book Antiqua"/>
                <w:sz w:val="22"/>
                <w:szCs w:val="22"/>
                <w:vertAlign w:val="superscript"/>
              </w:rPr>
              <w:t>*</w:t>
            </w: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F619DA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  <w:szCs w:val="22"/>
              </w:rPr>
            </w:pPr>
            <w:r w:rsidRPr="00F619DA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F619DA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619DA" w:rsidR="00B93815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F619DA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F619DA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F619DA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  <w:szCs w:val="22"/>
              </w:rPr>
            </w:pPr>
            <w:r w:rsidRPr="00F619DA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F619DA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619DA" w:rsidR="00B93815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F619DA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F619DA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F619DA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  <w:szCs w:val="22"/>
              </w:rPr>
            </w:pPr>
            <w:r w:rsidRPr="00F619DA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="007242C6" w:rsidRPr="00F619DA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  <w:szCs w:val="22"/>
              </w:rPr>
            </w:pPr>
            <w:r w:rsidRPr="00F619DA">
              <w:rPr>
                <w:rFonts w:ascii="Book Antiqua" w:hAnsi="Book Antiqua"/>
                <w:sz w:val="22"/>
                <w:szCs w:val="22"/>
              </w:rPr>
              <w:t>– vplyvy  na hospodárenie obyvateľstva,</w:t>
            </w:r>
          </w:p>
          <w:p w:rsidR="007242C6" w:rsidRPr="00F619DA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  <w:szCs w:val="22"/>
              </w:rPr>
            </w:pPr>
            <w:r w:rsidRPr="00F619DA">
              <w:rPr>
                <w:rFonts w:ascii="Book Antiqua" w:hAnsi="Book Antiqua"/>
                <w:sz w:val="22"/>
                <w:szCs w:val="22"/>
              </w:rPr>
              <w:t>-</w:t>
            </w:r>
            <w:r w:rsidRPr="00F619DA" w:rsidR="004D3E2A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F619DA">
              <w:rPr>
                <w:rFonts w:ascii="Book Antiqua" w:hAnsi="Book Antiqua"/>
                <w:sz w:val="22"/>
                <w:szCs w:val="22"/>
              </w:rPr>
              <w:t>sociálnu exklúziu,</w:t>
            </w:r>
          </w:p>
          <w:p w:rsidR="007242C6" w:rsidRPr="00F619DA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  <w:szCs w:val="22"/>
              </w:rPr>
            </w:pPr>
            <w:r w:rsidRPr="00F619DA">
              <w:rPr>
                <w:rFonts w:ascii="Book Antiqua" w:hAnsi="Book Antiqua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F619DA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619DA" w:rsidR="00B93815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F619DA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F619DA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F619DA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  <w:szCs w:val="22"/>
              </w:rPr>
            </w:pPr>
            <w:r w:rsidRPr="00F619DA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F619DA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619DA" w:rsidR="00F619DA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F619DA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F619DA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F619DA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  <w:szCs w:val="22"/>
              </w:rPr>
            </w:pPr>
            <w:r w:rsidRPr="00F619DA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F619DA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F619DA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619DA" w:rsidR="00DF0A51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F619DA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7242C6" w:rsidRPr="00F619DA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</w:p>
    <w:p w:rsidR="007242C6" w:rsidRPr="00F619DA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F619DA">
        <w:rPr>
          <w:rFonts w:ascii="Book Antiqua" w:hAnsi="Book Antiqua"/>
          <w:sz w:val="22"/>
          <w:szCs w:val="22"/>
        </w:rPr>
        <w:t> </w:t>
      </w:r>
    </w:p>
    <w:p w:rsidR="007242C6" w:rsidRPr="00F619DA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F619DA">
        <w:rPr>
          <w:rFonts w:ascii="Book Antiqua" w:hAnsi="Book Antiqua"/>
          <w:b/>
          <w:bCs/>
          <w:sz w:val="22"/>
          <w:szCs w:val="22"/>
        </w:rPr>
        <w:t>A.3. Poznámky</w:t>
      </w:r>
    </w:p>
    <w:p w:rsidR="007242C6" w:rsidRPr="00F619DA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7242C6" w:rsidRPr="00F619DA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F619DA">
        <w:rPr>
          <w:rFonts w:ascii="Book Antiqua" w:hAnsi="Book Antiqua"/>
          <w:sz w:val="22"/>
          <w:szCs w:val="22"/>
        </w:rPr>
        <w:t> </w:t>
      </w:r>
    </w:p>
    <w:p w:rsidR="007242C6" w:rsidRPr="00F619DA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F619DA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:rsidR="007242C6" w:rsidRPr="00F619DA" w:rsidP="007242C6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Book Antiqua" w:hAnsi="Book Antiqua"/>
          <w:sz w:val="22"/>
          <w:szCs w:val="22"/>
        </w:rPr>
      </w:pPr>
      <w:r w:rsidRPr="00F619DA">
        <w:rPr>
          <w:rFonts w:ascii="Book Antiqua" w:hAnsi="Book Antiqua"/>
          <w:sz w:val="22"/>
          <w:szCs w:val="22"/>
        </w:rPr>
        <w:t> </w:t>
      </w:r>
    </w:p>
    <w:p w:rsidR="007242C6" w:rsidRPr="00F619DA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F619DA" w:rsidR="0010062E">
        <w:rPr>
          <w:rFonts w:ascii="Book Antiqua" w:hAnsi="Book Antiqua"/>
          <w:sz w:val="22"/>
          <w:szCs w:val="22"/>
        </w:rPr>
        <w:t>Nepredkladá sa.</w:t>
      </w:r>
    </w:p>
    <w:p w:rsidR="007242C6" w:rsidRPr="00F619DA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7242C6" w:rsidRPr="00F619DA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  <w:b/>
          <w:bCs/>
          <w:sz w:val="22"/>
          <w:szCs w:val="22"/>
        </w:rPr>
      </w:pPr>
      <w:r w:rsidRPr="00F619DA">
        <w:rPr>
          <w:rFonts w:ascii="Book Antiqua" w:hAnsi="Book Antiqua"/>
          <w:b/>
          <w:bCs/>
          <w:sz w:val="22"/>
          <w:szCs w:val="22"/>
        </w:rPr>
        <w:t xml:space="preserve">A.5. Stanovisko gestorov </w:t>
      </w:r>
    </w:p>
    <w:p w:rsidR="007242C6" w:rsidRPr="00F619DA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  <w:b/>
          <w:bCs/>
          <w:sz w:val="22"/>
          <w:szCs w:val="22"/>
        </w:rPr>
      </w:pPr>
    </w:p>
    <w:p w:rsidR="007242C6" w:rsidRPr="00F619DA" w:rsidP="008F0072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F619DA">
        <w:rPr>
          <w:rFonts w:ascii="Book Antiqua" w:hAnsi="Book Antiqua"/>
          <w:bCs/>
          <w:sz w:val="22"/>
          <w:szCs w:val="22"/>
        </w:rPr>
        <w:t xml:space="preserve">Návrh zákona bol zaslaný na posúdenie Ministerstvu financií SR. </w:t>
      </w:r>
      <w:r w:rsidRPr="00F619DA" w:rsidR="00507E87">
        <w:rPr>
          <w:rFonts w:ascii="Book Antiqua" w:hAnsi="Book Antiqua"/>
          <w:bCs/>
          <w:sz w:val="22"/>
          <w:szCs w:val="22"/>
        </w:rPr>
        <w:br/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>
    <w:nsid w:val="0A3535F2"/>
    <w:multiLevelType w:val="hybridMultilevel"/>
    <w:tmpl w:val="769808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35745D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3">
    <w:nsid w:val="44023A6B"/>
    <w:multiLevelType w:val="hybridMultilevel"/>
    <w:tmpl w:val="FF4471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5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D2232"/>
    <w:rsid w:val="00026A10"/>
    <w:rsid w:val="000A1136"/>
    <w:rsid w:val="000B4D55"/>
    <w:rsid w:val="000C47C6"/>
    <w:rsid w:val="000D29CA"/>
    <w:rsid w:val="000E1310"/>
    <w:rsid w:val="0010062E"/>
    <w:rsid w:val="0011607D"/>
    <w:rsid w:val="00182BB3"/>
    <w:rsid w:val="001A44D1"/>
    <w:rsid w:val="001D4577"/>
    <w:rsid w:val="00203833"/>
    <w:rsid w:val="00214100"/>
    <w:rsid w:val="002347C2"/>
    <w:rsid w:val="002637FB"/>
    <w:rsid w:val="00272A3A"/>
    <w:rsid w:val="002B40AC"/>
    <w:rsid w:val="002B5637"/>
    <w:rsid w:val="002B5A8D"/>
    <w:rsid w:val="002C4B28"/>
    <w:rsid w:val="00303311"/>
    <w:rsid w:val="003077E3"/>
    <w:rsid w:val="00317A3B"/>
    <w:rsid w:val="0032647B"/>
    <w:rsid w:val="00330541"/>
    <w:rsid w:val="0033567C"/>
    <w:rsid w:val="0034464C"/>
    <w:rsid w:val="00363691"/>
    <w:rsid w:val="0037487F"/>
    <w:rsid w:val="00396ADB"/>
    <w:rsid w:val="003A1EB6"/>
    <w:rsid w:val="003B2CBE"/>
    <w:rsid w:val="004073D9"/>
    <w:rsid w:val="00424E55"/>
    <w:rsid w:val="004B66C1"/>
    <w:rsid w:val="004D3E2A"/>
    <w:rsid w:val="004D4D6E"/>
    <w:rsid w:val="004F2536"/>
    <w:rsid w:val="00501FA6"/>
    <w:rsid w:val="00505366"/>
    <w:rsid w:val="00507E87"/>
    <w:rsid w:val="005266AA"/>
    <w:rsid w:val="005E2123"/>
    <w:rsid w:val="0061663F"/>
    <w:rsid w:val="00631EF5"/>
    <w:rsid w:val="00637CB6"/>
    <w:rsid w:val="00652FEC"/>
    <w:rsid w:val="00674278"/>
    <w:rsid w:val="00691A51"/>
    <w:rsid w:val="006B42C6"/>
    <w:rsid w:val="006D2232"/>
    <w:rsid w:val="006E52D3"/>
    <w:rsid w:val="007242C6"/>
    <w:rsid w:val="007823D4"/>
    <w:rsid w:val="00783715"/>
    <w:rsid w:val="007C64E0"/>
    <w:rsid w:val="007F6D41"/>
    <w:rsid w:val="00800B91"/>
    <w:rsid w:val="00891035"/>
    <w:rsid w:val="008E5F90"/>
    <w:rsid w:val="008F0072"/>
    <w:rsid w:val="00907C4F"/>
    <w:rsid w:val="00925DC1"/>
    <w:rsid w:val="00927396"/>
    <w:rsid w:val="00954E94"/>
    <w:rsid w:val="009B0DB5"/>
    <w:rsid w:val="009C45CD"/>
    <w:rsid w:val="009C6E67"/>
    <w:rsid w:val="009D21A9"/>
    <w:rsid w:val="00A12BA6"/>
    <w:rsid w:val="00A20681"/>
    <w:rsid w:val="00A206AB"/>
    <w:rsid w:val="00A34A17"/>
    <w:rsid w:val="00A413C1"/>
    <w:rsid w:val="00A779F4"/>
    <w:rsid w:val="00A827C8"/>
    <w:rsid w:val="00AB18B6"/>
    <w:rsid w:val="00AC1E92"/>
    <w:rsid w:val="00AC6BD0"/>
    <w:rsid w:val="00AE517B"/>
    <w:rsid w:val="00AF4A73"/>
    <w:rsid w:val="00B43BE1"/>
    <w:rsid w:val="00B64471"/>
    <w:rsid w:val="00B93815"/>
    <w:rsid w:val="00BC5744"/>
    <w:rsid w:val="00BD7363"/>
    <w:rsid w:val="00C009D2"/>
    <w:rsid w:val="00C768B9"/>
    <w:rsid w:val="00C81648"/>
    <w:rsid w:val="00CE433D"/>
    <w:rsid w:val="00D10E9A"/>
    <w:rsid w:val="00D32D4F"/>
    <w:rsid w:val="00D339F4"/>
    <w:rsid w:val="00D431A2"/>
    <w:rsid w:val="00D56CF9"/>
    <w:rsid w:val="00D94E42"/>
    <w:rsid w:val="00DF0A51"/>
    <w:rsid w:val="00E078B8"/>
    <w:rsid w:val="00E10877"/>
    <w:rsid w:val="00E10F2B"/>
    <w:rsid w:val="00E541A0"/>
    <w:rsid w:val="00E96DA5"/>
    <w:rsid w:val="00EC2BC4"/>
    <w:rsid w:val="00ED3A4C"/>
    <w:rsid w:val="00EF13B2"/>
    <w:rsid w:val="00F503B3"/>
    <w:rsid w:val="00F619DA"/>
    <w:rsid w:val="00F6238F"/>
    <w:rsid w:val="00F73685"/>
    <w:rsid w:val="00F743BA"/>
    <w:rsid w:val="00F762E0"/>
    <w:rsid w:val="00FA6CC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D56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D56CF9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extBody">
    <w:name w:val="Text Body"/>
    <w:basedOn w:val="Default"/>
    <w:rsid w:val="007242C6"/>
    <w:pPr>
      <w:spacing w:after="140" w:line="288" w:lineRule="auto"/>
      <w:jc w:val="both"/>
    </w:pPr>
    <w:rPr>
      <w:sz w:val="28"/>
      <w:szCs w:val="28"/>
      <w:lang w:bidi="ar-SA"/>
    </w:rPr>
  </w:style>
  <w:style w:type="character" w:customStyle="1" w:styleId="ZkladntextChar1">
    <w:name w:val="Základný text Char1"/>
    <w:basedOn w:val="DefaultParagraphFont"/>
    <w:link w:val="BodyText"/>
    <w:uiPriority w:val="99"/>
    <w:locked/>
    <w:rsid w:val="007242C6"/>
    <w:rPr>
      <w:rFonts w:ascii="Calibri" w:hAnsi="Calibri" w:cs="Times New Roman"/>
      <w:rtl w:val="0"/>
      <w:cs w:val="0"/>
      <w:lang w:val="x-none" w:eastAsia="zh-CN"/>
    </w:rPr>
  </w:style>
  <w:style w:type="paragraph" w:styleId="ListParagraph">
    <w:name w:val="List Paragraph"/>
    <w:basedOn w:val="Normal"/>
    <w:uiPriority w:val="34"/>
    <w:qFormat/>
    <w:rsid w:val="007242C6"/>
    <w:pPr>
      <w:widowControl w:val="0"/>
      <w:suppressAutoHyphens/>
      <w:autoSpaceDE w:val="0"/>
      <w:spacing w:after="200" w:line="240" w:lineRule="auto"/>
      <w:ind w:left="720"/>
      <w:jc w:val="left"/>
    </w:pPr>
    <w:rPr>
      <w:rFonts w:ascii="Calibri" w:hAnsi="Calibri" w:cs="Calibri"/>
      <w:color w:val="000000"/>
      <w:kern w:val="1"/>
      <w:lang w:eastAsia="zh-CN" w:bidi="hi-IN"/>
    </w:rPr>
  </w:style>
  <w:style w:type="paragraph" w:styleId="BodyText">
    <w:name w:val="Body Text"/>
    <w:basedOn w:val="Normal"/>
    <w:link w:val="ZkladntextChar1"/>
    <w:uiPriority w:val="99"/>
    <w:rsid w:val="007242C6"/>
    <w:pPr>
      <w:suppressAutoHyphens/>
      <w:spacing w:after="140" w:line="288" w:lineRule="auto"/>
      <w:jc w:val="left"/>
    </w:pPr>
    <w:rPr>
      <w:rFonts w:ascii="Calibri" w:hAnsi="Calibri"/>
      <w:lang w:eastAsia="zh-CN"/>
    </w:rPr>
  </w:style>
  <w:style w:type="character" w:customStyle="1" w:styleId="ZkladntextChar">
    <w:name w:val="Základný text Char"/>
    <w:basedOn w:val="DefaultParagraphFont"/>
    <w:uiPriority w:val="99"/>
    <w:semiHidden/>
    <w:rPr>
      <w:rFonts w:cs="Times New Roman"/>
      <w:rtl w:val="0"/>
      <w:cs w:val="0"/>
    </w:rPr>
  </w:style>
  <w:style w:type="character" w:customStyle="1" w:styleId="ZkladntextChar2">
    <w:name w:val="Základný text Char2"/>
    <w:basedOn w:val="DefaultParagraphFont"/>
    <w:uiPriority w:val="99"/>
    <w:semiHidden/>
    <w:rPr>
      <w:rFonts w:cs="Times New Roman"/>
      <w:rtl w:val="0"/>
      <w:cs w:val="0"/>
    </w:rPr>
  </w:style>
  <w:style w:type="paragraph" w:customStyle="1" w:styleId="WW-Default">
    <w:name w:val="WW-Default"/>
    <w:rsid w:val="007242C6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Calibri" w:hAnsi="Calibri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Default">
    <w:name w:val="Default"/>
    <w:rsid w:val="007242C6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character" w:styleId="Hyperlink">
    <w:name w:val="Hyperlink"/>
    <w:basedOn w:val="DefaultParagraphFont"/>
    <w:uiPriority w:val="99"/>
    <w:rsid w:val="007242C6"/>
    <w:rPr>
      <w:rFonts w:cs="Times New Roman"/>
      <w:color w:val="0563C1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7242C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Header">
    <w:name w:val="header"/>
    <w:basedOn w:val="Normal"/>
    <w:link w:val="Hlavika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768B9"/>
    <w:rPr>
      <w:rFonts w:cs="Times New Roman"/>
      <w:rtl w:val="0"/>
      <w:cs w:val="0"/>
    </w:rPr>
  </w:style>
  <w:style w:type="paragraph" w:customStyle="1" w:styleId="Standard">
    <w:name w:val="Standard"/>
    <w:rsid w:val="00E541A0"/>
    <w:pPr>
      <w:framePr w:wrap="auto"/>
      <w:widowControl w:val="0"/>
      <w:suppressAutoHyphens/>
      <w:autoSpaceDE/>
      <w:autoSpaceDN w:val="0"/>
      <w:adjustRightInd/>
      <w:ind w:left="0" w:right="0"/>
      <w:jc w:val="left"/>
      <w:textAlignment w:val="baseline"/>
    </w:pPr>
    <w:rPr>
      <w:rFonts w:cs="Tahoma"/>
      <w:kern w:val="3"/>
      <w:sz w:val="24"/>
      <w:szCs w:val="24"/>
      <w:rtl w:val="0"/>
      <w:cs w:val="0"/>
      <w:lang w:val="de-DE" w:eastAsia="ja-JP" w:bidi="fa-IR"/>
    </w:rPr>
  </w:style>
  <w:style w:type="character" w:customStyle="1" w:styleId="PtaChar1">
    <w:name w:val="Päta Char1"/>
    <w:basedOn w:val="DefaultParagraphFont"/>
    <w:link w:val="Footer"/>
    <w:uiPriority w:val="99"/>
    <w:locked/>
    <w:rsid w:val="00C768B9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C64E0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C64E0"/>
    <w:rPr>
      <w:rFonts w:ascii="Segoe UI" w:hAnsi="Segoe UI" w:cs="Segoe UI"/>
      <w:sz w:val="18"/>
      <w:szCs w:val="18"/>
      <w:rtl w:val="0"/>
      <w:cs w:val="0"/>
    </w:rPr>
  </w:style>
  <w:style w:type="paragraph" w:styleId="Footer">
    <w:name w:val="footer"/>
    <w:basedOn w:val="Normal"/>
    <w:link w:val="PtaChar1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uiPriority w:val="99"/>
    <w:semiHidden/>
    <w:rPr>
      <w:rFonts w:cs="Times New Roman"/>
      <w:rtl w:val="0"/>
      <w:cs w:val="0"/>
    </w:rPr>
  </w:style>
  <w:style w:type="character" w:customStyle="1" w:styleId="PtaChar2">
    <w:name w:val="Päta Char2"/>
    <w:basedOn w:val="DefaultParagraphFont"/>
    <w:uiPriority w:val="99"/>
    <w:semiHidden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274</Words>
  <Characters>1563</Characters>
  <Application>Microsoft Office Word</Application>
  <DocSecurity>0</DocSecurity>
  <Lines>0</Lines>
  <Paragraphs>0</Paragraphs>
  <ScaleCrop>false</ScaleCrop>
  <Company>Kancelaria NR SR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spravca</dc:creator>
  <cp:lastModifiedBy>Kandera Stanislav</cp:lastModifiedBy>
  <cp:revision>3</cp:revision>
  <cp:lastPrinted>2017-04-19T10:19:00Z</cp:lastPrinted>
  <dcterms:created xsi:type="dcterms:W3CDTF">2017-04-17T18:41:00Z</dcterms:created>
  <dcterms:modified xsi:type="dcterms:W3CDTF">2017-04-19T10:20:00Z</dcterms:modified>
</cp:coreProperties>
</file>