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3664" w:rsidRPr="00DF138D" w:rsidP="00DF138D">
      <w:pPr>
        <w:pStyle w:val="Standard"/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  <w:r w:rsidRPr="00DF138D">
        <w:rPr>
          <w:rFonts w:ascii="Book Antiqua" w:hAnsi="Book Antiqua" w:cs="Book Antiqua"/>
          <w:b/>
          <w:bCs/>
          <w:spacing w:val="30"/>
          <w:sz w:val="22"/>
          <w:szCs w:val="22"/>
        </w:rPr>
        <w:t>DÔVODOVÁ SPRÁVA</w:t>
      </w:r>
    </w:p>
    <w:p w:rsidR="00E83664" w:rsidRPr="00DF138D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DF138D">
        <w:rPr>
          <w:rFonts w:ascii="Book Antiqua" w:hAnsi="Book Antiqua" w:cs="Book Antiqua"/>
          <w:b/>
          <w:bCs/>
          <w:sz w:val="22"/>
          <w:szCs w:val="22"/>
        </w:rPr>
        <w:t>A. Všeobecná časť</w:t>
      </w:r>
    </w:p>
    <w:p w:rsidR="00E83664" w:rsidRPr="00DF138D" w:rsidP="00DF138D">
      <w:pPr>
        <w:bidi w:val="0"/>
        <w:spacing w:before="12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Pr="00DF138D">
        <w:rPr>
          <w:rFonts w:ascii="Book Antiqua" w:hAnsi="Book Antiqua" w:cs="Book Antiqua"/>
          <w:sz w:val="22"/>
          <w:szCs w:val="22"/>
        </w:rPr>
        <w:t>Návrh zákona, ktorým sa mení a dopĺňa zákon č. 50/1976 Zb. o územnom plánovaní a stavebnom poriadku (stavebný zákon) v znení neskorších predpisov (ďalej len „návrh zákona“) predkladá do legislatívneho procesu skupina poslancov Národnej rady Slovenskej republiky za hnutie OBYČAJNÍ ĽUDIA a nezávislé osobnosti (OĽANO-NOVA).</w:t>
      </w:r>
    </w:p>
    <w:p w:rsidR="00E83664" w:rsidRPr="00DF138D" w:rsidP="00DF138D">
      <w:pPr>
        <w:bidi w:val="0"/>
        <w:spacing w:before="12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Pr="00DF138D">
        <w:rPr>
          <w:rFonts w:ascii="Book Antiqua" w:hAnsi="Book Antiqua" w:cs="Book Antiqua"/>
          <w:sz w:val="22"/>
          <w:szCs w:val="22"/>
        </w:rPr>
        <w:t xml:space="preserve">Už samotné nájdenie a zabezpečenie vhodného bývania je vcelku náročný a zdĺhavý proces. Tento proces je násobne zložitejší v prípade, ak je záujemcom osoba s ťažkým zdravotným postihnutím. Popri bežných požiadavkách na bývanie, vystupuje do popredia najmä požiadavka bezbariérovosti a čo najlepšej prístupnosti bytu. </w:t>
      </w:r>
    </w:p>
    <w:p w:rsidR="00E83664" w:rsidP="00737A41">
      <w:pPr>
        <w:bidi w:val="0"/>
        <w:spacing w:before="12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Pr="00DF138D">
        <w:rPr>
          <w:rFonts w:ascii="Book Antiqua" w:hAnsi="Book Antiqua" w:cs="Book Antiqua"/>
          <w:sz w:val="22"/>
          <w:szCs w:val="22"/>
        </w:rPr>
        <w:t xml:space="preserve">Napriek realitnému „boom-u“ v ostatných rokoch je bytov pre zdravotne ťažko postihnuté osoby nedostatok, a to </w:t>
      </w:r>
      <w:r w:rsidRPr="00881E00">
        <w:rPr>
          <w:rFonts w:ascii="Book Antiqua" w:hAnsi="Book Antiqua" w:cs="Book Antiqua"/>
          <w:sz w:val="22"/>
          <w:szCs w:val="22"/>
        </w:rPr>
        <w:t>predovšetkým v komerčných bytových domoch. Bezbariérovosť vstupu do nových bytových domov, či pohyb v spoločných priestoroch je už často samozrejmosťou, bezbariérové byty v takýchto bytových domoch sú však veľkou raritou. Ťažko zdravotne postihnutá osoba má len dve možnosti, ako sa dostať k vhodnému bezbariérovému bývaniu v bytovom dome. Prvou možnosťou je kúpa bytu a vykonanie potrebných stavebných úprav, druhou možnosťou je kúpa už vhodne upraveného bytu. Nevýhodou prvej možnosti sú časová a finančná náročnosť stavebných úprav, v mnohých prípadoch sa debariérizácia bytu ani nedá realizovať, hlavne v priestoroch hygieny.  Nevýhodou druhej možnosti je najmä veľký nedostatok bezbariérových bytov na realitnom trhu. V oboch prípadoch ide často o priamu finančnú podporu štátu, čo je z dlhodobého hľadiska neudržateľné, vzhľadom na rastúci počet osôb odkázaných na takéto bývanie, súvisiaci napríklad so starnutím obyvateľstva.</w:t>
      </w:r>
    </w:p>
    <w:p w:rsidR="00E83664" w:rsidRPr="00881E00" w:rsidP="00881E00">
      <w:pPr>
        <w:bidi w:val="0"/>
        <w:spacing w:before="12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Pr="00DF138D">
        <w:rPr>
          <w:rFonts w:ascii="Book Antiqua" w:hAnsi="Book Antiqua" w:cs="Book Antiqua"/>
          <w:b/>
          <w:bCs/>
          <w:sz w:val="22"/>
          <w:szCs w:val="22"/>
        </w:rPr>
        <w:t>Cieľom</w:t>
      </w:r>
      <w:r w:rsidRPr="00DF138D">
        <w:rPr>
          <w:rFonts w:ascii="Book Antiqua" w:hAnsi="Book Antiqua" w:cs="Book Antiqua"/>
          <w:sz w:val="22"/>
          <w:szCs w:val="22"/>
        </w:rPr>
        <w:t xml:space="preserve"> </w:t>
      </w:r>
      <w:r w:rsidRPr="00DF138D">
        <w:rPr>
          <w:rFonts w:ascii="Book Antiqua" w:hAnsi="Book Antiqua" w:cs="Book Antiqua"/>
          <w:b/>
          <w:bCs/>
          <w:sz w:val="22"/>
          <w:szCs w:val="22"/>
        </w:rPr>
        <w:t>predloženého návrhu zákona je zavedenie podmienky, podľa ktorej bude musieť každý novopostavený bytový dom obsahovať aspoň jeden byt spĺňajúci osobitné požiadavky kladené na užívanie stavby osobou s obmedzenou schopnosťou pohybu a orientácie, najmä požiadavku bezbariérovosti.</w:t>
      </w:r>
      <w:r w:rsidRPr="00DF138D">
        <w:rPr>
          <w:rFonts w:ascii="Book Antiqua" w:hAnsi="Book Antiqua" w:cs="Book Antiqua"/>
          <w:sz w:val="22"/>
          <w:szCs w:val="22"/>
        </w:rPr>
        <w:t xml:space="preserve">          </w:t>
      </w:r>
    </w:p>
    <w:p w:rsidR="00E83664" w:rsidRPr="00881E00" w:rsidP="00DF138D">
      <w:pPr>
        <w:pStyle w:val="Standard"/>
        <w:bidi w:val="0"/>
        <w:spacing w:before="12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Pr="00DF138D">
        <w:rPr>
          <w:rFonts w:ascii="Book Antiqua" w:hAnsi="Book Antiqua" w:cs="Book Antiqua"/>
          <w:sz w:val="22"/>
          <w:szCs w:val="22"/>
        </w:rPr>
        <w:t>Navrhnuté opatrenie výrazne pris</w:t>
      </w:r>
      <w:r w:rsidRPr="00881E00">
        <w:rPr>
          <w:rFonts w:ascii="Book Antiqua" w:hAnsi="Book Antiqua" w:cs="Book Antiqua"/>
          <w:sz w:val="22"/>
          <w:szCs w:val="22"/>
        </w:rPr>
        <w:t xml:space="preserve">peje k sociálnej udržateľnosti a rozšíreniu trhu s modernými bytmi spĺňajúcimi osobitné požiadavky kladené na užívanie stavby osobou s obmedzenou schopnosťou pohybu a orientácie. To nepochybne zlepší a rozšíri možnosti bývania pre ťažko zdravotne postihnuté osoby, resp. pre rodiny, ktorých člen je osobou s ťažkým zdravotným postihnutím alebo senior. V neposlednom rade je toto opatrenie spôsobilé pozitívne vplývať na rozpočet verejnej správy, a to z dôvodu poklesu čerpania príspevku na úpravu bytu podľa zákona č. 447/2008 Z. z. o peňažných príspevkoch na kompenzáciu ťažkého zdravotného postihnutia a o zmene a doplnení niektorých zákonov.  </w:t>
      </w:r>
    </w:p>
    <w:p w:rsidR="001560DC" w:rsidP="001560DC">
      <w:pPr>
        <w:pStyle w:val="Standard"/>
        <w:bidi w:val="0"/>
        <w:spacing w:before="12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Pr="00881E00" w:rsidR="00E83664">
        <w:rPr>
          <w:rFonts w:ascii="Book Antiqua" w:hAnsi="Book Antiqua" w:cs="Book Antiqua"/>
          <w:sz w:val="22"/>
          <w:szCs w:val="22"/>
        </w:rPr>
        <w:t>Návrh zákona môže mať mierne negatívny vplyv na podnikateľské prostredie, nemá však zásadný vplyv najmä vo vzťahu k developerom (investorom), a naopak má pozitívny vpl</w:t>
      </w:r>
      <w:r>
        <w:rPr>
          <w:rFonts w:ascii="Book Antiqua" w:hAnsi="Book Antiqua" w:cs="Book Antiqua"/>
          <w:sz w:val="22"/>
          <w:szCs w:val="22"/>
        </w:rPr>
        <w:t xml:space="preserve">yv na rozpočet verejnej správy. </w:t>
      </w:r>
    </w:p>
    <w:p w:rsidR="00E83664" w:rsidRPr="00DF138D" w:rsidP="001560DC">
      <w:pPr>
        <w:pStyle w:val="Standard"/>
        <w:bidi w:val="0"/>
        <w:spacing w:before="12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Pr="00DF138D">
        <w:rPr>
          <w:rFonts w:ascii="Book Antiqua" w:hAnsi="Book Antiqua" w:cs="Book Antiqua"/>
          <w:sz w:val="22"/>
          <w:szCs w:val="22"/>
        </w:rPr>
        <w:t>Návrh zákona taktiež zakladá pozitívne sociálne vplyvy. Návrh zákona nemá vplyv na životné prostredie ani na informatizáciu spoločnosti.</w:t>
      </w:r>
    </w:p>
    <w:p w:rsidR="00E83664" w:rsidRPr="00DF138D" w:rsidP="00DF138D">
      <w:pPr>
        <w:pStyle w:val="Standard"/>
        <w:bidi w:val="0"/>
        <w:spacing w:before="12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Pr="00DF138D">
        <w:rPr>
          <w:rFonts w:ascii="Book Antiqua" w:hAnsi="Book Antiqua" w:cs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E83664" w:rsidRPr="00DF138D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DF138D">
        <w:rPr>
          <w:rFonts w:ascii="Book Antiqua" w:hAnsi="Book Antiqua" w:cs="Book Antiqua"/>
          <w:b/>
          <w:bCs/>
          <w:sz w:val="22"/>
          <w:szCs w:val="22"/>
        </w:rPr>
        <w:t>B. Osobitná časť</w:t>
      </w:r>
    </w:p>
    <w:p w:rsidR="00E83664" w:rsidRPr="00DF138D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E83664" w:rsidRPr="00DF138D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DF138D">
        <w:rPr>
          <w:rFonts w:ascii="Book Antiqua" w:hAnsi="Book Antiqua" w:cs="Book Antiqua"/>
          <w:b/>
          <w:bCs/>
          <w:sz w:val="22"/>
          <w:szCs w:val="22"/>
        </w:rPr>
        <w:t>K  Čl. I</w:t>
      </w:r>
    </w:p>
    <w:p w:rsidR="00E83664" w:rsidRPr="00DF138D" w:rsidP="00DF138D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DF138D">
        <w:rPr>
          <w:rFonts w:ascii="Book Antiqua" w:hAnsi="Book Antiqua" w:cs="Book Antiqua"/>
          <w:sz w:val="22"/>
          <w:szCs w:val="22"/>
          <w:u w:val="single"/>
        </w:rPr>
        <w:t>K bodu 1</w:t>
      </w:r>
    </w:p>
    <w:p w:rsidR="00E83664" w:rsidRPr="00DF138D" w:rsidP="00DF138D">
      <w:pPr>
        <w:pStyle w:val="Standard"/>
        <w:bidi w:val="0"/>
        <w:spacing w:before="12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Pr="00DF138D">
        <w:rPr>
          <w:rFonts w:ascii="Book Antiqua" w:hAnsi="Book Antiqua" w:cs="Book Antiqua"/>
          <w:sz w:val="22"/>
          <w:szCs w:val="22"/>
        </w:rPr>
        <w:t>Napriek všeobecnému prínosu developerských projektov, obzvlášť v oblasti bytovej výstavby, neraz vyvstávali do</w:t>
      </w:r>
      <w:r>
        <w:rPr>
          <w:rFonts w:ascii="Book Antiqua" w:hAnsi="Book Antiqua" w:cs="Book Antiqua"/>
          <w:sz w:val="22"/>
          <w:szCs w:val="22"/>
        </w:rPr>
        <w:t xml:space="preserve"> popredia aj rôzne negatívne</w:t>
      </w:r>
      <w:r w:rsidRPr="00DF138D">
        <w:rPr>
          <w:rFonts w:ascii="Book Antiqua" w:hAnsi="Book Antiqua" w:cs="Book Antiqua"/>
          <w:sz w:val="22"/>
          <w:szCs w:val="22"/>
        </w:rPr>
        <w:t xml:space="preserve"> aspekty. Prípadov</w:t>
      </w:r>
      <w:r>
        <w:rPr>
          <w:rFonts w:ascii="Book Antiqua" w:hAnsi="Book Antiqua" w:cs="Book Antiqua"/>
          <w:sz w:val="22"/>
          <w:szCs w:val="22"/>
        </w:rPr>
        <w:t>,</w:t>
      </w:r>
      <w:r w:rsidRPr="00DF138D">
        <w:rPr>
          <w:rFonts w:ascii="Book Antiqua" w:hAnsi="Book Antiqua" w:cs="Book Antiqua"/>
          <w:sz w:val="22"/>
          <w:szCs w:val="22"/>
        </w:rPr>
        <w:t xml:space="preserve"> kedy developer sledoval len vlastný </w:t>
      </w:r>
      <w:r>
        <w:rPr>
          <w:rFonts w:ascii="Book Antiqua" w:hAnsi="Book Antiqua" w:cs="Book Antiqua"/>
          <w:sz w:val="22"/>
          <w:szCs w:val="22"/>
        </w:rPr>
        <w:t xml:space="preserve">záujem (predovšetkým dosiahnutie </w:t>
      </w:r>
      <w:r w:rsidRPr="00DF138D">
        <w:rPr>
          <w:rFonts w:ascii="Book Antiqua" w:hAnsi="Book Antiqua" w:cs="Book Antiqua"/>
          <w:sz w:val="22"/>
          <w:szCs w:val="22"/>
        </w:rPr>
        <w:t>zisk</w:t>
      </w:r>
      <w:r>
        <w:rPr>
          <w:rFonts w:ascii="Book Antiqua" w:hAnsi="Book Antiqua" w:cs="Book Antiqua"/>
          <w:sz w:val="22"/>
          <w:szCs w:val="22"/>
        </w:rPr>
        <w:t>u)</w:t>
      </w:r>
      <w:r w:rsidRPr="00DF138D">
        <w:rPr>
          <w:rFonts w:ascii="Book Antiqua" w:hAnsi="Book Antiqua" w:cs="Book Antiqua"/>
          <w:sz w:val="22"/>
          <w:szCs w:val="22"/>
        </w:rPr>
        <w:t xml:space="preserve"> a nijako neprihliadal na potrebu ná</w:t>
      </w:r>
      <w:r>
        <w:rPr>
          <w:rFonts w:ascii="Book Antiqua" w:hAnsi="Book Antiqua" w:cs="Book Antiqua"/>
          <w:sz w:val="22"/>
          <w:szCs w:val="22"/>
        </w:rPr>
        <w:t>ležitého dobudovania sociálnej a</w:t>
      </w:r>
      <w:r w:rsidRPr="00DF138D">
        <w:rPr>
          <w:rFonts w:ascii="Book Antiqua" w:hAnsi="Book Antiqua" w:cs="Book Antiqua"/>
          <w:sz w:val="22"/>
          <w:szCs w:val="22"/>
        </w:rPr>
        <w:t> technickej infraštruktúry nebolo málo. Aj z u</w:t>
      </w:r>
      <w:r>
        <w:rPr>
          <w:rFonts w:ascii="Book Antiqua" w:hAnsi="Book Antiqua" w:cs="Book Antiqua"/>
          <w:sz w:val="22"/>
          <w:szCs w:val="22"/>
        </w:rPr>
        <w:t xml:space="preserve">vedeného dôvodu bol nedávno </w:t>
      </w:r>
      <w:r w:rsidRPr="00DF138D">
        <w:rPr>
          <w:rFonts w:ascii="Book Antiqua" w:hAnsi="Book Antiqua" w:cs="Book Antiqua"/>
          <w:sz w:val="22"/>
          <w:szCs w:val="22"/>
        </w:rPr>
        <w:t>prijatý zákon, ktorý obciam dáva možnosť žiadať od developerov tzv. poplatok za rozvoj. Jedným z cieľov zákona č. 447/2015 Z. z. o miestnom poplatku za rozvoj je zavedenie akejsi „spolupatričnosti a sociálnosti“ de</w:t>
      </w:r>
      <w:r>
        <w:rPr>
          <w:rFonts w:ascii="Book Antiqua" w:hAnsi="Book Antiqua" w:cs="Book Antiqua"/>
          <w:sz w:val="22"/>
          <w:szCs w:val="22"/>
        </w:rPr>
        <w:t>veloperov do života obce, hoci ani tento zákon nevyriešil všetky problémy s tým spojené, a to práve ani vo vzťahu k tzv. vynúteným investíciám spojeným s bytovou výstavbou.</w:t>
      </w:r>
    </w:p>
    <w:p w:rsidR="00E83664" w:rsidRPr="00DF138D" w:rsidP="00DF138D">
      <w:pPr>
        <w:pStyle w:val="Standard"/>
        <w:bidi w:val="0"/>
        <w:spacing w:before="120" w:line="276" w:lineRule="auto"/>
        <w:ind w:firstLine="709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DF138D">
        <w:rPr>
          <w:rFonts w:ascii="Book Antiqua" w:hAnsi="Book Antiqua" w:cs="Book Antiqua"/>
          <w:b/>
          <w:bCs/>
          <w:sz w:val="22"/>
          <w:szCs w:val="22"/>
        </w:rPr>
        <w:t>Cieľom návrhu zákona je p</w:t>
      </w:r>
      <w:r>
        <w:rPr>
          <w:rFonts w:ascii="Book Antiqua" w:hAnsi="Book Antiqua" w:cs="Book Antiqua"/>
          <w:b/>
          <w:bCs/>
          <w:sz w:val="22"/>
          <w:szCs w:val="22"/>
        </w:rPr>
        <w:t xml:space="preserve">osilnenie sociálneho rozmeru </w:t>
      </w:r>
      <w:r w:rsidRPr="00DF138D">
        <w:rPr>
          <w:rFonts w:ascii="Book Antiqua" w:hAnsi="Book Antiqua" w:cs="Book Antiqua"/>
          <w:b/>
          <w:bCs/>
          <w:sz w:val="22"/>
          <w:szCs w:val="22"/>
        </w:rPr>
        <w:t>výstavby bytových domov</w:t>
      </w:r>
      <w:r w:rsidRPr="00DF138D">
        <w:rPr>
          <w:rFonts w:ascii="Book Antiqua" w:hAnsi="Book Antiqua" w:cs="Book Antiqua"/>
          <w:sz w:val="22"/>
          <w:szCs w:val="22"/>
        </w:rPr>
        <w:t>. V návrhu zákona sa záro</w:t>
      </w:r>
      <w:r>
        <w:rPr>
          <w:rFonts w:ascii="Book Antiqua" w:hAnsi="Book Antiqua" w:cs="Book Antiqua"/>
          <w:sz w:val="22"/>
          <w:szCs w:val="22"/>
        </w:rPr>
        <w:t>veň premieta stále naliehavejšia požiadavka</w:t>
      </w:r>
      <w:r w:rsidRPr="00DF138D">
        <w:rPr>
          <w:rFonts w:ascii="Book Antiqua" w:hAnsi="Book Antiqua" w:cs="Book Antiqua"/>
          <w:sz w:val="22"/>
          <w:szCs w:val="22"/>
        </w:rPr>
        <w:t xml:space="preserve"> ťažko zdravotne postihnutých osôb na pekné, moderné a energeticky nenáročné bývanie pri súčasnom zachovaní osobitných požiadav</w:t>
      </w:r>
      <w:r>
        <w:rPr>
          <w:rFonts w:ascii="Book Antiqua" w:hAnsi="Book Antiqua" w:cs="Book Antiqua"/>
          <w:sz w:val="22"/>
          <w:szCs w:val="22"/>
        </w:rPr>
        <w:t>iek kladených na užívanie stavby</w:t>
      </w:r>
      <w:r w:rsidRPr="00DF138D">
        <w:rPr>
          <w:rFonts w:ascii="Book Antiqua" w:hAnsi="Book Antiqua" w:cs="Book Antiqua"/>
          <w:sz w:val="22"/>
          <w:szCs w:val="22"/>
        </w:rPr>
        <w:t xml:space="preserve"> osobou s obmedzenou schopnosťou pohybu a orientácie.</w:t>
      </w:r>
      <w:r w:rsidRPr="00DF138D">
        <w:rPr>
          <w:rFonts w:ascii="Book Antiqua" w:hAnsi="Book Antiqua" w:cs="Book Antiqua"/>
          <w:b/>
          <w:bCs/>
          <w:sz w:val="22"/>
          <w:szCs w:val="22"/>
        </w:rPr>
        <w:t xml:space="preserve">  </w:t>
      </w:r>
    </w:p>
    <w:p w:rsidR="00E83664" w:rsidRPr="00DF138D" w:rsidP="00881E00">
      <w:pPr>
        <w:pStyle w:val="Standard"/>
        <w:bidi w:val="0"/>
        <w:spacing w:before="120" w:line="276" w:lineRule="auto"/>
        <w:ind w:firstLine="709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DF138D">
        <w:rPr>
          <w:rFonts w:ascii="Book Antiqua" w:hAnsi="Book Antiqua" w:cs="Book Antiqua"/>
          <w:sz w:val="22"/>
          <w:szCs w:val="22"/>
        </w:rPr>
        <w:t>V zmysle predloženého návrhu zákona bude musieť</w:t>
      </w:r>
      <w:r w:rsidRPr="00DF138D">
        <w:rPr>
          <w:rFonts w:ascii="Book Antiqua" w:hAnsi="Book Antiqua" w:cs="Book Antiqua"/>
          <w:b/>
          <w:bCs/>
          <w:sz w:val="22"/>
          <w:szCs w:val="22"/>
        </w:rPr>
        <w:t xml:space="preserve"> každý novo postavený bytový dom obsahovať aspoň 2 % bytov spĺňajúcich poži</w:t>
      </w:r>
      <w:r>
        <w:rPr>
          <w:rFonts w:ascii="Book Antiqua" w:hAnsi="Book Antiqua" w:cs="Book Antiqua"/>
          <w:b/>
          <w:bCs/>
          <w:sz w:val="22"/>
          <w:szCs w:val="22"/>
        </w:rPr>
        <w:t>adavky kladené na užívanie stavby</w:t>
      </w:r>
      <w:r w:rsidRPr="00DF138D">
        <w:rPr>
          <w:rFonts w:ascii="Book Antiqua" w:hAnsi="Book Antiqua" w:cs="Book Antiqua"/>
          <w:b/>
          <w:bCs/>
          <w:sz w:val="22"/>
          <w:szCs w:val="22"/>
        </w:rPr>
        <w:t xml:space="preserve"> osobou s obmedzenou schopnosťou pohybu a orientácie, najmenej však jeden byt v bytovom dome.</w:t>
      </w:r>
    </w:p>
    <w:p w:rsidR="00E83664" w:rsidP="00881E00">
      <w:pPr>
        <w:pStyle w:val="Standard"/>
        <w:bidi w:val="0"/>
        <w:spacing w:before="12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Pr="00DF138D">
        <w:rPr>
          <w:rFonts w:ascii="Book Antiqua" w:hAnsi="Book Antiqua" w:cs="Book Antiqua"/>
          <w:sz w:val="22"/>
          <w:szCs w:val="22"/>
        </w:rPr>
        <w:t>Napriek prvotne zvýšeným nákladom developera na minimálne jeden „atypický“ byt, nemožno predpokladať výrazne negatívny dopad návrhu zákona, a to najmä z dôvodu stáleho dopytu po takýchto bytoch, avšak obmedzenej ponuky.</w:t>
      </w:r>
    </w:p>
    <w:p w:rsidR="00E83664" w:rsidP="00DF138D">
      <w:pPr>
        <w:pStyle w:val="Standard"/>
        <w:bidi w:val="0"/>
        <w:spacing w:before="12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Požiadavka na vyčlenenie 2% bytov v bytových domoch </w:t>
      </w:r>
      <w:r w:rsidRPr="00BA32FC">
        <w:rPr>
          <w:rFonts w:ascii="Book Antiqua" w:hAnsi="Book Antiqua" w:cs="Book Antiqua"/>
          <w:sz w:val="22"/>
          <w:szCs w:val="22"/>
        </w:rPr>
        <w:t>spĺňajúcich požiadavky kladené na užívanie stavby osobou s obmedzenou schopnosťou pohybu a</w:t>
      </w:r>
      <w:r>
        <w:rPr>
          <w:rFonts w:ascii="Book Antiqua" w:hAnsi="Book Antiqua" w:cs="Book Antiqua"/>
          <w:sz w:val="22"/>
          <w:szCs w:val="22"/>
        </w:rPr>
        <w:t> </w:t>
      </w:r>
      <w:r w:rsidRPr="00BA32FC">
        <w:rPr>
          <w:rFonts w:ascii="Book Antiqua" w:hAnsi="Book Antiqua" w:cs="Book Antiqua"/>
          <w:sz w:val="22"/>
          <w:szCs w:val="22"/>
        </w:rPr>
        <w:t>orientácie</w:t>
      </w:r>
      <w:r>
        <w:rPr>
          <w:rFonts w:ascii="Book Antiqua" w:hAnsi="Book Antiqua" w:cs="Book Antiqua"/>
          <w:sz w:val="22"/>
          <w:szCs w:val="22"/>
        </w:rPr>
        <w:t xml:space="preserve"> je v tomto návrhu vnímaná ako všeobecná technická požiadavka na výstavbu. Tieto požiadavky sú rámcovo upravené v § 43b</w:t>
      </w:r>
      <w:r w:rsidRPr="00BA32FC">
        <w:rPr>
          <w:rFonts w:ascii="Book Antiqua" w:hAnsi="Book Antiqua" w:cs="Book Antiqua"/>
          <w:sz w:val="22"/>
          <w:szCs w:val="22"/>
        </w:rPr>
        <w:t xml:space="preserve"> </w:t>
      </w:r>
      <w:r w:rsidRPr="00DF138D">
        <w:rPr>
          <w:rFonts w:ascii="Book Antiqua" w:hAnsi="Book Antiqua" w:cs="Book Antiqua"/>
          <w:sz w:val="22"/>
          <w:szCs w:val="22"/>
        </w:rPr>
        <w:t>zákon</w:t>
      </w:r>
      <w:r>
        <w:rPr>
          <w:rFonts w:ascii="Book Antiqua" w:hAnsi="Book Antiqua" w:cs="Book Antiqua"/>
          <w:sz w:val="22"/>
          <w:szCs w:val="22"/>
        </w:rPr>
        <w:t xml:space="preserve">a </w:t>
      </w:r>
      <w:r w:rsidRPr="00DF138D">
        <w:rPr>
          <w:rFonts w:ascii="Book Antiqua" w:hAnsi="Book Antiqua" w:cs="Book Antiqua"/>
          <w:sz w:val="22"/>
          <w:szCs w:val="22"/>
        </w:rPr>
        <w:t>č. 50/1976 Zb. o územnom plánovaní a stavebnom poriadku (stavebný zákon) v znení neskorších predpisov</w:t>
      </w:r>
      <w:r>
        <w:rPr>
          <w:rFonts w:ascii="Book Antiqua" w:hAnsi="Book Antiqua" w:cs="Book Antiqua"/>
          <w:sz w:val="22"/>
          <w:szCs w:val="22"/>
        </w:rPr>
        <w:t xml:space="preserve"> (ďalej len „stavebný zákon“) a podrobnejšie v § 47 stavebného zákona. V stavebnom konaní stavebný úrad podľa § 62 stavebného zákona skúma, či dokumentácia zodpovedá všeobecným technickým požiadavkám na výstavbu vrátane vydávania stavebného povolenia (§ 66 stavebného zákona) a rovnako pri kolaudácii preskúmava zhodu s týmito požiadavkami podľa § 82 stavebného zákona.</w:t>
      </w:r>
    </w:p>
    <w:p w:rsidR="00E83664" w:rsidRPr="00BA32FC" w:rsidP="00BA32FC">
      <w:pPr>
        <w:pStyle w:val="Standard"/>
        <w:bidi w:val="0"/>
        <w:spacing w:before="12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Podrobnosti o všeobecných technických požiadavkách na výstavbu upravuje vyhláška Ministerstva životného prostredia Slovenskej republiky č. 532/2002 Z. z., </w:t>
      </w:r>
      <w:r w:rsidRPr="00BA32FC">
        <w:rPr>
          <w:rFonts w:ascii="Book Antiqua" w:hAnsi="Book Antiqua" w:cs="Book Antiqua"/>
          <w:color w:val="000000"/>
          <w:sz w:val="22"/>
          <w:szCs w:val="22"/>
          <w:shd w:val="clear" w:color="auto" w:fill="FFFFFF"/>
        </w:rPr>
        <w:t>ktorou sa ustanovujú podrobnosti o všeobecných technických požiadavkách na výstavbu a o všeobecných technických požiadavkách na stavby užívané osobami s obmedzenou schopnosťou pohybu a</w:t>
      </w:r>
      <w:r>
        <w:rPr>
          <w:rFonts w:ascii="Book Antiqua" w:hAnsi="Book Antiqua" w:cs="Book Antiqua"/>
          <w:color w:val="000000"/>
          <w:sz w:val="22"/>
          <w:szCs w:val="22"/>
          <w:shd w:val="clear" w:color="auto" w:fill="FFFFFF"/>
        </w:rPr>
        <w:t> </w:t>
      </w:r>
      <w:r w:rsidRPr="00BA32FC">
        <w:rPr>
          <w:rFonts w:ascii="Book Antiqua" w:hAnsi="Book Antiqua" w:cs="Book Antiqua"/>
          <w:color w:val="000000"/>
          <w:sz w:val="22"/>
          <w:szCs w:val="22"/>
          <w:shd w:val="clear" w:color="auto" w:fill="FFFFFF"/>
        </w:rPr>
        <w:t>orientácie</w:t>
      </w:r>
      <w:r>
        <w:rPr>
          <w:rFonts w:ascii="Book Antiqua" w:hAnsi="Book Antiqua" w:cs="Book Antiqua"/>
          <w:color w:val="000000"/>
          <w:sz w:val="22"/>
          <w:szCs w:val="22"/>
          <w:shd w:val="clear" w:color="auto" w:fill="FFFFFF"/>
        </w:rPr>
        <w:t xml:space="preserve"> (ďalej len „vyhláška č. 532/2002 Z. z.). Vyhláška                 č. 532/2002 Z. z. vo svojich ustanoveniach upravuje aj požiadavky na bytové domy, a to aj vo vzťahu k osobám</w:t>
      </w:r>
      <w:r w:rsidRPr="00BA32FC">
        <w:rPr>
          <w:rFonts w:ascii="Book Antiqua" w:hAnsi="Book Antiqua" w:cs="Book Antiqua"/>
          <w:sz w:val="22"/>
          <w:szCs w:val="22"/>
        </w:rPr>
        <w:t xml:space="preserve"> s obmedzenou schopnosťou pohybu a</w:t>
      </w:r>
      <w:r>
        <w:rPr>
          <w:rFonts w:ascii="Book Antiqua" w:hAnsi="Book Antiqua" w:cs="Book Antiqua"/>
          <w:sz w:val="22"/>
          <w:szCs w:val="22"/>
        </w:rPr>
        <w:t> </w:t>
      </w:r>
      <w:r w:rsidRPr="00BA32FC">
        <w:rPr>
          <w:rFonts w:ascii="Book Antiqua" w:hAnsi="Book Antiqua" w:cs="Book Antiqua"/>
          <w:sz w:val="22"/>
          <w:szCs w:val="22"/>
        </w:rPr>
        <w:t>orientácie</w:t>
      </w:r>
      <w:r>
        <w:rPr>
          <w:rFonts w:ascii="Book Antiqua" w:hAnsi="Book Antiqua" w:cs="Book Antiqua"/>
          <w:sz w:val="22"/>
          <w:szCs w:val="22"/>
        </w:rPr>
        <w:t xml:space="preserve"> (§ 56 až 58), ako aj všeobecne (§ 44), keď napr. ustanovuje, že bytový dom musí mať najmenej jedno garážové stojisko na jeden byt. Nič preto nebráni tomu, aby zákonná podmienka vyčlenenia 2% bytov v bytových domoch </w:t>
      </w:r>
      <w:r w:rsidRPr="00BA32FC">
        <w:rPr>
          <w:rFonts w:ascii="Book Antiqua" w:hAnsi="Book Antiqua" w:cs="Book Antiqua"/>
          <w:sz w:val="22"/>
          <w:szCs w:val="22"/>
        </w:rPr>
        <w:t>spĺňajúcich požiadavky kladené na užívanie stavby osobou s obmedzenou schopnosťou pohybu a</w:t>
      </w:r>
      <w:r>
        <w:rPr>
          <w:rFonts w:ascii="Book Antiqua" w:hAnsi="Book Antiqua" w:cs="Book Antiqua"/>
          <w:sz w:val="22"/>
          <w:szCs w:val="22"/>
        </w:rPr>
        <w:t> </w:t>
      </w:r>
      <w:r w:rsidRPr="00BA32FC">
        <w:rPr>
          <w:rFonts w:ascii="Book Antiqua" w:hAnsi="Book Antiqua" w:cs="Book Antiqua"/>
          <w:sz w:val="22"/>
          <w:szCs w:val="22"/>
        </w:rPr>
        <w:t>orientácie</w:t>
      </w:r>
      <w:r>
        <w:rPr>
          <w:rFonts w:ascii="Book Antiqua" w:hAnsi="Book Antiqua" w:cs="Book Antiqua"/>
          <w:sz w:val="22"/>
          <w:szCs w:val="22"/>
        </w:rPr>
        <w:t xml:space="preserve"> bola tiež podrobnejšie upravená práve v tejto vyhláške.</w:t>
      </w:r>
    </w:p>
    <w:p w:rsidR="00E83664" w:rsidRPr="00DF138D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  <w:u w:val="single"/>
        </w:rPr>
      </w:pPr>
      <w:r w:rsidRPr="00DF138D">
        <w:rPr>
          <w:rFonts w:ascii="Book Antiqua" w:hAnsi="Book Antiqua" w:cs="Book Antiqua"/>
          <w:sz w:val="22"/>
          <w:szCs w:val="22"/>
          <w:u w:val="single"/>
        </w:rPr>
        <w:t>K bodu 2</w:t>
      </w:r>
    </w:p>
    <w:p w:rsidR="00E83664" w:rsidRPr="00DF138D" w:rsidP="00DF138D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DF138D">
        <w:rPr>
          <w:rFonts w:ascii="Book Antiqua" w:hAnsi="Book Antiqua" w:cs="Book Antiqua"/>
          <w:sz w:val="22"/>
          <w:szCs w:val="22"/>
        </w:rPr>
        <w:tab/>
        <w:t>Zavádzajú sa intertemporálne ustanovenia, ktoré ustanovujú, že podmienka stavby aspoň jedného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Pr="00DF138D">
        <w:rPr>
          <w:rFonts w:ascii="Book Antiqua" w:hAnsi="Book Antiqua" w:cs="Book Antiqua"/>
          <w:sz w:val="22"/>
          <w:szCs w:val="22"/>
        </w:rPr>
        <w:t>bytu spĺňajúceho požiadavky kladené na stavbu užívanú osobou s obmedzenou schopnosťou pohybu a orientácie v</w:t>
      </w:r>
      <w:r>
        <w:rPr>
          <w:rFonts w:ascii="Book Antiqua" w:hAnsi="Book Antiqua" w:cs="Book Antiqua"/>
          <w:sz w:val="22"/>
          <w:szCs w:val="22"/>
        </w:rPr>
        <w:t> bytovom dome sa bude vzťahovať</w:t>
      </w:r>
      <w:r w:rsidRPr="00DF138D">
        <w:rPr>
          <w:rFonts w:ascii="Book Antiqua" w:hAnsi="Book Antiqua" w:cs="Book Antiqua"/>
          <w:sz w:val="22"/>
          <w:szCs w:val="22"/>
        </w:rPr>
        <w:t xml:space="preserve"> až na tie bytové domy, ktorých žiadosť o stavebné povolenie bola stavebnému úradu podaná po 31. júli 2017. Zároveň sa ustanovuje, že stavebné konania, ktoré boli začaté a právoplatne neukončené do 31. júla 2017 sa dokončia podľa doterajších predpisov. </w:t>
      </w:r>
    </w:p>
    <w:p w:rsidR="00E83664" w:rsidRPr="00DF138D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E83664" w:rsidRPr="00DF138D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DF138D">
        <w:rPr>
          <w:rFonts w:ascii="Book Antiqua" w:hAnsi="Book Antiqua" w:cs="Book Antiqua"/>
          <w:b/>
          <w:bCs/>
          <w:sz w:val="22"/>
          <w:szCs w:val="22"/>
        </w:rPr>
        <w:t>K  Čl. II</w:t>
      </w:r>
    </w:p>
    <w:p w:rsidR="00E83664" w:rsidRPr="00DF138D" w:rsidP="00DF138D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DF138D">
        <w:rPr>
          <w:rFonts w:ascii="Book Antiqua" w:hAnsi="Book Antiqua" w:cs="Book Antiqua"/>
          <w:sz w:val="22"/>
          <w:szCs w:val="22"/>
        </w:rPr>
        <w:t>Navrhuje sa účinnosť predkladaného návrhu zákona so zohľadnením potrebnej dĺžky legisvakančnej lehoty na 1. august</w:t>
      </w:r>
      <w:r>
        <w:rPr>
          <w:rFonts w:ascii="Book Antiqua" w:hAnsi="Book Antiqua" w:cs="Book Antiqua"/>
          <w:sz w:val="22"/>
          <w:szCs w:val="22"/>
        </w:rPr>
        <w:t>a 2017, ktorá sa považuje za dostatočnú aj v prípade, ak by bolo potrebné novelizovať vyhlášku č. 532/2002 Z. z.</w:t>
      </w:r>
    </w:p>
    <w:p w:rsidR="00E83664" w:rsidRPr="00DF138D" w:rsidP="00DF138D">
      <w:pPr>
        <w:pageBreakBefore/>
        <w:tabs>
          <w:tab w:val="left" w:pos="6015"/>
        </w:tabs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DF138D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DOLOŽKA ZLUČITEĽNOSTI</w:t>
      </w:r>
    </w:p>
    <w:p w:rsidR="00E83664" w:rsidRPr="00DF138D" w:rsidP="00DF138D">
      <w:pPr>
        <w:pStyle w:val="Normlnywebov1"/>
        <w:bidi w:val="0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DF138D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DF138D">
        <w:rPr>
          <w:rFonts w:ascii="Book Antiqua" w:hAnsi="Book Antiqua" w:cs="Book Antiqua"/>
          <w:sz w:val="22"/>
          <w:szCs w:val="22"/>
        </w:rPr>
        <w:t xml:space="preserve"> </w:t>
      </w:r>
      <w:r w:rsidRPr="00DF138D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:rsidR="00E83664" w:rsidRPr="00DF138D" w:rsidP="00DF138D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DF138D">
        <w:rPr>
          <w:rFonts w:ascii="Book Antiqua" w:hAnsi="Book Antiqua" w:cs="Book Antiqua"/>
          <w:sz w:val="22"/>
          <w:szCs w:val="22"/>
        </w:rPr>
        <w:t> </w:t>
      </w:r>
    </w:p>
    <w:p w:rsidR="00E83664" w:rsidRPr="00DF138D" w:rsidP="00DF138D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DF138D">
        <w:rPr>
          <w:rFonts w:ascii="Book Antiqua" w:hAnsi="Book Antiqua" w:cs="Book Antiqua"/>
          <w:b/>
          <w:bCs/>
          <w:sz w:val="22"/>
          <w:szCs w:val="22"/>
        </w:rPr>
        <w:t>1. Navrhovateľ zákona:</w:t>
      </w:r>
      <w:r w:rsidRPr="00DF138D">
        <w:rPr>
          <w:rFonts w:ascii="Book Antiqua" w:hAnsi="Book Antiqua" w:cs="Book Antiqua"/>
          <w:sz w:val="22"/>
          <w:szCs w:val="22"/>
        </w:rPr>
        <w:t xml:space="preserve"> skupina poslancov Národnej rady Slovenskej repub</w:t>
      </w:r>
      <w:r w:rsidR="001560DC">
        <w:rPr>
          <w:rFonts w:ascii="Book Antiqua" w:hAnsi="Book Antiqua" w:cs="Book Antiqua"/>
          <w:sz w:val="22"/>
          <w:szCs w:val="22"/>
        </w:rPr>
        <w:t>liky</w:t>
      </w:r>
      <w:r w:rsidRPr="00DF138D">
        <w:rPr>
          <w:rFonts w:ascii="Book Antiqua" w:hAnsi="Book Antiqua" w:cs="Book Antiqua"/>
          <w:sz w:val="22"/>
          <w:szCs w:val="22"/>
        </w:rPr>
        <w:t xml:space="preserve"> </w:t>
      </w:r>
    </w:p>
    <w:p w:rsidR="00E83664" w:rsidRPr="00DF138D" w:rsidP="00DF138D">
      <w:pPr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E83664" w:rsidRPr="00DF138D" w:rsidP="00DF138D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DF138D">
        <w:rPr>
          <w:rFonts w:ascii="Book Antiqua" w:hAnsi="Book Antiqua" w:cs="Book Antiqua"/>
          <w:b/>
          <w:bCs/>
          <w:sz w:val="22"/>
          <w:szCs w:val="22"/>
        </w:rPr>
        <w:t xml:space="preserve">2. Názov návrhu právneho predpisu: </w:t>
      </w:r>
      <w:r w:rsidRPr="00DF138D">
        <w:rPr>
          <w:rFonts w:ascii="Book Antiqua" w:hAnsi="Book Antiqua" w:cs="Book Antiqua"/>
          <w:sz w:val="22"/>
          <w:szCs w:val="22"/>
        </w:rPr>
        <w:t>návrh zákona, ktorým sa </w:t>
      </w:r>
      <w:r>
        <w:rPr>
          <w:rFonts w:ascii="Book Antiqua" w:hAnsi="Book Antiqua" w:cs="Book Antiqua"/>
          <w:sz w:val="22"/>
          <w:szCs w:val="22"/>
        </w:rPr>
        <w:t xml:space="preserve">mení a </w:t>
      </w:r>
      <w:r w:rsidRPr="00DF138D">
        <w:rPr>
          <w:rFonts w:ascii="Book Antiqua" w:hAnsi="Book Antiqua" w:cs="Book Antiqua"/>
          <w:sz w:val="22"/>
          <w:szCs w:val="22"/>
        </w:rPr>
        <w:t xml:space="preserve">dopĺňa zákon </w:t>
      </w:r>
      <w:r>
        <w:rPr>
          <w:rFonts w:ascii="Book Antiqua" w:hAnsi="Book Antiqua" w:cs="Book Antiqua"/>
          <w:sz w:val="22"/>
          <w:szCs w:val="22"/>
        </w:rPr>
        <w:t xml:space="preserve">             </w:t>
      </w:r>
      <w:r w:rsidRPr="00DF138D">
        <w:rPr>
          <w:rFonts w:ascii="Book Antiqua" w:hAnsi="Book Antiqua" w:cs="Book Antiqua"/>
          <w:sz w:val="22"/>
          <w:szCs w:val="22"/>
        </w:rPr>
        <w:t>č. 50/1976 Zb. o územnom plánovaní a stavebnom poriadku (stavebný zákon) v znení neskorších predpisov</w:t>
      </w:r>
    </w:p>
    <w:p w:rsidR="00E83664" w:rsidRPr="00DF138D" w:rsidP="00DF138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E83664" w:rsidRPr="00DF138D" w:rsidP="00DF138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DF138D">
        <w:rPr>
          <w:rFonts w:ascii="Book Antiqua" w:hAnsi="Book Antiqua" w:cs="Book Antiqua"/>
          <w:b/>
          <w:bCs/>
          <w:sz w:val="22"/>
          <w:szCs w:val="22"/>
        </w:rPr>
        <w:t>3. Predmet návrhu zákona:</w:t>
      </w:r>
    </w:p>
    <w:p w:rsidR="00E83664" w:rsidRPr="00DF138D" w:rsidP="00DF138D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DF138D">
        <w:rPr>
          <w:rFonts w:ascii="Book Antiqua" w:hAnsi="Book Antiqua" w:cs="Book Antiqua"/>
          <w:sz w:val="22"/>
          <w:szCs w:val="22"/>
        </w:rPr>
        <w:t>nie je upravený v primárnom práve Európskej únie,</w:t>
      </w:r>
    </w:p>
    <w:p w:rsidR="00E83664" w:rsidRPr="00DF138D" w:rsidP="00DF138D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DF138D">
        <w:rPr>
          <w:rFonts w:ascii="Book Antiqua" w:hAnsi="Book Antiqua" w:cs="Book Antiqua"/>
          <w:sz w:val="22"/>
          <w:szCs w:val="22"/>
        </w:rPr>
        <w:t>nie je upravený v sekundárnom práve Európskej únie,</w:t>
      </w:r>
    </w:p>
    <w:p w:rsidR="00E83664" w:rsidRPr="00DF138D" w:rsidP="00DF138D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DF138D">
        <w:rPr>
          <w:rFonts w:ascii="Book Antiqua" w:hAnsi="Book Antiqua" w:cs="Book Antiqua"/>
          <w:sz w:val="22"/>
          <w:szCs w:val="22"/>
        </w:rPr>
        <w:t>nie je obsiahnutý v judikatúre Súdneho dvora Európskej únie. </w:t>
      </w:r>
    </w:p>
    <w:p w:rsidR="00E83664" w:rsidRPr="00DF138D" w:rsidP="00DF138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E83664" w:rsidRPr="00DF138D" w:rsidP="00DF138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DF138D">
        <w:rPr>
          <w:rFonts w:ascii="Book Antiqua" w:hAnsi="Book Antiqua" w:cs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E83664" w:rsidRPr="00DF138D" w:rsidP="00DF138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 w:cs="Book Antiqua"/>
          <w:sz w:val="22"/>
          <w:szCs w:val="22"/>
        </w:rPr>
      </w:pPr>
    </w:p>
    <w:p w:rsidR="00E83664" w:rsidRPr="00DF138D" w:rsidP="00DF138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 w:cs="Book Antiqua"/>
          <w:sz w:val="22"/>
          <w:szCs w:val="22"/>
        </w:rPr>
      </w:pPr>
    </w:p>
    <w:p w:rsidR="00E83664" w:rsidRPr="00DF138D" w:rsidP="00DF138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 w:cs="Book Antiqua"/>
          <w:sz w:val="22"/>
          <w:szCs w:val="22"/>
        </w:rPr>
      </w:pPr>
    </w:p>
    <w:p w:rsidR="00E83664" w:rsidRPr="00DF138D" w:rsidP="00DF138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 w:cs="Book Antiqua"/>
          <w:sz w:val="22"/>
          <w:szCs w:val="22"/>
        </w:rPr>
      </w:pPr>
    </w:p>
    <w:p w:rsidR="00E83664" w:rsidRPr="00DF138D" w:rsidP="00DF138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 w:cs="Book Antiqua"/>
          <w:sz w:val="22"/>
          <w:szCs w:val="22"/>
        </w:rPr>
      </w:pPr>
    </w:p>
    <w:p w:rsidR="00E83664" w:rsidRPr="00DF138D" w:rsidP="00DF138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 w:cs="Book Antiqua"/>
          <w:sz w:val="22"/>
          <w:szCs w:val="22"/>
        </w:rPr>
      </w:pPr>
    </w:p>
    <w:p w:rsidR="00E83664" w:rsidRPr="00DF138D" w:rsidP="00DF138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E83664" w:rsidRPr="00DF138D" w:rsidP="00DF138D">
      <w:pPr>
        <w:pStyle w:val="Standard"/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E83664" w:rsidRPr="00DF138D" w:rsidP="00DF138D">
      <w:pPr>
        <w:pStyle w:val="Standard"/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E83664" w:rsidRPr="00DF138D" w:rsidP="00DF138D">
      <w:pPr>
        <w:pStyle w:val="Standard"/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E83664" w:rsidRPr="00DF138D" w:rsidP="00DF138D">
      <w:pPr>
        <w:pStyle w:val="Standard"/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E83664" w:rsidRPr="00DF138D" w:rsidP="00DF138D">
      <w:pPr>
        <w:pStyle w:val="Standard"/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E83664" w:rsidRPr="00DF138D" w:rsidP="00DF138D">
      <w:pPr>
        <w:pStyle w:val="Standard"/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E83664" w:rsidRPr="00DF138D" w:rsidP="00DF138D">
      <w:pPr>
        <w:pStyle w:val="Standard"/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E83664" w:rsidRPr="00DF138D" w:rsidP="00DF138D">
      <w:pPr>
        <w:pStyle w:val="Standard"/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E83664" w:rsidRPr="00DF138D" w:rsidP="00DF138D">
      <w:pPr>
        <w:pStyle w:val="Standard"/>
        <w:bidi w:val="0"/>
        <w:spacing w:before="120" w:line="276" w:lineRule="auto"/>
        <w:rPr>
          <w:rFonts w:ascii="Book Antiqua" w:hAnsi="Book Antiqua" w:cs="Book Antiqua"/>
          <w:b/>
          <w:bCs/>
          <w:sz w:val="22"/>
          <w:szCs w:val="22"/>
        </w:rPr>
      </w:pPr>
    </w:p>
    <w:p w:rsidR="001560DC" w:rsidP="00DF138D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E83664" w:rsidRPr="00DF138D" w:rsidP="00DF138D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DF138D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Doložka</w:t>
      </w:r>
    </w:p>
    <w:p w:rsidR="00E83664" w:rsidRPr="00DF138D" w:rsidP="00DF138D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DF138D">
        <w:rPr>
          <w:rFonts w:ascii="Book Antiqua" w:hAnsi="Book Antiqua" w:cs="Book Antiqua"/>
          <w:b/>
          <w:bCs/>
          <w:sz w:val="22"/>
          <w:szCs w:val="22"/>
        </w:rPr>
        <w:t>vybraných vplyvov</w:t>
      </w:r>
    </w:p>
    <w:p w:rsidR="00E83664" w:rsidRPr="00DF138D" w:rsidP="00DF138D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E83664" w:rsidRPr="00DF138D" w:rsidP="00DF138D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DF138D">
        <w:rPr>
          <w:rFonts w:ascii="Book Antiqua" w:hAnsi="Book Antiqua" w:cs="Book Antiqua"/>
          <w:b/>
          <w:bCs/>
          <w:sz w:val="22"/>
          <w:szCs w:val="22"/>
        </w:rPr>
        <w:t xml:space="preserve">A.1. Názov materiálu: </w:t>
      </w:r>
      <w:r w:rsidRPr="00DF138D">
        <w:rPr>
          <w:rFonts w:ascii="Book Antiqua" w:hAnsi="Book Antiqua" w:cs="Book Antiqua"/>
          <w:sz w:val="22"/>
          <w:szCs w:val="22"/>
        </w:rPr>
        <w:t>návrh zákona, ktorým sa </w:t>
      </w:r>
      <w:r>
        <w:rPr>
          <w:rFonts w:ascii="Book Antiqua" w:hAnsi="Book Antiqua" w:cs="Book Antiqua"/>
          <w:sz w:val="22"/>
          <w:szCs w:val="22"/>
        </w:rPr>
        <w:t xml:space="preserve">mení a </w:t>
      </w:r>
      <w:r w:rsidRPr="00DF138D">
        <w:rPr>
          <w:rFonts w:ascii="Book Antiqua" w:hAnsi="Book Antiqua" w:cs="Book Antiqua"/>
          <w:sz w:val="22"/>
          <w:szCs w:val="22"/>
        </w:rPr>
        <w:t>dopĺňa zákon č. 50/1976 Zb. o územnom plánovaní a stavebnom poriadku (stavebný zákon) v znení neskorších predpisov</w:t>
      </w:r>
    </w:p>
    <w:p w:rsidR="00E83664" w:rsidRPr="00DF138D" w:rsidP="00DF138D">
      <w:pPr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E83664" w:rsidRPr="00DF138D" w:rsidP="00DF138D">
      <w:pPr>
        <w:bidi w:val="0"/>
        <w:spacing w:before="120" w:line="276" w:lineRule="auto"/>
        <w:jc w:val="both"/>
        <w:rPr>
          <w:rFonts w:ascii="Book Antiqua" w:hAnsi="Book Antiqua" w:cs="Book Antiqua"/>
          <w:i/>
          <w:iCs/>
          <w:sz w:val="22"/>
          <w:szCs w:val="22"/>
        </w:rPr>
      </w:pPr>
      <w:r w:rsidRPr="00DF138D">
        <w:rPr>
          <w:rFonts w:ascii="Book Antiqua" w:hAnsi="Book Antiqua" w:cs="Book Antiqua"/>
          <w:b/>
          <w:bCs/>
          <w:sz w:val="22"/>
          <w:szCs w:val="22"/>
        </w:rPr>
        <w:t>Termín začatia a ukončenia PPK:</w:t>
      </w:r>
      <w:r w:rsidRPr="00DF138D">
        <w:rPr>
          <w:rFonts w:ascii="Book Antiqua" w:hAnsi="Book Antiqua" w:cs="Book Antiqua"/>
          <w:sz w:val="22"/>
          <w:szCs w:val="22"/>
        </w:rPr>
        <w:t xml:space="preserve"> </w:t>
      </w:r>
      <w:r w:rsidRPr="00DF138D">
        <w:rPr>
          <w:rFonts w:ascii="Book Antiqua" w:hAnsi="Book Antiqua" w:cs="Book Antiqua"/>
          <w:i/>
          <w:iCs/>
          <w:sz w:val="22"/>
          <w:szCs w:val="22"/>
        </w:rPr>
        <w:t>bezpredmetné</w:t>
      </w:r>
    </w:p>
    <w:p w:rsidR="00E83664" w:rsidRPr="00DF138D" w:rsidP="00DF138D">
      <w:pPr>
        <w:bidi w:val="0"/>
        <w:spacing w:before="120" w:line="276" w:lineRule="auto"/>
        <w:jc w:val="both"/>
        <w:rPr>
          <w:rFonts w:ascii="Book Antiqua" w:hAnsi="Book Antiqua" w:cs="Book Antiqua"/>
          <w:i/>
          <w:iCs/>
          <w:sz w:val="22"/>
          <w:szCs w:val="22"/>
        </w:rPr>
      </w:pPr>
    </w:p>
    <w:p w:rsidR="00E83664" w:rsidRPr="00DF138D" w:rsidP="00881E00">
      <w:pPr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DF138D">
        <w:rPr>
          <w:rFonts w:ascii="Book Antiqua" w:hAnsi="Book Antiqua" w:cs="Book Antiqua"/>
          <w:b/>
          <w:bCs/>
          <w:sz w:val="22"/>
          <w:szCs w:val="22"/>
        </w:rPr>
        <w:t>A.2. Vplyvy:</w:t>
      </w:r>
    </w:p>
    <w:tbl>
      <w:tblPr>
        <w:tblStyle w:val="TableNormal"/>
        <w:tblW w:w="5000" w:type="pct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6"/>
        <w:gridCol w:w="1192"/>
        <w:gridCol w:w="1181"/>
        <w:gridCol w:w="1197"/>
      </w:tblGrid>
      <w:tr>
        <w:tblPrEx>
          <w:tblW w:w="5000" w:type="pct"/>
          <w:tblInd w:w="2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both"/>
              <w:rPr>
                <w:rFonts w:ascii="Book Antiqua" w:hAnsi="Book Antiqua" w:cs="Book Antiqua"/>
              </w:rPr>
            </w:pPr>
            <w:r w:rsidRPr="00DF138D">
              <w:rPr>
                <w:rFonts w:ascii="Book Antiqua" w:hAnsi="Book Antiqua" w:cs="Book Antiqua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both"/>
              <w:rPr>
                <w:rFonts w:ascii="Book Antiqua" w:hAnsi="Book Antiqua" w:cs="Book Antiqua"/>
              </w:rPr>
            </w:pPr>
            <w:r w:rsidRPr="00DF138D">
              <w:rPr>
                <w:rFonts w:ascii="Book Antiqua" w:hAnsi="Book Antiqua" w:cs="Book Antiqua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both"/>
              <w:rPr>
                <w:rFonts w:ascii="Book Antiqua" w:hAnsi="Book Antiqua" w:cs="Book Antiqua"/>
              </w:rPr>
            </w:pPr>
            <w:r w:rsidRPr="00DF138D">
              <w:rPr>
                <w:rFonts w:ascii="Book Antiqua" w:hAnsi="Book Antiqua" w:cs="Book Antiqua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both"/>
              <w:rPr>
                <w:rFonts w:ascii="Book Antiqua" w:hAnsi="Book Antiqua" w:cs="Book Antiqua"/>
              </w:rPr>
            </w:pPr>
            <w:r w:rsidRPr="00DF138D">
              <w:rPr>
                <w:rFonts w:ascii="Book Antiqua" w:hAnsi="Book Antiqua" w:cs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</w:rPr>
            </w:pPr>
            <w:r w:rsidRPr="00DF138D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both"/>
              <w:rPr>
                <w:rFonts w:ascii="Book Antiqua" w:hAnsi="Book Antiqua" w:cs="Book Antiqua"/>
              </w:rPr>
            </w:pPr>
            <w:r w:rsidRPr="00DF138D">
              <w:rPr>
                <w:rFonts w:ascii="Book Antiqua" w:hAnsi="Book Antiqua" w:cs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</w:rPr>
            </w:pPr>
            <w:r w:rsidRPr="00DF138D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both"/>
              <w:rPr>
                <w:rFonts w:ascii="Book Antiqua" w:hAnsi="Book Antiqua" w:cs="Book Antiqua"/>
              </w:rPr>
            </w:pPr>
            <w:r w:rsidRPr="00DF138D">
              <w:rPr>
                <w:rFonts w:ascii="Book Antiqua" w:hAnsi="Book Antiqua" w:cs="Book Antiqua"/>
                <w:sz w:val="22"/>
                <w:szCs w:val="22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</w:rPr>
            </w:pPr>
            <w:r w:rsidRPr="00DF138D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both"/>
              <w:rPr>
                <w:rFonts w:ascii="Book Antiqua" w:hAnsi="Book Antiqua" w:cs="Book Antiqua"/>
              </w:rPr>
            </w:pPr>
            <w:r w:rsidRPr="00DF138D">
              <w:rPr>
                <w:rFonts w:ascii="Book Antiqua" w:hAnsi="Book Antiqua" w:cs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</w:rPr>
            </w:pPr>
            <w:r w:rsidRPr="00DF138D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both"/>
              <w:rPr>
                <w:rFonts w:ascii="Book Antiqua" w:hAnsi="Book Antiqua" w:cs="Book Antiqua"/>
              </w:rPr>
            </w:pPr>
            <w:r w:rsidRPr="00DF138D">
              <w:rPr>
                <w:rFonts w:ascii="Book Antiqua" w:hAnsi="Book Antiqua" w:cs="Book Antiqua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both"/>
              <w:rPr>
                <w:rFonts w:ascii="Book Antiqua" w:hAnsi="Book Antiqua" w:cs="Book Antiqua"/>
              </w:rPr>
            </w:pPr>
            <w:r w:rsidRPr="00DF138D">
              <w:rPr>
                <w:rFonts w:ascii="Book Antiqua" w:hAnsi="Book Antiqua" w:cs="Book Antiqua"/>
                <w:sz w:val="22"/>
                <w:szCs w:val="22"/>
              </w:rPr>
              <w:t>– rovnosť príležitostí a 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both"/>
              <w:rPr>
                <w:rFonts w:ascii="Book Antiqua" w:hAnsi="Book Antiqua" w:cs="Book Antiqua"/>
              </w:rPr>
            </w:pPr>
            <w:r w:rsidRPr="00DF138D">
              <w:rPr>
                <w:rFonts w:ascii="Book Antiqua" w:hAnsi="Book Antiqua" w:cs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</w:rPr>
            </w:pPr>
            <w:r w:rsidRPr="00DF138D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both"/>
              <w:rPr>
                <w:rFonts w:ascii="Book Antiqua" w:hAnsi="Book Antiqua" w:cs="Book Antiqua"/>
              </w:rPr>
            </w:pPr>
            <w:r w:rsidRPr="00DF138D">
              <w:rPr>
                <w:rFonts w:ascii="Book Antiqua" w:hAnsi="Book Antiqua" w:cs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</w:rPr>
            </w:pPr>
            <w:r w:rsidRPr="00DF138D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E83664" w:rsidRPr="00DF138D" w:rsidP="008237A2">
            <w:pPr>
              <w:bidi w:val="0"/>
              <w:spacing w:before="120" w:line="276" w:lineRule="auto"/>
              <w:jc w:val="center"/>
              <w:rPr>
                <w:rFonts w:ascii="Book Antiqua" w:hAnsi="Book Antiqua" w:cs="Book Antiqua"/>
              </w:rPr>
            </w:pPr>
          </w:p>
        </w:tc>
      </w:tr>
    </w:tbl>
    <w:p w:rsidR="00E83664" w:rsidRPr="00DF138D" w:rsidP="00DF138D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DF138D">
        <w:rPr>
          <w:rFonts w:ascii="Book Antiqua" w:hAnsi="Book Antiqua" w:cs="Book Antiqua"/>
          <w:sz w:val="22"/>
          <w:szCs w:val="22"/>
        </w:rPr>
        <w:t> </w:t>
      </w:r>
    </w:p>
    <w:p w:rsidR="00E83664" w:rsidRPr="00DF138D" w:rsidP="00DF138D">
      <w:pPr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DF138D">
        <w:rPr>
          <w:rFonts w:ascii="Book Antiqua" w:hAnsi="Book Antiqua" w:cs="Book Antiqua"/>
          <w:b/>
          <w:bCs/>
          <w:sz w:val="22"/>
          <w:szCs w:val="22"/>
        </w:rPr>
        <w:t>A.3. Poznámky</w:t>
      </w:r>
    </w:p>
    <w:p w:rsidR="00E83664" w:rsidRPr="00DF138D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i/>
          <w:iCs/>
          <w:sz w:val="22"/>
          <w:szCs w:val="22"/>
        </w:rPr>
      </w:pPr>
      <w:r w:rsidRPr="00DF138D">
        <w:rPr>
          <w:rFonts w:ascii="Book Antiqua" w:hAnsi="Book Antiqua" w:cs="Book Antiqua"/>
          <w:i/>
          <w:iCs/>
          <w:sz w:val="22"/>
          <w:szCs w:val="22"/>
        </w:rPr>
        <w:t>Z dôvodu výstavby</w:t>
      </w:r>
      <w:r w:rsidRPr="003A4A45">
        <w:rPr>
          <w:rFonts w:ascii="Book Antiqua" w:hAnsi="Book Antiqua" w:cs="Book Antiqua"/>
          <w:i/>
          <w:iCs/>
          <w:color w:val="FF0000"/>
          <w:sz w:val="22"/>
          <w:szCs w:val="22"/>
        </w:rPr>
        <w:t xml:space="preserve"> </w:t>
      </w:r>
      <w:r w:rsidRPr="00DF138D">
        <w:rPr>
          <w:rFonts w:ascii="Book Antiqua" w:hAnsi="Book Antiqua" w:cs="Book Antiqua"/>
          <w:i/>
          <w:iCs/>
          <w:sz w:val="22"/>
          <w:szCs w:val="22"/>
        </w:rPr>
        <w:t>bytov spĺňajúcich požiadavky kladené na stavbu užívanú osobou s obmedzenou schopnosťou pohybu a orientácie sa predpokladá pokles žiadostí o príspevok na úpravu bytu podľa zákona č. 447/2008 Z. z. o peňažných príspevkoch na kompenzáciu ťažkého zdravotného postihnutia a o zmene a doplnení niektorých zákonov. Zníženie počtu žiadostí o uvedený príspevok bude mať pozitívny vplyv na rozpočet verejnej správy</w:t>
      </w:r>
      <w:r>
        <w:rPr>
          <w:rFonts w:ascii="Book Antiqua" w:hAnsi="Book Antiqua" w:cs="Book Antiqua"/>
          <w:i/>
          <w:iCs/>
          <w:sz w:val="22"/>
          <w:szCs w:val="22"/>
        </w:rPr>
        <w:t>, k</w:t>
      </w:r>
      <w:r w:rsidRPr="00881E00">
        <w:rPr>
          <w:rFonts w:ascii="Book Antiqua" w:hAnsi="Book Antiqua" w:cs="Book Antiqua"/>
          <w:i/>
          <w:iCs/>
          <w:sz w:val="22"/>
          <w:szCs w:val="22"/>
        </w:rPr>
        <w:t xml:space="preserve">torý však nie je možné presne vyčísliť. Z dôvodu mierne zvýšených výdavkov na stavebné úpravy 2% bytov v bytovom dome, resp. v aspoň jednom byte v takomto dome, môže mať návrh zákona negatívny dopad na podnikateľské prostredie, osobitne na developerov (investora), ak zvýšené náklady na výstavbu nezohľadní v cene bytov v bytovom dome. Konkrétne dopady na podnikateľské prostredie však budú záležať od nastavenia cien takýchto bytov. Od návrhu zákona sa očakávajú pozitívne sociálne vplyvy, najmä v oblasti lepšieho začlenenia zdravotne ťažko postihnutých osôb do spoločnosti a zabezpečenia rovnosti príležitostí na trhu s komerčnou bytovou výstavbou. Návrh zákona nezakladá žiadne vplyvy na životné prostredie a informatizáciu spoločnosti.  </w:t>
      </w:r>
    </w:p>
    <w:p w:rsidR="00E83664" w:rsidRPr="00DF138D" w:rsidP="00DF138D">
      <w:pPr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E83664" w:rsidRPr="00DF138D" w:rsidP="00DF138D">
      <w:pPr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DF138D">
        <w:rPr>
          <w:rFonts w:ascii="Book Antiqua" w:hAnsi="Book Antiqua" w:cs="Book Antiqua"/>
          <w:b/>
          <w:bCs/>
          <w:sz w:val="22"/>
          <w:szCs w:val="22"/>
        </w:rPr>
        <w:t>A.4. Alternatívne riešenia</w:t>
      </w:r>
    </w:p>
    <w:p w:rsidR="00E83664" w:rsidRPr="00DF138D" w:rsidP="00DF138D">
      <w:pPr>
        <w:bidi w:val="0"/>
        <w:spacing w:before="120" w:line="276" w:lineRule="auto"/>
        <w:jc w:val="both"/>
        <w:rPr>
          <w:rFonts w:ascii="Book Antiqua" w:hAnsi="Book Antiqua" w:cs="Book Antiqua"/>
          <w:b/>
          <w:bCs/>
          <w:i/>
          <w:iCs/>
          <w:sz w:val="22"/>
          <w:szCs w:val="22"/>
        </w:rPr>
      </w:pPr>
      <w:r w:rsidRPr="00DF138D">
        <w:rPr>
          <w:rFonts w:ascii="Book Antiqua" w:hAnsi="Book Antiqua" w:cs="Book Antiqua"/>
          <w:i/>
          <w:iCs/>
          <w:sz w:val="22"/>
          <w:szCs w:val="22"/>
        </w:rPr>
        <w:t>bezpredmetné </w:t>
      </w:r>
    </w:p>
    <w:p w:rsidR="00E83664" w:rsidRPr="00DF138D" w:rsidP="00DF138D">
      <w:pPr>
        <w:bidi w:val="0"/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E83664" w:rsidRPr="00DF138D" w:rsidP="00DF138D">
      <w:pPr>
        <w:pStyle w:val="NormalWeb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 w:cs="Book Antiqua"/>
          <w:sz w:val="22"/>
          <w:szCs w:val="22"/>
        </w:rPr>
      </w:pPr>
      <w:r w:rsidRPr="00DF138D">
        <w:rPr>
          <w:rFonts w:ascii="Book Antiqua" w:hAnsi="Book Antiqua" w:cs="Book Antiqua"/>
          <w:b/>
          <w:bCs/>
          <w:sz w:val="22"/>
          <w:szCs w:val="22"/>
        </w:rPr>
        <w:t xml:space="preserve">A.5. </w:t>
        <w:tab/>
        <w:t>Stanovisko gestorov</w:t>
      </w:r>
    </w:p>
    <w:p w:rsidR="00E83664" w:rsidRPr="00DF138D" w:rsidP="00DF138D">
      <w:pPr>
        <w:pStyle w:val="Standard"/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DF138D">
        <w:rPr>
          <w:rFonts w:ascii="Book Antiqua" w:hAnsi="Book Antiqua" w:cs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E83664" w:rsidRPr="00DF138D" w:rsidP="00DF138D">
      <w:pPr>
        <w:bidi w:val="0"/>
        <w:spacing w:before="120" w:line="276" w:lineRule="auto"/>
        <w:rPr>
          <w:rFonts w:ascii="Book Antiqua" w:hAnsi="Book Antiqua" w:cs="Book Antiqua"/>
          <w:sz w:val="22"/>
          <w:szCs w:val="22"/>
        </w:rPr>
      </w:pPr>
    </w:p>
    <w:sectPr w:rsidSect="00CC0DF7">
      <w:footerReference w:type="default" r:id="rId4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664">
    <w:pPr>
      <w:pStyle w:val="Footer"/>
      <w:bidi w:val="0"/>
      <w:jc w:val="center"/>
      <w:rPr>
        <w:rFonts w:ascii="Times New Roman" w:hAnsi="Times New Roman"/>
      </w:rPr>
    </w:pPr>
    <w:r w:rsidR="004808CD">
      <w:rPr>
        <w:rFonts w:ascii="Times New Roman" w:hAnsi="Times New Roman"/>
      </w:rPr>
      <w:fldChar w:fldCharType="begin"/>
    </w:r>
    <w:r w:rsidR="004808CD">
      <w:rPr>
        <w:rFonts w:ascii="Times New Roman" w:hAnsi="Times New Roman"/>
      </w:rPr>
      <w:instrText xml:space="preserve"> PAGE </w:instrText>
    </w:r>
    <w:r w:rsidR="004808CD">
      <w:rPr>
        <w:rFonts w:ascii="Times New Roman" w:hAnsi="Times New Roman"/>
      </w:rPr>
      <w:fldChar w:fldCharType="separate"/>
    </w:r>
    <w:r w:rsidR="00810CD1">
      <w:rPr>
        <w:rFonts w:ascii="Times New Roman" w:hAnsi="Times New Roman"/>
        <w:noProof/>
      </w:rPr>
      <w:t>2</w:t>
    </w:r>
    <w:r w:rsidR="004808CD">
      <w:rPr>
        <w:rFonts w:ascii="Times New Roman" w:hAnsi="Times New Roman"/>
      </w:rPr>
      <w:fldChar w:fldCharType="end"/>
    </w:r>
  </w:p>
  <w:p w:rsidR="00E8366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95C51"/>
    <w:multiLevelType w:val="hybridMultilevel"/>
    <w:tmpl w:val="E8021E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2D68F3"/>
    <w:rsid w:val="00040B6B"/>
    <w:rsid w:val="00041430"/>
    <w:rsid w:val="00047790"/>
    <w:rsid w:val="0005059A"/>
    <w:rsid w:val="00075F9D"/>
    <w:rsid w:val="00085545"/>
    <w:rsid w:val="000867CE"/>
    <w:rsid w:val="000D5639"/>
    <w:rsid w:val="001560DC"/>
    <w:rsid w:val="00176798"/>
    <w:rsid w:val="001A0DC8"/>
    <w:rsid w:val="00222B67"/>
    <w:rsid w:val="00232503"/>
    <w:rsid w:val="00286157"/>
    <w:rsid w:val="00286E3F"/>
    <w:rsid w:val="002A08FD"/>
    <w:rsid w:val="002B0CA2"/>
    <w:rsid w:val="002D68F3"/>
    <w:rsid w:val="002E192E"/>
    <w:rsid w:val="002E77F3"/>
    <w:rsid w:val="00305411"/>
    <w:rsid w:val="003405A9"/>
    <w:rsid w:val="00343A73"/>
    <w:rsid w:val="00353C23"/>
    <w:rsid w:val="00360415"/>
    <w:rsid w:val="003904F5"/>
    <w:rsid w:val="003A4A45"/>
    <w:rsid w:val="003B30DF"/>
    <w:rsid w:val="003C189C"/>
    <w:rsid w:val="003E411B"/>
    <w:rsid w:val="003F1B00"/>
    <w:rsid w:val="003F6B40"/>
    <w:rsid w:val="004054A3"/>
    <w:rsid w:val="00423F74"/>
    <w:rsid w:val="00425519"/>
    <w:rsid w:val="004464E3"/>
    <w:rsid w:val="0045679B"/>
    <w:rsid w:val="004808CD"/>
    <w:rsid w:val="00503A2D"/>
    <w:rsid w:val="00507B7A"/>
    <w:rsid w:val="00516F95"/>
    <w:rsid w:val="0055498B"/>
    <w:rsid w:val="0055596C"/>
    <w:rsid w:val="00565C55"/>
    <w:rsid w:val="00573B66"/>
    <w:rsid w:val="005B7185"/>
    <w:rsid w:val="005C10BE"/>
    <w:rsid w:val="005C11FB"/>
    <w:rsid w:val="005E71F9"/>
    <w:rsid w:val="005F1CE7"/>
    <w:rsid w:val="005F428C"/>
    <w:rsid w:val="00630151"/>
    <w:rsid w:val="00644F9B"/>
    <w:rsid w:val="006C3689"/>
    <w:rsid w:val="006D4231"/>
    <w:rsid w:val="006D641C"/>
    <w:rsid w:val="00716131"/>
    <w:rsid w:val="00737A41"/>
    <w:rsid w:val="0076309F"/>
    <w:rsid w:val="00782567"/>
    <w:rsid w:val="00810CD1"/>
    <w:rsid w:val="008237A2"/>
    <w:rsid w:val="008676BA"/>
    <w:rsid w:val="00881E00"/>
    <w:rsid w:val="008966F7"/>
    <w:rsid w:val="008C583F"/>
    <w:rsid w:val="00900ED1"/>
    <w:rsid w:val="00912ECD"/>
    <w:rsid w:val="00924B4D"/>
    <w:rsid w:val="00942768"/>
    <w:rsid w:val="009B3FCC"/>
    <w:rsid w:val="009D7DC1"/>
    <w:rsid w:val="00A20F6C"/>
    <w:rsid w:val="00A349D1"/>
    <w:rsid w:val="00A36509"/>
    <w:rsid w:val="00A524F0"/>
    <w:rsid w:val="00A9126F"/>
    <w:rsid w:val="00AE308C"/>
    <w:rsid w:val="00AE5483"/>
    <w:rsid w:val="00AF04B8"/>
    <w:rsid w:val="00B162F6"/>
    <w:rsid w:val="00B32EC6"/>
    <w:rsid w:val="00B7371D"/>
    <w:rsid w:val="00BA32FC"/>
    <w:rsid w:val="00BD182C"/>
    <w:rsid w:val="00C1481C"/>
    <w:rsid w:val="00C8506B"/>
    <w:rsid w:val="00C96418"/>
    <w:rsid w:val="00CC0DF7"/>
    <w:rsid w:val="00CD0FC2"/>
    <w:rsid w:val="00D31875"/>
    <w:rsid w:val="00D34B5A"/>
    <w:rsid w:val="00D41197"/>
    <w:rsid w:val="00D430B2"/>
    <w:rsid w:val="00D458F2"/>
    <w:rsid w:val="00D638EB"/>
    <w:rsid w:val="00D73AAF"/>
    <w:rsid w:val="00D765B2"/>
    <w:rsid w:val="00DA0CA3"/>
    <w:rsid w:val="00DA54FA"/>
    <w:rsid w:val="00DB285C"/>
    <w:rsid w:val="00DF138D"/>
    <w:rsid w:val="00E33BCA"/>
    <w:rsid w:val="00E80DAE"/>
    <w:rsid w:val="00E83664"/>
    <w:rsid w:val="00E93E61"/>
    <w:rsid w:val="00EB0CBB"/>
    <w:rsid w:val="00EC70FA"/>
    <w:rsid w:val="00F14410"/>
    <w:rsid w:val="00F34FB0"/>
    <w:rsid w:val="00FA5D19"/>
  </w:rsids>
  <w:docVars>
    <w:docVar w:name="__Grammarly_42___1" w:val="H4sIAAAAAAAEAKtWcslP9kxRslIyNDY0NjYwMDOyNDU2sDAyszRV0lEKTi0uzszPAykwrAUAdnrNlSwAAAA="/>
    <w:docVar w:name="__Grammarly_42____i" w:val="H4sIAAAAAAAEAKtWckksSQxILCpxzi/NK1GyMqwFAAEhoTITAAAA"/>
  </w:docVar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8F3"/>
    <w:pPr>
      <w:framePr w:wrap="auto"/>
      <w:widowControl w:val="0"/>
      <w:suppressAutoHyphens/>
      <w:autoSpaceDE w:val="0"/>
      <w:autoSpaceDN w:val="0"/>
      <w:adjustRightInd/>
      <w:ind w:left="0" w:right="0"/>
      <w:jc w:val="left"/>
      <w:textAlignment w:val="baseline"/>
    </w:pPr>
    <w:rPr>
      <w:rFonts w:cs="Times New Roman"/>
      <w:kern w:val="3"/>
      <w:sz w:val="24"/>
      <w:szCs w:val="24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2D68F3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auto"/>
    </w:pPr>
    <w:rPr>
      <w:rFonts w:cs="Times New Roman"/>
      <w:kern w:val="3"/>
      <w:sz w:val="24"/>
      <w:szCs w:val="24"/>
      <w:rtl w:val="0"/>
      <w:cs w:val="0"/>
      <w:lang w:val="sk-SK" w:eastAsia="sk-SK" w:bidi="ar-SA"/>
    </w:rPr>
  </w:style>
  <w:style w:type="paragraph" w:styleId="Footer">
    <w:name w:val="footer"/>
    <w:basedOn w:val="Standard"/>
    <w:link w:val="PtaChar"/>
    <w:uiPriority w:val="99"/>
    <w:rsid w:val="002D68F3"/>
    <w:pPr>
      <w:tabs>
        <w:tab w:val="center" w:pos="4535"/>
        <w:tab w:val="right" w:pos="9070"/>
      </w:tabs>
      <w:jc w:val="left"/>
    </w:pPr>
  </w:style>
  <w:style w:type="character" w:customStyle="1" w:styleId="PtaChar">
    <w:name w:val="Päta Char"/>
    <w:link w:val="Footer"/>
    <w:uiPriority w:val="99"/>
    <w:locked/>
    <w:rsid w:val="002D68F3"/>
    <w:rPr>
      <w:rFonts w:ascii="Times New Roman" w:hAnsi="Times New Roman" w:cs="Times New Roman"/>
      <w:kern w:val="3"/>
      <w:sz w:val="24"/>
      <w:lang w:val="x-none" w:eastAsia="sk-SK"/>
    </w:rPr>
  </w:style>
  <w:style w:type="paragraph" w:customStyle="1" w:styleId="Normlnywebov1">
    <w:name w:val="Normálny (webový)1"/>
    <w:basedOn w:val="Normal"/>
    <w:uiPriority w:val="99"/>
    <w:rsid w:val="002D68F3"/>
    <w:pPr>
      <w:widowControl/>
      <w:autoSpaceDE/>
      <w:autoSpaceDN/>
      <w:spacing w:before="280" w:after="280"/>
      <w:jc w:val="left"/>
      <w:textAlignment w:val="auto"/>
    </w:pPr>
    <w:rPr>
      <w:kern w:val="0"/>
      <w:lang w:eastAsia="ar-SA"/>
    </w:rPr>
  </w:style>
  <w:style w:type="paragraph" w:styleId="NormalWeb">
    <w:name w:val="Normal (Web)"/>
    <w:basedOn w:val="Normal"/>
    <w:uiPriority w:val="99"/>
    <w:rsid w:val="002D68F3"/>
    <w:pPr>
      <w:widowControl/>
      <w:suppressAutoHyphens w:val="0"/>
      <w:autoSpaceDE/>
      <w:autoSpaceDN/>
      <w:spacing w:before="100" w:beforeAutospacing="1" w:after="100" w:afterAutospacing="1"/>
      <w:jc w:val="left"/>
      <w:textAlignment w:val="auto"/>
    </w:pPr>
    <w:rPr>
      <w:kern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B162F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locked/>
    <w:rsid w:val="00B162F6"/>
    <w:rPr>
      <w:rFonts w:ascii="Segoe UI" w:hAnsi="Segoe UI" w:cs="Segoe UI"/>
      <w:kern w:val="3"/>
      <w:sz w:val="16"/>
      <w:lang w:val="x-none" w:eastAsia="zh-CN"/>
    </w:rPr>
  </w:style>
  <w:style w:type="character" w:styleId="CommentReference">
    <w:name w:val="annotation reference"/>
    <w:uiPriority w:val="99"/>
    <w:semiHidden/>
    <w:rsid w:val="00B162F6"/>
    <w:rPr>
      <w:sz w:val="16"/>
    </w:rPr>
  </w:style>
  <w:style w:type="paragraph" w:styleId="CommentText">
    <w:name w:val="annotation text"/>
    <w:basedOn w:val="Normal"/>
    <w:link w:val="TextkomentraChar"/>
    <w:uiPriority w:val="99"/>
    <w:semiHidden/>
    <w:rsid w:val="00B162F6"/>
    <w:pPr>
      <w:jc w:val="left"/>
    </w:pPr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semiHidden/>
    <w:locked/>
    <w:rsid w:val="00B162F6"/>
    <w:rPr>
      <w:rFonts w:ascii="Times New Roman" w:hAnsi="Times New Roman" w:cs="Times New Roman"/>
      <w:kern w:val="3"/>
      <w:sz w:val="18"/>
      <w:lang w:val="x-none" w:eastAsia="zh-CN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B162F6"/>
    <w:pPr>
      <w:jc w:val="left"/>
    </w:pPr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B162F6"/>
    <w:rPr>
      <w:rFonts w:ascii="Times New Roman" w:hAnsi="Times New Roman" w:cs="Times New Roman"/>
      <w:b/>
      <w:kern w:val="3"/>
      <w:sz w:val="18"/>
      <w:lang w:val="x-none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1509</Words>
  <Characters>8604</Characters>
  <Application>Microsoft Office Word</Application>
  <DocSecurity>0</DocSecurity>
  <Lines>0</Lines>
  <Paragraphs>0</Paragraphs>
  <ScaleCrop>false</ScaleCrop>
  <Company>Kancelaria NRSR</Company>
  <LinksUpToDate>false</LinksUpToDate>
  <CharactersWithSpaces>10093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Lukáč, Jozef (asistent)</dc:creator>
  <cp:lastModifiedBy>Gálisová, Natália</cp:lastModifiedBy>
  <cp:revision>2</cp:revision>
  <dcterms:created xsi:type="dcterms:W3CDTF">2017-04-21T09:01:00Z</dcterms:created>
  <dcterms:modified xsi:type="dcterms:W3CDTF">2017-04-21T09:01:00Z</dcterms:modified>
</cp:coreProperties>
</file>