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CD246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CD246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1724E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 w:rsidR="00E963A3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212894" w:rsidR="00E963A3">
        <w:rPr>
          <w:rFonts w:ascii="Times New Roman" w:hAnsi="Times New Roman"/>
          <w:b/>
          <w:bCs/>
          <w:sz w:val="24"/>
          <w:szCs w:val="24"/>
          <w:lang w:eastAsia="sk-SK"/>
        </w:rPr>
        <w:t>návrhu</w:t>
      </w:r>
    </w:p>
    <w:p w:rsidR="007D5748" w:rsidRPr="007D5748" w:rsidP="00CD2466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61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5"/>
        <w:gridCol w:w="1134"/>
        <w:gridCol w:w="1215"/>
        <w:gridCol w:w="1215"/>
        <w:gridCol w:w="1215"/>
      </w:tblGrid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92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RANGE!B42"/>
            <w:bookmarkEnd w:id="0"/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47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textDirection w:val="lrTb"/>
            <w:vAlign w:val="center"/>
            <w:hideMark/>
          </w:tcPr>
          <w:p w:rsid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Vpl</w:t>
            </w:r>
            <w:r w:rsidR="00C65C1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 xml:space="preserve">yv na rozpočet verejnej správy v eurách </w:t>
            </w:r>
          </w:p>
          <w:p w:rsidR="00C65C1F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(cash = ESA2010)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2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0767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</w:t>
            </w:r>
            <w:r w:rsidR="000236F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50767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</w:t>
            </w:r>
            <w:r w:rsidR="000236F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0236F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B9259A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32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38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88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89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ind w:firstLine="200" w:firstLineChars="10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2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ind w:firstLine="200" w:firstLineChars="10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>EÚ zdroje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2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5C617E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70931" w:rsidRPr="005C617E" w:rsidP="00782FA7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útvary sociálneho zabezpečenia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09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A95E5E" w:rsidRPr="00B44897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44897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A95E5E" w:rsidRPr="00B44897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B44897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A95E5E" w:rsidRPr="006C0270" w:rsidP="00B9259A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  <w:r w:rsidR="00187A2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172</w:t>
            </w:r>
            <w:r w:rsidR="00187A2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A95E5E" w:rsidRPr="006C0270" w:rsidP="00B9259A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</w:t>
            </w:r>
            <w:r w:rsidR="00187A2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443</w:t>
            </w:r>
            <w:r w:rsidR="00187A2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A95E5E" w:rsidRPr="006C0270" w:rsidP="00B9259A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</w:t>
            </w:r>
            <w:r w:rsidR="00187A2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805</w:t>
            </w:r>
            <w:r w:rsidR="00187A2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532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63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71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0236F9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0236F9" w:rsidRPr="00507678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236F9" w:rsidRPr="00507678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236F9" w:rsidRPr="00507678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236F9" w:rsidRPr="00507678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ind w:firstLine="200" w:firstLineChars="100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5C617E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5C617E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5C617E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9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6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9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70931" w:rsidRPr="005C617E" w:rsidP="00567A1C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A95E5E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A95E5E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A95E5E" w:rsidRPr="00A95E5E" w:rsidP="00B9259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50</w:t>
            </w:r>
            <w:r w:rsidR="00187A24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172</w:t>
            </w:r>
            <w:r w:rsidR="00187A24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A95E5E" w:rsidRPr="00A95E5E" w:rsidP="00B9259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47</w:t>
            </w:r>
            <w:r w:rsidR="00187A24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443</w:t>
            </w:r>
            <w:r w:rsidR="00187A24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A95E5E" w:rsidRPr="00A95E5E" w:rsidP="00B9259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</w:t>
            </w:r>
            <w:r w:rsidR="00187A24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805</w:t>
            </w:r>
            <w:r w:rsidR="00187A24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532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na </w:t>
            </w:r>
            <w:r w:rsidR="00F34D4D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ostatné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útvary sociálneho zabezpečenia</w:t>
            </w:r>
            <w:r w:rsidR="002C3491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0236F9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5C617E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5C617E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5C617E" w:rsidP="0069683A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0236F9" w:rsidRPr="00926679" w:rsidP="000B2853">
            <w:pPr>
              <w:bidi w:val="0"/>
              <w:spacing w:after="0" w:line="240" w:lineRule="auto"/>
              <w:rPr>
                <w:rFonts w:ascii="Arial Narrow" w:hAnsi="Arial Narrow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0236F9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926679" w:rsidP="006139A0">
            <w:pPr>
              <w:bidi w:val="0"/>
              <w:spacing w:after="0" w:line="240" w:lineRule="auto"/>
              <w:rPr>
                <w:rFonts w:ascii="Arial Narrow" w:hAnsi="Arial Narrow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63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926679" w:rsidP="006139A0">
            <w:pPr>
              <w:bidi w:val="0"/>
              <w:spacing w:after="0" w:line="240" w:lineRule="auto"/>
              <w:rPr>
                <w:rFonts w:ascii="Arial Narrow" w:hAnsi="Arial Narrow"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236F9" w:rsidRPr="00695C65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16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5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6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79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112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4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236F9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187A24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187A24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5B9E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187A24" w:rsidRPr="006C0270" w:rsidP="001301C8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172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187A24" w:rsidRPr="006C0270" w:rsidP="001301C8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443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bottom"/>
            <w:hideMark/>
          </w:tcPr>
          <w:p w:rsidR="00187A24" w:rsidRPr="006C0270" w:rsidP="001301C8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805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5E5E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532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14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187A24" w:rsidRPr="005C617E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  <w:t>z toho vplyv na Sociálnu poisťovňu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87A24" w:rsidRPr="005C617E" w:rsidP="00CD2466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50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172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47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443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805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532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6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187A24" w:rsidRPr="005C617E" w:rsidP="00CD2466">
            <w:pPr>
              <w:bidi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  <w:t>financovanie zabezpečené v rozpočte Sociálnej poisťovne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87A24" w:rsidRPr="00232363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50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172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47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443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805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532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1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B9259A" w:rsidRPr="005C617E" w:rsidP="00CD2466">
            <w:pPr>
              <w:bidi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B9259A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B9259A" w:rsidRPr="003B5B9E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B9259A" w:rsidRPr="003B5B9E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</w:tcPr>
          <w:p w:rsidR="00B9259A" w:rsidRPr="003B5B9E" w:rsidP="003B5B9E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614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B9259A" w:rsidRPr="005C617E" w:rsidP="00CD2466">
            <w:pPr>
              <w:bidi w:val="0"/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B9259A" w:rsidRPr="00232363" w:rsidP="00CD2466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B9259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B9259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B9259A" w:rsidRPr="00232363" w:rsidP="00567A1C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5C617E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:rsidR="00E963A3" w:rsidRPr="00F34D4D" w:rsidP="00CD2466">
      <w:pPr>
        <w:bidi w:val="0"/>
        <w:spacing w:line="240" w:lineRule="auto"/>
        <w:rPr>
          <w:rFonts w:ascii="Times New Roman" w:hAnsi="Times New Roman"/>
          <w:bCs/>
          <w:sz w:val="18"/>
          <w:szCs w:val="18"/>
          <w:lang w:eastAsia="sk-SK"/>
        </w:rPr>
      </w:pPr>
      <w:r w:rsidRPr="00F34D4D" w:rsidR="00F34D4D">
        <w:rPr>
          <w:rFonts w:ascii="Times New Roman" w:hAnsi="Times New Roman"/>
          <w:bCs/>
          <w:sz w:val="18"/>
          <w:szCs w:val="18"/>
          <w:lang w:eastAsia="sk-SK"/>
        </w:rPr>
        <w:t>*</w:t>
      </w:r>
      <w:r w:rsidR="002C3491">
        <w:rPr>
          <w:rFonts w:ascii="Times New Roman" w:hAnsi="Times New Roman"/>
          <w:bCs/>
          <w:sz w:val="18"/>
          <w:szCs w:val="18"/>
          <w:lang w:eastAsia="sk-SK"/>
        </w:rPr>
        <w:t>Z</w:t>
      </w:r>
      <w:r w:rsidRPr="00F34D4D" w:rsidR="00F34D4D">
        <w:rPr>
          <w:rFonts w:ascii="Times New Roman" w:hAnsi="Times New Roman"/>
          <w:bCs/>
          <w:sz w:val="18"/>
          <w:szCs w:val="18"/>
          <w:lang w:eastAsia="sk-SK"/>
        </w:rPr>
        <w:t> dôvodu nízkeho počtu dotknutých osôb</w:t>
      </w:r>
      <w:r w:rsidR="002C3491">
        <w:rPr>
          <w:rFonts w:ascii="Times New Roman" w:hAnsi="Times New Roman"/>
          <w:bCs/>
          <w:sz w:val="18"/>
          <w:szCs w:val="18"/>
          <w:lang w:eastAsia="sk-SK"/>
        </w:rPr>
        <w:t xml:space="preserve"> v ostatných  útvaroch sociálneho zabezpečenia, v prípade ktorých sa počet dotknutých osôb odhaduje na úrovni </w:t>
      </w:r>
      <w:r w:rsidR="00E47BF8">
        <w:rPr>
          <w:rFonts w:ascii="Times New Roman" w:hAnsi="Times New Roman"/>
          <w:bCs/>
          <w:sz w:val="18"/>
          <w:szCs w:val="18"/>
          <w:lang w:eastAsia="sk-SK"/>
        </w:rPr>
        <w:t xml:space="preserve">cca </w:t>
      </w:r>
      <w:r w:rsidR="002C3491">
        <w:rPr>
          <w:rFonts w:ascii="Times New Roman" w:hAnsi="Times New Roman"/>
          <w:bCs/>
          <w:sz w:val="18"/>
          <w:szCs w:val="18"/>
          <w:lang w:eastAsia="sk-SK"/>
        </w:rPr>
        <w:t>10 osôb</w:t>
      </w:r>
      <w:r w:rsidRPr="00F34D4D" w:rsidR="00F34D4D">
        <w:rPr>
          <w:rFonts w:ascii="Times New Roman" w:hAnsi="Times New Roman"/>
          <w:bCs/>
          <w:sz w:val="18"/>
          <w:szCs w:val="18"/>
          <w:lang w:eastAsia="sk-SK"/>
        </w:rPr>
        <w:t>,</w:t>
      </w:r>
      <w:r w:rsidR="002C3491">
        <w:rPr>
          <w:rFonts w:ascii="Times New Roman" w:hAnsi="Times New Roman"/>
          <w:bCs/>
          <w:sz w:val="18"/>
          <w:szCs w:val="18"/>
          <w:lang w:eastAsia="sk-SK"/>
        </w:rPr>
        <w:t xml:space="preserve"> </w:t>
      </w:r>
      <w:r w:rsidRPr="00F34D4D" w:rsidR="00F34D4D">
        <w:rPr>
          <w:rFonts w:ascii="Times New Roman" w:hAnsi="Times New Roman"/>
          <w:bCs/>
          <w:sz w:val="18"/>
          <w:szCs w:val="18"/>
          <w:lang w:eastAsia="sk-SK"/>
        </w:rPr>
        <w:t xml:space="preserve"> neboli </w:t>
      </w:r>
      <w:r w:rsidR="00F34D4D">
        <w:rPr>
          <w:rFonts w:ascii="Times New Roman" w:hAnsi="Times New Roman"/>
          <w:bCs/>
          <w:sz w:val="18"/>
          <w:szCs w:val="18"/>
          <w:lang w:eastAsia="sk-SK"/>
        </w:rPr>
        <w:t xml:space="preserve">tieto výdavky v analýze vplyvov na rozpočet verejnej správy </w:t>
      </w:r>
      <w:r w:rsidRPr="00F34D4D" w:rsidR="00F34D4D">
        <w:rPr>
          <w:rFonts w:ascii="Times New Roman" w:hAnsi="Times New Roman"/>
          <w:bCs/>
          <w:sz w:val="18"/>
          <w:szCs w:val="18"/>
          <w:lang w:eastAsia="sk-SK"/>
        </w:rPr>
        <w:t>kvantifikované</w:t>
      </w:r>
      <w:r w:rsidR="002C3491">
        <w:rPr>
          <w:rFonts w:ascii="Times New Roman" w:hAnsi="Times New Roman"/>
          <w:bCs/>
          <w:sz w:val="18"/>
          <w:szCs w:val="18"/>
          <w:lang w:eastAsia="sk-SK"/>
        </w:rPr>
        <w:t xml:space="preserve">, nakoľko ich celkový finančný </w:t>
      </w:r>
      <w:r w:rsidR="00E47BF8">
        <w:rPr>
          <w:rFonts w:ascii="Times New Roman" w:hAnsi="Times New Roman"/>
          <w:bCs/>
          <w:sz w:val="18"/>
          <w:szCs w:val="18"/>
          <w:lang w:eastAsia="sk-SK"/>
        </w:rPr>
        <w:t>vplyv</w:t>
      </w:r>
      <w:r w:rsidR="002C3491">
        <w:rPr>
          <w:rFonts w:ascii="Times New Roman" w:hAnsi="Times New Roman"/>
          <w:bCs/>
          <w:sz w:val="18"/>
          <w:szCs w:val="18"/>
          <w:lang w:eastAsia="sk-SK"/>
        </w:rPr>
        <w:t xml:space="preserve"> na verejné financie je zanedbateľný.</w:t>
      </w:r>
      <w:r w:rsidRPr="00F34D4D">
        <w:rPr>
          <w:rFonts w:ascii="Times New Roman" w:hAnsi="Times New Roman"/>
          <w:bCs/>
          <w:sz w:val="18"/>
          <w:szCs w:val="18"/>
          <w:lang w:eastAsia="sk-SK"/>
        </w:rPr>
        <w:br w:type="page"/>
      </w:r>
    </w:p>
    <w:p w:rsidR="007D5748" w:rsidRPr="007D5748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B9259A" w:rsidP="00B925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07824" w:rsidR="002439B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Zvýšené výdavky na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výplatu starobných dôchodkov dotknutej skupiny poberateľov budú f</w:t>
      </w:r>
      <w:r w:rsidRPr="00007824" w:rsidR="002439B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inančne kryté v rámci návrhu rozpočtu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Sociálnej poisťovne na rok 2018</w:t>
      </w:r>
      <w:r w:rsidRPr="0000782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a rozpočtový výhľad na roky 2019</w:t>
      </w:r>
      <w:r w:rsidRPr="0000782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a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2020</w:t>
      </w:r>
      <w:r w:rsidRPr="00007824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</w:p>
    <w:p w:rsidR="00436870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66554" w:rsidRPr="006C0270" w:rsidP="00E85F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C0270" w:rsidR="00176F52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 w:rsidRPr="006C0270" w:rsidR="00E85F72">
        <w:rPr>
          <w:rFonts w:ascii="Times New Roman" w:hAnsi="Times New Roman"/>
          <w:sz w:val="24"/>
          <w:szCs w:val="24"/>
          <w:lang w:eastAsia="sk-SK"/>
        </w:rPr>
        <w:t xml:space="preserve">nového výpočtu sumy starobného dôchodku, ktorá bola určená podľa predpisov účinných pred 1. januárom 2004 pre </w:t>
      </w:r>
      <w:r w:rsidR="00E067D6">
        <w:rPr>
          <w:rFonts w:ascii="Times New Roman" w:hAnsi="Times New Roman"/>
          <w:sz w:val="24"/>
          <w:szCs w:val="24"/>
          <w:lang w:eastAsia="sk-SK"/>
        </w:rPr>
        <w:t>urč</w:t>
      </w:r>
      <w:r w:rsidRPr="006C0270" w:rsidR="00E067D6">
        <w:rPr>
          <w:rFonts w:ascii="Times New Roman" w:hAnsi="Times New Roman"/>
          <w:sz w:val="24"/>
          <w:szCs w:val="24"/>
          <w:lang w:eastAsia="sk-SK"/>
        </w:rPr>
        <w:t xml:space="preserve">ený </w:t>
      </w:r>
      <w:r w:rsidRPr="006C0270" w:rsidR="00E85F72">
        <w:rPr>
          <w:rFonts w:ascii="Times New Roman" w:hAnsi="Times New Roman"/>
          <w:sz w:val="24"/>
          <w:szCs w:val="24"/>
          <w:lang w:eastAsia="sk-SK"/>
        </w:rPr>
        <w:t>okruh poberateľov.</w:t>
      </w:r>
    </w:p>
    <w:p w:rsidR="00E85F72" w:rsidRPr="007D5748" w:rsidP="00E85F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439B0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176F52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9E2092" w:rsidRPr="009E2092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66554" w:rsidP="00EA016B">
      <w:pPr>
        <w:bidi w:val="0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9E2092" w:rsidR="009E2092">
        <w:rPr>
          <w:rFonts w:ascii="Times New Roman" w:hAnsi="Times New Roman"/>
          <w:sz w:val="24"/>
          <w:szCs w:val="24"/>
        </w:rPr>
        <w:t xml:space="preserve"> </w:t>
      </w:r>
      <w:r w:rsidRPr="00E85F72" w:rsidR="00E85F72">
        <w:rPr>
          <w:rFonts w:ascii="Times New Roman" w:hAnsi="Times New Roman"/>
          <w:sz w:val="24"/>
          <w:szCs w:val="24"/>
          <w:lang w:eastAsia="sk-SK"/>
        </w:rPr>
        <w:t xml:space="preserve">Predmetom </w:t>
      </w:r>
      <w:r w:rsidR="00FA38BA">
        <w:rPr>
          <w:rFonts w:ascii="Times New Roman" w:hAnsi="Times New Roman"/>
          <w:sz w:val="24"/>
          <w:szCs w:val="24"/>
          <w:lang w:eastAsia="sk-SK"/>
        </w:rPr>
        <w:t xml:space="preserve">vládneho </w:t>
      </w:r>
      <w:r w:rsidRPr="00E85F72" w:rsidR="00E85F72">
        <w:rPr>
          <w:rFonts w:ascii="Times New Roman" w:hAnsi="Times New Roman"/>
          <w:sz w:val="24"/>
          <w:szCs w:val="24"/>
          <w:lang w:eastAsia="sk-SK"/>
        </w:rPr>
        <w:t xml:space="preserve">návrhu zákona je </w:t>
      </w:r>
      <w:r w:rsidR="00E067D6">
        <w:rPr>
          <w:rFonts w:ascii="Times New Roman" w:hAnsi="Times New Roman"/>
          <w:sz w:val="24"/>
          <w:szCs w:val="24"/>
          <w:lang w:eastAsia="sk-SK"/>
        </w:rPr>
        <w:t>u</w:t>
      </w:r>
      <w:r w:rsidRPr="00E85F72" w:rsidR="00E85F72">
        <w:rPr>
          <w:rFonts w:ascii="Times New Roman" w:hAnsi="Times New Roman"/>
          <w:sz w:val="24"/>
          <w:szCs w:val="24"/>
          <w:lang w:eastAsia="sk-SK"/>
        </w:rPr>
        <w:t xml:space="preserve">stanovenie podmienok nového výpočtu sumy starobného dôchodku, ktorá bola určená podľa predpisov účinných pred 1. januárom 2004 pre </w:t>
      </w:r>
      <w:r w:rsidR="00E067D6">
        <w:rPr>
          <w:rFonts w:ascii="Times New Roman" w:hAnsi="Times New Roman"/>
          <w:sz w:val="24"/>
          <w:szCs w:val="24"/>
          <w:lang w:eastAsia="sk-SK"/>
        </w:rPr>
        <w:t>urč</w:t>
      </w:r>
      <w:r w:rsidRPr="00E85F72" w:rsidR="00E067D6">
        <w:rPr>
          <w:rFonts w:ascii="Times New Roman" w:hAnsi="Times New Roman"/>
          <w:sz w:val="24"/>
          <w:szCs w:val="24"/>
          <w:lang w:eastAsia="sk-SK"/>
        </w:rPr>
        <w:t xml:space="preserve">ený </w:t>
      </w:r>
      <w:r w:rsidRPr="00E85F72" w:rsidR="00E85F72">
        <w:rPr>
          <w:rFonts w:ascii="Times New Roman" w:hAnsi="Times New Roman"/>
          <w:sz w:val="24"/>
          <w:szCs w:val="24"/>
          <w:lang w:eastAsia="sk-SK"/>
        </w:rPr>
        <w:t xml:space="preserve">okruh poberateľov. Ide o osoby, ktoré dosahovali v období pred dovŕšením dôchodkového veku nadpriemerné príjmy a ktorých suma starobného dôchodku by bola vyššia, ak by bola vypočítaná podľa zákona o sociálnom poistení k 1. januáru 2004 na základe rovnakých zásluh, ktoré získali v dôchodkovom systéme. 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6C0270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E42474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045303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86655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="00E4247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6C0270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E4247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9E2092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E2092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:rsidR="00151256" w:rsidRPr="00045303" w:rsidP="00000DEE">
      <w:pPr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587" w:rsidR="00C21587">
        <w:rPr>
          <w:rFonts w:ascii="Times New Roman" w:hAnsi="Times New Roman"/>
          <w:sz w:val="24"/>
          <w:szCs w:val="24"/>
          <w:lang w:eastAsia="sk-SK"/>
        </w:rPr>
        <w:t>Výdavky súvisiace s implementáciou navrhovaných zmien budú finančne kryté v rámci správneho fondu Sociálnej poisťovne</w:t>
      </w:r>
      <w:r w:rsidR="00C21587">
        <w:rPr>
          <w:rFonts w:ascii="Times New Roman" w:hAnsi="Times New Roman"/>
          <w:sz w:val="24"/>
          <w:szCs w:val="24"/>
          <w:lang w:eastAsia="sk-SK"/>
        </w:rPr>
        <w:t>.</w:t>
      </w:r>
      <w:r w:rsidRPr="00C21587" w:rsidR="00C21587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D5748" w:rsidRPr="001C7640" w:rsidP="00CD2466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highlight w:val="yellow"/>
          <w:lang w:eastAsia="sk-SK"/>
        </w:rPr>
      </w:pPr>
      <w:r w:rsidRPr="00F77641">
        <w:rPr>
          <w:rFonts w:ascii="Times New Roman" w:hAnsi="Times New Roman"/>
          <w:sz w:val="20"/>
          <w:szCs w:val="20"/>
          <w:lang w:eastAsia="sk-SK"/>
        </w:rPr>
        <w:t>Tabuľka č. 2</w:t>
      </w:r>
      <w:r w:rsidRPr="001C7640">
        <w:rPr>
          <w:rFonts w:ascii="Times New Roman" w:hAnsi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85B3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85B3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85B3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85B3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F77641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F77641" w:rsidP="00CD246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31D94" w:rsidRPr="00631D94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 w:rsidRPr="00631D94">
        <w:rPr>
          <w:rFonts w:ascii="Times New Roman" w:hAnsi="Times New Roman" w:cs="Verdana"/>
          <w:b/>
          <w:bCs/>
          <w:iCs/>
          <w:sz w:val="24"/>
          <w:szCs w:val="24"/>
        </w:rPr>
        <w:t>2.2.4.1</w:t>
      </w:r>
      <w:r>
        <w:rPr>
          <w:rFonts w:ascii="Times New Roman" w:hAnsi="Times New Roman" w:cs="Verdana"/>
          <w:b/>
          <w:bCs/>
          <w:iCs/>
          <w:sz w:val="24"/>
          <w:szCs w:val="24"/>
        </w:rPr>
        <w:t xml:space="preserve"> Kvantifikácia príjmov</w:t>
      </w:r>
    </w:p>
    <w:p w:rsidR="00631D94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31D94" w:rsidP="00E1401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Predmetný </w:t>
      </w:r>
      <w:r w:rsidR="00FA38BA">
        <w:rPr>
          <w:rFonts w:ascii="Times New Roman" w:hAnsi="Times New Roman"/>
          <w:sz w:val="24"/>
          <w:szCs w:val="24"/>
          <w:lang w:eastAsia="sk-SK"/>
        </w:rPr>
        <w:t xml:space="preserve">vládny </w:t>
      </w:r>
      <w:r>
        <w:rPr>
          <w:rFonts w:ascii="Times New Roman" w:hAnsi="Times New Roman"/>
          <w:sz w:val="24"/>
          <w:szCs w:val="24"/>
        </w:rPr>
        <w:t>n</w:t>
      </w:r>
      <w:r w:rsidRPr="009E2092">
        <w:rPr>
          <w:rFonts w:ascii="Times New Roman" w:hAnsi="Times New Roman"/>
          <w:sz w:val="24"/>
          <w:szCs w:val="24"/>
        </w:rPr>
        <w:t>ávrh zákona, ktorým sa dopĺňa zákon č. 461/2003 Z. z. o sociálnom poistení v 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1D94">
        <w:rPr>
          <w:rFonts w:ascii="Times New Roman" w:hAnsi="Times New Roman"/>
          <w:sz w:val="24"/>
          <w:szCs w:val="24"/>
          <w:lang w:eastAsia="sk-SK"/>
        </w:rPr>
        <w:t>nemá vplyv</w:t>
      </w:r>
      <w:r w:rsidR="00C21587">
        <w:rPr>
          <w:rFonts w:ascii="Times New Roman" w:hAnsi="Times New Roman"/>
          <w:sz w:val="24"/>
          <w:szCs w:val="24"/>
          <w:lang w:eastAsia="sk-SK"/>
        </w:rPr>
        <w:t xml:space="preserve"> na príjmy Sociálnej poisťovne</w:t>
      </w:r>
      <w:r w:rsidRPr="00631D94">
        <w:rPr>
          <w:rFonts w:ascii="Times New Roman" w:hAnsi="Times New Roman"/>
          <w:sz w:val="24"/>
          <w:szCs w:val="24"/>
          <w:lang w:eastAsia="sk-SK"/>
        </w:rPr>
        <w:t xml:space="preserve"> (nezvyšuje ich, ale ani ich neznižuje).</w:t>
      </w:r>
    </w:p>
    <w:p w:rsidR="003800F1" w:rsidP="00E1401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0F1" w:rsidP="00E1401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00F1" w:rsidP="00E1401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A3E7B" w:rsidRPr="00E14014" w:rsidP="00B56ACD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E14014">
        <w:rPr>
          <w:rFonts w:ascii="Times New Roman" w:hAnsi="Times New Roman"/>
          <w:sz w:val="20"/>
          <w:szCs w:val="20"/>
          <w:lang w:eastAsia="sk-SK"/>
        </w:rPr>
        <w:t>Tabuľka č. 3</w:t>
      </w:r>
    </w:p>
    <w:tbl>
      <w:tblPr>
        <w:tblStyle w:val="TableNormal"/>
        <w:tblW w:w="9142" w:type="dxa"/>
        <w:tblCellMar>
          <w:left w:w="70" w:type="dxa"/>
          <w:right w:w="70" w:type="dxa"/>
        </w:tblCellMar>
      </w:tblPr>
      <w:tblGrid>
        <w:gridCol w:w="3614"/>
        <w:gridCol w:w="1134"/>
        <w:gridCol w:w="992"/>
        <w:gridCol w:w="993"/>
        <w:gridCol w:w="1134"/>
        <w:gridCol w:w="1275"/>
      </w:tblGrid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7D5748" w:rsidP="00BA3E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12088" w:rsidRPr="007D5748" w:rsidP="00BA3E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2088" w:rsidRPr="007D5748" w:rsidP="00BA3E7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7D5748" w:rsidP="00BA3E7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7D5748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85B3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7D5748" w:rsidP="00085B3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085B3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7D5748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85B3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7D5748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85B3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7D5748" w:rsidP="00BA3E7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088" w:rsidRPr="00E14014" w:rsidP="00BA3E7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Daňové príjmy (100)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12088" w:rsidRPr="007D5748" w:rsidP="00BA3E7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088" w:rsidRPr="00E14014" w:rsidP="00BA3E7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Nedaňové príjmy (200)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12088" w:rsidRPr="007D5748" w:rsidP="00BA3E7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088" w:rsidRPr="00E14014" w:rsidP="00BA3E7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Granty a transfery (300)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12088" w:rsidRPr="007D5748" w:rsidP="00BA3E7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088" w:rsidRPr="00E14014" w:rsidP="00BA3E7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12088" w:rsidRPr="007D5748" w:rsidP="00BA3E7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2088" w:rsidRPr="00E14014" w:rsidP="00BA3E7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12088" w:rsidRPr="007D5748" w:rsidP="00BA3E7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42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12088" w:rsidRPr="00E14014" w:rsidP="00BA3E7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112088" w:rsidRPr="00E14014" w:rsidP="00BA3E7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112088" w:rsidRPr="007D5748" w:rsidP="00BA3E7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E14014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85B35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:rsidR="00631D94" w:rsidRPr="00631D94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:rsidR="00F838ED" w:rsidRPr="007D5748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838ED">
        <w:rPr>
          <w:rFonts w:ascii="Times New Roman" w:hAnsi="Times New Roman"/>
          <w:sz w:val="24"/>
          <w:szCs w:val="24"/>
          <w:lang w:eastAsia="sk-SK"/>
        </w:rPr>
        <w:t xml:space="preserve">    </w:t>
      </w:r>
    </w:p>
    <w:p w:rsidR="006E3B1B" w:rsidP="00704407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E016CF">
        <w:rPr>
          <w:rFonts w:ascii="Times New Roman" w:hAnsi="Times New Roman"/>
          <w:sz w:val="24"/>
          <w:szCs w:val="24"/>
        </w:rPr>
        <w:t xml:space="preserve">Pri kvantifikácií </w:t>
      </w:r>
      <w:r w:rsidR="00FA38BA">
        <w:rPr>
          <w:rFonts w:ascii="Times New Roman" w:hAnsi="Times New Roman"/>
          <w:sz w:val="24"/>
          <w:szCs w:val="24"/>
        </w:rPr>
        <w:t xml:space="preserve">vládneho </w:t>
      </w:r>
      <w:r w:rsidR="00E016CF">
        <w:rPr>
          <w:rFonts w:ascii="Times New Roman" w:hAnsi="Times New Roman"/>
          <w:sz w:val="24"/>
          <w:szCs w:val="24"/>
        </w:rPr>
        <w:t xml:space="preserve">návrhu zákona, ktorým sú </w:t>
      </w:r>
      <w:r w:rsidR="00E067D6">
        <w:rPr>
          <w:rFonts w:ascii="Times New Roman" w:hAnsi="Times New Roman"/>
          <w:sz w:val="24"/>
          <w:szCs w:val="24"/>
        </w:rPr>
        <w:t>u</w:t>
      </w:r>
      <w:r w:rsidR="00E016CF">
        <w:rPr>
          <w:rFonts w:ascii="Times New Roman" w:hAnsi="Times New Roman"/>
          <w:sz w:val="24"/>
          <w:szCs w:val="24"/>
        </w:rPr>
        <w:t>stanovené nové podmienky výpočtu starobného dôchodku, ktorého suma bola určená podľa predpisov účinných pred 1. januárom 2004</w:t>
      </w:r>
      <w:r w:rsidR="00FA38BA">
        <w:rPr>
          <w:rFonts w:ascii="Times New Roman" w:hAnsi="Times New Roman"/>
          <w:sz w:val="24"/>
          <w:szCs w:val="24"/>
        </w:rPr>
        <w:t>,</w:t>
      </w:r>
      <w:r w:rsidR="00E016CF">
        <w:rPr>
          <w:rFonts w:ascii="Times New Roman" w:hAnsi="Times New Roman"/>
          <w:sz w:val="24"/>
          <w:szCs w:val="24"/>
        </w:rPr>
        <w:t xml:space="preserve"> sa ako základný parameter na určenie vybr</w:t>
      </w:r>
      <w:r w:rsidR="002031C2">
        <w:rPr>
          <w:rFonts w:ascii="Times New Roman" w:hAnsi="Times New Roman"/>
          <w:sz w:val="24"/>
          <w:szCs w:val="24"/>
        </w:rPr>
        <w:t>aného okruhu poberateľov použila</w:t>
      </w:r>
      <w:r w:rsidR="00E016CF">
        <w:rPr>
          <w:rFonts w:ascii="Times New Roman" w:hAnsi="Times New Roman"/>
          <w:sz w:val="24"/>
          <w:szCs w:val="24"/>
        </w:rPr>
        <w:t xml:space="preserve"> hodnota upravenéh</w:t>
      </w:r>
      <w:r w:rsidR="002031C2">
        <w:rPr>
          <w:rFonts w:ascii="Times New Roman" w:hAnsi="Times New Roman"/>
          <w:sz w:val="24"/>
          <w:szCs w:val="24"/>
        </w:rPr>
        <w:t xml:space="preserve">o priemerného mesačného zárobku. To znamená, že nové podmienky </w:t>
      </w:r>
      <w:r w:rsidR="00E067D6">
        <w:rPr>
          <w:rFonts w:ascii="Times New Roman" w:hAnsi="Times New Roman"/>
          <w:sz w:val="24"/>
          <w:szCs w:val="24"/>
        </w:rPr>
        <w:t xml:space="preserve">určenia </w:t>
      </w:r>
      <w:r w:rsidR="002031C2">
        <w:rPr>
          <w:rFonts w:ascii="Times New Roman" w:hAnsi="Times New Roman"/>
          <w:sz w:val="24"/>
          <w:szCs w:val="24"/>
        </w:rPr>
        <w:t>výpočtu starobného dôchodku sa budú týkať len poberateľ</w:t>
      </w:r>
      <w:r>
        <w:rPr>
          <w:rFonts w:ascii="Times New Roman" w:hAnsi="Times New Roman"/>
          <w:sz w:val="24"/>
          <w:szCs w:val="24"/>
        </w:rPr>
        <w:t xml:space="preserve">ov starobného dôchodku, </w:t>
      </w:r>
      <w:r w:rsidRPr="006E3B1B">
        <w:rPr>
          <w:rFonts w:ascii="Times New Roman" w:hAnsi="Times New Roman"/>
          <w:sz w:val="24"/>
          <w:szCs w:val="24"/>
        </w:rPr>
        <w:t xml:space="preserve">ktorých starobný dôchodok bol priznaný pred 1. októbrom 1988 z priemerného mesačného zárobku upraveného podľa predpisov účinných do 30. </w:t>
      </w:r>
      <w:r w:rsidR="001D1641">
        <w:rPr>
          <w:rFonts w:ascii="Times New Roman" w:hAnsi="Times New Roman"/>
          <w:sz w:val="24"/>
          <w:szCs w:val="24"/>
        </w:rPr>
        <w:t>s</w:t>
      </w:r>
      <w:r w:rsidR="009C7B86">
        <w:rPr>
          <w:rFonts w:ascii="Times New Roman" w:hAnsi="Times New Roman"/>
          <w:sz w:val="24"/>
          <w:szCs w:val="24"/>
        </w:rPr>
        <w:t>eptemb</w:t>
      </w:r>
      <w:r w:rsidR="001D1641">
        <w:rPr>
          <w:rFonts w:ascii="Times New Roman" w:hAnsi="Times New Roman"/>
          <w:sz w:val="24"/>
          <w:szCs w:val="24"/>
        </w:rPr>
        <w:t>r</w:t>
      </w:r>
      <w:r w:rsidR="009C7B86">
        <w:rPr>
          <w:rFonts w:ascii="Times New Roman" w:hAnsi="Times New Roman"/>
          <w:sz w:val="24"/>
          <w:szCs w:val="24"/>
        </w:rPr>
        <w:t>a</w:t>
      </w:r>
      <w:r w:rsidR="001D1641">
        <w:rPr>
          <w:rFonts w:ascii="Times New Roman" w:hAnsi="Times New Roman"/>
          <w:sz w:val="24"/>
          <w:szCs w:val="24"/>
        </w:rPr>
        <w:t xml:space="preserve"> </w:t>
      </w:r>
      <w:r w:rsidRPr="006E3B1B">
        <w:rPr>
          <w:rFonts w:ascii="Times New Roman" w:hAnsi="Times New Roman"/>
          <w:sz w:val="24"/>
          <w:szCs w:val="24"/>
        </w:rPr>
        <w:t xml:space="preserve"> 1988 v sume</w:t>
      </w:r>
      <w:r>
        <w:rPr>
          <w:rFonts w:ascii="Times New Roman" w:hAnsi="Times New Roman"/>
          <w:sz w:val="24"/>
          <w:szCs w:val="24"/>
        </w:rPr>
        <w:t xml:space="preserve"> najmenej 2 333 Sk a poberateľov</w:t>
      </w:r>
      <w:r w:rsidRPr="006E3B1B">
        <w:rPr>
          <w:rFonts w:ascii="Times New Roman" w:hAnsi="Times New Roman"/>
          <w:sz w:val="24"/>
          <w:szCs w:val="24"/>
        </w:rPr>
        <w:t xml:space="preserve"> starobného dôchodku, ktorých starobný dôchodok bol priznaný v roku: </w:t>
      </w:r>
    </w:p>
    <w:p w:rsidR="006E3B1B" w:rsidRPr="006E3B1B" w:rsidP="00704407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>1988 z priemerného mesačného zárobku podľa predpisu účinného do 31. decembra 2003 v sume najmenej 3 667 Sk,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1989 z priemerného mesačného zárobku podľa predpisu účinného do 31. decembra 2003 v sume najmenej 3 667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>1990 z priemerného mesačného zárobku podľa predpisu účinného do 31. decembra 2003 v sume najmenej 3 6</w:t>
      </w:r>
      <w:r w:rsidR="00C129FE">
        <w:rPr>
          <w:rFonts w:ascii="Times New Roman" w:hAnsi="Times New Roman"/>
          <w:sz w:val="24"/>
          <w:szCs w:val="24"/>
          <w:lang w:val="sk-SK"/>
        </w:rPr>
        <w:t>75</w:t>
      </w:r>
      <w:r w:rsidRPr="006E3B1B">
        <w:rPr>
          <w:rFonts w:ascii="Times New Roman" w:hAnsi="Times New Roman"/>
          <w:sz w:val="24"/>
          <w:szCs w:val="24"/>
          <w:lang w:val="sk-SK"/>
        </w:rPr>
        <w:t xml:space="preserve">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>1991 z priemerného mesačného zárobku podľa predpisu účinného do 31. decembra 2003 v sume najmenej 3 6</w:t>
      </w:r>
      <w:r w:rsidR="00C129FE">
        <w:rPr>
          <w:rFonts w:ascii="Times New Roman" w:hAnsi="Times New Roman"/>
          <w:sz w:val="24"/>
          <w:szCs w:val="24"/>
          <w:lang w:val="sk-SK"/>
        </w:rPr>
        <w:t>89</w:t>
      </w:r>
      <w:r w:rsidRPr="006E3B1B">
        <w:rPr>
          <w:rFonts w:ascii="Times New Roman" w:hAnsi="Times New Roman"/>
          <w:sz w:val="24"/>
          <w:szCs w:val="24"/>
          <w:lang w:val="sk-SK"/>
        </w:rPr>
        <w:t xml:space="preserve">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1992 z priemerného mesačného zárobku podľa predpisu účinného do 31. decembra 2003 v sume najmenej 2 900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1993 z priemerného mesačného zárobku podľa predpisu účinného do 31. decembra 2003 v sume najmenej 2 934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1994 z priemerného mesačného zárobku podľa predpisu účinného do 31. decembra 2003 v sume najmenej 3 134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1995 z priemerného mesačného zárobku podľa predpisu účinného do 31. decembra 2003 v sume najmenej 3 334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1996 z priemerného mesačného zárobku podľa predpisu účinného do 31. decembra 2003 v sume najmenej 3 667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1997 z priemerného mesačného zárobku podľa predpisu účinného do 31. decembra 2003 v sume najmenej 3 767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1998 z priemerného mesačného zárobku podľa predpisu účinného do 31. decembra 2003 v sume najmenej 3 867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1999 z priemerného mesačného zárobku podľa predpisu účinného do 31. decembra 2003 v sume najmenej 3 967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FC405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E3B1B">
        <w:rPr>
          <w:rFonts w:ascii="Times New Roman" w:hAnsi="Times New Roman"/>
          <w:sz w:val="24"/>
          <w:szCs w:val="24"/>
          <w:lang w:val="sk-SK"/>
        </w:rPr>
        <w:t xml:space="preserve">2000 z priemerného mesačného zárobku podľa § 293k ods. 3 a 4 v sume najmenej 4 067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2001 z priemerného mesačného zárobku podľa § 293k ods. 3 a 4 v sume najmenej 4 167 Sk,    </w:t>
      </w:r>
    </w:p>
    <w:p w:rsidR="006E3B1B" w:rsidRP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 xml:space="preserve">2002 z priemerného mesačného zárobku podľa § 293k ods. 3 a 4 v sume najmenej 4 267 Sk,    </w:t>
      </w:r>
    </w:p>
    <w:p w:rsidR="006E3B1B" w:rsidP="00704407">
      <w:pPr>
        <w:pStyle w:val="ListParagraph"/>
        <w:numPr>
          <w:numId w:val="10"/>
        </w:numPr>
        <w:bidi w:val="0"/>
        <w:spacing w:after="0"/>
        <w:ind w:left="426" w:hanging="284"/>
        <w:contextualSpacing w:val="0"/>
        <w:jc w:val="both"/>
        <w:rPr>
          <w:rFonts w:ascii="Times New Roman" w:hAnsi="Times New Roman"/>
          <w:i/>
          <w:sz w:val="20"/>
          <w:szCs w:val="20"/>
          <w:lang w:eastAsia="sk-SK"/>
        </w:rPr>
      </w:pPr>
      <w:r w:rsidRPr="006E3B1B">
        <w:rPr>
          <w:rFonts w:ascii="Times New Roman" w:hAnsi="Times New Roman"/>
          <w:sz w:val="24"/>
          <w:szCs w:val="24"/>
          <w:lang w:val="sk-SK"/>
        </w:rPr>
        <w:t>2003 z priemerného mesačného zárobku podľa § 293k ods. 3 a 4 v sume najmenej 4 337 Sk.</w:t>
      </w:r>
      <w:r w:rsidRPr="006D4651">
        <w:rPr>
          <w:rFonts w:ascii="Times New Roman" w:hAnsi="Times New Roman"/>
          <w:i/>
          <w:sz w:val="20"/>
          <w:szCs w:val="20"/>
          <w:lang w:eastAsia="sk-SK"/>
        </w:rPr>
        <w:t xml:space="preserve"> </w:t>
      </w:r>
    </w:p>
    <w:p w:rsidR="00704407" w:rsidP="00704407">
      <w:pPr>
        <w:pStyle w:val="ListParagraph"/>
        <w:bidi w:val="0"/>
        <w:spacing w:after="0"/>
        <w:ind w:left="426"/>
        <w:contextualSpacing w:val="0"/>
        <w:jc w:val="both"/>
        <w:rPr>
          <w:rFonts w:ascii="Times New Roman" w:hAnsi="Times New Roman"/>
          <w:i/>
          <w:sz w:val="20"/>
          <w:szCs w:val="20"/>
          <w:lang w:eastAsia="sk-SK"/>
        </w:rPr>
      </w:pPr>
    </w:p>
    <w:p w:rsidR="007D5748" w:rsidP="00187A24">
      <w:pPr>
        <w:tabs>
          <w:tab w:val="num" w:pos="709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187A24">
        <w:rPr>
          <w:rFonts w:ascii="Times New Roman" w:hAnsi="Times New Roman"/>
          <w:sz w:val="24"/>
          <w:szCs w:val="24"/>
        </w:rPr>
        <w:tab/>
      </w:r>
      <w:r w:rsidRPr="009B1BCD" w:rsidR="009B1BCD">
        <w:rPr>
          <w:rFonts w:ascii="Times New Roman" w:hAnsi="Times New Roman"/>
          <w:sz w:val="24"/>
          <w:szCs w:val="24"/>
        </w:rPr>
        <w:t xml:space="preserve">Počet dotknutých osôb, ktorých starobné dôchodky boli priznané podľa predpisov účinných pred 1. októbrom 1988 sa v roku 2018 odhaduje na úrovni  cca 12 900, v roku 2019 na úrovni cca 10 500 a v roku 2020 na úrovni cca 8 400. </w:t>
      </w:r>
      <w:r w:rsidR="00587DAE">
        <w:rPr>
          <w:rFonts w:ascii="Times New Roman" w:hAnsi="Times New Roman"/>
          <w:sz w:val="24"/>
          <w:szCs w:val="24"/>
        </w:rPr>
        <w:t>V</w:t>
      </w:r>
      <w:r w:rsidR="00187A24">
        <w:rPr>
          <w:rFonts w:ascii="Times New Roman" w:hAnsi="Times New Roman"/>
          <w:sz w:val="24"/>
          <w:szCs w:val="24"/>
        </w:rPr>
        <w:t xml:space="preserve">ýdavky </w:t>
      </w:r>
      <w:r w:rsidR="00587DAE">
        <w:rPr>
          <w:rFonts w:ascii="Times New Roman" w:hAnsi="Times New Roman"/>
          <w:sz w:val="24"/>
          <w:szCs w:val="24"/>
        </w:rPr>
        <w:t xml:space="preserve">na starobné dôchodky, ktoré </w:t>
      </w:r>
      <w:r w:rsidRPr="009B1BCD" w:rsidR="00587DAE">
        <w:rPr>
          <w:rFonts w:ascii="Times New Roman" w:hAnsi="Times New Roman"/>
          <w:sz w:val="24"/>
          <w:szCs w:val="24"/>
        </w:rPr>
        <w:t xml:space="preserve">boli priznané </w:t>
      </w:r>
      <w:r w:rsidR="00587DAE">
        <w:rPr>
          <w:rFonts w:ascii="Times New Roman" w:hAnsi="Times New Roman"/>
          <w:sz w:val="24"/>
          <w:szCs w:val="24"/>
        </w:rPr>
        <w:t>podľa predpisov účinných pred 1</w:t>
      </w:r>
      <w:r w:rsidRPr="009B1BCD" w:rsidR="00587DAE">
        <w:rPr>
          <w:rFonts w:ascii="Times New Roman" w:hAnsi="Times New Roman"/>
          <w:sz w:val="24"/>
          <w:szCs w:val="24"/>
        </w:rPr>
        <w:t>. októbrom 1988</w:t>
      </w:r>
      <w:r w:rsidR="00587DAE">
        <w:rPr>
          <w:rFonts w:ascii="Times New Roman" w:hAnsi="Times New Roman"/>
          <w:sz w:val="24"/>
          <w:szCs w:val="24"/>
        </w:rPr>
        <w:t xml:space="preserve"> </w:t>
      </w:r>
      <w:r w:rsidR="00187A24">
        <w:rPr>
          <w:rFonts w:ascii="Times New Roman" w:hAnsi="Times New Roman"/>
          <w:sz w:val="24"/>
          <w:szCs w:val="24"/>
        </w:rPr>
        <w:t>s</w:t>
      </w:r>
      <w:r w:rsidR="00EA016B">
        <w:rPr>
          <w:rFonts w:ascii="Times New Roman" w:hAnsi="Times New Roman"/>
          <w:sz w:val="24"/>
          <w:szCs w:val="24"/>
        </w:rPr>
        <w:t>a predpokladajú vo výške</w:t>
      </w:r>
      <w:r w:rsidR="00187A24">
        <w:rPr>
          <w:rFonts w:ascii="Times New Roman" w:hAnsi="Times New Roman"/>
          <w:sz w:val="24"/>
          <w:szCs w:val="24"/>
        </w:rPr>
        <w:t xml:space="preserve"> cca 3 615 tis. eura v roku 2018, cca 2 960 tis. eura v roku 2019 a cca 2 363 tis. eura v roku 2020.</w:t>
      </w:r>
    </w:p>
    <w:p w:rsidR="00187A24" w:rsidP="00704407">
      <w:pPr>
        <w:tabs>
          <w:tab w:val="num" w:pos="108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7DAE" w:rsidP="00587DAE">
      <w:pPr>
        <w:tabs>
          <w:tab w:val="num" w:pos="709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187A24">
        <w:rPr>
          <w:rFonts w:ascii="Times New Roman" w:hAnsi="Times New Roman"/>
          <w:sz w:val="24"/>
          <w:szCs w:val="24"/>
        </w:rPr>
        <w:tab/>
      </w:r>
      <w:r w:rsidRPr="009B1BCD" w:rsidR="00187A24">
        <w:rPr>
          <w:rFonts w:ascii="Times New Roman" w:hAnsi="Times New Roman"/>
          <w:sz w:val="24"/>
          <w:szCs w:val="24"/>
        </w:rPr>
        <w:t xml:space="preserve">Počet dotknutých osôb, ktorých starobné dôchodky boli priznané podľa predpisov účinných </w:t>
      </w:r>
      <w:r w:rsidRPr="00187A24" w:rsidR="00187A24">
        <w:rPr>
          <w:rFonts w:ascii="Times New Roman" w:hAnsi="Times New Roman"/>
          <w:sz w:val="24"/>
          <w:szCs w:val="24"/>
        </w:rPr>
        <w:t>v období od 1. októbra 1988 do 31. decembra 2003</w:t>
      </w:r>
      <w:r w:rsidRPr="009B1BCD" w:rsidR="00187A24">
        <w:rPr>
          <w:rFonts w:ascii="Times New Roman" w:hAnsi="Times New Roman"/>
          <w:sz w:val="24"/>
          <w:szCs w:val="24"/>
        </w:rPr>
        <w:t xml:space="preserve"> sa </w:t>
      </w:r>
      <w:r w:rsidRPr="00187A24" w:rsidR="00187A24">
        <w:rPr>
          <w:rFonts w:ascii="Times New Roman" w:hAnsi="Times New Roman"/>
          <w:sz w:val="24"/>
          <w:szCs w:val="24"/>
        </w:rPr>
        <w:t>v roku 2018 odhaduje na úrovni cca 88 400, v roku 2019 na úrovni cca 83 500 a v roku 2020 na úrovni cca 78 500</w:t>
      </w:r>
      <w:r w:rsidRPr="009B1BCD" w:rsidR="00187A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Výdavky na starobné dôchodky, ktoré </w:t>
      </w:r>
      <w:r w:rsidRPr="009B1BCD">
        <w:rPr>
          <w:rFonts w:ascii="Times New Roman" w:hAnsi="Times New Roman"/>
          <w:sz w:val="24"/>
          <w:szCs w:val="24"/>
        </w:rPr>
        <w:t xml:space="preserve">boli priznané </w:t>
      </w:r>
      <w:r w:rsidRPr="00187A24" w:rsidR="00EA016B">
        <w:rPr>
          <w:rFonts w:ascii="Times New Roman" w:hAnsi="Times New Roman"/>
          <w:sz w:val="24"/>
          <w:szCs w:val="24"/>
        </w:rPr>
        <w:t>v období od 1. októbra 1988 do 31. decembra 2003</w:t>
      </w:r>
      <w:r w:rsidRPr="009B1BCD" w:rsidR="00EA0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A016B">
        <w:rPr>
          <w:rFonts w:ascii="Times New Roman" w:hAnsi="Times New Roman"/>
          <w:sz w:val="24"/>
          <w:szCs w:val="24"/>
        </w:rPr>
        <w:t>sa predpokladajú vo výške</w:t>
      </w:r>
      <w:r>
        <w:rPr>
          <w:rFonts w:ascii="Times New Roman" w:hAnsi="Times New Roman"/>
          <w:sz w:val="24"/>
          <w:szCs w:val="24"/>
        </w:rPr>
        <w:t xml:space="preserve"> cca </w:t>
      </w:r>
      <w:r w:rsidR="00EA016B">
        <w:rPr>
          <w:rFonts w:ascii="Times New Roman" w:hAnsi="Times New Roman"/>
          <w:sz w:val="24"/>
          <w:szCs w:val="24"/>
        </w:rPr>
        <w:t>46 557</w:t>
      </w:r>
      <w:r>
        <w:rPr>
          <w:rFonts w:ascii="Times New Roman" w:hAnsi="Times New Roman"/>
          <w:sz w:val="24"/>
          <w:szCs w:val="24"/>
        </w:rPr>
        <w:t xml:space="preserve"> tis. eura v roku 2018, cca </w:t>
      </w:r>
      <w:r w:rsidR="00EA016B">
        <w:rPr>
          <w:rFonts w:ascii="Times New Roman" w:hAnsi="Times New Roman"/>
          <w:sz w:val="24"/>
          <w:szCs w:val="24"/>
        </w:rPr>
        <w:t>44 483</w:t>
      </w:r>
      <w:r>
        <w:rPr>
          <w:rFonts w:ascii="Times New Roman" w:hAnsi="Times New Roman"/>
          <w:sz w:val="24"/>
          <w:szCs w:val="24"/>
        </w:rPr>
        <w:t xml:space="preserve"> tis. eura v roku 2019 a cca </w:t>
      </w:r>
      <w:r w:rsidR="00EA016B">
        <w:rPr>
          <w:rFonts w:ascii="Times New Roman" w:hAnsi="Times New Roman"/>
          <w:sz w:val="24"/>
          <w:szCs w:val="24"/>
        </w:rPr>
        <w:t>42 442</w:t>
      </w:r>
      <w:r>
        <w:rPr>
          <w:rFonts w:ascii="Times New Roman" w:hAnsi="Times New Roman"/>
          <w:sz w:val="24"/>
          <w:szCs w:val="24"/>
        </w:rPr>
        <w:t xml:space="preserve"> tis. eura v roku 2020.</w:t>
      </w:r>
    </w:p>
    <w:p w:rsidR="00187A24" w:rsidRPr="009B1BCD" w:rsidP="00587DAE">
      <w:pPr>
        <w:tabs>
          <w:tab w:val="num" w:pos="709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A49" w:rsidRPr="00505A49" w:rsidP="00505A49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187A24">
        <w:rPr>
          <w:rFonts w:ascii="Times New Roman" w:hAnsi="Times New Roman"/>
          <w:sz w:val="24"/>
          <w:szCs w:val="24"/>
        </w:rPr>
        <w:t>Celkové v</w:t>
      </w:r>
      <w:r w:rsidR="00390633">
        <w:rPr>
          <w:rFonts w:ascii="Times New Roman" w:hAnsi="Times New Roman"/>
          <w:sz w:val="24"/>
          <w:szCs w:val="24"/>
        </w:rPr>
        <w:t xml:space="preserve">ýdavky Sociálnej </w:t>
      </w:r>
      <w:r w:rsidR="00EA016B">
        <w:rPr>
          <w:rFonts w:ascii="Times New Roman" w:hAnsi="Times New Roman"/>
          <w:sz w:val="24"/>
          <w:szCs w:val="24"/>
        </w:rPr>
        <w:t>poisťovne sa predpokladajú</w:t>
      </w:r>
      <w:r w:rsidR="00B74170">
        <w:rPr>
          <w:rFonts w:ascii="Times New Roman" w:hAnsi="Times New Roman"/>
          <w:sz w:val="24"/>
          <w:szCs w:val="24"/>
        </w:rPr>
        <w:t xml:space="preserve"> vplyvom </w:t>
      </w:r>
      <w:r w:rsidR="00E067D6">
        <w:rPr>
          <w:rFonts w:ascii="Times New Roman" w:hAnsi="Times New Roman"/>
          <w:sz w:val="24"/>
          <w:szCs w:val="24"/>
        </w:rPr>
        <w:t xml:space="preserve">určenia </w:t>
      </w:r>
      <w:r w:rsidR="00B74170">
        <w:rPr>
          <w:rFonts w:ascii="Times New Roman" w:hAnsi="Times New Roman"/>
          <w:sz w:val="24"/>
          <w:szCs w:val="24"/>
        </w:rPr>
        <w:t>nového výpočtu starobného dôchodku</w:t>
      </w:r>
      <w:r w:rsidR="006B0B24">
        <w:rPr>
          <w:rFonts w:ascii="Times New Roman" w:hAnsi="Times New Roman"/>
          <w:sz w:val="24"/>
          <w:szCs w:val="24"/>
        </w:rPr>
        <w:t xml:space="preserve"> u vybraného okruhu poberateľov v porovnaní so súčasným právnym stavom </w:t>
      </w:r>
      <w:r w:rsidR="00F442F9">
        <w:rPr>
          <w:rFonts w:ascii="Times New Roman" w:hAnsi="Times New Roman"/>
          <w:sz w:val="24"/>
          <w:szCs w:val="24"/>
        </w:rPr>
        <w:t xml:space="preserve">vyššie </w:t>
      </w:r>
      <w:r w:rsidR="00187A24">
        <w:rPr>
          <w:rFonts w:ascii="Times New Roman" w:hAnsi="Times New Roman"/>
          <w:sz w:val="24"/>
          <w:szCs w:val="24"/>
        </w:rPr>
        <w:t>v roku 2018 o 50 173 tis. eura, v roku 2019 o 47 443</w:t>
      </w:r>
      <w:r w:rsidR="006B0B24">
        <w:rPr>
          <w:rFonts w:ascii="Times New Roman" w:hAnsi="Times New Roman"/>
          <w:sz w:val="24"/>
          <w:szCs w:val="24"/>
        </w:rPr>
        <w:t xml:space="preserve"> </w:t>
      </w:r>
      <w:r w:rsidR="00187A24">
        <w:rPr>
          <w:rFonts w:ascii="Times New Roman" w:hAnsi="Times New Roman"/>
          <w:sz w:val="24"/>
          <w:szCs w:val="24"/>
        </w:rPr>
        <w:t>tis. eura a v roku 2020 o 44 805</w:t>
      </w:r>
      <w:r w:rsidR="006B0B24">
        <w:rPr>
          <w:rFonts w:ascii="Times New Roman" w:hAnsi="Times New Roman"/>
          <w:sz w:val="24"/>
          <w:szCs w:val="24"/>
        </w:rPr>
        <w:t xml:space="preserve"> tis. eura.</w:t>
      </w:r>
      <w:r w:rsidR="00B74170">
        <w:rPr>
          <w:rFonts w:ascii="Times New Roman" w:hAnsi="Times New Roman"/>
          <w:sz w:val="24"/>
          <w:szCs w:val="24"/>
        </w:rPr>
        <w:t xml:space="preserve"> </w:t>
      </w:r>
      <w:r w:rsidR="0080003A">
        <w:rPr>
          <w:rFonts w:ascii="Times New Roman" w:hAnsi="Times New Roman"/>
          <w:sz w:val="24"/>
          <w:szCs w:val="24"/>
        </w:rPr>
        <w:t xml:space="preserve">Pri kvantifikácií výdavkov sme </w:t>
      </w:r>
      <w:r w:rsidR="00760C4A">
        <w:rPr>
          <w:rFonts w:ascii="Times New Roman" w:hAnsi="Times New Roman"/>
          <w:sz w:val="24"/>
          <w:szCs w:val="24"/>
        </w:rPr>
        <w:t>uvažovali s postupným prirodzeným úbytkom</w:t>
      </w:r>
      <w:r w:rsidR="0080003A">
        <w:rPr>
          <w:rFonts w:ascii="Times New Roman" w:hAnsi="Times New Roman"/>
          <w:sz w:val="24"/>
          <w:szCs w:val="24"/>
        </w:rPr>
        <w:t xml:space="preserve"> dotknutých osôb podľa posledných úmrt</w:t>
      </w:r>
      <w:r>
        <w:rPr>
          <w:rFonts w:ascii="Times New Roman" w:hAnsi="Times New Roman"/>
          <w:sz w:val="24"/>
          <w:szCs w:val="24"/>
        </w:rPr>
        <w:t>nostných tabuliek zverejnených Š</w:t>
      </w:r>
      <w:r w:rsidR="0080003A">
        <w:rPr>
          <w:rFonts w:ascii="Times New Roman" w:hAnsi="Times New Roman"/>
          <w:sz w:val="24"/>
          <w:szCs w:val="24"/>
        </w:rPr>
        <w:t>tatistickým úradom SR v roku 2016.</w:t>
      </w:r>
      <w:r w:rsidR="0003295C">
        <w:rPr>
          <w:rFonts w:ascii="Times New Roman" w:hAnsi="Times New Roman"/>
          <w:sz w:val="24"/>
          <w:szCs w:val="24"/>
        </w:rPr>
        <w:t xml:space="preserve"> </w:t>
      </w:r>
      <w:r w:rsidR="00E35E66">
        <w:rPr>
          <w:rFonts w:ascii="Times New Roman" w:hAnsi="Times New Roman"/>
          <w:sz w:val="24"/>
          <w:szCs w:val="24"/>
        </w:rPr>
        <w:t>Celkové výdavky ná</w:t>
      </w:r>
      <w:r>
        <w:rPr>
          <w:rFonts w:ascii="Times New Roman" w:hAnsi="Times New Roman"/>
          <w:sz w:val="24"/>
          <w:szCs w:val="24"/>
        </w:rPr>
        <w:t>vrhu zákona v dlhodobom</w:t>
      </w:r>
      <w:r w:rsidR="00187A24">
        <w:rPr>
          <w:rFonts w:ascii="Times New Roman" w:hAnsi="Times New Roman"/>
          <w:sz w:val="24"/>
          <w:szCs w:val="24"/>
        </w:rPr>
        <w:t xml:space="preserve"> horizonte</w:t>
      </w:r>
      <w:r>
        <w:rPr>
          <w:rFonts w:ascii="Times New Roman" w:hAnsi="Times New Roman"/>
          <w:sz w:val="24"/>
          <w:szCs w:val="24"/>
        </w:rPr>
        <w:t xml:space="preserve"> popisuje Graf 1.</w:t>
      </w:r>
    </w:p>
    <w:p w:rsidR="00670A3F" w:rsidRPr="00EA016B" w:rsidP="00EA016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35E66" w:rsidR="00E35E66">
        <w:rPr>
          <w:rFonts w:ascii="Times New Roman" w:hAnsi="Times New Roman"/>
          <w:b/>
          <w:sz w:val="24"/>
          <w:szCs w:val="24"/>
        </w:rPr>
        <w:t xml:space="preserve">Graf 1: </w:t>
      </w:r>
    </w:p>
    <w:p w:rsidR="0003295C" w:rsidP="00505A49">
      <w:pPr>
        <w:bidi w:val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5" type="#_x0000_t75" style="width:483.9pt;height:180pt;visibility:visible" stroked="f">
            <v:imagedata r:id="rId7" o:title=""/>
            <o:lock v:ext="edit" aspectratio="f"/>
          </v:shape>
        </w:pict>
      </w:r>
    </w:p>
    <w:p w:rsidR="007239B7" w:rsidP="00670A3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800F1" w:rsidP="00670A3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800F1" w:rsidP="00670A3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800F1" w:rsidP="00670A3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2384C" w:rsidP="005E0539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="005E0539">
        <w:rPr>
          <w:rFonts w:ascii="Times New Roman" w:hAnsi="Times New Roman"/>
          <w:sz w:val="20"/>
          <w:szCs w:val="20"/>
          <w:lang w:eastAsia="sk-SK"/>
        </w:rPr>
        <w:t>Tabuľka č. 4</w:t>
      </w:r>
    </w:p>
    <w:tbl>
      <w:tblPr>
        <w:tblStyle w:val="TableNormal"/>
        <w:tblpPr w:leftFromText="141" w:rightFromText="141" w:vertAnchor="text" w:horzAnchor="page" w:tblpX="1335" w:tblpY="2"/>
        <w:tblW w:w="9693" w:type="dxa"/>
        <w:tblCellMar>
          <w:left w:w="70" w:type="dxa"/>
          <w:right w:w="70" w:type="dxa"/>
        </w:tblCellMar>
      </w:tblPr>
      <w:tblGrid>
        <w:gridCol w:w="4559"/>
        <w:gridCol w:w="756"/>
        <w:gridCol w:w="1057"/>
        <w:gridCol w:w="1057"/>
        <w:gridCol w:w="1057"/>
        <w:gridCol w:w="1207"/>
      </w:tblGrid>
      <w:tr>
        <w:tblPrEx>
          <w:tblW w:w="9693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7D5748" w:rsidP="00E140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Sociálnej poisťovne</w:t>
            </w: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(v eurách)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F838ED" w:rsidRPr="007D5748" w:rsidP="00E1401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 w:rsidR="00C65C1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(cash= ESA2010)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F838ED" w:rsidRPr="00E14014" w:rsidP="00E14014">
            <w:pPr>
              <w:bidi w:val="0"/>
              <w:spacing w:after="0" w:line="240" w:lineRule="auto"/>
              <w:ind w:left="19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14014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F838ED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5C617E" w:rsidP="00E1401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F442F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5C617E" w:rsidP="00E1401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F442F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5C617E" w:rsidP="00E1401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F442F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838ED" w:rsidRPr="005C617E" w:rsidP="00E1401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F442F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38ED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7A24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50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172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47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443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805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7A24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7A24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50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172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47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443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805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7A24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7A24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436870">
              <w:rPr>
                <w:rFonts w:ascii="Times New Roman" w:hAnsi="Times New Roman"/>
                <w:sz w:val="20"/>
                <w:szCs w:val="20"/>
                <w:lang w:eastAsia="sk-SK"/>
              </w:rPr>
              <w:t>Transfery jednotlivcom a neziskovým právnickým osobám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(642)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50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172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47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443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184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187A24" w:rsidRPr="00A95E5E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44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805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A95E5E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532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7A24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73ADA" w:rsidRPr="005658F0" w:rsidP="00E14014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5658F0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73ADA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693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87A24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</w:tcPr>
          <w:p w:rsidR="00187A24" w:rsidRPr="00EA2EE3" w:rsidP="00E14014">
            <w:pPr>
              <w:bidi w:val="0"/>
              <w:spacing w:after="0" w:line="240" w:lineRule="auto"/>
              <w:jc w:val="right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</w:tcPr>
          <w:p w:rsidR="00187A24" w:rsidRPr="00187A24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7A2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50 172 578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</w:tcPr>
          <w:p w:rsidR="00187A24" w:rsidRPr="00187A24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7A2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47 443 184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bottom"/>
          </w:tcPr>
          <w:p w:rsidR="00187A24" w:rsidRPr="00187A24" w:rsidP="001301C8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7A24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44 805 532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187A24" w:rsidRPr="007D5748" w:rsidP="00E1401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E7C7C" w:rsidRPr="007D5748" w:rsidP="00E14014">
      <w:pPr>
        <w:framePr w:w="9080"/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505A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991" w:bottom="567" w:left="1276" w:header="709" w:footer="709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CD246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F77641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D80712" w:rsidP="00D80712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="00D80712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</w:t>
      </w: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2418"/>
        <w:gridCol w:w="1722"/>
        <w:gridCol w:w="162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658F0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B0B2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B0B2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B0B2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B0B2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658F0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D246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5D0F6E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D80712">
      <w:pPr>
        <w:bidi w:val="0"/>
        <w:spacing w:after="0" w:line="240" w:lineRule="auto"/>
      </w:pPr>
    </w:p>
    <w:sectPr w:rsidSect="00D80712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0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F5330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0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93CB7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F5330B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0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F5330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0B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F5330B" w:rsidRPr="00EB59C8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0B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0B" w:rsidRPr="000A15AE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C37A35"/>
    <w:multiLevelType w:val="hybridMultilevel"/>
    <w:tmpl w:val="32544E1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312755E2"/>
    <w:multiLevelType w:val="hybridMultilevel"/>
    <w:tmpl w:val="64963BD2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1417EE"/>
    <w:multiLevelType w:val="hybridMultilevel"/>
    <w:tmpl w:val="2626FECC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14E5F"/>
    <w:multiLevelType w:val="hybridMultilevel"/>
    <w:tmpl w:val="7FC0769C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10380"/>
    <w:multiLevelType w:val="hybridMultilevel"/>
    <w:tmpl w:val="276CD660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C4339"/>
    <w:multiLevelType w:val="hybridMultilevel"/>
    <w:tmpl w:val="4BF6964E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60E8784C"/>
    <w:multiLevelType w:val="hybridMultilevel"/>
    <w:tmpl w:val="831E8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00CB2"/>
    <w:rsid w:val="00000DEE"/>
    <w:rsid w:val="00007824"/>
    <w:rsid w:val="000236F9"/>
    <w:rsid w:val="0003295C"/>
    <w:rsid w:val="00035EB6"/>
    <w:rsid w:val="00045303"/>
    <w:rsid w:val="00054059"/>
    <w:rsid w:val="00055D95"/>
    <w:rsid w:val="00057135"/>
    <w:rsid w:val="000737C6"/>
    <w:rsid w:val="00084682"/>
    <w:rsid w:val="00085B35"/>
    <w:rsid w:val="00092D89"/>
    <w:rsid w:val="000A15AE"/>
    <w:rsid w:val="000B2853"/>
    <w:rsid w:val="000E29DE"/>
    <w:rsid w:val="000F1438"/>
    <w:rsid w:val="000F47DD"/>
    <w:rsid w:val="00111923"/>
    <w:rsid w:val="00112088"/>
    <w:rsid w:val="001127A8"/>
    <w:rsid w:val="0012579F"/>
    <w:rsid w:val="001301C8"/>
    <w:rsid w:val="00151256"/>
    <w:rsid w:val="00156198"/>
    <w:rsid w:val="001576F5"/>
    <w:rsid w:val="00160DF7"/>
    <w:rsid w:val="00170D2B"/>
    <w:rsid w:val="00176F52"/>
    <w:rsid w:val="00180079"/>
    <w:rsid w:val="00184F37"/>
    <w:rsid w:val="00187A24"/>
    <w:rsid w:val="00192E67"/>
    <w:rsid w:val="001949FC"/>
    <w:rsid w:val="001B5524"/>
    <w:rsid w:val="001C7640"/>
    <w:rsid w:val="001D1641"/>
    <w:rsid w:val="001E0A17"/>
    <w:rsid w:val="00200898"/>
    <w:rsid w:val="002031C2"/>
    <w:rsid w:val="00203D1D"/>
    <w:rsid w:val="00212894"/>
    <w:rsid w:val="00215DD3"/>
    <w:rsid w:val="00216F16"/>
    <w:rsid w:val="00232363"/>
    <w:rsid w:val="0024067A"/>
    <w:rsid w:val="002439B0"/>
    <w:rsid w:val="002531B7"/>
    <w:rsid w:val="0026250A"/>
    <w:rsid w:val="00287C20"/>
    <w:rsid w:val="002951C1"/>
    <w:rsid w:val="002C3491"/>
    <w:rsid w:val="002C6587"/>
    <w:rsid w:val="002D3478"/>
    <w:rsid w:val="002F34D7"/>
    <w:rsid w:val="00303AE6"/>
    <w:rsid w:val="003162D5"/>
    <w:rsid w:val="00317B90"/>
    <w:rsid w:val="003533A5"/>
    <w:rsid w:val="00370A9B"/>
    <w:rsid w:val="00373B48"/>
    <w:rsid w:val="00376162"/>
    <w:rsid w:val="003800F1"/>
    <w:rsid w:val="00390633"/>
    <w:rsid w:val="00394973"/>
    <w:rsid w:val="003A5466"/>
    <w:rsid w:val="003B5B9E"/>
    <w:rsid w:val="003C4968"/>
    <w:rsid w:val="003F2E47"/>
    <w:rsid w:val="00402E1D"/>
    <w:rsid w:val="004034F6"/>
    <w:rsid w:val="00432070"/>
    <w:rsid w:val="00436870"/>
    <w:rsid w:val="00452C85"/>
    <w:rsid w:val="00453691"/>
    <w:rsid w:val="0047558C"/>
    <w:rsid w:val="00486EC0"/>
    <w:rsid w:val="00487203"/>
    <w:rsid w:val="00496A9D"/>
    <w:rsid w:val="004A17CB"/>
    <w:rsid w:val="004A7B08"/>
    <w:rsid w:val="004D2ED6"/>
    <w:rsid w:val="004E7A5C"/>
    <w:rsid w:val="004F2141"/>
    <w:rsid w:val="004F2C14"/>
    <w:rsid w:val="004F7656"/>
    <w:rsid w:val="005005EC"/>
    <w:rsid w:val="00505A49"/>
    <w:rsid w:val="00507678"/>
    <w:rsid w:val="005145FE"/>
    <w:rsid w:val="00514B08"/>
    <w:rsid w:val="0051724E"/>
    <w:rsid w:val="005658F0"/>
    <w:rsid w:val="00566947"/>
    <w:rsid w:val="00567A1C"/>
    <w:rsid w:val="00573ADA"/>
    <w:rsid w:val="00587DAE"/>
    <w:rsid w:val="0059386A"/>
    <w:rsid w:val="005940E4"/>
    <w:rsid w:val="00597118"/>
    <w:rsid w:val="005A10D0"/>
    <w:rsid w:val="005B236E"/>
    <w:rsid w:val="005C617E"/>
    <w:rsid w:val="005D0F6E"/>
    <w:rsid w:val="005E0539"/>
    <w:rsid w:val="005E2408"/>
    <w:rsid w:val="005F4CD7"/>
    <w:rsid w:val="005F5966"/>
    <w:rsid w:val="006139A0"/>
    <w:rsid w:val="00631D94"/>
    <w:rsid w:val="00651213"/>
    <w:rsid w:val="00665748"/>
    <w:rsid w:val="00670A3F"/>
    <w:rsid w:val="00674359"/>
    <w:rsid w:val="00694B50"/>
    <w:rsid w:val="00695C65"/>
    <w:rsid w:val="0069683A"/>
    <w:rsid w:val="006B0B24"/>
    <w:rsid w:val="006C0270"/>
    <w:rsid w:val="006D3AB5"/>
    <w:rsid w:val="006D4651"/>
    <w:rsid w:val="006E3B1B"/>
    <w:rsid w:val="006E40CE"/>
    <w:rsid w:val="006F30BD"/>
    <w:rsid w:val="00704407"/>
    <w:rsid w:val="007239B7"/>
    <w:rsid w:val="007246BD"/>
    <w:rsid w:val="00760C4A"/>
    <w:rsid w:val="00782FA7"/>
    <w:rsid w:val="007B7630"/>
    <w:rsid w:val="007C6592"/>
    <w:rsid w:val="007D0382"/>
    <w:rsid w:val="007D5748"/>
    <w:rsid w:val="007F64F0"/>
    <w:rsid w:val="0080003A"/>
    <w:rsid w:val="008144ED"/>
    <w:rsid w:val="008418DA"/>
    <w:rsid w:val="0085097D"/>
    <w:rsid w:val="00857D73"/>
    <w:rsid w:val="0086364A"/>
    <w:rsid w:val="00866554"/>
    <w:rsid w:val="00870931"/>
    <w:rsid w:val="00872658"/>
    <w:rsid w:val="00872995"/>
    <w:rsid w:val="00890F15"/>
    <w:rsid w:val="00893CB7"/>
    <w:rsid w:val="008B2801"/>
    <w:rsid w:val="008B6A9F"/>
    <w:rsid w:val="008C1D47"/>
    <w:rsid w:val="008D217F"/>
    <w:rsid w:val="008D339D"/>
    <w:rsid w:val="008D660F"/>
    <w:rsid w:val="008D796C"/>
    <w:rsid w:val="008E2736"/>
    <w:rsid w:val="008E5C3D"/>
    <w:rsid w:val="008E7C7C"/>
    <w:rsid w:val="00902080"/>
    <w:rsid w:val="00911016"/>
    <w:rsid w:val="00912524"/>
    <w:rsid w:val="00923B88"/>
    <w:rsid w:val="00923BB5"/>
    <w:rsid w:val="00926679"/>
    <w:rsid w:val="0093229C"/>
    <w:rsid w:val="0093247A"/>
    <w:rsid w:val="009573AE"/>
    <w:rsid w:val="00970443"/>
    <w:rsid w:val="009706B7"/>
    <w:rsid w:val="00970775"/>
    <w:rsid w:val="009809B4"/>
    <w:rsid w:val="009A3111"/>
    <w:rsid w:val="009A78DA"/>
    <w:rsid w:val="009B1BCD"/>
    <w:rsid w:val="009C458D"/>
    <w:rsid w:val="009C7B86"/>
    <w:rsid w:val="009D34C3"/>
    <w:rsid w:val="009D7055"/>
    <w:rsid w:val="009E2092"/>
    <w:rsid w:val="009E4F02"/>
    <w:rsid w:val="00A1056A"/>
    <w:rsid w:val="00A32790"/>
    <w:rsid w:val="00A40433"/>
    <w:rsid w:val="00A4080A"/>
    <w:rsid w:val="00A46391"/>
    <w:rsid w:val="00A51B73"/>
    <w:rsid w:val="00A56462"/>
    <w:rsid w:val="00A95E5E"/>
    <w:rsid w:val="00AA1009"/>
    <w:rsid w:val="00AB656A"/>
    <w:rsid w:val="00AE65D5"/>
    <w:rsid w:val="00AF662F"/>
    <w:rsid w:val="00B00162"/>
    <w:rsid w:val="00B02CB5"/>
    <w:rsid w:val="00B260BE"/>
    <w:rsid w:val="00B37D06"/>
    <w:rsid w:val="00B44897"/>
    <w:rsid w:val="00B52D80"/>
    <w:rsid w:val="00B5535C"/>
    <w:rsid w:val="00B56ACD"/>
    <w:rsid w:val="00B65B93"/>
    <w:rsid w:val="00B74170"/>
    <w:rsid w:val="00B9259A"/>
    <w:rsid w:val="00B92B88"/>
    <w:rsid w:val="00B950E1"/>
    <w:rsid w:val="00BA0784"/>
    <w:rsid w:val="00BA3E7B"/>
    <w:rsid w:val="00BB2B49"/>
    <w:rsid w:val="00BE1F89"/>
    <w:rsid w:val="00BF3368"/>
    <w:rsid w:val="00C010A2"/>
    <w:rsid w:val="00C129FE"/>
    <w:rsid w:val="00C15212"/>
    <w:rsid w:val="00C15B28"/>
    <w:rsid w:val="00C21587"/>
    <w:rsid w:val="00C2384C"/>
    <w:rsid w:val="00C42A15"/>
    <w:rsid w:val="00C51FD4"/>
    <w:rsid w:val="00C529EF"/>
    <w:rsid w:val="00C5650A"/>
    <w:rsid w:val="00C6201D"/>
    <w:rsid w:val="00C65C1F"/>
    <w:rsid w:val="00CA1446"/>
    <w:rsid w:val="00CA20AC"/>
    <w:rsid w:val="00CB3623"/>
    <w:rsid w:val="00CD097A"/>
    <w:rsid w:val="00CD2466"/>
    <w:rsid w:val="00CE06B7"/>
    <w:rsid w:val="00CE2206"/>
    <w:rsid w:val="00CE299A"/>
    <w:rsid w:val="00CF1CE5"/>
    <w:rsid w:val="00CF4703"/>
    <w:rsid w:val="00D112B9"/>
    <w:rsid w:val="00D3283A"/>
    <w:rsid w:val="00D42C09"/>
    <w:rsid w:val="00D61AAD"/>
    <w:rsid w:val="00D668C4"/>
    <w:rsid w:val="00D80712"/>
    <w:rsid w:val="00D9500B"/>
    <w:rsid w:val="00D96772"/>
    <w:rsid w:val="00DB4E90"/>
    <w:rsid w:val="00DC675E"/>
    <w:rsid w:val="00DD2805"/>
    <w:rsid w:val="00DE541A"/>
    <w:rsid w:val="00DE5BF1"/>
    <w:rsid w:val="00E003C1"/>
    <w:rsid w:val="00E016CF"/>
    <w:rsid w:val="00E03BE7"/>
    <w:rsid w:val="00E067D6"/>
    <w:rsid w:val="00E07CE9"/>
    <w:rsid w:val="00E14014"/>
    <w:rsid w:val="00E22A3E"/>
    <w:rsid w:val="00E26305"/>
    <w:rsid w:val="00E35E66"/>
    <w:rsid w:val="00E42474"/>
    <w:rsid w:val="00E45F02"/>
    <w:rsid w:val="00E47BF8"/>
    <w:rsid w:val="00E53873"/>
    <w:rsid w:val="00E724CF"/>
    <w:rsid w:val="00E842D7"/>
    <w:rsid w:val="00E85F72"/>
    <w:rsid w:val="00E9239A"/>
    <w:rsid w:val="00E963A3"/>
    <w:rsid w:val="00EA016B"/>
    <w:rsid w:val="00EA1E90"/>
    <w:rsid w:val="00EA2EE3"/>
    <w:rsid w:val="00EB59C8"/>
    <w:rsid w:val="00EC618B"/>
    <w:rsid w:val="00ED0E39"/>
    <w:rsid w:val="00EE04E8"/>
    <w:rsid w:val="00EE1A67"/>
    <w:rsid w:val="00EF4D78"/>
    <w:rsid w:val="00F07210"/>
    <w:rsid w:val="00F253D0"/>
    <w:rsid w:val="00F34D4D"/>
    <w:rsid w:val="00F40136"/>
    <w:rsid w:val="00F442F9"/>
    <w:rsid w:val="00F5330B"/>
    <w:rsid w:val="00F74164"/>
    <w:rsid w:val="00F757ED"/>
    <w:rsid w:val="00F77641"/>
    <w:rsid w:val="00F83159"/>
    <w:rsid w:val="00F838ED"/>
    <w:rsid w:val="00F95AB1"/>
    <w:rsid w:val="00FA38BA"/>
    <w:rsid w:val="00FA7BF2"/>
    <w:rsid w:val="00FC2E87"/>
    <w:rsid w:val="00FC405B"/>
    <w:rsid w:val="00FC5EC4"/>
    <w:rsid w:val="00FE3959"/>
    <w:rsid w:val="00FF1E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866554"/>
    <w:pPr>
      <w:ind w:left="720"/>
      <w:contextualSpacing/>
      <w:jc w:val="left"/>
    </w:pPr>
    <w:rPr>
      <w:rFonts w:ascii="Calibri" w:hAnsi="Calibri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C7640"/>
    <w:pPr>
      <w:spacing w:after="0" w:line="240" w:lineRule="auto"/>
      <w:jc w:val="left"/>
    </w:pPr>
    <w:rPr>
      <w:rFonts w:ascii="Calibri" w:hAnsi="Calibri"/>
      <w:sz w:val="20"/>
      <w:szCs w:val="20"/>
      <w:lang w:val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C7640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1C7640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1C7640"/>
    <w:rPr>
      <w:rFonts w:cs="Times New Roman"/>
      <w:color w:val="0000FF" w:themeColor="hlink" w:themeShade="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9063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9063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9063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9063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9063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85F72"/>
    <w:rPr>
      <w:rFonts w:ascii="Times New Roman" w:hAnsi="Times New Roman" w:cs="Times New Roman"/>
      <w:color w:val="000000"/>
      <w:rtl w:val="0"/>
      <w:cs w:val="0"/>
    </w:rPr>
  </w:style>
  <w:style w:type="table" w:styleId="TableGrid">
    <w:name w:val="Table Grid"/>
    <w:basedOn w:val="TableNormal"/>
    <w:uiPriority w:val="59"/>
    <w:rsid w:val="002031C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ZkladntextChar"/>
    <w:uiPriority w:val="99"/>
    <w:rsid w:val="006E3B1B"/>
    <w:pPr>
      <w:widowControl w:val="0"/>
      <w:spacing w:after="0" w:line="240" w:lineRule="auto"/>
      <w:jc w:val="left"/>
    </w:pPr>
    <w:rPr>
      <w:rFonts w:ascii="Times New Roman" w:eastAsia="MS Mincho" w:hAnsi="Times New Roman"/>
      <w:color w:val="000000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E3B1B"/>
    <w:rPr>
      <w:rFonts w:ascii="Times New Roman" w:eastAsia="MS Mincho" w:hAnsi="Times New Roman" w:cs="Times New Roman"/>
      <w:color w:val="000000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8CE30-C031-435B-8E2E-A82C6B456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6</Pages>
  <Words>1435</Words>
  <Characters>8180</Characters>
  <Application>Microsoft Office Word</Application>
  <DocSecurity>0</DocSecurity>
  <Lines>0</Lines>
  <Paragraphs>0</Paragraphs>
  <ScaleCrop>false</ScaleCrop>
  <Company>MH SR</Company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2017-04-19T11:46:00Z</cp:lastPrinted>
  <dcterms:created xsi:type="dcterms:W3CDTF">2017-03-29T12:28:00Z</dcterms:created>
  <dcterms:modified xsi:type="dcterms:W3CDTF">2017-04-19T11:46:00Z</dcterms:modified>
</cp:coreProperties>
</file>