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41D8" w:rsidRPr="001541D8" w:rsidP="001541D8">
      <w:pPr>
        <w:keepNext/>
        <w:tabs>
          <w:tab w:val="center" w:pos="4500"/>
        </w:tabs>
        <w:bidi w:val="0"/>
        <w:spacing w:before="240" w:after="6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32"/>
          <w:szCs w:val="32"/>
          <w:lang w:eastAsia="sk-SK"/>
        </w:rPr>
      </w:pPr>
      <w:r w:rsidRPr="001541D8">
        <w:rPr>
          <w:rFonts w:ascii="Times New Roman" w:hAnsi="Times New Roman" w:cs="Times New Roman"/>
          <w:b/>
          <w:bCs/>
          <w:kern w:val="32"/>
          <w:sz w:val="32"/>
          <w:szCs w:val="32"/>
          <w:lang w:eastAsia="sk-SK"/>
        </w:rPr>
        <w:t>NÁRODNÁ  RADA  SLOVENSKEJ  REPUBLIKY</w:t>
      </w:r>
    </w:p>
    <w:p w:rsidR="001541D8" w:rsidRPr="009843B7" w:rsidP="001541D8">
      <w:pPr>
        <w:bidi w:val="0"/>
        <w:spacing w:line="240" w:lineRule="auto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1541D8">
        <w:rPr>
          <w:rFonts w:ascii="Times New Roman" w:hAnsi="Times New Roman" w:cs="Times New Roman"/>
          <w:sz w:val="32"/>
          <w:szCs w:val="32"/>
          <w:lang w:eastAsia="sk-SK"/>
        </w:rPr>
        <w:tab/>
        <w:tab/>
        <w:tab/>
        <w:tab/>
        <w:tab/>
      </w:r>
      <w:r w:rsidRPr="009843B7">
        <w:rPr>
          <w:rFonts w:ascii="Times New Roman" w:hAnsi="Times New Roman" w:cs="Times New Roman"/>
          <w:b/>
          <w:sz w:val="28"/>
          <w:szCs w:val="28"/>
          <w:lang w:eastAsia="sk-SK"/>
        </w:rPr>
        <w:t>VII. volebné obdobie</w:t>
      </w:r>
    </w:p>
    <w:p w:rsidR="001541D8" w:rsidRPr="001541D8" w:rsidP="001541D8">
      <w:pPr>
        <w:bidi w:val="0"/>
        <w:spacing w:line="240" w:lineRule="auto"/>
        <w:rPr>
          <w:rFonts w:ascii="Times New Roman" w:hAnsi="Times New Roman" w:cs="Times New Roman"/>
          <w:b/>
          <w:sz w:val="32"/>
          <w:szCs w:val="32"/>
          <w:lang w:eastAsia="sk-SK"/>
        </w:rPr>
      </w:pPr>
      <w:r w:rsidRPr="001541D8">
        <w:rPr>
          <w:rFonts w:ascii="Times New Roman" w:hAnsi="Times New Roman" w:cs="Times New Roman"/>
          <w:b/>
          <w:sz w:val="32"/>
          <w:szCs w:val="32"/>
          <w:lang w:eastAsia="sk-SK"/>
        </w:rPr>
        <w:t xml:space="preserve">            ––––––––––––––––––––––––––––––––––––––––––––––––––</w:t>
      </w:r>
    </w:p>
    <w:p w:rsidR="001541D8" w:rsidRPr="001541D8" w:rsidP="001541D8">
      <w:pPr>
        <w:bidi w:val="0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</w:p>
    <w:p w:rsidR="001541D8" w:rsidRPr="001541D8" w:rsidP="001541D8">
      <w:pPr>
        <w:bidi w:val="0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</w:p>
    <w:p w:rsidR="001541D8" w:rsidRPr="009843B7" w:rsidP="001541D8">
      <w:pPr>
        <w:bidi w:val="0"/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  <w:lang w:eastAsia="sk-SK"/>
        </w:rPr>
      </w:pPr>
      <w:r w:rsidRPr="009843B7" w:rsidR="009843B7">
        <w:rPr>
          <w:rFonts w:ascii="Times New Roman" w:hAnsi="Times New Roman" w:cs="Times New Roman"/>
          <w:b/>
          <w:sz w:val="44"/>
          <w:szCs w:val="44"/>
        </w:rPr>
        <w:t>511</w:t>
      </w:r>
    </w:p>
    <w:p w:rsidR="001541D8" w:rsidRPr="001541D8" w:rsidP="001541D8">
      <w:pPr>
        <w:tabs>
          <w:tab w:val="left" w:pos="284"/>
        </w:tabs>
        <w:bidi w:val="0"/>
        <w:spacing w:line="240" w:lineRule="auto"/>
        <w:jc w:val="center"/>
        <w:rPr>
          <w:rFonts w:ascii="Times New Roman" w:hAnsi="Times New Roman" w:cs="Times New Roman"/>
          <w:b/>
          <w:lang w:eastAsia="sk-SK"/>
        </w:rPr>
      </w:pPr>
    </w:p>
    <w:p w:rsidR="001541D8" w:rsidRPr="001541D8" w:rsidP="001541D8">
      <w:pPr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1D8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      </w:t>
      </w:r>
    </w:p>
    <w:p w:rsidR="001541D8" w:rsidRPr="001541D8" w:rsidP="001541D8">
      <w:pPr>
        <w:bidi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1541D8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 VLÁDNY  NÁVRH</w:t>
      </w:r>
    </w:p>
    <w:p w:rsidR="001541D8" w:rsidRPr="001541D8" w:rsidP="001541D8">
      <w:pPr>
        <w:keepNext/>
        <w:tabs>
          <w:tab w:val="center" w:pos="4500"/>
        </w:tabs>
        <w:bidi w:val="0"/>
        <w:spacing w:before="240" w:after="6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lang w:eastAsia="sk-SK"/>
        </w:rPr>
      </w:pPr>
    </w:p>
    <w:p w:rsidR="005A3E97" w:rsidRPr="001541D8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41D8" w:rsidRPr="001541D8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</w:rPr>
      </w:pPr>
    </w:p>
    <w:p w:rsidR="002952B3" w:rsidRPr="001541D8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1D8">
        <w:rPr>
          <w:rFonts w:ascii="Times New Roman" w:hAnsi="Times New Roman" w:cs="Times New Roman"/>
          <w:b/>
          <w:bCs/>
          <w:sz w:val="24"/>
          <w:szCs w:val="24"/>
        </w:rPr>
        <w:t>ZÁKON</w:t>
      </w:r>
    </w:p>
    <w:p w:rsidR="002952B3" w:rsidRPr="001541D8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</w:rPr>
      </w:pPr>
    </w:p>
    <w:p w:rsidR="002952B3" w:rsidRPr="00DC1401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401">
        <w:rPr>
          <w:rFonts w:ascii="Times New Roman" w:hAnsi="Times New Roman" w:cs="Times New Roman"/>
          <w:b/>
          <w:sz w:val="24"/>
          <w:szCs w:val="24"/>
        </w:rPr>
        <w:t>z .......</w:t>
      </w:r>
      <w:r w:rsidR="00DC1401">
        <w:rPr>
          <w:rFonts w:ascii="Times New Roman" w:hAnsi="Times New Roman" w:cs="Times New Roman"/>
          <w:b/>
          <w:sz w:val="24"/>
          <w:szCs w:val="24"/>
        </w:rPr>
        <w:t>......................</w:t>
      </w:r>
      <w:r w:rsidRPr="00DC1401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9654C">
        <w:rPr>
          <w:rFonts w:ascii="Times New Roman" w:hAnsi="Times New Roman" w:cs="Times New Roman"/>
          <w:b/>
          <w:sz w:val="24"/>
          <w:szCs w:val="24"/>
        </w:rPr>
        <w:t>7</w:t>
      </w:r>
      <w:r w:rsidRPr="00DC1401">
        <w:rPr>
          <w:rFonts w:ascii="Times New Roman" w:hAnsi="Times New Roman" w:cs="Times New Roman"/>
          <w:b/>
          <w:sz w:val="24"/>
          <w:szCs w:val="24"/>
        </w:rPr>
        <w:t>,</w:t>
      </w:r>
    </w:p>
    <w:p w:rsidR="002952B3" w:rsidRPr="00DC1401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2B3" w:rsidRPr="001541D8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1D8">
        <w:rPr>
          <w:rFonts w:ascii="Times New Roman" w:hAnsi="Times New Roman" w:cs="Times New Roman"/>
          <w:b/>
          <w:bCs/>
          <w:sz w:val="24"/>
          <w:szCs w:val="24"/>
        </w:rPr>
        <w:t xml:space="preserve">ktorým sa dopĺňa zákon č. 461/2003 Z. z. o sociálnom poistení v znení neskorších predpisov </w:t>
      </w:r>
    </w:p>
    <w:p w:rsidR="002952B3" w:rsidRPr="001541D8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52B3" w:rsidRPr="001541D8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52B3" w:rsidRPr="001541D8" w:rsidP="002952B3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1D8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2952B3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6946" w:rsidP="00A7694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A76946" w:rsidP="00A7694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6946" w:rsidP="00A76946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f_5915632"/>
      <w:bookmarkStart w:id="1" w:name="f_5915633"/>
      <w:bookmarkStart w:id="2" w:name="f_5915634"/>
      <w:bookmarkStart w:id="3" w:name="f_5915635"/>
      <w:bookmarkStart w:id="4" w:name="f_5752386"/>
      <w:bookmarkStart w:id="5" w:name="f_4423984"/>
      <w:bookmarkStart w:id="6" w:name="f_4615123"/>
      <w:bookmarkStart w:id="7" w:name="f_4423153"/>
      <w:bookmarkStart w:id="8" w:name="f_594146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Times New Roman" w:hAnsi="Times New Roman" w:cs="Times New Roman"/>
          <w:sz w:val="24"/>
          <w:szCs w:val="24"/>
        </w:rPr>
        <w:t xml:space="preserve">Zákon č. 461/2003 Z. z. o sociálnom poistení v znení zákona č. 551/2003 Z. z., zákona </w:t>
      </w:r>
    </w:p>
    <w:p w:rsidR="00A76946" w:rsidP="00A76946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 600/2003 Z. z., zákona č. 5/2004 Z. z., zákona č. 43/2004 Z. z., zákona č. 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uznesenia Ústavného súdu Slovenskej republiky č. 566/2006 Z. z., zákona č. 592/2006 Z. z., zákona č. 677/2006 Z. z., zákona č. 274/2007 Z. z., zákona č. 519/2007 Z. z., zákona č. 555/2007 Z. z., zákona č. 659/2007 Z. z., nálezu Ústavného súdu Slovenskej republiky č. 204/2008 Z. z.,</w:t>
      </w:r>
      <w:r>
        <w:rPr>
          <w:rFonts w:ascii="Times New Roman" w:hAnsi="Times New Roman" w:cs="Times New Roman"/>
          <w:color w:val="505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zákona č. 434/2008 Z. z., zákona č. 449/2008 Z. z., zákona č. 599/2008 Z. z., zákona č. 108/2009 Z. z., zákona č. 192/2009 Z. z., zákona č. 200/2009 Z. z., zákona č. 285/2009 Z. z., zákona č. 571/2009 Z. z., zákona č. 572/2009 Z. z., zákona č. 52/2010 Z. z., zákona č. 151/2010 Z. z., zákona č. 403/2010 Z. z., zákona č. 543/2010 Z. z., zákona č. 125/2011 Z. z., zákona č. 223/2011 Z. z., zákona č. 250/2011 Z. z., zákona č. 334/2011 Z. z., zákona č. 348/2011 Z. z., zákona č. 521/2011 Z. z., zákona č. 69/2012 Z. z., zákona č. 252/2012 Z. z., zákona č. 413/2012 Z. z., zákona č. 96/2013 Z. z., zákona č. 338/2013 Z. z., zákona č. 352/2013 Z. z., zákona č. 183/2014 Z. z., zákona č. 195/2014 Z. z., zákona č. 204/2014 Z. z., zákona č. 240/2014 Z. z., zákona č. 298/2014 Z. z., zákona č. 25/2015 Z. z., zákona č. 32/2015 Z. z., zákona č. 61/2015 Z. z., zákona č. 77/2015 Z. z., zákona č. 87/2015 Z. z., zákona č. 112/2015 Z. z., zákona č. 140/2015 Z. z., zákona č. 176/2015 Z. z., zákona č. 336/2015 Z. z., zákona č. 378/2015 Z. z., zákona č. 407/2015 Z. z., zákona č. 440/2015 Z. z.,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zákona č. 125/2016 Z. z., zákona č. 285/2016 Z. z., zákona č. 310/2016 Z. z., zákona č. 355/2016 Z. z. a zákona č. 2/2017 Z. z. sa dopĺňa takto:</w:t>
      </w:r>
    </w:p>
    <w:p w:rsidR="00A76946" w:rsidP="00A7694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pStyle w:val="ListParagraph"/>
        <w:numPr>
          <w:numId w:val="12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65a ods. 1 sa na konci pripája táto veta: „Dôchodkový vek upravený podľa prvej vety platí pre poistenca, ktorý v príslušnom kalendárnom roku prvýkrát dovŕši referenčný vek.“.</w:t>
      </w:r>
    </w:p>
    <w:p w:rsidR="00A76946" w:rsidP="00A76946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pStyle w:val="ListParagraph"/>
        <w:numPr>
          <w:numId w:val="12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§ 293dr sa vkladajú § 293ds až 293du, ktoré vrátane nadpisu nad § 293ds znejú:</w:t>
      </w:r>
    </w:p>
    <w:p w:rsidR="00A76946" w:rsidP="00A7694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946" w:rsidP="00A76946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„Prechodné ustanovenia účinné od 1. januára 2018</w:t>
      </w:r>
    </w:p>
    <w:p w:rsidR="00A76946" w:rsidP="00A7694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293ds</w:t>
      </w:r>
    </w:p>
    <w:p w:rsidR="00A76946" w:rsidP="00A76946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Ak suma starobného dôchodku bola určená podľa predpisov účinných do 31. decembra 2003 a starobný dôchodok sa vypláca po 31. decembri 2017, suma starobného dôchodku sa novo určí podľa predpisov účinných do 31. decembra 2003 z priemerného mesačného zárobku určeného podľa odsekov 2 až 6 vrátane zvýšenia starobného dôchodku za obdobie dôchodkového poistenia po vzniku nároku na starobný dôchodok získané po 31. decembri 2003, ak starobný dôchodok bol priznaný v roku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1988 z priemerného mesačného zárobku podľa predpisu účinného do 31. decembra 2003 v sume najmenej 3 667 Sk,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1989 z priemerného mesačného zárobku podľa predpisu účinného do 31. decembra 2003 v sume najmenej 3 667 Sk,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1990 z priemerného mesačného zárobku podľa predpisu účinného do 31. decembra 2003 v sume najmenej 3 675 Sk,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1991 z priemerného mesačného zárobku podľa predpisu účinného do 31. decembra 2003 v sume najmenej 3 689 Sk,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1992 z priemerného mesačného zárobku podľa predpisu účinného do 31. decembra 2003 v sume najmenej 2 900 Sk,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1993 z priemerného mesačného zárobku podľa predpisu účinného do 31. decembra 2003 v sume najmenej 2 934 Sk,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1994 z priemerného mesačného zárobku podľa predpisu účinného do 31. decembra 2003 v sume najmenej 3 134 Sk,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1995 z priemerného mesačného zárobku podľa predpisu účinného do 31. decembra 2003 v sume najmenej 3 334 Sk,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1996 z priemerného mesačného zárobku podľa predpisu účinného do 31. decembra 2003 v sume najmenej 3 667 Sk,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1997 z priemerného mesačného zárobku podľa predpisu účinného do 31. decembra 2003 v sume najmenej 3 767 Sk,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1998 z priemerného mesačného zárobku podľa predpisu účinného do 31. decembra 2003 v sume najmenej 3 867 Sk,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1999 z priemerného mesačného zárobku podľa predpisu účinného do 31. decembra 2003 v sume najmenej 3 967 Sk,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z priemerného mesačného zárobku podľa § 293k ods. 3 a 4 v sume najmenej        4 067 Sk,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2001 z priemerného mesačného zárobku podľa § 293k ods. 3 a 4 v sume najmenej       4 167 Sk,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2002 z priemerného mesačného zárobku podľa § 293k ods. 3 a 4 v sume najmenej       4 267 Sk,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2003 z priemerného mesačného zárobku podľa § 293k ods. 3 a 4 v sume najmenej      4 337 Sk. </w:t>
      </w:r>
    </w:p>
    <w:p w:rsidR="00A76946" w:rsidP="00A76946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Priemerný mesačný zárobok na určenie sumy starobného dôchodku podľa odseku 1 je priemerný mesačný zárobok, z ktorého bola vypočítaná suma starobného dôchodku, neupravený podľa predpisu účinného do 31. decembra 2003 alebo podľa § 293k ods. 3 a 4.</w:t>
      </w:r>
    </w:p>
    <w:p w:rsidR="00A76946" w:rsidP="00A76946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Na určenie sumy starobného dôchodku podľa odseku 1, ktorého základnú výmeru podľa predpisu účinného do 31. decembra 2003 tvorí 50 % priemerného mesačného zárobku, sa priemerný mesačný zárobok podľa odseku 2 do sumy </w:t>
      </w:r>
    </w:p>
    <w:p w:rsidR="00A76946" w:rsidP="00A76946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2 500 Sk započítava v plnej sume a zo sumy nad 2 500 Sk do sumy</w:t>
      </w:r>
    </w:p>
    <w:p w:rsidR="00A76946" w:rsidP="00A76946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8 525</w:t>
      </w:r>
      <w:r>
        <w:rPr>
          <w:rFonts w:ascii="Times New Roman" w:hAnsi="Times New Roman" w:cs="Times New Roman"/>
          <w:sz w:val="24"/>
          <w:szCs w:val="24"/>
        </w:rPr>
        <w:t xml:space="preserve"> Sk sa započítava 35 %, ak sa určuje suma starobného dôchodku podľa odseku 1 písm. a), </w:t>
      </w:r>
    </w:p>
    <w:p w:rsidR="00A76946" w:rsidP="00A76946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8 690</w:t>
      </w:r>
      <w:r>
        <w:rPr>
          <w:rFonts w:ascii="Times New Roman" w:hAnsi="Times New Roman" w:cs="Times New Roman"/>
          <w:sz w:val="24"/>
          <w:szCs w:val="24"/>
        </w:rPr>
        <w:t xml:space="preserve"> Sk sa započítava 34 %, ak sa určuje suma starobného dôchodku podľa odseku 1 písm. b),</w:t>
      </w:r>
    </w:p>
    <w:p w:rsidR="00A76946" w:rsidP="00A76946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8 901</w:t>
      </w:r>
      <w:r>
        <w:rPr>
          <w:rFonts w:ascii="Times New Roman" w:hAnsi="Times New Roman" w:cs="Times New Roman"/>
          <w:sz w:val="24"/>
          <w:szCs w:val="24"/>
        </w:rPr>
        <w:t xml:space="preserve"> Sk sa započítava 33 %, ak sa určuje suma starobného dôchodku podľa odseku 1 písm. c),</w:t>
      </w:r>
    </w:p>
    <w:p w:rsidR="00A76946" w:rsidP="00A76946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9 162</w:t>
      </w:r>
      <w:r>
        <w:rPr>
          <w:rFonts w:ascii="Times New Roman" w:hAnsi="Times New Roman" w:cs="Times New Roman"/>
          <w:sz w:val="24"/>
          <w:szCs w:val="24"/>
        </w:rPr>
        <w:t xml:space="preserve"> Sk sa započítava 32 %, ak sa určuje suma starobného dôchodku podľa odseku 1 písm. d), </w:t>
      </w:r>
    </w:p>
    <w:p w:rsidR="00A76946" w:rsidP="00A76946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2 800 Sk započítava v plnej sume a zo sumy nad 2 800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9 691</w:t>
      </w:r>
      <w:r>
        <w:rPr>
          <w:rFonts w:ascii="Times New Roman" w:hAnsi="Times New Roman" w:cs="Times New Roman"/>
          <w:sz w:val="24"/>
          <w:szCs w:val="24"/>
        </w:rPr>
        <w:t xml:space="preserve"> Sk sa započítava 39 %, ak sa určuje suma starobného dôchodku podľa odseku 1 písm. e),</w:t>
      </w:r>
    </w:p>
    <w:p w:rsidR="00A76946" w:rsidP="00A76946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3 000 Sk započítava v plnej sume a zo sumy nad 3 000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10 652</w:t>
      </w:r>
      <w:r>
        <w:rPr>
          <w:rFonts w:ascii="Times New Roman" w:hAnsi="Times New Roman" w:cs="Times New Roman"/>
          <w:sz w:val="24"/>
          <w:szCs w:val="24"/>
        </w:rPr>
        <w:t xml:space="preserve"> Sk sa započítava 37 %, ak sa určuje suma starobného dôchodku podľa odseku 1 písm. f) </w:t>
      </w:r>
    </w:p>
    <w:p w:rsidR="00A76946" w:rsidP="00A76946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4 500 Sk započítava v plnej sume a zo sumy nad 4 500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12 068</w:t>
      </w:r>
      <w:r>
        <w:rPr>
          <w:rFonts w:ascii="Times New Roman" w:hAnsi="Times New Roman" w:cs="Times New Roman"/>
          <w:sz w:val="24"/>
          <w:szCs w:val="24"/>
        </w:rPr>
        <w:t xml:space="preserve"> Sk sa započítava 41 %, ak sa určuje suma starobného dôchodku podľa odseku 1 písm. g) </w:t>
      </w:r>
    </w:p>
    <w:p w:rsidR="00A76946" w:rsidP="00A76946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5 700 Sk započítava v plnej sume a zo sumy nad 5 700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13 959</w:t>
      </w:r>
      <w:r>
        <w:rPr>
          <w:rFonts w:ascii="Times New Roman" w:hAnsi="Times New Roman" w:cs="Times New Roman"/>
          <w:sz w:val="24"/>
          <w:szCs w:val="24"/>
        </w:rPr>
        <w:t xml:space="preserve"> Sk sa započítava 41 %, ak sa určuje suma starobného dôchodku podľa odseku 1 písm. h) </w:t>
      </w:r>
    </w:p>
    <w:p w:rsidR="00A76946" w:rsidP="00A76946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6 000 Sk započítava v plnej sume a zo sumy nad 6 000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16 309</w:t>
      </w:r>
      <w:r>
        <w:rPr>
          <w:rFonts w:ascii="Times New Roman" w:hAnsi="Times New Roman" w:cs="Times New Roman"/>
          <w:sz w:val="24"/>
          <w:szCs w:val="24"/>
        </w:rPr>
        <w:t xml:space="preserve"> Sk sa započítava 41 %, ak sa určuje suma starobného dôchodku podľa odseku 1 písm. i),</w:t>
      </w:r>
    </w:p>
    <w:p w:rsidR="00A76946" w:rsidP="00A76946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6 800 Sk započítava v plnej sume a zo sumy nad 6 800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18 939</w:t>
      </w:r>
      <w:r>
        <w:rPr>
          <w:rFonts w:ascii="Times New Roman" w:hAnsi="Times New Roman" w:cs="Times New Roman"/>
          <w:sz w:val="24"/>
          <w:szCs w:val="24"/>
        </w:rPr>
        <w:t xml:space="preserve"> Sk sa započítava 41 %, ak sa určuje suma starobného dôchodku podľa odseku 1 písm. j), </w:t>
      </w:r>
    </w:p>
    <w:p w:rsidR="00A76946" w:rsidP="00A76946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7 900 Sk započítava v plnej sume a zo sumy nad 7 900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21 749</w:t>
      </w:r>
      <w:r>
        <w:rPr>
          <w:rFonts w:ascii="Times New Roman" w:hAnsi="Times New Roman" w:cs="Times New Roman"/>
          <w:sz w:val="24"/>
          <w:szCs w:val="24"/>
        </w:rPr>
        <w:t xml:space="preserve"> Sk sa započítava 41 %, ak sa určuje suma starobného dôchodku podľa odseku 1 písm. k), </w:t>
      </w:r>
    </w:p>
    <w:p w:rsidR="00A76946" w:rsidP="00A76946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8 500 Sk započítava v plnej sume a zo sumy nad 8 500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24 524</w:t>
      </w:r>
      <w:r>
        <w:rPr>
          <w:rFonts w:ascii="Times New Roman" w:hAnsi="Times New Roman" w:cs="Times New Roman"/>
          <w:sz w:val="24"/>
          <w:szCs w:val="24"/>
        </w:rPr>
        <w:t xml:space="preserve"> Sk sa započítava 41 %, ak sa určuje suma starobného dôchodku podľa odseku 1 písm. l),</w:t>
      </w:r>
    </w:p>
    <w:p w:rsidR="00A76946" w:rsidP="00A76946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8 700 Sk započítava v plnej sume a zo sumy nad 8 700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27 184</w:t>
      </w:r>
      <w:r>
        <w:rPr>
          <w:rFonts w:ascii="Times New Roman" w:hAnsi="Times New Roman" w:cs="Times New Roman"/>
          <w:sz w:val="24"/>
          <w:szCs w:val="24"/>
        </w:rPr>
        <w:t xml:space="preserve"> Sk sa započítava 38 %, ak sa určuje suma starobného dôchodku podľa odseku 1 písm. m), </w:t>
      </w:r>
    </w:p>
    <w:p w:rsidR="00A76946" w:rsidP="00A76946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9 300 Sk započítava v plnej sume a zo sumy nad 9 300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29 725</w:t>
      </w:r>
      <w:r>
        <w:rPr>
          <w:rFonts w:ascii="Times New Roman" w:hAnsi="Times New Roman" w:cs="Times New Roman"/>
          <w:sz w:val="24"/>
          <w:szCs w:val="24"/>
        </w:rPr>
        <w:t xml:space="preserve"> Sk sa započítava 38 %, ak sa určuje suma starobného dôchodku podľa odseku 1 písm. n) </w:t>
      </w:r>
    </w:p>
    <w:p w:rsidR="00A76946" w:rsidP="00A76946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10 400 Sk započítava v plnej sume a zo sumy nad 10 400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32 252</w:t>
      </w:r>
      <w:r>
        <w:rPr>
          <w:rFonts w:ascii="Times New Roman" w:hAnsi="Times New Roman" w:cs="Times New Roman"/>
          <w:sz w:val="24"/>
          <w:szCs w:val="24"/>
        </w:rPr>
        <w:t xml:space="preserve"> Sk sa započítava 38 %, ak sa určuje suma starobného dôchodku podľa odseku 1 písm. o),</w:t>
      </w:r>
    </w:p>
    <w:p w:rsidR="00A76946" w:rsidP="00A76946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11 200 Sk započítava v plnej sume a zo sumy nad 11 200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34 823</w:t>
      </w:r>
      <w:r>
        <w:rPr>
          <w:rFonts w:ascii="Times New Roman" w:hAnsi="Times New Roman" w:cs="Times New Roman"/>
          <w:sz w:val="24"/>
          <w:szCs w:val="24"/>
        </w:rPr>
        <w:t xml:space="preserve"> Sk sa započítava 38 %, ak sa určuje suma starobného dôchodku podľa odseku 1 písm. p).</w:t>
      </w:r>
    </w:p>
    <w:p w:rsidR="00A76946" w:rsidP="00A76946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Na určenie sumy starobného dôchodku podľa odseku 1, ktorého základnú výmeru podľa predpisu účinného do 31. decembra 2003 tvorí 55 % priemerného mesačného zárobku, sa priemerný mesačný zárobok podľa odseku 2 do sumy</w:t>
      </w:r>
    </w:p>
    <w:p w:rsidR="00A76946" w:rsidP="00A76946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2 000 Sk započítava v plnej sume a zo sumy nad 2 000 Sk do sumy</w:t>
      </w:r>
    </w:p>
    <w:p w:rsidR="00A76946" w:rsidP="00A76946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8 525</w:t>
      </w:r>
      <w:r>
        <w:rPr>
          <w:rFonts w:ascii="Times New Roman" w:hAnsi="Times New Roman" w:cs="Times New Roman"/>
          <w:sz w:val="24"/>
          <w:szCs w:val="24"/>
        </w:rPr>
        <w:t xml:space="preserve"> Sk sa započítava 22 %, ak sa určuje suma starobného dôchodku podľa odseku 1 písm. a),</w:t>
      </w:r>
    </w:p>
    <w:p w:rsidR="00A76946" w:rsidP="00A76946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8 690</w:t>
      </w:r>
      <w:r>
        <w:rPr>
          <w:rFonts w:ascii="Times New Roman" w:hAnsi="Times New Roman" w:cs="Times New Roman"/>
          <w:sz w:val="24"/>
          <w:szCs w:val="24"/>
        </w:rPr>
        <w:t xml:space="preserve"> Sk sa započítava 22 %, ak sa určuje suma starobného dôchodku podľa odseku 1 písm. b),</w:t>
      </w:r>
    </w:p>
    <w:p w:rsidR="00A76946" w:rsidP="00A76946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8 901</w:t>
      </w:r>
      <w:r>
        <w:rPr>
          <w:rFonts w:ascii="Times New Roman" w:hAnsi="Times New Roman" w:cs="Times New Roman"/>
          <w:sz w:val="24"/>
          <w:szCs w:val="24"/>
        </w:rPr>
        <w:t xml:space="preserve"> Sk sa započítava 22 %, ak sa určuje suma starobného dôchodku podľa odseku 1 písm. c),</w:t>
      </w:r>
    </w:p>
    <w:p w:rsidR="00A76946" w:rsidP="00A76946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9 162</w:t>
      </w:r>
      <w:r>
        <w:rPr>
          <w:rFonts w:ascii="Times New Roman" w:hAnsi="Times New Roman" w:cs="Times New Roman"/>
          <w:sz w:val="24"/>
          <w:szCs w:val="24"/>
        </w:rPr>
        <w:t xml:space="preserve"> Sk sa započítava 22 %, ak sa určuje suma starobného dôchodku podľa odseku 1 písm. d), </w:t>
      </w:r>
    </w:p>
    <w:p w:rsidR="00A76946" w:rsidP="00A76946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2 200 Sk započítava v plnej sume a zo sumy nad 2 200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9 691</w:t>
      </w:r>
      <w:r>
        <w:rPr>
          <w:rFonts w:ascii="Times New Roman" w:hAnsi="Times New Roman" w:cs="Times New Roman"/>
          <w:sz w:val="24"/>
          <w:szCs w:val="24"/>
        </w:rPr>
        <w:t xml:space="preserve"> Sk sa započítava 26 %, ak sa určuje suma starobného dôchodku podľa odseku 1 písm. e),</w:t>
      </w:r>
    </w:p>
    <w:p w:rsidR="00A76946" w:rsidP="00A76946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2 300 Sk započítava v plnej sume a zo sumy nad 2 300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10 652</w:t>
      </w:r>
      <w:r>
        <w:rPr>
          <w:rFonts w:ascii="Times New Roman" w:hAnsi="Times New Roman" w:cs="Times New Roman"/>
          <w:sz w:val="24"/>
          <w:szCs w:val="24"/>
        </w:rPr>
        <w:t xml:space="preserve"> Sk sa započítava 24 %, ak sa určuje suma starobného dôchodku podľa odseku 1 písm. f),</w:t>
      </w:r>
    </w:p>
    <w:p w:rsidR="00A76946" w:rsidP="00A76946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3 000 Sk započítava v plnej sume a zo sumy nad 3 000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12 068</w:t>
      </w:r>
      <w:r>
        <w:rPr>
          <w:rFonts w:ascii="Times New Roman" w:hAnsi="Times New Roman" w:cs="Times New Roman"/>
          <w:sz w:val="24"/>
          <w:szCs w:val="24"/>
        </w:rPr>
        <w:t xml:space="preserve"> Sk sa započítava 31 %, ak sa určuje suma starobného dôchodku podľa odseku 1 písm. g),</w:t>
      </w:r>
    </w:p>
    <w:p w:rsidR="00A76946" w:rsidP="00A76946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3 800 Sk započítava v plnej sume a zo sumy nad 3 800 Sk do sumy 13 959 Sk sa započítava 31 %, ak sa určuje suma starobného dôchodku podľa odseku 1 písm. h),</w:t>
      </w:r>
    </w:p>
    <w:p w:rsidR="00A76946" w:rsidP="00A76946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3 900 Sk započítava v plnej sume a zo sumy nad 3 900 Sk do sumy 16 309 Sk sa započítava 31 %, ak sa určuje suma starobného dôchodku podľa odseku 1 písm. i),</w:t>
      </w:r>
    </w:p>
    <w:p w:rsidR="00A76946" w:rsidP="00A76946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4 500 Sk započítava v plnej sume a zo sumy nad 4 500 Sk do sumy 18 939 Sk sa započítava 31 %, ak sa určuje suma starobného dôchodku podľa odseku 1 písm. j), </w:t>
      </w:r>
    </w:p>
    <w:p w:rsidR="00A76946" w:rsidP="00A76946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5 100 Sk započítava v plnej sume a zo sumy nad 5 100 Sk do sumy 21 749 Sk sa započítava 31 %, ak sa určuje suma starobného dôchodku podľa odseku 1 písm. k),</w:t>
      </w:r>
    </w:p>
    <w:p w:rsidR="00A76946" w:rsidP="00A76946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5 700 Sk započítava v plnej sume a zo sumy nad 5 700 Sk do sumy 24 524 Sk sa započítava 31 %, ak sa určuje suma starobného dôchodku podľa odseku 1 písm. l),</w:t>
      </w:r>
    </w:p>
    <w:p w:rsidR="00A76946" w:rsidP="00A76946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6 400 Sk započítava v plnej sume a zo sumy nad 6 400 Sk do sumy 27 184 Sk sa započítava 27 %, ak sa určuje suma starobného dôchodku podľa odseku 1 písm. m), </w:t>
      </w:r>
    </w:p>
    <w:p w:rsidR="00A76946" w:rsidP="00A76946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6 800 Sk započítava v plnej sume a zo sumy nad 6 800 Sk do sumy 29 725 Sk sa započítava 27 %, ak sa určuje suma starobného dôchodku podľa odseku 1 písm. n),</w:t>
      </w:r>
    </w:p>
    <w:p w:rsidR="00A76946" w:rsidP="00A76946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7 500 Sk započítava v plnej sume a zo sumy nad 7 500 Sk do sumy 32 252 Sk sa započítava 27 %, ak sa určuje suma starobného dôchodku podľa odseku 1 písm. o),</w:t>
      </w:r>
    </w:p>
    <w:p w:rsidR="00A76946" w:rsidP="00A76946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8 000 Sk započítava v plnej sume a zo sumy nad 8 000 Sk do sumy 34 823 Sk sa započítava 27 %, ak sa určuje suma starobného dôchodku podľa odseku 1 písm. p).</w:t>
      </w:r>
    </w:p>
    <w:p w:rsidR="00A76946" w:rsidP="00A76946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Na určenie sumy starobného dôchodku podľa odseku 1, ktorého základnú výmeru podľa predpisu účinného do 31. decembra 2003 tvorí 60 % priemerného mesačného zárobku, sa priemerný mesačný zárobok podľa odseku 2 do sumy</w:t>
      </w:r>
    </w:p>
    <w:p w:rsidR="00A76946" w:rsidP="00A76946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1 500 Sk započítava v plnej sume a zo sumy nad 1 500 Sk do sumy</w:t>
      </w:r>
    </w:p>
    <w:p w:rsidR="00A76946" w:rsidP="00A76946">
      <w:pPr>
        <w:pStyle w:val="ListParagraph"/>
        <w:numPr>
          <w:numId w:val="19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8 525 Sk sa započítava 21 %, ak sa určuje suma starobného dôchodku podľa odseku 1 písm. a),</w:t>
      </w:r>
    </w:p>
    <w:p w:rsidR="00A76946" w:rsidP="00A76946">
      <w:pPr>
        <w:pStyle w:val="ListParagraph"/>
        <w:numPr>
          <w:numId w:val="19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8 690 Sk sa započítava 21 %, ak sa určuje suma starobného dôchodku podľa odseku 1 písm. b),</w:t>
      </w:r>
    </w:p>
    <w:p w:rsidR="00A76946" w:rsidP="00A76946">
      <w:pPr>
        <w:pStyle w:val="ListParagraph"/>
        <w:numPr>
          <w:numId w:val="19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8 901 Sk sa započítava 21 %, ak sa určuje suma starobného dôchodku podľa odseku 1 písm. c),</w:t>
      </w:r>
    </w:p>
    <w:p w:rsidR="00A76946" w:rsidP="00A76946">
      <w:pPr>
        <w:pStyle w:val="ListParagraph"/>
        <w:numPr>
          <w:numId w:val="19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9 162 Sk sa započítava 21 %, ak sa určuje suma starobného dôchodku podľa odseku 1 písm. d),</w:t>
      </w:r>
    </w:p>
    <w:p w:rsidR="00A76946" w:rsidP="00A76946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1 600 Sk započítava v plnej sume a zo sumy nad 1 600 Sk do sumy 9 691 Sk sa započítava 23 %, ak sa určuje suma starobného dôchodku podľa odseku 1 písm. e),</w:t>
      </w:r>
    </w:p>
    <w:p w:rsidR="00A76946" w:rsidP="00A76946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1 700 Sk započítava v plnej sume a zo sumy nad 1 700 Sk do sumy 10 652 Sk sa započítava 22 %, ak sa určuje suma starobného dôchodku podľa odseku 1 písm. f),</w:t>
      </w:r>
    </w:p>
    <w:p w:rsidR="00A76946" w:rsidP="00A76946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2 300 Sk započítava v plnej sume a zo sumy nad 2 300 Sk do sumy 12 068 Sk sa započítava 27 %, ak sa určuje suma starobného dôchodku podľa odseku 1 písm. g),</w:t>
      </w:r>
    </w:p>
    <w:p w:rsidR="00A76946" w:rsidP="00A76946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2 900 Sk započítava v plnej sume a zo sumy nad 2 900 Sk do sumy 13 959 Sk sa započítava 27 %, ak sa určuje suma starobného dôchodku podľa odseku 1 písm. h),</w:t>
      </w:r>
    </w:p>
    <w:p w:rsidR="00A76946" w:rsidP="00A76946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3 000 Sk započítava v plnej sume a zo sumy nad 3 000 Sk do sumy 16 309 Sk sa započítava 27 %, ak sa určuje suma starobného dôchodku podľa odseku 1 písm. i),</w:t>
      </w:r>
    </w:p>
    <w:p w:rsidR="00A76946" w:rsidP="00A76946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3 500 Sk započítava v plnej sume a zo sumy nad 3 500 Sk do sumy 18 939 Sk sa započítava 27 %, ak sa určuje suma starobného dôchodku podľa odseku 1 písm. j),</w:t>
      </w:r>
    </w:p>
    <w:p w:rsidR="00A76946" w:rsidP="00A76946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4 000 Sk započítava v plnej sume a zo sumy nad 4 000 Sk do sumy 21 749 Sk sa započítava 27 %, ak sa určuje suma starobného dôchodku podľa odseku 1 písm. k),</w:t>
      </w:r>
    </w:p>
    <w:p w:rsidR="00A76946" w:rsidP="00A76946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4 200 Sk započítava v plnej sume a zo sumy nad 4 200 Sk do sumy 24 524 Sk sa započítava 27 %, ak sa určuje suma starobného dôchodku podľa odseku 1 písm. l),</w:t>
      </w:r>
    </w:p>
    <w:p w:rsidR="00A76946" w:rsidP="00A76946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4 600 Sk započítava v plnej sume a zo sumy nad 4 600 Sk do sumy 27 184 Sk sa započítava 25 %, ak sa určuje suma starobného dôchodku podľa odseku 1 písm. m),</w:t>
      </w:r>
    </w:p>
    <w:p w:rsidR="00A76946" w:rsidP="00A76946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4 800 Sk započítava v plnej sume a zo sumy nad 4 800 Sk do sumy 29 725 Sk sa započítava 25 %, ak sa určuje suma starobného dôchodku podľa odseku 1 písm. n),</w:t>
      </w:r>
    </w:p>
    <w:p w:rsidR="00A76946" w:rsidP="00A76946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5 400 Sk započítava v plnej sume a zo sumy nad 5 400 Sk do sumy 32 252 Sk sa započítava 25 %, ak sa určuje suma starobného dôchodku podľa odseku 1 písm. o),</w:t>
      </w:r>
    </w:p>
    <w:p w:rsidR="00A76946" w:rsidP="00A76946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5 900 Sk započítava v plnej sume a zo sumy nad 5 900 Sk do sumy 34 823 Sk sa započítava 25 %, ak sa určuje suma starobného dôchodku podľa odseku 1 písm. p).</w:t>
      </w:r>
    </w:p>
    <w:p w:rsidR="00A76946" w:rsidP="00A76946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Priemerný mesačný zárobok podľa odsekov 3 až 5 sa zaokrúhľuje na celé slovenské koruny nahor.</w:t>
      </w:r>
    </w:p>
    <w:p w:rsidR="00A76946" w:rsidP="00A76946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(7) Pri určení sumy starobného dôchodku podľa odsekov 1 až 6 sa na obmedzenia najvyššou výmerou podľa predpisu účinného do 31. decembra 2003 a na úpravu prislúchajúcu k starobnému dôchodku podľa predpisov účinných pred 1. januárom 2018 neprihliada.</w:t>
      </w:r>
    </w:p>
    <w:p w:rsidR="00A76946" w:rsidP="00A76946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(8) Starobný dôchodok sa na účely odsekov 1 až 7 považuje za priznaný v roku 2003, ak </w:t>
      </w:r>
    </w:p>
    <w:p w:rsidR="00A76946" w:rsidP="00A76946">
      <w:pPr>
        <w:pStyle w:val="ListParagraph"/>
        <w:numPr>
          <w:numId w:val="20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poistencovi, ktorý splnil podmienky nároku na starobný dôchodok podľa predpisu účinného do 31. decembra 2003 a k 31. decembru 2003 nebol nepretržite zamestnaný, vznikne prvýkrát nárok na výplatu starobného dôchodku po 31. decembri 2003,</w:t>
      </w:r>
    </w:p>
    <w:p w:rsidR="00A76946" w:rsidP="00A76946">
      <w:pPr>
        <w:pStyle w:val="ListParagraph"/>
        <w:numPr>
          <w:numId w:val="20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nárok na starobný dôchodok vznikol podľa § 259 ods. 2.</w:t>
      </w:r>
    </w:p>
    <w:p w:rsidR="00A76946" w:rsidP="00A76946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(9) Nárok na výplatu starobného dôchodku v sume určenej podľa odsekov 1 až 8 vzniká</w:t>
      </w:r>
    </w:p>
    <w:p w:rsidR="00A76946" w:rsidP="00A76946">
      <w:pPr>
        <w:pStyle w:val="ListParagraph"/>
        <w:numPr>
          <w:numId w:val="2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1. januára 2018, ak suma starobného dôchodku určená podľa odsekov 1 až 8 je vyššia ako suma starobného dôchodku vyplácaného k tomuto dňu,</w:t>
      </w:r>
    </w:p>
    <w:p w:rsidR="00A76946" w:rsidP="00A76946">
      <w:pPr>
        <w:pStyle w:val="ListParagraph"/>
        <w:numPr>
          <w:numId w:val="2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odo dňa, od ktorého po 1. januári 2018 vznikne nárok na výplatu starobného dôchodku, ak suma starobného dôchodku určená podľa odsekov 1 až 8 je vyššia ako suma starobného dôchodku, ktorá patrí k tomuto dňu pred jej novým určením podľa odsekov 1 až 8.</w:t>
      </w:r>
    </w:p>
    <w:p w:rsidR="00A76946" w:rsidP="00A76946">
      <w:pPr>
        <w:tabs>
          <w:tab w:val="left" w:pos="4678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293dt</w:t>
      </w:r>
    </w:p>
    <w:p w:rsidR="00A76946" w:rsidP="00A76946">
      <w:pPr>
        <w:tabs>
          <w:tab w:val="left" w:pos="4678"/>
        </w:tabs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pStyle w:val="ListParagraph"/>
        <w:tabs>
          <w:tab w:val="left" w:pos="4678"/>
        </w:tabs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suma starobného dôchodku bola určená podľa predpisu účinného do 30. septembra 1988 a starobný dôchodok sa vypláca po 31. decembri 2017, starobný dôchodok sa zvýši od 1. januára 2018 o 25,50 eura, ak starobný dôchodok bol priznaný z  priemerného mesačného zárobku v sume najmenej 2 333 Sk.</w:t>
      </w:r>
    </w:p>
    <w:p w:rsidR="00A76946" w:rsidP="00A76946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293du</w:t>
      </w:r>
    </w:p>
    <w:p w:rsidR="00A76946" w:rsidP="00A76946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sume starobného dôchodku podľa § 293ds a 293dt sa rozhodne najneskôr do 31. októbra 2018.“.</w:t>
      </w:r>
    </w:p>
    <w:p w:rsidR="00A76946" w:rsidP="00A7694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f_5632421"/>
      <w:bookmarkEnd w:id="9"/>
      <w:r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A76946" w:rsidP="00A7694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zákon nadobúda účinnosť 31. decembra 2017 okrem čl. I druhého bodu, ktorý nadobúda účinnosť 1. januára 2018.</w:t>
      </w:r>
    </w:p>
    <w:p w:rsidR="00A76946" w:rsidP="00A76946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1401" w:rsidRPr="001541D8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3B7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E9654C">
      <w:rPr>
        <w:noProof/>
      </w:rPr>
      <w:t>2</w:t>
    </w:r>
    <w:r>
      <w:fldChar w:fldCharType="end"/>
    </w:r>
  </w:p>
  <w:p w:rsidR="009843B7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EAC"/>
    <w:multiLevelType w:val="hybridMultilevel"/>
    <w:tmpl w:val="6790618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055B25F5"/>
    <w:multiLevelType w:val="hybridMultilevel"/>
    <w:tmpl w:val="BB2ADC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D55650"/>
    <w:multiLevelType w:val="hybridMultilevel"/>
    <w:tmpl w:val="78D851FE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">
    <w:nsid w:val="17A96962"/>
    <w:multiLevelType w:val="hybridMultilevel"/>
    <w:tmpl w:val="1840AC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1AD10239"/>
    <w:multiLevelType w:val="hybridMultilevel"/>
    <w:tmpl w:val="EE2474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1805884"/>
    <w:multiLevelType w:val="hybridMultilevel"/>
    <w:tmpl w:val="2716F73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6F13833"/>
    <w:multiLevelType w:val="hybridMultilevel"/>
    <w:tmpl w:val="53EAA3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8395D18"/>
    <w:multiLevelType w:val="hybridMultilevel"/>
    <w:tmpl w:val="0D42EE8C"/>
    <w:lvl w:ilvl="0">
      <w:start w:val="1"/>
      <w:numFmt w:val="decimal"/>
      <w:lvlText w:val="%1."/>
      <w:lvlJc w:val="left"/>
      <w:pPr>
        <w:ind w:left="106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4" w:hanging="180"/>
      </w:pPr>
      <w:rPr>
        <w:rFonts w:cs="Times New Roman"/>
        <w:rtl w:val="0"/>
        <w:cs w:val="0"/>
      </w:rPr>
    </w:lvl>
  </w:abstractNum>
  <w:abstractNum w:abstractNumId="8">
    <w:nsid w:val="2EBA4A9C"/>
    <w:multiLevelType w:val="hybridMultilevel"/>
    <w:tmpl w:val="6790618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33D35391"/>
    <w:multiLevelType w:val="hybridMultilevel"/>
    <w:tmpl w:val="EC42253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0">
    <w:nsid w:val="400378C1"/>
    <w:multiLevelType w:val="hybridMultilevel"/>
    <w:tmpl w:val="BEB83A1A"/>
    <w:lvl w:ilvl="0">
      <w:start w:val="1"/>
      <w:numFmt w:val="decimal"/>
      <w:lvlText w:val="%1."/>
      <w:lvlJc w:val="left"/>
      <w:pPr>
        <w:ind w:left="-142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57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29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01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73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45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17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89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618" w:hanging="180"/>
      </w:pPr>
      <w:rPr>
        <w:rFonts w:cs="Times New Roman"/>
        <w:rtl w:val="0"/>
        <w:cs w:val="0"/>
      </w:rPr>
    </w:lvl>
  </w:abstractNum>
  <w:abstractNum w:abstractNumId="11">
    <w:nsid w:val="4F5B2F2B"/>
    <w:multiLevelType w:val="hybridMultilevel"/>
    <w:tmpl w:val="AA4C987E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2">
    <w:nsid w:val="503E1404"/>
    <w:multiLevelType w:val="hybridMultilevel"/>
    <w:tmpl w:val="BB2ADC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1E44EC3"/>
    <w:multiLevelType w:val="hybridMultilevel"/>
    <w:tmpl w:val="BB2ADC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44F2623"/>
    <w:multiLevelType w:val="hybridMultilevel"/>
    <w:tmpl w:val="1C729BC6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9321521"/>
    <w:multiLevelType w:val="hybridMultilevel"/>
    <w:tmpl w:val="E4C635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A426760"/>
    <w:multiLevelType w:val="hybridMultilevel"/>
    <w:tmpl w:val="4CEED85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E5C4339"/>
    <w:multiLevelType w:val="hybridMultilevel"/>
    <w:tmpl w:val="AE78C3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FD12A7A"/>
    <w:multiLevelType w:val="hybridMultilevel"/>
    <w:tmpl w:val="A3C08798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77B348E"/>
    <w:multiLevelType w:val="hybridMultilevel"/>
    <w:tmpl w:val="0CD841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000000"/>
        <w:rtl w:val="0"/>
        <w:cs w:val="0"/>
      </w:rPr>
    </w:lvl>
    <w:lvl w:ilvl="1">
      <w:start w:val="1"/>
      <w:numFmt w:val="lowerLetter"/>
      <w:lvlText w:val="%2)"/>
      <w:lvlJc w:val="left"/>
      <w:pPr>
        <w:ind w:left="2130" w:hanging="69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0">
    <w:nsid w:val="7E294873"/>
    <w:multiLevelType w:val="hybridMultilevel"/>
    <w:tmpl w:val="DA628C98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14"/>
  </w:num>
  <w:num w:numId="8">
    <w:abstractNumId w:val="20"/>
  </w:num>
  <w:num w:numId="9">
    <w:abstractNumId w:val="10"/>
  </w:num>
  <w:num w:numId="10">
    <w:abstractNumId w:val="11"/>
  </w:num>
  <w:num w:numId="11">
    <w:abstractNumId w:val="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52B3"/>
    <w:rsid w:val="000051A6"/>
    <w:rsid w:val="00033B43"/>
    <w:rsid w:val="00071DAB"/>
    <w:rsid w:val="00071F04"/>
    <w:rsid w:val="00080EF0"/>
    <w:rsid w:val="000845FA"/>
    <w:rsid w:val="000A6FCD"/>
    <w:rsid w:val="000B5D60"/>
    <w:rsid w:val="000E07B0"/>
    <w:rsid w:val="000E48BF"/>
    <w:rsid w:val="001010EA"/>
    <w:rsid w:val="00106B9D"/>
    <w:rsid w:val="001074A5"/>
    <w:rsid w:val="0011103B"/>
    <w:rsid w:val="0015035B"/>
    <w:rsid w:val="001541D8"/>
    <w:rsid w:val="001876F7"/>
    <w:rsid w:val="001B375C"/>
    <w:rsid w:val="001B5064"/>
    <w:rsid w:val="001B5E28"/>
    <w:rsid w:val="001C5D57"/>
    <w:rsid w:val="001D1498"/>
    <w:rsid w:val="0024500F"/>
    <w:rsid w:val="00245B34"/>
    <w:rsid w:val="00252CF3"/>
    <w:rsid w:val="002557B8"/>
    <w:rsid w:val="00264FE4"/>
    <w:rsid w:val="00267B2E"/>
    <w:rsid w:val="002952B3"/>
    <w:rsid w:val="002B1908"/>
    <w:rsid w:val="002C15B3"/>
    <w:rsid w:val="002C1FC2"/>
    <w:rsid w:val="002C6671"/>
    <w:rsid w:val="002E378F"/>
    <w:rsid w:val="002F0FAC"/>
    <w:rsid w:val="0030544F"/>
    <w:rsid w:val="0032568D"/>
    <w:rsid w:val="00327FF3"/>
    <w:rsid w:val="00364A41"/>
    <w:rsid w:val="00370CA0"/>
    <w:rsid w:val="003932DF"/>
    <w:rsid w:val="00396731"/>
    <w:rsid w:val="003977F4"/>
    <w:rsid w:val="003C0CF9"/>
    <w:rsid w:val="003E0920"/>
    <w:rsid w:val="003E2F22"/>
    <w:rsid w:val="003E547B"/>
    <w:rsid w:val="003F3550"/>
    <w:rsid w:val="004060CD"/>
    <w:rsid w:val="0041327E"/>
    <w:rsid w:val="0041786D"/>
    <w:rsid w:val="004427B7"/>
    <w:rsid w:val="00460496"/>
    <w:rsid w:val="00461AE0"/>
    <w:rsid w:val="00461D70"/>
    <w:rsid w:val="00471B1D"/>
    <w:rsid w:val="00472948"/>
    <w:rsid w:val="00481567"/>
    <w:rsid w:val="004945DD"/>
    <w:rsid w:val="004963E4"/>
    <w:rsid w:val="00497815"/>
    <w:rsid w:val="004B6276"/>
    <w:rsid w:val="004E4C15"/>
    <w:rsid w:val="0051509C"/>
    <w:rsid w:val="00525EEF"/>
    <w:rsid w:val="005316A0"/>
    <w:rsid w:val="00557A38"/>
    <w:rsid w:val="005620BB"/>
    <w:rsid w:val="005843A8"/>
    <w:rsid w:val="00597626"/>
    <w:rsid w:val="005A33B0"/>
    <w:rsid w:val="005A3E7F"/>
    <w:rsid w:val="005A3E97"/>
    <w:rsid w:val="005B270F"/>
    <w:rsid w:val="005C313E"/>
    <w:rsid w:val="005C3E49"/>
    <w:rsid w:val="005C49CB"/>
    <w:rsid w:val="005D250E"/>
    <w:rsid w:val="005D4572"/>
    <w:rsid w:val="005F1D7C"/>
    <w:rsid w:val="00600195"/>
    <w:rsid w:val="00607937"/>
    <w:rsid w:val="00612816"/>
    <w:rsid w:val="00614147"/>
    <w:rsid w:val="00624DAF"/>
    <w:rsid w:val="00645D4F"/>
    <w:rsid w:val="00656A84"/>
    <w:rsid w:val="00681A5B"/>
    <w:rsid w:val="00690668"/>
    <w:rsid w:val="00691AD5"/>
    <w:rsid w:val="006B34F9"/>
    <w:rsid w:val="006C2FC4"/>
    <w:rsid w:val="006E4F74"/>
    <w:rsid w:val="00706A81"/>
    <w:rsid w:val="007155DC"/>
    <w:rsid w:val="0072508D"/>
    <w:rsid w:val="00726BCE"/>
    <w:rsid w:val="00733EC4"/>
    <w:rsid w:val="00735F00"/>
    <w:rsid w:val="00741887"/>
    <w:rsid w:val="007425E1"/>
    <w:rsid w:val="00761470"/>
    <w:rsid w:val="00763D74"/>
    <w:rsid w:val="00773C93"/>
    <w:rsid w:val="00773DAD"/>
    <w:rsid w:val="00787AAB"/>
    <w:rsid w:val="007C2D4B"/>
    <w:rsid w:val="008518A7"/>
    <w:rsid w:val="008662A2"/>
    <w:rsid w:val="008760BD"/>
    <w:rsid w:val="00877726"/>
    <w:rsid w:val="00890103"/>
    <w:rsid w:val="008A7815"/>
    <w:rsid w:val="008B1291"/>
    <w:rsid w:val="008B3933"/>
    <w:rsid w:val="008C724D"/>
    <w:rsid w:val="009014AF"/>
    <w:rsid w:val="0090646B"/>
    <w:rsid w:val="00951B49"/>
    <w:rsid w:val="009843B7"/>
    <w:rsid w:val="009904B5"/>
    <w:rsid w:val="009E4B13"/>
    <w:rsid w:val="00A05D9C"/>
    <w:rsid w:val="00A06492"/>
    <w:rsid w:val="00A11911"/>
    <w:rsid w:val="00A26125"/>
    <w:rsid w:val="00A361C4"/>
    <w:rsid w:val="00A46A6E"/>
    <w:rsid w:val="00A6183A"/>
    <w:rsid w:val="00A631DA"/>
    <w:rsid w:val="00A759CC"/>
    <w:rsid w:val="00A76946"/>
    <w:rsid w:val="00A96CDB"/>
    <w:rsid w:val="00AA714E"/>
    <w:rsid w:val="00AC69A4"/>
    <w:rsid w:val="00AC7CA4"/>
    <w:rsid w:val="00AF095F"/>
    <w:rsid w:val="00B01F16"/>
    <w:rsid w:val="00B07755"/>
    <w:rsid w:val="00B130C1"/>
    <w:rsid w:val="00B314E2"/>
    <w:rsid w:val="00B41E42"/>
    <w:rsid w:val="00B457F5"/>
    <w:rsid w:val="00B5001E"/>
    <w:rsid w:val="00B7448F"/>
    <w:rsid w:val="00B9058C"/>
    <w:rsid w:val="00BE0739"/>
    <w:rsid w:val="00BE376D"/>
    <w:rsid w:val="00BE7E79"/>
    <w:rsid w:val="00BF041D"/>
    <w:rsid w:val="00C0067B"/>
    <w:rsid w:val="00C15770"/>
    <w:rsid w:val="00C2591E"/>
    <w:rsid w:val="00C52600"/>
    <w:rsid w:val="00C52960"/>
    <w:rsid w:val="00C7672E"/>
    <w:rsid w:val="00C84CC7"/>
    <w:rsid w:val="00CA03A0"/>
    <w:rsid w:val="00CD0391"/>
    <w:rsid w:val="00CD5C9D"/>
    <w:rsid w:val="00D0243D"/>
    <w:rsid w:val="00D02FFD"/>
    <w:rsid w:val="00D05240"/>
    <w:rsid w:val="00D05DA7"/>
    <w:rsid w:val="00D1784A"/>
    <w:rsid w:val="00D2315C"/>
    <w:rsid w:val="00D320D8"/>
    <w:rsid w:val="00D405CB"/>
    <w:rsid w:val="00D540A3"/>
    <w:rsid w:val="00D552B0"/>
    <w:rsid w:val="00D55D4E"/>
    <w:rsid w:val="00D85D61"/>
    <w:rsid w:val="00DB4F1D"/>
    <w:rsid w:val="00DB546C"/>
    <w:rsid w:val="00DC1401"/>
    <w:rsid w:val="00DF3971"/>
    <w:rsid w:val="00E0684E"/>
    <w:rsid w:val="00E1661A"/>
    <w:rsid w:val="00E51E3B"/>
    <w:rsid w:val="00E54DFC"/>
    <w:rsid w:val="00E607CC"/>
    <w:rsid w:val="00E65876"/>
    <w:rsid w:val="00E816A2"/>
    <w:rsid w:val="00E84000"/>
    <w:rsid w:val="00E95AC1"/>
    <w:rsid w:val="00E9654C"/>
    <w:rsid w:val="00E96B0E"/>
    <w:rsid w:val="00EA3CFF"/>
    <w:rsid w:val="00EA5039"/>
    <w:rsid w:val="00EB19FC"/>
    <w:rsid w:val="00ED6735"/>
    <w:rsid w:val="00EE3257"/>
    <w:rsid w:val="00EE4E13"/>
    <w:rsid w:val="00F043C7"/>
    <w:rsid w:val="00F04413"/>
    <w:rsid w:val="00F11BCF"/>
    <w:rsid w:val="00F475B2"/>
    <w:rsid w:val="00F61706"/>
    <w:rsid w:val="00F65299"/>
    <w:rsid w:val="00FA3C0D"/>
    <w:rsid w:val="00FA47AA"/>
    <w:rsid w:val="00FA4EDE"/>
    <w:rsid w:val="00FB116C"/>
    <w:rsid w:val="00FC3BAB"/>
    <w:rsid w:val="00FF654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2B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952B3"/>
    <w:pPr>
      <w:ind w:left="72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2952B3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2952B3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2952B3"/>
    <w:rPr>
      <w:rFonts w:ascii="Calibri" w:hAnsi="Calibri" w:cs="Calibri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952B3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952B3"/>
    <w:rPr>
      <w:rFonts w:ascii="Tahoma" w:hAnsi="Tahoma" w:cs="Tahoma"/>
      <w:sz w:val="16"/>
      <w:szCs w:val="16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681A5B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681A5B"/>
    <w:rPr>
      <w:b/>
      <w:bCs/>
    </w:rPr>
  </w:style>
  <w:style w:type="character" w:styleId="HTMLVariable">
    <w:name w:val="HTML Variable"/>
    <w:basedOn w:val="DefaultParagraphFont"/>
    <w:uiPriority w:val="99"/>
    <w:semiHidden/>
    <w:unhideWhenUsed/>
    <w:rsid w:val="001B506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1B5064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unhideWhenUsed/>
    <w:rsid w:val="002F0FAC"/>
    <w:rPr>
      <w:rFonts w:cs="Times New Roman"/>
      <w:color w:val="05507A"/>
      <w:u w:val="none"/>
      <w:effect w:val="none"/>
      <w:rtl w:val="0"/>
      <w:cs w:val="0"/>
    </w:rPr>
  </w:style>
  <w:style w:type="paragraph" w:styleId="Revision">
    <w:name w:val="Revision"/>
    <w:hidden/>
    <w:uiPriority w:val="99"/>
    <w:semiHidden/>
    <w:rsid w:val="00787AA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paragraph" w:styleId="Header">
    <w:name w:val="header"/>
    <w:basedOn w:val="Normal"/>
    <w:link w:val="HlavikaChar"/>
    <w:uiPriority w:val="99"/>
    <w:unhideWhenUsed/>
    <w:rsid w:val="009843B7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843B7"/>
    <w:rPr>
      <w:rFonts w:ascii="Calibri" w:hAnsi="Calibri" w:cs="Calibri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843B7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843B7"/>
    <w:rPr>
      <w:rFonts w:ascii="Calibri" w:hAnsi="Calibri" w:cs="Calibri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f:fields xmlns:f="http://schemas.fabasoft.com/folio/2007/fields">
  <f:record ref="">
    <f:field ref="objname" par="" edit="true" text="04_Vlastný-materiál"/>
    <f:field ref="objsubject" par="" edit="true" text=""/>
    <f:field ref="objcreatedby" par="" text="Hornáček, Vladimír, Mgr."/>
    <f:field ref="objcreatedat" par="" text="30.6.2016 8:27:15"/>
    <f:field ref="objchangedby" par="" text="Administrator, System"/>
    <f:field ref="objmodifiedat" par="" text="30.6.2016 8:27:1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DE8FDFB-B4B5-4AFD-91ED-2FF6798CC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6</Pages>
  <Words>2165</Words>
  <Characters>12341</Characters>
  <Application>Microsoft Office Word</Application>
  <DocSecurity>0</DocSecurity>
  <Lines>0</Lines>
  <Paragraphs>0</Paragraphs>
  <ScaleCrop>false</ScaleCrop>
  <Company/>
  <LinksUpToDate>false</LinksUpToDate>
  <CharactersWithSpaces>14478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Štvrtecká Emília</dc:creator>
  <cp:lastModifiedBy>Cebulakova Monika</cp:lastModifiedBy>
  <cp:revision>10</cp:revision>
  <cp:lastPrinted>2017-04-20T08:58:00Z</cp:lastPrinted>
  <dcterms:created xsi:type="dcterms:W3CDTF">2016-08-17T08:14:00Z</dcterms:created>
  <dcterms:modified xsi:type="dcterms:W3CDTF">2017-04-20T09:02:00Z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COO.2145.1000.3.1484679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>23. 6. 2016</vt:lpwstr>
  </property>
  <property fmtid="{D5CDD505-2E9C-101B-9397-08002B2CF9AE}" pid="6" name="FSC#SKEDITIONSLOVLEX@103.510:AttrDateDocPropZaciatokPKK">
    <vt:lpwstr>10. 6. 2016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Pri zachovaní súčasne účinného právneho stavu by sa  na určenie valorizačného percenta pre rok 2017 bralo do úvahy 90 % rastu spotrebiteľských cien a 10 % rastu priemernej mzdy za prvý polrok 2016.  Na základe aktuálnej makroekonomickej prognózy IFP sa v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práce, sociálnych vecí a rodiny Slovenskej republiky</vt:lpwstr>
  </property>
  <property fmtid="{D5CDD505-2E9C-101B-9397-08002B2CF9AE}" pid="15" name="FSC#SKEDITIONSLOVLEX@103.510:AttrStrListDocPropInfoUzPreberanePP">
    <vt:lpwstr>- bezpredmetné</vt:lpwstr>
  </property>
  <property fmtid="{D5CDD505-2E9C-101B-9397-08002B2CF9AE}" pid="16" name="FSC#SKEDITIONSLOVLEX@103.510:AttrStrListDocPropInfoZaciatokKonania">
    <vt:lpwstr>- bezpredmetné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- bezpredmetné</vt:lpwstr>
  </property>
  <property fmtid="{D5CDD505-2E9C-101B-9397-08002B2CF9AE}" pid="20" name="FSC#SKEDITIONSLOVLEX@103.510:AttrStrListDocPropLehotaPrebratieSmernice">
    <vt:lpwstr>- bezpredmetné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Vplyvy na rozpočet verejnej správy – celkový vplyv na rozpočet verejnej správy bude negatívny z dôvodu, že sa očakávajú vyššie výdavky na systémové dôchodkové dávky a úrazové dávky v porovnaní so zvyšovaním  podľa súčasného právneho stavu a podľa aktuálne</vt:lpwstr>
  </property>
  <property fmtid="{D5CDD505-2E9C-101B-9397-08002B2CF9AE}" pid="23" name="FSC#SKEDITIONSLOVLEX@103.510:AttrStrListDocPropPrimarnePravoEU">
    <vt:lpwstr>Problematika návrhu zákona je upravená v primárnom práve Európskej únie, a to v čl. 151 a 153 Zmluvy o fungovaní Európskej únie (Ú. v. EÚ C 83, 30. 3. 2010).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>nie je upravená,</vt:lpwstr>
  </property>
  <property fmtid="{D5CDD505-2E9C-101B-9397-08002B2CF9AE}" pid="27" name="FSC#SKEDITIONSLOVLEX@103.510:AttrStrListDocPropSekundarneLegPravoPO">
    <vt:lpwstr>nie je upravená,</vt:lpwstr>
  </property>
  <property fmtid="{D5CDD505-2E9C-101B-9397-08002B2CF9AE}" pid="28" name="FSC#SKEDITIONSLOVLEX@103.510:AttrStrListDocPropSekundarneNelegPravoPO">
    <vt:lpwstr>nie je upravená,</vt:lpwstr>
  </property>
  <property fmtid="{D5CDD505-2E9C-101B-9397-08002B2CF9AE}" pid="29" name="FSC#SKEDITIONSLOVLEX@103.510:AttrStrListDocPropStanoviskoGest">
    <vt:lpwstr>Stála pracovná komisia na posudzovanie vybraných vplyvov vyjadruje nesúhlasné stanovisko s materiálom predloženým na predbežné pripomienkové konanie 10.06.2016 s odporúčaním, aby kvantifikácie uvedené v Analýze vplyvov na rozpočet verejnej správy, na zame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dopĺňa zákon č. 461/2003 Z. z. o sociálnom poistení v znení neskorších predpisov.</vt:lpwstr>
  </property>
  <property fmtid="{D5CDD505-2E9C-101B-9397-08002B2CF9AE}" pid="32" name="FSC#SKEDITIONSLOVLEX@103.510:AttrStrListDocPropTextPredklSpravy">
    <vt:lpwstr>&lt;p style="text-align: justify;"&gt;Ministerstvo práce, sociálnych vecí a rodiny Slovenskej republiky predkladá návrh zákona, ktorým sa dopĺňa zákon č. 461/2003 Z. z. o&amp;nbsp; sociálnom poistení v&amp;nbsp;znení neskorších predpisov.&lt;/p&gt;&lt;p style="text-align: justi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republiky_x000D__x000D_minister práce, sociálnych vecí a rodiny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LP/2016/659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práce, sociálnych vecí a rodiny Slovenskej republiky</vt:lpwstr>
  </property>
  <property fmtid="{D5CDD505-2E9C-101B-9397-08002B2CF9AE}" pid="122" name="FSC#SKEDITIONSLOVLEX@103.510:funkciaZodpPredAkuzativ">
    <vt:lpwstr>ministra práce, sociálnych vecí a rodiny Slovenskej republiky</vt:lpwstr>
  </property>
  <property fmtid="{D5CDD505-2E9C-101B-9397-08002B2CF9AE}" pid="123" name="FSC#SKEDITIONSLOVLEX@103.510:funkciaZodpPredDativ">
    <vt:lpwstr>ministrovi práce, sociálnych vecí a rodiny Slovenskej republiky</vt:lpwstr>
  </property>
  <property fmtid="{D5CDD505-2E9C-101B-9397-08002B2CF9AE}" pid="124" name="FSC#SKEDITIONSLOVLEX@103.510:legoblast">
    <vt:lpwstr>Právo sociálneho zabezpečenia_x000D__x000D_Sociálne poistenie</vt:lpwstr>
  </property>
  <property fmtid="{D5CDD505-2E9C-101B-9397-08002B2CF9AE}" pid="125" name="FSC#SKEDITIONSLOVLEX@103.510:nazovpredpis">
    <vt:lpwstr>, ktorým sa dopĺňa zákon č. 461/2003 Z. z. o sociálnom poistení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dopĺňa zákon č. 461/2003 Z. z. o sociálnom poistení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Vladimír Hornáček</vt:lpwstr>
  </property>
  <property fmtid="{D5CDD505-2E9C-101B-9397-08002B2CF9AE}" pid="138" name="FSC#SKEDITIONSLOVLEX@103.510:predkladateliaObalSD">
    <vt:lpwstr>Ján Richter_x000D__x000D_minister práce, sociálnych vecí a rodiny Slovenskej republiky</vt:lpwstr>
  </property>
  <property fmtid="{D5CDD505-2E9C-101B-9397-08002B2CF9AE}" pid="139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40" name="FSC#SKEDITIONSLOVLEX@103.510:rezortcislopredpis">
    <vt:lpwstr>12008/2016 – M_OPVA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style="text-align: justify;"&gt;Verejnosť bola o príprave návrhu zákona, ktorým sa dopĺňa zákon č. 461/2003 Z. z. o sociálnom poistení v znení neskorších predpisov informovaná prostredníctvom predbežnej informácie zverejnenej na portáli, ktorý je súčasťou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Vlastný materiál - neštruktúrovaný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práce, sociálnych vecí a rodiny Slovenskej republiky</vt:lpwstr>
  </property>
  <property fmtid="{D5CDD505-2E9C-101B-9397-08002B2CF9AE}" pid="151" name="FSC#SKEDITIONSLOVLEX@103.510:zodppredkladatel">
    <vt:lpwstr>Ján Richter</vt:lpwstr>
  </property>
</Properties>
</file>