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Look w:val="01E0"/>
      </w:tblPr>
      <w:tblGrid>
        <w:gridCol w:w="8897"/>
      </w:tblGrid>
      <w:tr>
        <w:tblPrEx>
          <w:tblW w:w="0" w:type="auto"/>
          <w:tblLook w:val="01E0"/>
        </w:tblPrEx>
        <w:tc>
          <w:tcPr>
            <w:tcW w:w="88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E78F9" w:rsidRPr="00D147EE" w:rsidP="004E78F9">
            <w:pPr>
              <w:pStyle w:val="Default"/>
              <w:bidi w:val="0"/>
              <w:jc w:val="center"/>
              <w:rPr>
                <w:rFonts w:ascii="Times New Roman" w:hAnsi="Times New Roman"/>
              </w:rPr>
            </w:pPr>
            <w:r w:rsidRPr="00D147EE">
              <w:rPr>
                <w:rFonts w:ascii="Times New Roman" w:hAnsi="Times New Roman"/>
                <w:b/>
                <w:bCs/>
              </w:rPr>
              <w:t xml:space="preserve">Návrh na </w:t>
            </w:r>
            <w:r w:rsidR="008B3EA5">
              <w:rPr>
                <w:rFonts w:ascii="Times New Roman" w:hAnsi="Times New Roman"/>
                <w:b/>
                <w:bCs/>
              </w:rPr>
              <w:t xml:space="preserve">vyslanie príslušníkov ozbrojených síl Slovenskej republiky do operácie </w:t>
            </w:r>
            <w:r w:rsidR="003755CB">
              <w:rPr>
                <w:rFonts w:ascii="Times New Roman" w:hAnsi="Times New Roman"/>
                <w:b/>
                <w:bCs/>
              </w:rPr>
              <w:t>EUNAVFOR</w:t>
            </w:r>
            <w:r w:rsidR="00711222">
              <w:rPr>
                <w:rFonts w:ascii="Times New Roman" w:hAnsi="Times New Roman"/>
                <w:b/>
                <w:bCs/>
              </w:rPr>
              <w:t xml:space="preserve"> </w:t>
            </w:r>
            <w:r w:rsidR="003755CB">
              <w:rPr>
                <w:rFonts w:ascii="Times New Roman" w:hAnsi="Times New Roman"/>
                <w:b/>
                <w:bCs/>
              </w:rPr>
              <w:t>MED</w:t>
            </w:r>
            <w:r w:rsidR="00711222">
              <w:rPr>
                <w:rFonts w:ascii="Times New Roman" w:hAnsi="Times New Roman"/>
                <w:b/>
                <w:bCs/>
              </w:rPr>
              <w:t xml:space="preserve"> </w:t>
            </w:r>
            <w:r w:rsidR="008B3EA5">
              <w:rPr>
                <w:rFonts w:ascii="Times New Roman" w:hAnsi="Times New Roman"/>
                <w:b/>
                <w:bCs/>
              </w:rPr>
              <w:t>S</w:t>
            </w:r>
            <w:r w:rsidR="00711222">
              <w:rPr>
                <w:rFonts w:ascii="Times New Roman" w:hAnsi="Times New Roman"/>
                <w:b/>
                <w:bCs/>
              </w:rPr>
              <w:t>ophia</w:t>
            </w:r>
          </w:p>
          <w:p w:rsidR="004E78F9" w:rsidRPr="00D147EE" w:rsidP="004E78F9">
            <w:pPr>
              <w:pStyle w:val="Default"/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0D59C4" w:rsidRPr="00D147EE" w:rsidP="004E78F9">
            <w:pPr>
              <w:pStyle w:val="Default"/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1A3BAE" w:rsidRPr="00D147EE" w:rsidP="004E78F9">
            <w:pPr>
              <w:pStyle w:val="NormalWeb"/>
              <w:bidi w:val="0"/>
              <w:spacing w:beforeAutospacing="0" w:afterAutospacing="0"/>
              <w:jc w:val="both"/>
              <w:rPr>
                <w:rFonts w:ascii="Times New Roman" w:hAnsi="Times New Roman"/>
              </w:rPr>
            </w:pPr>
            <w:r w:rsidRPr="00D147EE">
              <w:rPr>
                <w:rFonts w:ascii="Times New Roman" w:hAnsi="Times New Roman"/>
                <w:u w:val="single"/>
              </w:rPr>
              <w:t xml:space="preserve">1. </w:t>
            </w:r>
            <w:r w:rsidRPr="00D147EE" w:rsidR="004E78F9">
              <w:rPr>
                <w:rFonts w:ascii="Times New Roman" w:hAnsi="Times New Roman"/>
                <w:u w:val="single"/>
              </w:rPr>
              <w:t xml:space="preserve">     </w:t>
            </w:r>
            <w:r w:rsidRPr="00D147EE">
              <w:rPr>
                <w:rFonts w:ascii="Times New Roman" w:hAnsi="Times New Roman"/>
                <w:u w:val="single"/>
              </w:rPr>
              <w:t>Politické aspekty a</w:t>
            </w:r>
            <w:r w:rsidRPr="00E525D2">
              <w:rPr>
                <w:rFonts w:ascii="Times New Roman" w:hAnsi="Times New Roman"/>
                <w:u w:val="single"/>
              </w:rPr>
              <w:t> </w:t>
            </w:r>
            <w:r w:rsidRPr="00D147EE">
              <w:rPr>
                <w:rFonts w:ascii="Times New Roman" w:hAnsi="Times New Roman"/>
                <w:u w:val="single"/>
              </w:rPr>
              <w:t>medzinárodné súvislosti návrhu</w:t>
            </w:r>
          </w:p>
          <w:p w:rsidR="004E78F9" w:rsidRPr="00AA06FC" w:rsidP="004E78F9">
            <w:pPr>
              <w:pStyle w:val="Default"/>
              <w:bidi w:val="0"/>
              <w:jc w:val="both"/>
              <w:rPr>
                <w:rFonts w:ascii="Times New Roman" w:hAnsi="Times New Roman"/>
              </w:rPr>
            </w:pPr>
          </w:p>
          <w:p w:rsidR="00711222" w:rsidP="00711222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="008B3EA5">
              <w:rPr>
                <w:rFonts w:ascii="Times New Roman" w:hAnsi="Times New Roman"/>
                <w:sz w:val="20"/>
                <w:szCs w:val="20"/>
              </w:rPr>
              <w:t>             </w:t>
            </w:r>
            <w:r w:rsidRPr="00711222">
              <w:rPr>
                <w:rFonts w:ascii="Times New Roman" w:hAnsi="Times New Roman"/>
              </w:rPr>
              <w:t>Rada Európskej únie svojím</w:t>
            </w:r>
            <w:r>
              <w:rPr>
                <w:rFonts w:ascii="Times New Roman" w:hAnsi="Times New Roman"/>
              </w:rPr>
              <w:t xml:space="preserve"> rozhodnutím č. 2015/778 z 18. mája 2015 rozhodla o vedení vojenskej operácie v južnej časti centrálneho Stredomoria s názvom EUNAVFOR MED (ďalej len „operácia“). Poslaním tejto operácie je</w:t>
            </w:r>
            <w:r w:rsidR="00092689">
              <w:rPr>
                <w:rFonts w:ascii="Times New Roman" w:hAnsi="Times New Roman"/>
              </w:rPr>
              <w:t>, v súlade s  medzinárodným právom vrátane Dohovoru Organizácie Spojených národov o morskom práve,</w:t>
            </w:r>
            <w:r>
              <w:rPr>
                <w:rFonts w:ascii="Times New Roman" w:hAnsi="Times New Roman"/>
              </w:rPr>
              <w:t xml:space="preserve"> viesť vojenskú operáci</w:t>
            </w:r>
            <w:r w:rsidR="00D5685A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 xml:space="preserve"> krízového riadenia, ktorá prispeje k rozloženiu obchodného modelu sietí prevádzania ľudí a obchodovania s ľuďmi v južnej časti centrálneho Stredomoria prostredníctvom systematického úsilia o identifikáciu, zaistenie a likvidáciu plavidiel a aktív, ktoré prevádzači alebo obchodníci s ľuďmi využívajú alebo </w:t>
            </w:r>
            <w:r w:rsidR="00092689">
              <w:rPr>
                <w:rFonts w:ascii="Times New Roman" w:hAnsi="Times New Roman"/>
              </w:rPr>
              <w:t>v prípade podozrenia môžu využívať. R</w:t>
            </w:r>
            <w:r>
              <w:rPr>
                <w:rFonts w:ascii="Times New Roman" w:hAnsi="Times New Roman"/>
              </w:rPr>
              <w:t>ozhodnutím Rady Európskej únie č. 2015/972 z 22. júna 2015 sa schválil operačný p</w:t>
            </w:r>
            <w:r w:rsidR="00F66D32"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</w:rPr>
              <w:t xml:space="preserve">án a pravidlá nasadenia pre túto vojenskú operáciu. </w:t>
            </w:r>
          </w:p>
          <w:p w:rsidR="00711222" w:rsidP="00711222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  <w:p w:rsidR="00EE01A0" w:rsidRPr="0089553E" w:rsidP="00EE01A0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="00711222">
              <w:rPr>
                <w:rFonts w:ascii="Times New Roman" w:hAnsi="Times New Roman"/>
              </w:rPr>
              <w:tab/>
              <w:t xml:space="preserve">O rozšírení úloh operácie, predlžení platnosti </w:t>
            </w:r>
            <w:r w:rsidR="00092689">
              <w:rPr>
                <w:rFonts w:ascii="Times New Roman" w:hAnsi="Times New Roman"/>
              </w:rPr>
              <w:t xml:space="preserve">jej </w:t>
            </w:r>
            <w:r w:rsidR="00711222">
              <w:rPr>
                <w:rFonts w:ascii="Times New Roman" w:hAnsi="Times New Roman"/>
              </w:rPr>
              <w:t>mandátu do 27. júla 2017 a</w:t>
            </w:r>
            <w:r w:rsidR="00092689">
              <w:rPr>
                <w:rFonts w:ascii="Times New Roman" w:hAnsi="Times New Roman"/>
              </w:rPr>
              <w:t> </w:t>
            </w:r>
            <w:r w:rsidR="00711222">
              <w:rPr>
                <w:rFonts w:ascii="Times New Roman" w:hAnsi="Times New Roman"/>
              </w:rPr>
              <w:t>zmen</w:t>
            </w:r>
            <w:r w:rsidR="00092689">
              <w:rPr>
                <w:rFonts w:ascii="Times New Roman" w:hAnsi="Times New Roman"/>
              </w:rPr>
              <w:t>y jej názvu</w:t>
            </w:r>
            <w:r w:rsidR="00711222">
              <w:rPr>
                <w:rFonts w:ascii="Times New Roman" w:hAnsi="Times New Roman"/>
              </w:rPr>
              <w:t xml:space="preserve"> na operáciu EUNAVFOR MED Sophia rozhodla Rada Európskej únie svojím rozhodnutím č. 2016/993 z 20. júna 2016. Úlohy operácie sa tak rozšírili o poskytovanie výcviku líbyjskej pobrežnej stráži a námorníctvu. Operácia okrem toho prispieva k predchádzaniu obchodovani</w:t>
            </w:r>
            <w:r w:rsidR="00092689">
              <w:rPr>
                <w:rFonts w:ascii="Times New Roman" w:hAnsi="Times New Roman"/>
              </w:rPr>
              <w:t>a</w:t>
            </w:r>
            <w:r w:rsidR="00711222">
              <w:rPr>
                <w:rFonts w:ascii="Times New Roman" w:hAnsi="Times New Roman"/>
              </w:rPr>
              <w:t xml:space="preserve"> so zbraňami v dohodnutom operačnom priestore</w:t>
            </w:r>
            <w:r w:rsidR="00092689">
              <w:rPr>
                <w:rFonts w:ascii="Times New Roman" w:hAnsi="Times New Roman"/>
              </w:rPr>
              <w:t>, a to</w:t>
            </w:r>
            <w:r w:rsidR="00711222">
              <w:rPr>
                <w:rFonts w:ascii="Times New Roman" w:hAnsi="Times New Roman"/>
              </w:rPr>
              <w:t xml:space="preserve"> v súlade s príslušnými rezolúciami Bezpečnostnej rady OSN.  </w:t>
            </w:r>
            <w:r w:rsidRPr="003A7F2D">
              <w:rPr>
                <w:rFonts w:ascii="Times New Roman" w:hAnsi="Times New Roman"/>
              </w:rPr>
              <w:t xml:space="preserve">Napriek skutočnosti, že operácia disponuje mandátom len do 27. júla 2017, na základe prebiehajúcich diskusií </w:t>
            </w:r>
            <w:r>
              <w:rPr>
                <w:rFonts w:ascii="Times New Roman" w:hAnsi="Times New Roman"/>
              </w:rPr>
              <w:t xml:space="preserve">v rámci Európskej únie je </w:t>
            </w:r>
            <w:r w:rsidRPr="003A7F2D">
              <w:rPr>
                <w:rFonts w:ascii="Times New Roman" w:hAnsi="Times New Roman"/>
              </w:rPr>
              <w:t>možn</w:t>
            </w:r>
            <w:r>
              <w:rPr>
                <w:rFonts w:ascii="Times New Roman" w:hAnsi="Times New Roman"/>
              </w:rPr>
              <w:t>é</w:t>
            </w:r>
            <w:r w:rsidRPr="003A7F2D">
              <w:rPr>
                <w:rFonts w:ascii="Times New Roman" w:hAnsi="Times New Roman"/>
              </w:rPr>
              <w:t xml:space="preserve"> predpokladať, že mandát operácie bude opätovne predĺžený. </w:t>
            </w:r>
            <w:r>
              <w:rPr>
                <w:rFonts w:ascii="Times New Roman" w:hAnsi="Times New Roman"/>
              </w:rPr>
              <w:t>V prípade operáci</w:t>
            </w:r>
            <w:r w:rsidR="00FD0A00">
              <w:rPr>
                <w:rFonts w:ascii="Times New Roman" w:hAnsi="Times New Roman"/>
              </w:rPr>
              <w:t>í</w:t>
            </w:r>
            <w:r>
              <w:rPr>
                <w:rFonts w:ascii="Times New Roman" w:hAnsi="Times New Roman"/>
              </w:rPr>
              <w:t xml:space="preserve"> pod velením medzinárodných organizácií sa uplatňuje forma predlžovania času ich trvania tak, aby tieto rozhodnutia zohľadňovali najmä pokračujúcu opodstatnenosť plnenia operačných úloh aj v ďalšom období. </w:t>
            </w:r>
            <w:r w:rsidRPr="003A7F2D">
              <w:rPr>
                <w:rFonts w:ascii="Times New Roman" w:hAnsi="Times New Roman"/>
              </w:rPr>
              <w:t xml:space="preserve">Zahájenie procesu </w:t>
            </w:r>
            <w:r>
              <w:rPr>
                <w:rFonts w:ascii="Times New Roman" w:hAnsi="Times New Roman"/>
              </w:rPr>
              <w:t xml:space="preserve">predĺženia mandátu predmetnej operácie, vrátane </w:t>
            </w:r>
            <w:r w:rsidR="00A333C5">
              <w:rPr>
                <w:rFonts w:ascii="Times New Roman" w:hAnsi="Times New Roman"/>
              </w:rPr>
              <w:t xml:space="preserve">posúdenia </w:t>
            </w:r>
            <w:r>
              <w:rPr>
                <w:rFonts w:ascii="Times New Roman" w:hAnsi="Times New Roman"/>
              </w:rPr>
              <w:t>prípadnej revízie jej operačného plánu, s</w:t>
            </w:r>
            <w:r w:rsidRPr="003A7F2D">
              <w:rPr>
                <w:rFonts w:ascii="Times New Roman" w:hAnsi="Times New Roman"/>
              </w:rPr>
              <w:t xml:space="preserve">a očakáva </w:t>
            </w:r>
            <w:r w:rsidR="00F66D32">
              <w:rPr>
                <w:rFonts w:ascii="Times New Roman" w:hAnsi="Times New Roman"/>
              </w:rPr>
              <w:t xml:space="preserve">v </w:t>
            </w:r>
            <w:r w:rsidRPr="003A7F2D">
              <w:rPr>
                <w:rFonts w:ascii="Times New Roman" w:hAnsi="Times New Roman"/>
              </w:rPr>
              <w:t xml:space="preserve">mesiaci apríl 2017. </w:t>
            </w:r>
          </w:p>
          <w:p w:rsidR="00711222" w:rsidRPr="00FC7F60" w:rsidP="00FC7F60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  <w:p w:rsidR="00711222" w:rsidP="00711222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  <w:p w:rsidR="00711222" w:rsidRPr="00C70513" w:rsidP="00711222">
            <w:pPr>
              <w:pStyle w:val="NormalWeb"/>
              <w:bidi w:val="0"/>
              <w:spacing w:before="0" w:beforeAutospacing="0" w:after="0" w:afterAutospacing="0"/>
              <w:ind w:firstLine="7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Operácia má štyri fázy, pričom cieľom fázy č. 1 je nasadenie, monitorovanie, zber a zdieľanie informácií, cieľom fázy č. 2 je zadržanie plavidiel prevádzačov v teritoriálnych vodách, cieľom fázy č. 3 ničenie plavidiel zneužívaných na operačnú činnosť a fáza č. 4 predstavuje stiahnutie síl z operácie. Súčasťou úloh operácie sú aj vyhľadávacie a záchranné aktivity a poskytnutie ochrany pre aktivity FRONTEX</w:t>
            </w:r>
            <w:r w:rsidR="00092689">
              <w:rPr>
                <w:rFonts w:ascii="Times New Roman" w:hAnsi="Times New Roman"/>
              </w:rPr>
              <w:t>-u</w:t>
            </w:r>
            <w:r>
              <w:rPr>
                <w:rFonts w:ascii="Times New Roman" w:hAnsi="Times New Roman"/>
              </w:rPr>
              <w:t xml:space="preserve">. Každý prechod do nasledujúcej fázy operácie je podmienený politickým súhlasom Rady Európskej únie. Politický a bezpečnostný výbor prijal rozhodnutie č. 2015/1772 </w:t>
            </w:r>
            <w:r w:rsidR="00092689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 xml:space="preserve"> 28. septembra 2015 o prechode operácie do fázy č. 2 s účinnosťou od 7. októbra 2015 s výkonom úloh výhradne na šírom mori.  </w:t>
            </w:r>
          </w:p>
          <w:p w:rsidR="00711222" w:rsidRPr="00C70513" w:rsidP="00711222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  <w:p w:rsidR="001A3BAE" w:rsidRPr="00D147EE" w:rsidP="007F7ADA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C70513" w:rsidR="00711222">
              <w:rPr>
                <w:rFonts w:ascii="Times New Roman" w:hAnsi="Times New Roman"/>
              </w:rPr>
              <w:t xml:space="preserve">         </w:t>
            </w:r>
          </w:p>
          <w:p w:rsidR="003C2DFF" w:rsidRPr="00D147EE" w:rsidP="000D59C4">
            <w:pPr>
              <w:pStyle w:val="NormalWeb"/>
              <w:bidi w:val="0"/>
              <w:spacing w:before="0" w:beforeAutospacing="0" w:after="200" w:afterAutospacing="0"/>
              <w:jc w:val="both"/>
              <w:rPr>
                <w:rFonts w:ascii="Times New Roman" w:hAnsi="Times New Roman"/>
              </w:rPr>
            </w:pPr>
            <w:r w:rsidRPr="00D147EE" w:rsidR="001A3BAE">
              <w:rPr>
                <w:rFonts w:ascii="Times New Roman" w:hAnsi="Times New Roman"/>
                <w:u w:val="single"/>
              </w:rPr>
              <w:t xml:space="preserve">2. Vojensko-odborné aspekty návrhu </w:t>
            </w:r>
          </w:p>
          <w:p w:rsidR="008B3EA5" w:rsidP="008B3EA5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  <w:p w:rsidR="007F7ADA" w:rsidP="00711222">
            <w:pPr>
              <w:pStyle w:val="NormalWeb"/>
              <w:bidi w:val="0"/>
              <w:spacing w:before="0" w:beforeAutospacing="0" w:after="200" w:afterAutospacing="0"/>
              <w:ind w:firstLine="709"/>
              <w:jc w:val="both"/>
              <w:rPr>
                <w:rFonts w:ascii="Times New Roman" w:hAnsi="Times New Roman"/>
              </w:rPr>
            </w:pPr>
            <w:r w:rsidRPr="00C70513" w:rsidR="00711222">
              <w:rPr>
                <w:rFonts w:ascii="Times New Roman" w:hAnsi="Times New Roman"/>
              </w:rPr>
              <w:t xml:space="preserve">Na uvedenej operácii </w:t>
            </w:r>
            <w:r w:rsidR="00711222">
              <w:rPr>
                <w:rFonts w:ascii="Times New Roman" w:hAnsi="Times New Roman"/>
              </w:rPr>
              <w:t xml:space="preserve">v súčasnosti </w:t>
            </w:r>
            <w:r w:rsidR="00CD7B22">
              <w:rPr>
                <w:rFonts w:ascii="Times New Roman" w:hAnsi="Times New Roman"/>
              </w:rPr>
              <w:t>participuje</w:t>
            </w:r>
            <w:r w:rsidR="00711222">
              <w:rPr>
                <w:rFonts w:ascii="Times New Roman" w:hAnsi="Times New Roman"/>
              </w:rPr>
              <w:t xml:space="preserve"> 24 štátov Európskej únie</w:t>
            </w:r>
            <w:r w:rsidR="00CD7B22">
              <w:rPr>
                <w:rFonts w:ascii="Times New Roman" w:hAnsi="Times New Roman"/>
              </w:rPr>
              <w:t>. Slovenská republika neprispieva do operácie personálom ani kapacitami</w:t>
            </w:r>
            <w:r>
              <w:rPr>
                <w:rFonts w:ascii="Times New Roman" w:hAnsi="Times New Roman"/>
              </w:rPr>
              <w:t xml:space="preserve">, </w:t>
            </w:r>
            <w:r w:rsidR="00CD7B22">
              <w:rPr>
                <w:rFonts w:ascii="Times New Roman" w:hAnsi="Times New Roman"/>
              </w:rPr>
              <w:t>avšak</w:t>
            </w:r>
            <w:r>
              <w:rPr>
                <w:rFonts w:ascii="Times New Roman" w:hAnsi="Times New Roman"/>
              </w:rPr>
              <w:t xml:space="preserve"> </w:t>
            </w:r>
            <w:r w:rsidR="00CD7B22">
              <w:rPr>
                <w:rFonts w:ascii="Times New Roman" w:hAnsi="Times New Roman"/>
              </w:rPr>
              <w:t xml:space="preserve">podieľa sa na jej realizácii formou </w:t>
            </w:r>
            <w:r>
              <w:rPr>
                <w:rFonts w:ascii="Times New Roman" w:hAnsi="Times New Roman"/>
              </w:rPr>
              <w:t>poskytovania príspevkov do spoločných nákladov operácie v rámci mechanizmu ATHENA.</w:t>
            </w:r>
          </w:p>
          <w:p w:rsidR="00711222" w:rsidP="00711222">
            <w:pPr>
              <w:pStyle w:val="NormalWeb"/>
              <w:bidi w:val="0"/>
              <w:spacing w:before="0" w:beforeAutospacing="0" w:after="200" w:afterAutospacing="0"/>
              <w:ind w:firstLine="709"/>
              <w:jc w:val="both"/>
              <w:rPr>
                <w:rFonts w:ascii="Times New Roman" w:hAnsi="Times New Roman"/>
              </w:rPr>
            </w:pPr>
            <w:r w:rsidRPr="00D147EE" w:rsidR="007F7ADA">
              <w:rPr>
                <w:rFonts w:ascii="Times New Roman" w:hAnsi="Times New Roman"/>
                <w:color w:val="000000"/>
              </w:rPr>
              <w:t>V súvislosti so zámerom za</w:t>
            </w:r>
            <w:r w:rsidR="007F7ADA">
              <w:rPr>
                <w:rFonts w:ascii="Times New Roman" w:hAnsi="Times New Roman"/>
                <w:color w:val="000000"/>
              </w:rPr>
              <w:t>pojenia sa Slovenskej republiky do uvedenej operácie a v</w:t>
            </w:r>
            <w:r w:rsidRPr="00C70513">
              <w:rPr>
                <w:rFonts w:ascii="Times New Roman" w:hAnsi="Times New Roman"/>
              </w:rPr>
              <w:t> nadväznosti na rokovania predstaviteľov Ministerstva obrany Slovenskej republiky  a Ministerstva obrany Nemeckej spolkovej republiky</w:t>
            </w:r>
            <w:r w:rsidR="007F7AD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147EE">
              <w:rPr>
                <w:rFonts w:ascii="Times New Roman" w:hAnsi="Times New Roman"/>
              </w:rPr>
              <w:t>sa týmto materiálom navrhuje</w:t>
            </w:r>
            <w:r>
              <w:rPr>
                <w:rFonts w:ascii="Times New Roman" w:hAnsi="Times New Roman"/>
              </w:rPr>
              <w:t>:</w:t>
            </w:r>
          </w:p>
          <w:p w:rsidR="007F7ADA" w:rsidP="007F7ADA">
            <w:pPr>
              <w:pStyle w:val="NormalWeb"/>
              <w:bidi w:val="0"/>
              <w:spacing w:before="0" w:beforeAutospacing="0" w:after="200" w:afterAutospacing="0"/>
              <w:ind w:firstLine="709"/>
              <w:jc w:val="both"/>
              <w:rPr>
                <w:rFonts w:ascii="Times New Roman" w:hAnsi="Times New Roman"/>
                <w:b/>
                <w:bCs/>
              </w:rPr>
            </w:pPr>
            <w:r w:rsidRPr="008B3EA5">
              <w:rPr>
                <w:rFonts w:ascii="Times New Roman" w:hAnsi="Times New Roman"/>
                <w:b/>
              </w:rPr>
              <w:t>vyslanie do 10 príslušníkov ozbrojených síl Slovenskej republiky v spôsobilosti Vojenskej polície Ministerstva obrany Slovenskej republiky</w:t>
            </w:r>
            <w:r w:rsidRPr="00D147EE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7F7ADA" w:rsidRPr="008B3EA5" w:rsidP="007F7ADA">
            <w:pPr>
              <w:pStyle w:val="NormalWeb"/>
              <w:numPr>
                <w:numId w:val="9"/>
              </w:numPr>
              <w:bidi w:val="0"/>
              <w:spacing w:before="0" w:beforeAutospacing="0" w:after="20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na plnenie úloh </w:t>
            </w:r>
            <w:r w:rsidR="004564F5">
              <w:rPr>
                <w:rFonts w:ascii="Times New Roman" w:hAnsi="Times New Roman"/>
                <w:bCs/>
              </w:rPr>
              <w:t>zásahového tímu</w:t>
            </w:r>
            <w:r w:rsidRPr="008B3EA5">
              <w:rPr>
                <w:rFonts w:ascii="Times New Roman" w:hAnsi="Times New Roman"/>
                <w:bCs/>
              </w:rPr>
              <w:t xml:space="preserve"> na lodi </w:t>
            </w:r>
            <w:r>
              <w:rPr>
                <w:rFonts w:ascii="Times New Roman" w:hAnsi="Times New Roman"/>
                <w:bCs/>
              </w:rPr>
              <w:t xml:space="preserve">pôsobiacej v operácii </w:t>
            </w:r>
            <w:r w:rsidRPr="008B3EA5">
              <w:rPr>
                <w:rFonts w:ascii="Times New Roman" w:hAnsi="Times New Roman"/>
                <w:bCs/>
              </w:rPr>
              <w:t xml:space="preserve">pod vlajkou Nemeckej spolkovej republiky </w:t>
            </w:r>
            <w:r>
              <w:rPr>
                <w:rFonts w:ascii="Times New Roman" w:hAnsi="Times New Roman"/>
                <w:bCs/>
              </w:rPr>
              <w:t xml:space="preserve">po dobu </w:t>
            </w:r>
            <w:r w:rsidRPr="008B3EA5">
              <w:rPr>
                <w:rFonts w:ascii="Times New Roman" w:hAnsi="Times New Roman"/>
                <w:bCs/>
              </w:rPr>
              <w:t>d</w:t>
            </w:r>
            <w:r>
              <w:rPr>
                <w:rFonts w:ascii="Times New Roman" w:hAnsi="Times New Roman"/>
                <w:bCs/>
              </w:rPr>
              <w:t>voch</w:t>
            </w:r>
            <w:r w:rsidRPr="008B3EA5">
              <w:rPr>
                <w:rFonts w:ascii="Times New Roman" w:hAnsi="Times New Roman"/>
                <w:bCs/>
              </w:rPr>
              <w:t xml:space="preserve"> </w:t>
            </w:r>
            <w:r w:rsidR="00F939E8">
              <w:rPr>
                <w:rFonts w:ascii="Times New Roman" w:hAnsi="Times New Roman"/>
                <w:bCs/>
              </w:rPr>
              <w:t>šesťmesačných rotácií.</w:t>
            </w:r>
          </w:p>
          <w:p w:rsidR="00711222" w:rsidP="00711222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  <w:p w:rsidR="002B762E" w:rsidP="007F7ADA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  <w:p w:rsidR="001A3BAE" w:rsidRPr="00D147EE" w:rsidP="001A3BAE">
            <w:pPr>
              <w:pStyle w:val="NormalWeb"/>
              <w:bidi w:val="0"/>
              <w:spacing w:before="0" w:beforeAutospacing="0" w:after="200" w:afterAutospacing="0"/>
              <w:ind w:left="360" w:hanging="360"/>
              <w:jc w:val="both"/>
              <w:rPr>
                <w:rFonts w:ascii="Times New Roman" w:hAnsi="Times New Roman"/>
              </w:rPr>
            </w:pPr>
            <w:r w:rsidRPr="00D147EE">
              <w:rPr>
                <w:rFonts w:ascii="Times New Roman" w:hAnsi="Times New Roman"/>
              </w:rPr>
              <w:t xml:space="preserve">3. </w:t>
            </w:r>
            <w:r w:rsidRPr="00D147EE">
              <w:rPr>
                <w:rFonts w:ascii="Times New Roman" w:hAnsi="Times New Roman"/>
                <w:u w:val="single"/>
              </w:rPr>
              <w:t>Právne aspekty návrhu</w:t>
            </w:r>
          </w:p>
          <w:p w:rsidR="007F7ADA" w:rsidP="008B3EA5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  <w:p w:rsidR="007F7ADA" w:rsidP="008B3EA5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7F7ADA">
              <w:rPr>
                <w:rFonts w:ascii="Times New Roman" w:hAnsi="Times New Roman"/>
              </w:rPr>
              <w:t xml:space="preserve">             Operácia sa realizuje na základe rozhodnutia </w:t>
            </w:r>
            <w:r w:rsidRPr="00711222" w:rsidR="007B33BA">
              <w:rPr>
                <w:rFonts w:ascii="Times New Roman" w:hAnsi="Times New Roman"/>
              </w:rPr>
              <w:t>Rad</w:t>
            </w:r>
            <w:r w:rsidR="007B33BA">
              <w:rPr>
                <w:rFonts w:ascii="Times New Roman" w:hAnsi="Times New Roman"/>
              </w:rPr>
              <w:t>y</w:t>
            </w:r>
            <w:r w:rsidRPr="00711222" w:rsidR="007B33BA">
              <w:rPr>
                <w:rFonts w:ascii="Times New Roman" w:hAnsi="Times New Roman"/>
              </w:rPr>
              <w:t xml:space="preserve"> Európskej únie </w:t>
            </w:r>
            <w:r w:rsidRPr="007F7ADA">
              <w:rPr>
                <w:rFonts w:ascii="Times New Roman" w:hAnsi="Times New Roman"/>
              </w:rPr>
              <w:t>č. 2015/778 z 18. mája 2015 o vedení vojenskej operácie v južnej časti</w:t>
            </w:r>
            <w:r>
              <w:rPr>
                <w:rFonts w:ascii="Times New Roman" w:hAnsi="Times New Roman"/>
              </w:rPr>
              <w:t xml:space="preserve"> centrálneho Stredomoria v znení neskorších rozhodnutí.</w:t>
            </w:r>
          </w:p>
          <w:p w:rsidR="007F7ADA" w:rsidP="008B3EA5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="00686D21">
              <w:rPr>
                <w:rFonts w:ascii="Times New Roman" w:hAnsi="Times New Roman"/>
              </w:rPr>
              <w:t xml:space="preserve">  </w:t>
            </w:r>
            <w:r>
              <w:rPr>
                <w:rFonts w:ascii="Times New Roman" w:hAnsi="Times New Roman"/>
              </w:rPr>
              <w:t xml:space="preserve">        </w:t>
            </w:r>
          </w:p>
          <w:p w:rsidR="008B3EA5" w:rsidP="008B3EA5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="007F7ADA">
              <w:rPr>
                <w:rFonts w:ascii="Times New Roman" w:hAnsi="Times New Roman"/>
              </w:rPr>
              <w:t xml:space="preserve">              </w:t>
            </w:r>
            <w:r w:rsidRPr="007A31BF">
              <w:rPr>
                <w:rFonts w:ascii="Times New Roman" w:hAnsi="Times New Roman"/>
              </w:rPr>
              <w:t xml:space="preserve">Materiál sa predkladá v súlade s čl. 86 písm. k) </w:t>
            </w:r>
            <w:r w:rsidRPr="002E573E">
              <w:rPr>
                <w:rFonts w:ascii="Times New Roman" w:hAnsi="Times New Roman"/>
              </w:rPr>
              <w:t>Ústavy Slovenskej republiky, na základe ktorého podlieha súhlasu Národnej rady S</w:t>
            </w:r>
            <w:r>
              <w:rPr>
                <w:rFonts w:ascii="Times New Roman" w:hAnsi="Times New Roman"/>
              </w:rPr>
              <w:t>lovenskej republiky</w:t>
            </w:r>
            <w:r w:rsidRPr="002E573E">
              <w:rPr>
                <w:rFonts w:ascii="Times New Roman" w:hAnsi="Times New Roman"/>
              </w:rPr>
              <w:t xml:space="preserve"> každé vyslanie príslušník</w:t>
            </w:r>
            <w:r w:rsidR="007B33BA">
              <w:rPr>
                <w:rFonts w:ascii="Times New Roman" w:hAnsi="Times New Roman"/>
              </w:rPr>
              <w:t>ov</w:t>
            </w:r>
            <w:r w:rsidRPr="002E573E">
              <w:rPr>
                <w:rFonts w:ascii="Times New Roman" w:hAnsi="Times New Roman"/>
              </w:rPr>
              <w:t xml:space="preserve"> ozbrojených síl S</w:t>
            </w:r>
            <w:r>
              <w:rPr>
                <w:rFonts w:ascii="Times New Roman" w:hAnsi="Times New Roman"/>
              </w:rPr>
              <w:t>lovenskej republiky</w:t>
            </w:r>
            <w:r w:rsidRPr="002E573E">
              <w:rPr>
                <w:rFonts w:ascii="Times New Roman" w:hAnsi="Times New Roman"/>
              </w:rPr>
              <w:t xml:space="preserve"> na plnenie úloh mimo územia S</w:t>
            </w:r>
            <w:r>
              <w:rPr>
                <w:rFonts w:ascii="Times New Roman" w:hAnsi="Times New Roman"/>
              </w:rPr>
              <w:t>lovenskej republiky</w:t>
            </w:r>
            <w:r w:rsidRPr="002E573E">
              <w:rPr>
                <w:rFonts w:ascii="Times New Roman" w:hAnsi="Times New Roman"/>
              </w:rPr>
              <w:t xml:space="preserve">, ak toto vyslanie nepatrí podľa Ústavy Slovenskej republiky do vymedzenej právomoci vlády Slovenskej republiky. </w:t>
            </w:r>
          </w:p>
          <w:p w:rsidR="003E1D1B" w:rsidP="00D147EE">
            <w:pPr>
              <w:pStyle w:val="NormalWeb"/>
              <w:bidi w:val="0"/>
              <w:spacing w:before="0" w:beforeAutospacing="0" w:after="120" w:afterAutospacing="0"/>
              <w:ind w:firstLine="708"/>
              <w:jc w:val="both"/>
              <w:rPr>
                <w:rFonts w:ascii="Times New Roman" w:hAnsi="Times New Roman"/>
                <w:color w:val="000000"/>
              </w:rPr>
            </w:pPr>
          </w:p>
          <w:p w:rsidR="001A3BAE" w:rsidRPr="00D147EE" w:rsidP="001A3BAE">
            <w:pPr>
              <w:pStyle w:val="NormalWeb"/>
              <w:bidi w:val="0"/>
              <w:spacing w:before="120" w:beforeAutospacing="0" w:after="200" w:afterAutospacing="0"/>
              <w:ind w:firstLine="709"/>
              <w:jc w:val="both"/>
              <w:rPr>
                <w:rFonts w:ascii="Times New Roman" w:hAnsi="Times New Roman"/>
              </w:rPr>
            </w:pPr>
            <w:r w:rsidR="007F7ADA">
              <w:rPr>
                <w:rFonts w:ascii="Times New Roman" w:hAnsi="Times New Roman"/>
              </w:rPr>
              <w:t xml:space="preserve">  </w:t>
            </w:r>
            <w:r w:rsidRPr="00D147EE">
              <w:rPr>
                <w:rFonts w:ascii="Times New Roman" w:hAnsi="Times New Roman"/>
              </w:rPr>
              <w:t>Konkrétne náležitosti súvisiace s </w:t>
            </w:r>
            <w:r w:rsidR="00686D21">
              <w:rPr>
                <w:rFonts w:ascii="Times New Roman" w:hAnsi="Times New Roman"/>
              </w:rPr>
              <w:t>plnením úloh príslušníkov ozbrojených síl Slovenskej republiky v </w:t>
            </w:r>
            <w:r w:rsidRPr="00D147EE">
              <w:rPr>
                <w:rFonts w:ascii="Times New Roman" w:hAnsi="Times New Roman"/>
              </w:rPr>
              <w:t>operácii</w:t>
            </w:r>
            <w:r w:rsidR="003E1D1B">
              <w:rPr>
                <w:rFonts w:ascii="Times New Roman" w:hAnsi="Times New Roman"/>
              </w:rPr>
              <w:t xml:space="preserve"> mimo územia S</w:t>
            </w:r>
            <w:r w:rsidR="001B63B3">
              <w:rPr>
                <w:rFonts w:ascii="Times New Roman" w:hAnsi="Times New Roman"/>
              </w:rPr>
              <w:t>lovenskej republiky</w:t>
            </w:r>
            <w:r w:rsidR="003E1D1B">
              <w:rPr>
                <w:rFonts w:ascii="Times New Roman" w:hAnsi="Times New Roman"/>
              </w:rPr>
              <w:t xml:space="preserve"> </w:t>
            </w:r>
            <w:r w:rsidR="007F7ADA">
              <w:rPr>
                <w:rFonts w:ascii="Times New Roman" w:hAnsi="Times New Roman"/>
              </w:rPr>
              <w:t>budú</w:t>
            </w:r>
            <w:r w:rsidRPr="00D147EE">
              <w:rPr>
                <w:rFonts w:ascii="Times New Roman" w:hAnsi="Times New Roman"/>
              </w:rPr>
              <w:t xml:space="preserve"> upravené osobitným medzinárodným zmluv</w:t>
            </w:r>
            <w:r w:rsidR="006A21CB">
              <w:rPr>
                <w:rFonts w:ascii="Times New Roman" w:hAnsi="Times New Roman"/>
              </w:rPr>
              <w:t>ným dokument</w:t>
            </w:r>
            <w:r w:rsidR="003755CB">
              <w:rPr>
                <w:rFonts w:ascii="Times New Roman" w:hAnsi="Times New Roman"/>
              </w:rPr>
              <w:t>om/dokumentmi.</w:t>
            </w:r>
          </w:p>
          <w:p w:rsidR="001A3BAE" w:rsidP="001A3BAE">
            <w:pPr>
              <w:pStyle w:val="NormalWeb"/>
              <w:bidi w:val="0"/>
              <w:spacing w:before="120" w:beforeAutospacing="0" w:after="120" w:afterAutospacing="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AD5A17" w:rsidRPr="008A64BF" w:rsidP="00C8189D">
            <w:pPr>
              <w:bidi w:val="0"/>
              <w:jc w:val="center"/>
              <w:rPr>
                <w:rFonts w:ascii="Garamond" w:hAnsi="Garamond"/>
                <w:b/>
                <w:u w:val="single"/>
              </w:rPr>
            </w:pPr>
          </w:p>
        </w:tc>
      </w:tr>
    </w:tbl>
    <w:p w:rsidR="004E78F9" w:rsidP="004E78F9">
      <w:pPr>
        <w:pStyle w:val="Default"/>
        <w:bidi w:val="0"/>
        <w:rPr>
          <w:rFonts w:ascii="Times New Roman" w:hAnsi="Times New Roman"/>
        </w:rPr>
      </w:pPr>
    </w:p>
    <w:p w:rsidR="00AD5A17">
      <w:pPr>
        <w:bidi w:val="0"/>
        <w:rPr>
          <w:rFonts w:ascii="Garamond" w:hAnsi="Garamond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678D1"/>
    <w:multiLevelType w:val="hybridMultilevel"/>
    <w:tmpl w:val="55A8634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BA3875"/>
    <w:multiLevelType w:val="hybridMultilevel"/>
    <w:tmpl w:val="98A8CC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565D04"/>
    <w:multiLevelType w:val="hybridMultilevel"/>
    <w:tmpl w:val="9F18E73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114C9"/>
    <w:multiLevelType w:val="hybridMultilevel"/>
    <w:tmpl w:val="EE5A769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247701"/>
    <w:multiLevelType w:val="hybridMultilevel"/>
    <w:tmpl w:val="B800712E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8BA05BA"/>
    <w:multiLevelType w:val="hybridMultilevel"/>
    <w:tmpl w:val="D624BEC6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9077256"/>
    <w:multiLevelType w:val="hybridMultilevel"/>
    <w:tmpl w:val="A5BA464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F502E32"/>
    <w:multiLevelType w:val="hybridMultilevel"/>
    <w:tmpl w:val="E1E6E3B0"/>
    <w:lvl w:ilvl="0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710B7AC2"/>
    <w:multiLevelType w:val="hybridMultilevel"/>
    <w:tmpl w:val="F41C9388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D5A17"/>
    <w:rsid w:val="00042179"/>
    <w:rsid w:val="00056369"/>
    <w:rsid w:val="000769C3"/>
    <w:rsid w:val="00086546"/>
    <w:rsid w:val="00086EDD"/>
    <w:rsid w:val="00086F1E"/>
    <w:rsid w:val="00092689"/>
    <w:rsid w:val="000C1304"/>
    <w:rsid w:val="000C6CF5"/>
    <w:rsid w:val="000D59C4"/>
    <w:rsid w:val="000D699A"/>
    <w:rsid w:val="001437B9"/>
    <w:rsid w:val="00152FD3"/>
    <w:rsid w:val="001A3BAE"/>
    <w:rsid w:val="001B63B3"/>
    <w:rsid w:val="00235C3D"/>
    <w:rsid w:val="002B762E"/>
    <w:rsid w:val="002D3048"/>
    <w:rsid w:val="002D6474"/>
    <w:rsid w:val="002E573E"/>
    <w:rsid w:val="0031401E"/>
    <w:rsid w:val="00324010"/>
    <w:rsid w:val="003755CB"/>
    <w:rsid w:val="003A3E3A"/>
    <w:rsid w:val="003A7F2D"/>
    <w:rsid w:val="003C2DFF"/>
    <w:rsid w:val="003E1D1B"/>
    <w:rsid w:val="003E4B29"/>
    <w:rsid w:val="00452367"/>
    <w:rsid w:val="004564F5"/>
    <w:rsid w:val="004E78F9"/>
    <w:rsid w:val="004F1130"/>
    <w:rsid w:val="00550309"/>
    <w:rsid w:val="00551A33"/>
    <w:rsid w:val="005965D9"/>
    <w:rsid w:val="00627971"/>
    <w:rsid w:val="0064488E"/>
    <w:rsid w:val="00657B0C"/>
    <w:rsid w:val="00681FC5"/>
    <w:rsid w:val="00686D21"/>
    <w:rsid w:val="006A21CB"/>
    <w:rsid w:val="006B744D"/>
    <w:rsid w:val="006D5356"/>
    <w:rsid w:val="006F7214"/>
    <w:rsid w:val="00711222"/>
    <w:rsid w:val="00757189"/>
    <w:rsid w:val="00797FEE"/>
    <w:rsid w:val="007A31BF"/>
    <w:rsid w:val="007B33BA"/>
    <w:rsid w:val="007F7ADA"/>
    <w:rsid w:val="00877F7B"/>
    <w:rsid w:val="0089553E"/>
    <w:rsid w:val="008A64BF"/>
    <w:rsid w:val="008B3EA5"/>
    <w:rsid w:val="008F23CE"/>
    <w:rsid w:val="008F3628"/>
    <w:rsid w:val="00921AD2"/>
    <w:rsid w:val="00933314"/>
    <w:rsid w:val="009E43C3"/>
    <w:rsid w:val="00A333C5"/>
    <w:rsid w:val="00AA06FC"/>
    <w:rsid w:val="00AB19E0"/>
    <w:rsid w:val="00AD5A17"/>
    <w:rsid w:val="00AE6C8B"/>
    <w:rsid w:val="00B16793"/>
    <w:rsid w:val="00BC35C1"/>
    <w:rsid w:val="00BC4756"/>
    <w:rsid w:val="00C1453B"/>
    <w:rsid w:val="00C37CB2"/>
    <w:rsid w:val="00C42A2D"/>
    <w:rsid w:val="00C625CA"/>
    <w:rsid w:val="00C642D7"/>
    <w:rsid w:val="00C704C7"/>
    <w:rsid w:val="00C70513"/>
    <w:rsid w:val="00C8189D"/>
    <w:rsid w:val="00C93231"/>
    <w:rsid w:val="00CB0843"/>
    <w:rsid w:val="00CD7B22"/>
    <w:rsid w:val="00CE5294"/>
    <w:rsid w:val="00CF0D7F"/>
    <w:rsid w:val="00D147EE"/>
    <w:rsid w:val="00D5685A"/>
    <w:rsid w:val="00D666F2"/>
    <w:rsid w:val="00D902AB"/>
    <w:rsid w:val="00DB175C"/>
    <w:rsid w:val="00DB3CA6"/>
    <w:rsid w:val="00E07AD4"/>
    <w:rsid w:val="00E525D2"/>
    <w:rsid w:val="00E5665A"/>
    <w:rsid w:val="00E8456E"/>
    <w:rsid w:val="00EE01A0"/>
    <w:rsid w:val="00EF069B"/>
    <w:rsid w:val="00F0122D"/>
    <w:rsid w:val="00F66D32"/>
    <w:rsid w:val="00F939E8"/>
    <w:rsid w:val="00FC7F60"/>
    <w:rsid w:val="00FD0A00"/>
    <w:rsid w:val="00FD770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AB19E0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C8189D"/>
    <w:pPr>
      <w:keepNext/>
      <w:spacing w:before="240" w:after="60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semiHidden/>
    <w:unhideWhenUsed/>
    <w:qFormat/>
    <w:rsid w:val="008B3EA5"/>
    <w:pPr>
      <w:keepNext/>
      <w:spacing w:before="240" w:after="60"/>
      <w:jc w:val="left"/>
      <w:outlineLvl w:val="3"/>
    </w:pPr>
    <w:rPr>
      <w:rFonts w:ascii="Calibri" w:hAnsi="Calibri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AD5A17"/>
    <w:pPr>
      <w:spacing w:before="240" w:after="60"/>
      <w:jc w:val="left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AD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07AD4"/>
    <w:pPr>
      <w:jc w:val="left"/>
    </w:pPr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AB19E0"/>
    <w:pPr>
      <w:ind w:left="283" w:hanging="283"/>
      <w:jc w:val="left"/>
    </w:pPr>
  </w:style>
  <w:style w:type="paragraph" w:styleId="BodyText">
    <w:name w:val="Body Text"/>
    <w:basedOn w:val="Normal"/>
    <w:rsid w:val="00AB19E0"/>
    <w:pPr>
      <w:spacing w:after="120"/>
      <w:jc w:val="left"/>
    </w:pPr>
  </w:style>
  <w:style w:type="character" w:customStyle="1" w:styleId="Nadpis2Char">
    <w:name w:val="Nadpis 2 Char"/>
    <w:link w:val="Heading2"/>
    <w:semiHidden/>
    <w:locked/>
    <w:rsid w:val="00C8189D"/>
    <w:rPr>
      <w:rFonts w:ascii="Cambria" w:hAnsi="Cambria" w:cs="Cambria"/>
      <w:b/>
      <w:i/>
      <w:sz w:val="28"/>
    </w:rPr>
  </w:style>
  <w:style w:type="paragraph" w:styleId="NormalWeb">
    <w:name w:val="Normal (Web)"/>
    <w:basedOn w:val="Normal"/>
    <w:uiPriority w:val="99"/>
    <w:unhideWhenUsed/>
    <w:rsid w:val="00C8189D"/>
    <w:pPr>
      <w:spacing w:before="100" w:beforeAutospacing="1" w:after="100" w:afterAutospacing="1"/>
      <w:jc w:val="left"/>
    </w:pPr>
  </w:style>
  <w:style w:type="paragraph" w:customStyle="1" w:styleId="Default">
    <w:name w:val="Default"/>
    <w:rsid w:val="004E78F9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Nadpis4Char">
    <w:name w:val="Nadpis 4 Char"/>
    <w:link w:val="Heading4"/>
    <w:semiHidden/>
    <w:locked/>
    <w:rsid w:val="008B3EA5"/>
    <w:rPr>
      <w:rFonts w:ascii="Calibri" w:hAnsi="Calibri" w:cs="Calibri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EE4FC-CE89-4A1F-843D-6332A89EB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661</Words>
  <Characters>3773</Characters>
  <Application>Microsoft Office Word</Application>
  <DocSecurity>0</DocSecurity>
  <Lines>0</Lines>
  <Paragraphs>0</Paragraphs>
  <ScaleCrop>false</ScaleCrop>
  <Company>MOSR</Company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OBRANY SR</dc:title>
  <dc:creator>kostkovaj</dc:creator>
  <cp:lastModifiedBy>Gašparíková, Jarmila</cp:lastModifiedBy>
  <cp:revision>2</cp:revision>
  <cp:lastPrinted>2017-03-08T11:13:00Z</cp:lastPrinted>
  <dcterms:created xsi:type="dcterms:W3CDTF">2017-04-12T15:12:00Z</dcterms:created>
  <dcterms:modified xsi:type="dcterms:W3CDTF">2017-04-12T15:12:00Z</dcterms:modified>
</cp:coreProperties>
</file>