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6F5E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RPr="00C16F5E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07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207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207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E41351">
        <w:rPr>
          <w:rFonts w:ascii="Times New Roman" w:hAnsi="Times New Roman"/>
          <w:b/>
          <w:bCs/>
          <w:sz w:val="24"/>
          <w:szCs w:val="24"/>
        </w:rPr>
        <w:t xml:space="preserve">22. marca </w:t>
      </w:r>
      <w:r>
        <w:rPr>
          <w:rFonts w:ascii="Times New Roman" w:hAnsi="Times New Roman"/>
          <w:b/>
          <w:bCs/>
          <w:sz w:val="24"/>
          <w:szCs w:val="24"/>
        </w:rPr>
        <w:t>2017,</w:t>
      </w: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207" w:rsidP="000615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a dopĺňa zákon č. 43/2004 Z. z. o starobnom dôchodkovom sporení a o zmene a doplnení niektorých zákonov v znení neskorších predpisov </w:t>
      </w:r>
    </w:p>
    <w:p w:rsidR="00061586" w:rsidP="000615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586" w:rsidP="006241B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3207" w:rsidP="006241B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DB9" w:rsidP="005E320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D93DB9" w:rsidP="00D93DB9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 555/2007 Z. z., zákona č. 659/2007 Z. z., zákona č. 62/2008 Z. z., zákona č. 434/2008 Z. z., zákona č. 449/2008 Z. z., zákona č. 137/2009 Z. z., zákona č. 572/2009 Z. z., zákona č. 105/2010 Z. z., nálezu Ústavného súdu Slovenskej republiky č. 355/2010 Z. z., zákona č. 543/2010 Z. z., zákona č. 334/2011 Z. z., zákona č. 546/2011 Z. z., zákona č. 547/2011 Z. z., zákona č. 252/2012 Z. z., zákona č. 413/2012 Z. z., zákona č. 132/2013 Z. z., zákona č. 352/2013 Z. z., zákona č. 183/2014 Z. z., zákona č. 301/2014 Z. z., zákona č. 25/2015 Z. z., zákona č. 140/2015 Z. z., zákona č. 91/2016 Z. z., zákona č. 125/2016 Z. z. a zákona č. 292/2016 Z. z. sa mení  a dopĺňa takto:</w:t>
      </w:r>
    </w:p>
    <w:p w:rsidR="00D93DB9" w:rsidP="00D93D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 33 odsek 2 znie:</w:t>
      </w:r>
    </w:p>
    <w:p w:rsidR="00D93DB9" w:rsidP="00D416B8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Vyplácanie dočasného starobného dôchodku a dočasného predčasného starobného dôchodku možno dohodnúť, ak súčet súm dôchodkových dávok podľa osobitného </w:t>
      </w:r>
      <w:r w:rsidRPr="00CD25D5">
        <w:rPr>
          <w:rFonts w:ascii="Times New Roman" w:hAnsi="Times New Roman"/>
          <w:sz w:val="24"/>
          <w:szCs w:val="24"/>
        </w:rPr>
        <w:t>predpisu,</w:t>
      </w:r>
      <w:hyperlink r:id="rId6" w:anchor="poznamky.poznamka-3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výsluhového dôchodku,</w:t>
      </w:r>
      <w:hyperlink r:id="rId6" w:anchor="poznamky.poznamka-38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výsluhového dôchodku,</w:t>
      </w:r>
      <w:hyperlink r:id="rId6" w:anchor="poznamky.poznamka-38a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38a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dôchodku a čiastočného invalidného dôchodku,</w:t>
      </w:r>
      <w:hyperlink r:id="rId6" w:anchor="poznamky.poznamka-38b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38b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vdovského výsluhového dôchodku,</w:t>
      </w:r>
      <w:hyperlink r:id="rId6" w:anchor="poznamky.poznamka-38c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38c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vdoveckého výsluhového dôchodku</w:t>
      </w:r>
      <w:hyperlink r:id="rId6" w:anchor="poznamky.poznamka-38d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38d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a obdobného dôchodku vyplácaného z cudziny, ktoré majú byť vyplácané ku dňu povinnosti poistiteľa plniť zo</w:t>
      </w:r>
      <w:r>
        <w:rPr>
          <w:rFonts w:ascii="Times New Roman" w:hAnsi="Times New Roman"/>
          <w:sz w:val="24"/>
          <w:szCs w:val="24"/>
        </w:rPr>
        <w:t xml:space="preserve"> zmluvy o poistení dôchodku, a sumy doživotného starobného dôchodku alebo doživotného predčasného starobného dôchodku ku dňu evidencie poznámky o uzatvorení zmluvy o poistení dôchodku, na základe ktorej sa bude vyplácať dočasný starobný dôchodok alebo dočasný predčasný starobný dôchodok, je vyšší ako platná referenčná suma podľa §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 ods. 6  sa za slová „doživotný predčasný starobný dôchodok,“ vkladajú slová „zmluvy o poistení dôchodku, na základe ktorej sa vypláca dočasný starobný dôchodok alebo dočasný predčasný starobný dôchodok, alebo dohody o vyplácaní dôchodku programovým výberom“.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33a odsek 2 znie:</w:t>
      </w:r>
    </w:p>
    <w:p w:rsidR="00D93DB9" w:rsidRPr="00CD25D5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25D5">
        <w:rPr>
          <w:rFonts w:ascii="Times New Roman" w:hAnsi="Times New Roman"/>
          <w:sz w:val="24"/>
          <w:szCs w:val="24"/>
        </w:rPr>
        <w:t>„(2) Vyplácanie starobného dôchodku a predčasného starobného dôchodku programovým výberom možno dohodnúť, ak súčet súm dôchodkových dávok podľa osobitného predpisu,</w:t>
      </w:r>
      <w:hyperlink r:id="rId6" w:anchor="poznamky.poznamka-3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výsluhového dôchodku,</w:t>
      </w:r>
      <w:hyperlink r:id="rId6" w:anchor="poznamky.poznamka-38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výsluhového dôchodku,</w:t>
      </w:r>
      <w:hyperlink r:id="rId6" w:anchor="poznamky.poznamka-38a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38a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invalidného dôchodku a čiastočného invalidného dôchodku,</w:t>
      </w:r>
      <w:hyperlink r:id="rId6" w:anchor="poznamky.poznamka-38b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38b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vdovského výsluhového dôchodku,</w:t>
      </w:r>
      <w:hyperlink r:id="rId6" w:anchor="poznamky.poznamka-38c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38c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vdoveckého výsluhového dôchodku</w:t>
      </w:r>
      <w:hyperlink r:id="rId6" w:anchor="poznamky.poznamka-38d" w:tooltip="Odkaz na predpis alebo ustanovenie" w:history="1">
        <w:r w:rsidRPr="00CD25D5">
          <w:rPr>
            <w:rStyle w:val="Hyperlink"/>
            <w:color w:val="auto"/>
            <w:sz w:val="24"/>
            <w:szCs w:val="24"/>
            <w:u w:val="none"/>
            <w:effect w:val="none"/>
            <w:vertAlign w:val="superscript"/>
          </w:rPr>
          <w:t>38d</w:t>
        </w:r>
        <w:r w:rsidRPr="00CD25D5">
          <w:rPr>
            <w:rStyle w:val="Hyperlink"/>
            <w:color w:val="auto"/>
            <w:sz w:val="24"/>
            <w:szCs w:val="24"/>
            <w:u w:val="none"/>
            <w:effect w:val="none"/>
          </w:rPr>
          <w:t>)</w:t>
        </w:r>
      </w:hyperlink>
      <w:r w:rsidRPr="00CD25D5">
        <w:rPr>
          <w:rFonts w:ascii="Times New Roman" w:hAnsi="Times New Roman"/>
          <w:sz w:val="24"/>
          <w:szCs w:val="24"/>
        </w:rPr>
        <w:t> a obdobného dôchodku vyplácaného z cudziny, ktoré majú byť vyplácané ku dňu účinnosti dohody o vyplácaní dôchodku programovým výberom, a sumy doživotného starobného dôchodku alebo doživotného predčasného starobného dôchodku ku dňu evidencie poznámky o uzatvorení dohody o vyplácaní dôchodku programovým výberom je vyšší ako platná referenčná suma podľa § 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33a ods. 8 sa za slová „predčasný starobný dôchodok,“ vkladajú slová „zmluvy o poistení dôchodku, na základe ktorej sa vypláca dočasný starobný dôchodok alebo dočasný predčasný starobný dôchodok, alebo dohody o vyplácaní dôchodku programovým výberom“.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sa vypúšťa odsek 1.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2 až 4 sa označujú ako odseky 1 až 3.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ods. 1 písm. a) sa slovo „alebo“ nahrádza čiarkou.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ods. 1 písm. b) sa vypúšťajú slová „ods. 2 alebo“.</w:t>
      </w:r>
    </w:p>
    <w:p w:rsidR="00D93DB9" w:rsidP="00D93DB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46d sa odsek 1 dopĺňa písmenami c) a d), ktoré znejú:</w:t>
      </w:r>
    </w:p>
    <w:p w:rsidR="00D93DB9" w:rsidP="00D93DB9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sa podmienky vyplácania starobného dôchodku alebo predčasného starobného dôchodku programovým výberom podľa § 33a ods. 8 považujú za splnené a nemá záväznú ponuku podľa § 46, 46a a 46b alebo</w:t>
      </w:r>
    </w:p>
    <w:p w:rsidR="00D93DB9" w:rsidP="00D93DB9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="00D41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d) spĺňa podmienky vyplácania starobného dôchodku alebo predčasného starobného dôchodku programovým výberom podľa § 33a ods. 2 a dôchodková správcovská spoločnosť, s ktorou má uzatvorenú zmluvu o starobnom dôchodkovom sporení, mu nepredložila záväznú ponuku podľa § 46b, a to do</w:t>
      </w:r>
    </w:p>
    <w:p w:rsidR="00D93DB9" w:rsidP="00D93DB9">
      <w:pPr>
        <w:pStyle w:val="ListParagraph"/>
        <w:numPr>
          <w:numId w:val="18"/>
        </w:numPr>
        <w:bidi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konca kalendárneho roka, v ktorom bola sporiteľovi vyhotovená ponuka podľa § 46, 46a a 46b, ak bola ponuka vyhotovená od 1. januára do 31. októbra kalendárneho roka, </w:t>
      </w:r>
    </w:p>
    <w:p w:rsidR="00D93DB9" w:rsidP="00D93DB9">
      <w:pPr>
        <w:pStyle w:val="ListParagraph"/>
        <w:numPr>
          <w:numId w:val="18"/>
        </w:numPr>
        <w:bidi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dní od skončenia záväznosti ponúk podľa § 46, 46a a 46b, ak bola ponuka vyhotovená od 1. novembra do 31. decembra kalendárneho roka.“.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46d sa vkladá § 46da, ktorý vrátane nadpisu znie: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207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207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207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207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46da</w:t>
      </w:r>
    </w:p>
    <w:p w:rsidR="00D93DB9" w:rsidP="00D93DB9">
      <w:pPr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Referenčná suma 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Referenčná suma je priemerná mesačná suma starobného dôchodku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určená k 30. novembru kalendárneho roka.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Na určenie referenčnej sumy sa použije starobný dôchodok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ktorý vznikol nárok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po 31. decembri 2003 a nárok na výplatu ktorého trvá ku dňu, ku ktorému sa referenčná suma určuje, 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 by sa vyplácal v sume nezníženej za obdobie účasti na starobnom dôchodkovom sporení, ak nárok na starobný dôchodok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vznikol poistencovi, ktorý je alebo bol sporiteľom, a</w:t>
      </w:r>
    </w:p>
    <w:p w:rsidR="00D93DB9" w:rsidP="00D93DB9">
      <w:pPr>
        <w:pStyle w:val="ListParagraph"/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 nebol znížený z dôvodu súbehu s inou dôchodkovou dávkou.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416B8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Referenčná suma je platná v kalendárnom roku nasledujúcom po kalendárnom roku, v ktorom sa určila.“.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ods. 2 písm. l) sa slová „odseku 10“ nahrádzajú slovami „odseku 11“.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sa odsek 2 dopĺňa písmenom p), ktoré znie: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„p) o referenčnej sume podľa § 46da.“.</w:t>
      </w:r>
    </w:p>
    <w:p w:rsidR="00D93DB9" w:rsidP="00D93DB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46e sa za odsek 9 vkladá odsek 10, ktorý znie:</w:t>
      </w:r>
    </w:p>
    <w:p w:rsidR="00D93DB9" w:rsidP="00D416B8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„(10) Sociálna poisťovňa na svojom webovom sídle zverejní </w:t>
      </w:r>
    </w:p>
    <w:p w:rsidR="00D93DB9" w:rsidP="00D93DB9">
      <w:pPr>
        <w:pStyle w:val="ListParagraph"/>
        <w:numPr>
          <w:numId w:val="2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referenčnú sumu podľa § 46da do 31. decembra kalendárneho roka, v ktorom sa referenčná suma určuje,</w:t>
      </w:r>
    </w:p>
    <w:p w:rsidR="00D93DB9" w:rsidP="00D93DB9">
      <w:pPr>
        <w:pStyle w:val="ListParagraph"/>
        <w:numPr>
          <w:numId w:val="2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priemernú sumu starobného dôchodku, predčasného starobného dôchodku, pozostalostného dôchodku a výnosu z investovania do 31. januára kalendárneho roka, ktorý nasleduje po kalendárnom roku, za ktorý sa tieto priemerné sumy určujú.“.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10 sa označuje ako odsek 11.</w:t>
      </w:r>
    </w:p>
    <w:p w:rsidR="00D93DB9" w:rsidP="00D93DB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727AA" w:rsidRPr="00E41351" w:rsidP="00A054C7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92 ods. 1 písm. a) až j) sa za slovo „majetku“  pripájajú tieto slová: „zodpovedajúcej aktuálnej hodnote dôchodkových jednotiek pripísaných z povinných príspevkov“.</w:t>
      </w:r>
    </w:p>
    <w:p w:rsidR="004727AA" w:rsidP="00A054C7">
      <w:pPr>
        <w:pStyle w:val="ListParagraph"/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7AA" w:rsidRPr="00E41351" w:rsidP="00A054C7">
      <w:pPr>
        <w:pStyle w:val="ListParagraph"/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 92 ods. 3 sa slová „čistej hodnoty svojho majetku“ nahrádzajú slovami „sumy uvedenej v certifikáte“ a slová „všetok majetok sporiteľa“ sa nahrádzajú slovami „majetok sporiteľa zodpovedajúci sume uvedenej v certifikáte“.</w:t>
      </w:r>
    </w:p>
    <w:p w:rsidR="004727AA" w:rsidP="00A054C7">
      <w:pPr>
        <w:pStyle w:val="ListParagraph"/>
        <w:bidi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93DB9" w:rsidP="00D93DB9">
      <w:pPr>
        <w:pStyle w:val="ListParagraph"/>
        <w:numPr>
          <w:numId w:val="17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="0046226F">
        <w:rPr>
          <w:rFonts w:ascii="Times New Roman" w:hAnsi="Times New Roman"/>
          <w:sz w:val="24"/>
          <w:szCs w:val="24"/>
        </w:rPr>
        <w:t>Za § 123as</w:t>
      </w:r>
      <w:r w:rsidRPr="0046226F" w:rsidR="0046226F">
        <w:rPr>
          <w:rFonts w:ascii="Times New Roman" w:hAnsi="Times New Roman"/>
          <w:sz w:val="24"/>
          <w:szCs w:val="24"/>
        </w:rPr>
        <w:t xml:space="preserve"> </w:t>
      </w:r>
      <w:r w:rsidRPr="00240AD4" w:rsidR="0046226F">
        <w:rPr>
          <w:rFonts w:ascii="Times New Roman" w:hAnsi="Times New Roman"/>
          <w:sz w:val="24"/>
          <w:szCs w:val="24"/>
        </w:rPr>
        <w:t>sa vkladá § 123at, ktorý vrátane nadpisu znie:</w:t>
      </w:r>
    </w:p>
    <w:p w:rsidR="00D416B8" w:rsidP="00D93DB9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6226F" w:rsidRPr="0046226F" w:rsidP="0046226F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26F">
        <w:rPr>
          <w:rFonts w:ascii="Times New Roman" w:hAnsi="Times New Roman" w:cs="Times New Roman"/>
          <w:sz w:val="24"/>
          <w:szCs w:val="24"/>
        </w:rPr>
        <w:t>„§ 123at</w:t>
      </w:r>
    </w:p>
    <w:p w:rsidR="0046226F" w:rsidRPr="0046226F" w:rsidP="0046226F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26F">
        <w:rPr>
          <w:rFonts w:ascii="Times New Roman" w:hAnsi="Times New Roman" w:cs="Times New Roman"/>
          <w:sz w:val="24"/>
          <w:szCs w:val="24"/>
        </w:rPr>
        <w:t>Prechodné ustanovenie k úpravám účinným od 1. februára 2018</w:t>
      </w:r>
    </w:p>
    <w:p w:rsidR="0046226F" w:rsidRPr="0046226F" w:rsidP="0046226F">
      <w:pPr>
        <w:bidi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226F" w:rsidRPr="0046226F" w:rsidP="0046226F">
      <w:pPr>
        <w:bidi w:val="0"/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26F">
        <w:rPr>
          <w:rFonts w:ascii="Times New Roman" w:hAnsi="Times New Roman" w:cs="Times New Roman"/>
          <w:sz w:val="24"/>
          <w:szCs w:val="24"/>
        </w:rPr>
        <w:t>Referenčná suma platná v kalendárnom roku 2018 je referenčná suma určená Sociálnou poisťovňou k 30. novembru 2017. Sociálna poisťovňa zverejní referenčnú sumu podľa p</w:t>
      </w:r>
      <w:r>
        <w:rPr>
          <w:rFonts w:ascii="Times New Roman" w:hAnsi="Times New Roman" w:cs="Times New Roman"/>
          <w:sz w:val="24"/>
          <w:szCs w:val="24"/>
        </w:rPr>
        <w:t>rvej vety 1. februára 2018.“.</w:t>
      </w: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DB9" w:rsidP="00D93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93DB9" w:rsidP="00D93DB9">
      <w:pPr>
        <w:bidi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3DB9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</w:t>
      </w:r>
      <w:r w:rsidR="0046226F">
        <w:rPr>
          <w:rFonts w:ascii="Times New Roman" w:hAnsi="Times New Roman"/>
          <w:sz w:val="24"/>
          <w:szCs w:val="24"/>
        </w:rPr>
        <w:t>. februára 2018</w:t>
      </w:r>
      <w:r>
        <w:rPr>
          <w:rFonts w:ascii="Times New Roman" w:hAnsi="Times New Roman"/>
          <w:sz w:val="24"/>
          <w:szCs w:val="24"/>
        </w:rPr>
        <w:t>.</w:t>
      </w: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5A54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E3207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5E3207" w:rsidRPr="005E3207" w:rsidP="005E320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E3207" w:rsidP="005E320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C5A54" w:rsidRPr="005E3207" w:rsidP="005E320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E3207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207" w:rsidRPr="005E3207" w:rsidP="005E320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E3207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5E3207" w:rsidRPr="005E3207" w:rsidP="005E3207">
      <w:pPr>
        <w:bidi w:val="0"/>
        <w:jc w:val="both"/>
        <w:rPr>
          <w:rFonts w:ascii="Times New Roman" w:hAnsi="Times New Roman" w:cs="Times New Roman"/>
          <w:sz w:val="20"/>
          <w:szCs w:val="20"/>
        </w:rPr>
      </w:pPr>
    </w:p>
    <w:p w:rsidR="005E3207" w:rsidP="00D416B8">
      <w:pPr>
        <w:bidi w:val="0"/>
        <w:spacing w:after="0" w:line="240" w:lineRule="auto"/>
        <w:ind w:firstLine="708"/>
        <w:rPr>
          <w:rFonts w:ascii="Times New Roman" w:hAnsi="Times New Roman"/>
          <w:b/>
          <w:strike/>
          <w:sz w:val="24"/>
          <w:szCs w:val="24"/>
        </w:rPr>
      </w:pPr>
    </w:p>
    <w:p w:rsidR="00D93DB9" w:rsidP="00D93D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1586" w:rsidP="00061586">
      <w:pPr>
        <w:bidi w:val="0"/>
        <w:rPr>
          <w:rFonts w:asciiTheme="minorHAnsi" w:hAnsiTheme="minorHAnsi"/>
        </w:rPr>
      </w:pP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4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DC5A54">
      <w:rPr>
        <w:noProof/>
      </w:rPr>
      <w:t>4</w:t>
    </w:r>
    <w:r>
      <w:fldChar w:fldCharType="end"/>
    </w:r>
  </w:p>
  <w:p w:rsidR="00CC164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23A7331"/>
    <w:multiLevelType w:val="hybridMultilevel"/>
    <w:tmpl w:val="3EF48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3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24CC5C28"/>
    <w:multiLevelType w:val="hybridMultilevel"/>
    <w:tmpl w:val="08A649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9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1">
    <w:nsid w:val="402472D5"/>
    <w:multiLevelType w:val="hybridMultilevel"/>
    <w:tmpl w:val="751415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3606823"/>
    <w:multiLevelType w:val="hybridMultilevel"/>
    <w:tmpl w:val="97D088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8"/>
  </w:num>
  <w:num w:numId="9">
    <w:abstractNumId w:val="10"/>
  </w:num>
  <w:num w:numId="10">
    <w:abstractNumId w:val="12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50038"/>
    <w:rsid w:val="00061586"/>
    <w:rsid w:val="00071DAB"/>
    <w:rsid w:val="00071F04"/>
    <w:rsid w:val="00080EF0"/>
    <w:rsid w:val="000845FA"/>
    <w:rsid w:val="0008740A"/>
    <w:rsid w:val="000A6FCD"/>
    <w:rsid w:val="000B5D60"/>
    <w:rsid w:val="000D2D05"/>
    <w:rsid w:val="000E07B0"/>
    <w:rsid w:val="000E48BF"/>
    <w:rsid w:val="000F0405"/>
    <w:rsid w:val="000F50F9"/>
    <w:rsid w:val="001010EA"/>
    <w:rsid w:val="00106B9D"/>
    <w:rsid w:val="001074A5"/>
    <w:rsid w:val="0011103B"/>
    <w:rsid w:val="001362B3"/>
    <w:rsid w:val="0015035B"/>
    <w:rsid w:val="001541D8"/>
    <w:rsid w:val="001B375C"/>
    <w:rsid w:val="001B5064"/>
    <w:rsid w:val="001B5E28"/>
    <w:rsid w:val="001C5D57"/>
    <w:rsid w:val="001D1498"/>
    <w:rsid w:val="00240AD4"/>
    <w:rsid w:val="002412D3"/>
    <w:rsid w:val="0024500F"/>
    <w:rsid w:val="00245B34"/>
    <w:rsid w:val="00252CF3"/>
    <w:rsid w:val="002557B8"/>
    <w:rsid w:val="002626A5"/>
    <w:rsid w:val="00264FE4"/>
    <w:rsid w:val="00267B2E"/>
    <w:rsid w:val="002952B3"/>
    <w:rsid w:val="002969CB"/>
    <w:rsid w:val="002B1908"/>
    <w:rsid w:val="002C15B3"/>
    <w:rsid w:val="002C1FC2"/>
    <w:rsid w:val="002C6671"/>
    <w:rsid w:val="002E127F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C446E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6226F"/>
    <w:rsid w:val="00471B1D"/>
    <w:rsid w:val="004727AA"/>
    <w:rsid w:val="00472948"/>
    <w:rsid w:val="00481567"/>
    <w:rsid w:val="004945DD"/>
    <w:rsid w:val="004963E4"/>
    <w:rsid w:val="00497815"/>
    <w:rsid w:val="004B5697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E3207"/>
    <w:rsid w:val="005F1D7C"/>
    <w:rsid w:val="00600195"/>
    <w:rsid w:val="00607937"/>
    <w:rsid w:val="00612816"/>
    <w:rsid w:val="00614147"/>
    <w:rsid w:val="006241BC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30C68"/>
    <w:rsid w:val="008518A7"/>
    <w:rsid w:val="008541FB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81AB7"/>
    <w:rsid w:val="009904B5"/>
    <w:rsid w:val="009E4B13"/>
    <w:rsid w:val="00A054C7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67844"/>
    <w:rsid w:val="00B7448F"/>
    <w:rsid w:val="00B779E8"/>
    <w:rsid w:val="00B9058C"/>
    <w:rsid w:val="00BE0739"/>
    <w:rsid w:val="00BE376D"/>
    <w:rsid w:val="00BE7E79"/>
    <w:rsid w:val="00BF041D"/>
    <w:rsid w:val="00C0067B"/>
    <w:rsid w:val="00C15770"/>
    <w:rsid w:val="00C16F5E"/>
    <w:rsid w:val="00C2591E"/>
    <w:rsid w:val="00C42A71"/>
    <w:rsid w:val="00C52600"/>
    <w:rsid w:val="00C52960"/>
    <w:rsid w:val="00C70C43"/>
    <w:rsid w:val="00C757F0"/>
    <w:rsid w:val="00C7672E"/>
    <w:rsid w:val="00C84CC7"/>
    <w:rsid w:val="00C97C7A"/>
    <w:rsid w:val="00CA03A0"/>
    <w:rsid w:val="00CB4997"/>
    <w:rsid w:val="00CC164C"/>
    <w:rsid w:val="00CD0391"/>
    <w:rsid w:val="00CD25D5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416B8"/>
    <w:rsid w:val="00D540A3"/>
    <w:rsid w:val="00D552B0"/>
    <w:rsid w:val="00D55D4E"/>
    <w:rsid w:val="00D86C12"/>
    <w:rsid w:val="00D93DB9"/>
    <w:rsid w:val="00DB4F1D"/>
    <w:rsid w:val="00DB546C"/>
    <w:rsid w:val="00DC1401"/>
    <w:rsid w:val="00DC5A54"/>
    <w:rsid w:val="00DF3971"/>
    <w:rsid w:val="00E0684E"/>
    <w:rsid w:val="00E1661A"/>
    <w:rsid w:val="00E41351"/>
    <w:rsid w:val="00E51E3B"/>
    <w:rsid w:val="00E54DFC"/>
    <w:rsid w:val="00E607CC"/>
    <w:rsid w:val="00E65876"/>
    <w:rsid w:val="00E709C5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74E11"/>
    <w:rsid w:val="00FA3C0D"/>
    <w:rsid w:val="00FA47AA"/>
    <w:rsid w:val="00FA4EDE"/>
    <w:rsid w:val="00FB116C"/>
    <w:rsid w:val="00FC264F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CC164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C164C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C164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C164C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04/43/20160101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4F60407-2E96-4FD6-92B6-978AC056B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4</Pages>
  <Words>1278</Words>
  <Characters>7286</Characters>
  <Application>Microsoft Office Word</Application>
  <DocSecurity>0</DocSecurity>
  <Lines>0</Lines>
  <Paragraphs>0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Hircová, Ružena</cp:lastModifiedBy>
  <cp:revision>4</cp:revision>
  <cp:lastPrinted>2017-03-23T10:42:00Z</cp:lastPrinted>
  <dcterms:created xsi:type="dcterms:W3CDTF">2017-03-23T10:38:00Z</dcterms:created>
  <dcterms:modified xsi:type="dcterms:W3CDTF">2017-03-23T10:43:00Z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