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1E00" w:rsidRPr="003C0123" w:rsidP="00B01E00">
      <w:pPr>
        <w:pBdr>
          <w:bottom w:val="single" w:sz="4" w:space="1" w:color="auto"/>
        </w:pBdr>
        <w:bidi w:val="0"/>
        <w:jc w:val="both"/>
        <w:rPr>
          <w:rFonts w:ascii="Times New Roman" w:hAnsi="Times New Roman"/>
          <w:b/>
          <w:smallCaps/>
          <w:sz w:val="28"/>
          <w:szCs w:val="28"/>
        </w:rPr>
      </w:pPr>
      <w:bookmarkStart w:id="0" w:name="VLASTmat"/>
      <w:r w:rsidRPr="003C0123">
        <w:rPr>
          <w:rFonts w:ascii="Times New Roman" w:hAnsi="Times New Roman"/>
          <w:b/>
          <w:smallCaps/>
          <w:sz w:val="28"/>
          <w:szCs w:val="28"/>
        </w:rPr>
        <w:t>Správa o priebehu a výsledkoch predsedníctva SR v Rade Európskej únie</w:t>
      </w:r>
    </w:p>
    <w:p w:rsidR="00B01E00" w:rsidP="00B01E00">
      <w:pPr>
        <w:bidi w:val="0"/>
        <w:contextualSpacing/>
        <w:jc w:val="center"/>
        <w:rPr>
          <w:rFonts w:ascii="Times New Roman" w:hAnsi="Times New Roman"/>
          <w:b/>
        </w:rPr>
      </w:pPr>
      <w:bookmarkEnd w:id="0"/>
    </w:p>
    <w:p w:rsidR="00B01E00" w:rsidRPr="00A25609" w:rsidP="00B01E00">
      <w:pPr>
        <w:bidi w:val="0"/>
        <w:rPr>
          <w:rFonts w:ascii="Times New Roman" w:hAnsi="Times New Roman"/>
        </w:rPr>
      </w:pPr>
    </w:p>
    <w:p w:rsidR="00894D87" w:rsidP="00B01E00">
      <w:pPr>
        <w:bidi w:val="0"/>
        <w:rPr>
          <w:rFonts w:ascii="Times New Roman" w:hAnsi="Times New Roman"/>
        </w:rPr>
      </w:pPr>
    </w:p>
    <w:p w:rsidR="00221D69" w:rsidP="00B01E00">
      <w:pPr>
        <w:bidi w:val="0"/>
        <w:rPr>
          <w:rFonts w:ascii="Times New Roman" w:hAnsi="Times New Roman"/>
        </w:rPr>
      </w:pPr>
    </w:p>
    <w:p w:rsidR="00221D69" w:rsidP="00B01E00">
      <w:pPr>
        <w:bidi w:val="0"/>
        <w:rPr>
          <w:rFonts w:ascii="Times New Roman" w:hAnsi="Times New Roman"/>
        </w:rPr>
      </w:pPr>
    </w:p>
    <w:p w:rsidR="00221D69" w:rsidP="00B01E00">
      <w:pPr>
        <w:bidi w:val="0"/>
        <w:rPr>
          <w:rFonts w:ascii="Times New Roman" w:hAnsi="Times New Roman"/>
        </w:rPr>
      </w:pPr>
    </w:p>
    <w:p w:rsidR="00221D69" w:rsidRPr="00A25609" w:rsidP="00B01E00">
      <w:pPr>
        <w:bidi w:val="0"/>
        <w:rPr>
          <w:rFonts w:ascii="Times New Roman" w:hAnsi="Times New Roman"/>
        </w:rPr>
      </w:pPr>
    </w:p>
    <w:p w:rsidR="007C30ED">
      <w:pPr>
        <w:pStyle w:val="TOC1"/>
        <w:bidi w:val="0"/>
        <w:rPr>
          <w:rFonts w:asciiTheme="minorHAnsi" w:eastAsiaTheme="minorEastAsia" w:hAnsiTheme="minorHAnsi"/>
          <w:smallCaps w:val="0"/>
          <w:sz w:val="22"/>
          <w:szCs w:val="22"/>
        </w:rPr>
      </w:pPr>
      <w:r w:rsidR="00E73AE0">
        <w:rPr>
          <w:rFonts w:ascii="Times New Roman" w:hAnsi="Times New Roman"/>
        </w:rPr>
        <w:fldChar w:fldCharType="begin"/>
      </w:r>
      <w:r w:rsidR="00E73AE0">
        <w:rPr>
          <w:rFonts w:ascii="Times New Roman" w:hAnsi="Times New Roman"/>
        </w:rPr>
        <w:instrText xml:space="preserve"> TOC \h \z \t "Sprava SK PRES nadpis1;1;Sprava SK PRES nadpis2;2;Sprava SK PRES Prilohy;2" </w:instrText>
      </w:r>
      <w:r w:rsidR="00E73AE0">
        <w:rPr>
          <w:rFonts w:ascii="Times New Roman" w:hAnsi="Times New Roman"/>
        </w:rPr>
        <w:fldChar w:fldCharType="separate"/>
      </w:r>
      <w:hyperlink w:anchor="_Toc475948611" w:history="1">
        <w:r w:rsidRPr="00A92EB9">
          <w:rPr>
            <w:rStyle w:val="Hyperlink"/>
            <w:rFonts w:ascii="Times New Roman" w:hAnsi="Times New Roman"/>
          </w:rPr>
          <w:t>I.</w:t>
        </w:r>
        <w:r>
          <w:rPr>
            <w:rFonts w:asciiTheme="minorHAnsi" w:eastAsiaTheme="minorEastAsia" w:hAnsiTheme="minorHAnsi"/>
            <w:smallCaps w:val="0"/>
            <w:sz w:val="22"/>
            <w:szCs w:val="22"/>
          </w:rPr>
          <w:tab/>
        </w:r>
        <w:r w:rsidRPr="00A92EB9">
          <w:rPr>
            <w:rStyle w:val="Hyperlink"/>
            <w:rFonts w:ascii="Times New Roman" w:hAnsi="Times New Roman"/>
          </w:rPr>
          <w:t>Kontext predsedníctva SR v Rade EÚ</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_Toc475948611 \h </w:instrText>
        </w:r>
        <w:r>
          <w:rPr>
            <w:rFonts w:ascii="Times New Roman" w:hAnsi="Times New Roman"/>
            <w:webHidden/>
          </w:rPr>
          <w:fldChar w:fldCharType="separate"/>
        </w:r>
        <w:r w:rsidR="00C12FE7">
          <w:rPr>
            <w:rFonts w:ascii="Times New Roman" w:hAnsi="Times New Roman"/>
            <w:webHidden/>
          </w:rPr>
          <w:t>2</w:t>
        </w:r>
        <w:r>
          <w:rPr>
            <w:rFonts w:ascii="Times New Roman" w:hAnsi="Times New Roman"/>
            <w:webHidden/>
          </w:rPr>
          <w:fldChar w:fldCharType="end"/>
        </w:r>
      </w:hyperlink>
    </w:p>
    <w:p w:rsidR="007C30ED">
      <w:pPr>
        <w:pStyle w:val="TOC1"/>
        <w:bidi w:val="0"/>
        <w:rPr>
          <w:rFonts w:asciiTheme="minorHAnsi" w:eastAsiaTheme="minorEastAsia" w:hAnsiTheme="minorHAnsi"/>
          <w:smallCaps w:val="0"/>
          <w:sz w:val="22"/>
          <w:szCs w:val="22"/>
        </w:rPr>
      </w:pPr>
      <w:hyperlink w:anchor="_Toc475948612" w:history="1">
        <w:r w:rsidRPr="00A92EB9">
          <w:rPr>
            <w:rStyle w:val="Hyperlink"/>
            <w:rFonts w:ascii="Times New Roman" w:hAnsi="Times New Roman"/>
          </w:rPr>
          <w:t>II.</w:t>
        </w:r>
        <w:r>
          <w:rPr>
            <w:rFonts w:asciiTheme="minorHAnsi" w:eastAsiaTheme="minorEastAsia" w:hAnsiTheme="minorHAnsi"/>
            <w:smallCaps w:val="0"/>
            <w:sz w:val="22"/>
            <w:szCs w:val="22"/>
          </w:rPr>
          <w:tab/>
        </w:r>
        <w:r w:rsidRPr="00A92EB9">
          <w:rPr>
            <w:rStyle w:val="Hyperlink"/>
            <w:rFonts w:ascii="Times New Roman" w:hAnsi="Times New Roman"/>
          </w:rPr>
          <w:t>Bratislavský samit</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_Toc475948612 \h </w:instrText>
        </w:r>
        <w:r>
          <w:rPr>
            <w:rFonts w:ascii="Times New Roman" w:hAnsi="Times New Roman"/>
            <w:webHidden/>
          </w:rPr>
          <w:fldChar w:fldCharType="separate"/>
        </w:r>
        <w:r w:rsidR="00C12FE7">
          <w:rPr>
            <w:rFonts w:ascii="Times New Roman" w:hAnsi="Times New Roman"/>
            <w:webHidden/>
          </w:rPr>
          <w:t>4</w:t>
        </w:r>
        <w:r>
          <w:rPr>
            <w:rFonts w:ascii="Times New Roman" w:hAnsi="Times New Roman"/>
            <w:webHidden/>
          </w:rPr>
          <w:fldChar w:fldCharType="end"/>
        </w:r>
      </w:hyperlink>
    </w:p>
    <w:p w:rsidR="007C30ED">
      <w:pPr>
        <w:pStyle w:val="TOC1"/>
        <w:bidi w:val="0"/>
        <w:rPr>
          <w:rFonts w:asciiTheme="minorHAnsi" w:eastAsiaTheme="minorEastAsia" w:hAnsiTheme="minorHAnsi"/>
          <w:smallCaps w:val="0"/>
          <w:sz w:val="22"/>
          <w:szCs w:val="22"/>
        </w:rPr>
      </w:pPr>
      <w:hyperlink w:anchor="_Toc475948613" w:history="1">
        <w:r w:rsidRPr="00A92EB9">
          <w:rPr>
            <w:rStyle w:val="Hyperlink"/>
            <w:rFonts w:ascii="Times New Roman" w:hAnsi="Times New Roman"/>
          </w:rPr>
          <w:t>III.</w:t>
        </w:r>
        <w:r>
          <w:rPr>
            <w:rFonts w:asciiTheme="minorHAnsi" w:eastAsiaTheme="minorEastAsia" w:hAnsiTheme="minorHAnsi"/>
            <w:smallCaps w:val="0"/>
            <w:sz w:val="22"/>
            <w:szCs w:val="22"/>
          </w:rPr>
          <w:tab/>
        </w:r>
        <w:r w:rsidRPr="00A92EB9">
          <w:rPr>
            <w:rStyle w:val="Hyperlink"/>
            <w:rFonts w:ascii="Times New Roman" w:hAnsi="Times New Roman"/>
          </w:rPr>
          <w:t>Vyhodnotenie obsahových priorít slovenského predsedníctva  v Rade EÚ</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_Toc475948613 \h </w:instrText>
        </w:r>
        <w:r>
          <w:rPr>
            <w:rFonts w:ascii="Times New Roman" w:hAnsi="Times New Roman"/>
            <w:webHidden/>
          </w:rPr>
          <w:fldChar w:fldCharType="separate"/>
        </w:r>
        <w:r w:rsidR="00C12FE7">
          <w:rPr>
            <w:rFonts w:ascii="Times New Roman" w:hAnsi="Times New Roman"/>
            <w:webHidden/>
          </w:rPr>
          <w:t>5</w:t>
        </w:r>
        <w:r>
          <w:rPr>
            <w:rFonts w:ascii="Times New Roman" w:hAnsi="Times New Roman"/>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14" w:history="1">
        <w:r w:rsidRPr="00A92EB9">
          <w:rPr>
            <w:rStyle w:val="Hyperlink"/>
            <w:rFonts w:ascii="Times New Roman" w:hAnsi="Times New Roman"/>
            <w:noProof/>
          </w:rPr>
          <w:t>Hospodársky silná Európa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_Toc475948614 \h </w:instrText>
        </w:r>
        <w:r>
          <w:rPr>
            <w:rFonts w:ascii="Times New Roman" w:hAnsi="Times New Roman"/>
            <w:noProof/>
            <w:webHidden/>
          </w:rPr>
          <w:fldChar w:fldCharType="separate"/>
        </w:r>
        <w:r w:rsidR="00C12FE7">
          <w:rPr>
            <w:rFonts w:ascii="Times New Roman" w:hAnsi="Times New Roman"/>
            <w:noProof/>
            <w:webHidden/>
          </w:rPr>
          <w:t>5</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15" w:history="1">
        <w:r w:rsidRPr="00A92EB9">
          <w:rPr>
            <w:rStyle w:val="Hyperlink"/>
            <w:rFonts w:ascii="Times New Roman" w:hAnsi="Times New Roman"/>
            <w:noProof/>
          </w:rPr>
          <w:t>Moderný jednotný trh</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_Toc475948615 \h </w:instrText>
        </w:r>
        <w:r>
          <w:rPr>
            <w:rFonts w:ascii="Times New Roman" w:hAnsi="Times New Roman"/>
            <w:noProof/>
            <w:webHidden/>
          </w:rPr>
          <w:fldChar w:fldCharType="separate"/>
        </w:r>
        <w:r w:rsidR="00C12FE7">
          <w:rPr>
            <w:rFonts w:ascii="Times New Roman" w:hAnsi="Times New Roman"/>
            <w:noProof/>
            <w:webHidden/>
          </w:rPr>
          <w:t>7</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16" w:history="1">
        <w:r w:rsidRPr="00A92EB9">
          <w:rPr>
            <w:rStyle w:val="Hyperlink"/>
            <w:rFonts w:ascii="Times New Roman" w:hAnsi="Times New Roman"/>
            <w:noProof/>
          </w:rPr>
          <w:t>Udržateľná migračná a azylová politika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_Toc475948616 \h </w:instrText>
        </w:r>
        <w:r>
          <w:rPr>
            <w:rFonts w:ascii="Times New Roman" w:hAnsi="Times New Roman"/>
            <w:noProof/>
            <w:webHidden/>
          </w:rPr>
          <w:fldChar w:fldCharType="separate"/>
        </w:r>
        <w:r w:rsidR="00C12FE7">
          <w:rPr>
            <w:rFonts w:ascii="Times New Roman" w:hAnsi="Times New Roman"/>
            <w:noProof/>
            <w:webHidden/>
          </w:rPr>
          <w:t>8</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17" w:history="1">
        <w:r w:rsidRPr="00A92EB9">
          <w:rPr>
            <w:rStyle w:val="Hyperlink"/>
            <w:rFonts w:ascii="Times New Roman" w:hAnsi="Times New Roman"/>
            <w:noProof/>
          </w:rPr>
          <w:t>Globálne angažovaná Európa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_Toc475948617 \h </w:instrText>
        </w:r>
        <w:r>
          <w:rPr>
            <w:rFonts w:ascii="Times New Roman" w:hAnsi="Times New Roman"/>
            <w:noProof/>
            <w:webHidden/>
          </w:rPr>
          <w:fldChar w:fldCharType="separate"/>
        </w:r>
        <w:r w:rsidR="00C12FE7">
          <w:rPr>
            <w:rFonts w:ascii="Times New Roman" w:hAnsi="Times New Roman"/>
            <w:noProof/>
            <w:webHidden/>
          </w:rPr>
          <w:t>9</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18" w:history="1">
        <w:r w:rsidRPr="00A92EB9">
          <w:rPr>
            <w:rStyle w:val="Hyperlink"/>
            <w:rFonts w:ascii="Times New Roman" w:hAnsi="Times New Roman"/>
            <w:noProof/>
          </w:rPr>
          <w:t>Sumár hlavných výsledkov SK PRES vo vzťahu k občanom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_Toc475948618 \h </w:instrText>
        </w:r>
        <w:r>
          <w:rPr>
            <w:rFonts w:ascii="Times New Roman" w:hAnsi="Times New Roman"/>
            <w:noProof/>
            <w:webHidden/>
          </w:rPr>
          <w:fldChar w:fldCharType="separate"/>
        </w:r>
        <w:r w:rsidR="00C12FE7">
          <w:rPr>
            <w:rFonts w:ascii="Times New Roman" w:hAnsi="Times New Roman"/>
            <w:noProof/>
            <w:webHidden/>
          </w:rPr>
          <w:t>10</w:t>
        </w:r>
        <w:r>
          <w:rPr>
            <w:rFonts w:ascii="Times New Roman" w:hAnsi="Times New Roman"/>
            <w:noProof/>
            <w:webHidden/>
          </w:rPr>
          <w:fldChar w:fldCharType="end"/>
        </w:r>
      </w:hyperlink>
    </w:p>
    <w:p w:rsidR="007C30ED" w:rsidP="00CC7378">
      <w:pPr>
        <w:pStyle w:val="TOC1"/>
        <w:bidi w:val="0"/>
        <w:ind w:left="660" w:hanging="660"/>
        <w:rPr>
          <w:rFonts w:asciiTheme="minorHAnsi" w:eastAsiaTheme="minorEastAsia" w:hAnsiTheme="minorHAnsi"/>
          <w:smallCaps w:val="0"/>
          <w:sz w:val="22"/>
          <w:szCs w:val="22"/>
        </w:rPr>
      </w:pPr>
      <w:hyperlink w:anchor="_Toc475948619" w:history="1">
        <w:r w:rsidRPr="00A92EB9">
          <w:rPr>
            <w:rStyle w:val="Hyperlink"/>
            <w:rFonts w:ascii="Times New Roman" w:hAnsi="Times New Roman"/>
          </w:rPr>
          <w:t>IV.</w:t>
        </w:r>
        <w:r>
          <w:rPr>
            <w:rFonts w:asciiTheme="minorHAnsi" w:eastAsiaTheme="minorEastAsia" w:hAnsiTheme="minorHAnsi"/>
            <w:smallCaps w:val="0"/>
            <w:sz w:val="22"/>
            <w:szCs w:val="22"/>
          </w:rPr>
          <w:tab/>
        </w:r>
        <w:r w:rsidRPr="00A92EB9">
          <w:rPr>
            <w:rStyle w:val="Hyperlink"/>
            <w:rFonts w:ascii="Times New Roman" w:hAnsi="Times New Roman"/>
          </w:rPr>
          <w:t>Zabezpečenie výkonu SK PRES z organizačného, koordinačného, personálneho, komunikačného a prezentačného hľadiska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_Toc475948619 \h </w:instrText>
        </w:r>
        <w:r>
          <w:rPr>
            <w:rFonts w:ascii="Times New Roman" w:hAnsi="Times New Roman"/>
            <w:webHidden/>
          </w:rPr>
          <w:fldChar w:fldCharType="separate"/>
        </w:r>
        <w:r w:rsidR="00C12FE7">
          <w:rPr>
            <w:rFonts w:ascii="Times New Roman" w:hAnsi="Times New Roman"/>
            <w:webHidden/>
          </w:rPr>
          <w:t>13</w:t>
        </w:r>
        <w:r>
          <w:rPr>
            <w:rFonts w:ascii="Times New Roman" w:hAnsi="Times New Roman"/>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20" w:history="1">
        <w:r w:rsidRPr="00A92EB9">
          <w:rPr>
            <w:rStyle w:val="Hyperlink"/>
            <w:rFonts w:ascii="Times New Roman" w:hAnsi="Times New Roman"/>
            <w:noProof/>
          </w:rPr>
          <w:t>Organizačno-logistické zabezpečenie SK PRES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_Toc475948620 \h </w:instrText>
        </w:r>
        <w:r>
          <w:rPr>
            <w:rFonts w:ascii="Times New Roman" w:hAnsi="Times New Roman"/>
            <w:noProof/>
            <w:webHidden/>
          </w:rPr>
          <w:fldChar w:fldCharType="separate"/>
        </w:r>
        <w:r w:rsidR="00C12FE7">
          <w:rPr>
            <w:rFonts w:ascii="Times New Roman" w:hAnsi="Times New Roman"/>
            <w:noProof/>
            <w:webHidden/>
          </w:rPr>
          <w:t>13</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21" w:history="1">
        <w:r w:rsidRPr="00A92EB9">
          <w:rPr>
            <w:rStyle w:val="Hyperlink"/>
            <w:rFonts w:ascii="Times New Roman" w:hAnsi="Times New Roman"/>
            <w:noProof/>
          </w:rPr>
          <w:t>Rozpočet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_Toc475948621 \h </w:instrText>
        </w:r>
        <w:r>
          <w:rPr>
            <w:rFonts w:ascii="Times New Roman" w:hAnsi="Times New Roman"/>
            <w:noProof/>
            <w:webHidden/>
          </w:rPr>
          <w:fldChar w:fldCharType="separate"/>
        </w:r>
        <w:r w:rsidR="00C12FE7">
          <w:rPr>
            <w:rFonts w:ascii="Times New Roman" w:hAnsi="Times New Roman"/>
            <w:noProof/>
            <w:webHidden/>
          </w:rPr>
          <w:t>14</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22" w:history="1">
        <w:r w:rsidRPr="00A92EB9">
          <w:rPr>
            <w:rStyle w:val="Hyperlink"/>
            <w:rFonts w:ascii="Times New Roman" w:hAnsi="Times New Roman"/>
            <w:noProof/>
          </w:rPr>
          <w:t>Manažment ľudských zdrojov</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_Toc475948622 \h </w:instrText>
        </w:r>
        <w:r>
          <w:rPr>
            <w:rFonts w:ascii="Times New Roman" w:hAnsi="Times New Roman"/>
            <w:noProof/>
            <w:webHidden/>
          </w:rPr>
          <w:fldChar w:fldCharType="separate"/>
        </w:r>
        <w:r w:rsidR="00C12FE7">
          <w:rPr>
            <w:rFonts w:ascii="Times New Roman" w:hAnsi="Times New Roman"/>
            <w:noProof/>
            <w:webHidden/>
          </w:rPr>
          <w:t>16</w:t>
        </w:r>
        <w:r>
          <w:rPr>
            <w:rFonts w:ascii="Times New Roman" w:hAnsi="Times New Roman"/>
            <w:noProof/>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23" w:history="1">
        <w:r w:rsidRPr="00A92EB9">
          <w:rPr>
            <w:rStyle w:val="Hyperlink"/>
            <w:rFonts w:ascii="Times New Roman" w:hAnsi="Times New Roman"/>
            <w:noProof/>
          </w:rPr>
          <w:t>Komunikácia a prezentácia SK PRES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_Toc475948623 \h </w:instrText>
        </w:r>
        <w:r>
          <w:rPr>
            <w:rFonts w:ascii="Times New Roman" w:hAnsi="Times New Roman"/>
            <w:noProof/>
            <w:webHidden/>
          </w:rPr>
          <w:fldChar w:fldCharType="separate"/>
        </w:r>
        <w:r w:rsidR="00C12FE7">
          <w:rPr>
            <w:rFonts w:ascii="Times New Roman" w:hAnsi="Times New Roman"/>
            <w:noProof/>
            <w:webHidden/>
          </w:rPr>
          <w:t>19</w:t>
        </w:r>
        <w:r>
          <w:rPr>
            <w:rFonts w:ascii="Times New Roman" w:hAnsi="Times New Roman"/>
            <w:noProof/>
            <w:webHidden/>
          </w:rPr>
          <w:fldChar w:fldCharType="end"/>
        </w:r>
      </w:hyperlink>
    </w:p>
    <w:p w:rsidR="007C30ED">
      <w:pPr>
        <w:pStyle w:val="TOC1"/>
        <w:bidi w:val="0"/>
        <w:rPr>
          <w:rFonts w:asciiTheme="minorHAnsi" w:eastAsiaTheme="minorEastAsia" w:hAnsiTheme="minorHAnsi"/>
          <w:smallCaps w:val="0"/>
          <w:sz w:val="22"/>
          <w:szCs w:val="22"/>
        </w:rPr>
      </w:pPr>
      <w:hyperlink w:anchor="_Toc475948624" w:history="1">
        <w:r w:rsidRPr="00A92EB9">
          <w:rPr>
            <w:rStyle w:val="Hyperlink"/>
            <w:rFonts w:ascii="Times New Roman" w:hAnsi="Times New Roman"/>
          </w:rPr>
          <w:t>V.</w:t>
        </w:r>
        <w:r>
          <w:rPr>
            <w:rFonts w:asciiTheme="minorHAnsi" w:eastAsiaTheme="minorEastAsia" w:hAnsiTheme="minorHAnsi"/>
            <w:smallCaps w:val="0"/>
            <w:sz w:val="22"/>
            <w:szCs w:val="22"/>
          </w:rPr>
          <w:tab/>
        </w:r>
        <w:r w:rsidRPr="00A92EB9">
          <w:rPr>
            <w:rStyle w:val="Hyperlink"/>
            <w:rFonts w:ascii="Times New Roman" w:hAnsi="Times New Roman"/>
          </w:rPr>
          <w:t>Záver</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_Toc475948624 \h </w:instrText>
        </w:r>
        <w:r>
          <w:rPr>
            <w:rFonts w:ascii="Times New Roman" w:hAnsi="Times New Roman"/>
            <w:webHidden/>
          </w:rPr>
          <w:fldChar w:fldCharType="separate"/>
        </w:r>
        <w:r w:rsidR="00C12FE7">
          <w:rPr>
            <w:rFonts w:ascii="Times New Roman" w:hAnsi="Times New Roman"/>
            <w:webHidden/>
          </w:rPr>
          <w:t>22</w:t>
        </w:r>
        <w:r>
          <w:rPr>
            <w:rFonts w:ascii="Times New Roman" w:hAnsi="Times New Roman"/>
            <w:webHidden/>
          </w:rPr>
          <w:fldChar w:fldCharType="end"/>
        </w:r>
      </w:hyperlink>
    </w:p>
    <w:p w:rsidR="007C30ED">
      <w:pPr>
        <w:pStyle w:val="TOC1"/>
        <w:bidi w:val="0"/>
        <w:rPr>
          <w:rFonts w:asciiTheme="minorHAnsi" w:eastAsiaTheme="minorEastAsia" w:hAnsiTheme="minorHAnsi"/>
          <w:smallCaps w:val="0"/>
          <w:sz w:val="22"/>
          <w:szCs w:val="22"/>
        </w:rPr>
      </w:pPr>
      <w:hyperlink w:anchor="_Toc475948625" w:history="1">
        <w:r w:rsidRPr="00A92EB9">
          <w:rPr>
            <w:rStyle w:val="Hyperlink"/>
            <w:rFonts w:ascii="Times New Roman" w:hAnsi="Times New Roman"/>
          </w:rPr>
          <w:t>VI.</w:t>
        </w:r>
        <w:r>
          <w:rPr>
            <w:rFonts w:asciiTheme="minorHAnsi" w:eastAsiaTheme="minorEastAsia" w:hAnsiTheme="minorHAnsi"/>
            <w:smallCaps w:val="0"/>
            <w:sz w:val="22"/>
            <w:szCs w:val="22"/>
          </w:rPr>
          <w:tab/>
        </w:r>
        <w:r w:rsidRPr="00A92EB9">
          <w:rPr>
            <w:rStyle w:val="Hyperlink"/>
            <w:rFonts w:ascii="Times New Roman" w:hAnsi="Times New Roman"/>
          </w:rPr>
          <w:t>Prílohy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_Toc475948625 \h </w:instrText>
        </w:r>
        <w:r>
          <w:rPr>
            <w:rFonts w:ascii="Times New Roman" w:hAnsi="Times New Roman"/>
            <w:webHidden/>
          </w:rPr>
          <w:fldChar w:fldCharType="separate"/>
        </w:r>
        <w:r w:rsidR="00C12FE7">
          <w:rPr>
            <w:rFonts w:ascii="Times New Roman" w:hAnsi="Times New Roman"/>
            <w:webHidden/>
          </w:rPr>
          <w:t>23</w:t>
        </w:r>
        <w:r>
          <w:rPr>
            <w:rFonts w:ascii="Times New Roman" w:hAnsi="Times New Roman"/>
            <w:webHidden/>
          </w:rPr>
          <w:fldChar w:fldCharType="end"/>
        </w:r>
      </w:hyperlink>
    </w:p>
    <w:p w:rsidR="007C30ED" w:rsidP="007C30ED">
      <w:pPr>
        <w:pStyle w:val="TOC2"/>
        <w:bidi w:val="0"/>
        <w:rPr>
          <w:rFonts w:asciiTheme="minorHAnsi" w:eastAsiaTheme="minorEastAsia" w:hAnsiTheme="minorHAnsi"/>
          <w:noProof/>
          <w:sz w:val="22"/>
          <w:szCs w:val="22"/>
        </w:rPr>
      </w:pPr>
      <w:hyperlink w:anchor="_Toc475948626" w:history="1">
        <w:r w:rsidRPr="00A92EB9">
          <w:rPr>
            <w:rStyle w:val="Hyperlink"/>
            <w:rFonts w:ascii="Times New Roman" w:hAnsi="Times New Roman"/>
            <w:noProof/>
          </w:rPr>
          <w:t>Príloha č. 1 Hodnotenie SK PRES podľa zložení Rady</w:t>
        </w:r>
      </w:hyperlink>
    </w:p>
    <w:p w:rsidR="007C30ED" w:rsidP="007C30ED">
      <w:pPr>
        <w:pStyle w:val="TOC2"/>
        <w:bidi w:val="0"/>
        <w:rPr>
          <w:rFonts w:asciiTheme="minorHAnsi" w:eastAsiaTheme="minorEastAsia" w:hAnsiTheme="minorHAnsi"/>
          <w:noProof/>
          <w:sz w:val="22"/>
          <w:szCs w:val="22"/>
        </w:rPr>
      </w:pPr>
      <w:hyperlink w:anchor="_Toc475948627" w:history="1">
        <w:r w:rsidRPr="00A92EB9">
          <w:rPr>
            <w:rStyle w:val="Hyperlink"/>
            <w:rFonts w:ascii="Times New Roman" w:hAnsi="Times New Roman"/>
            <w:noProof/>
          </w:rPr>
          <w:t>Príloha č. 2 Prehľad podujatí na Slovensku</w:t>
        </w:r>
      </w:hyperlink>
    </w:p>
    <w:p w:rsidR="003C0123" w:rsidP="00A25609">
      <w:pPr>
        <w:bidi w:val="0"/>
        <w:rPr>
          <w:rFonts w:ascii="Times New Roman" w:hAnsi="Times New Roman"/>
        </w:rPr>
      </w:pPr>
      <w:r w:rsidR="00E73AE0">
        <w:rPr>
          <w:rFonts w:ascii="Times New Roman" w:hAnsi="Times New Roman"/>
        </w:rPr>
        <w:fldChar w:fldCharType="end"/>
      </w:r>
    </w:p>
    <w:p w:rsidR="00221D69" w:rsidRPr="00221D69" w:rsidP="00A25609">
      <w:pPr>
        <w:bidi w:val="0"/>
        <w:rPr>
          <w:rFonts w:ascii="Times New Roman" w:hAnsi="Times New Roman"/>
          <w:b/>
        </w:rPr>
      </w:pPr>
    </w:p>
    <w:p w:rsidR="00B01E00" w:rsidRPr="00B01E00" w:rsidP="00894D87">
      <w:pPr>
        <w:pStyle w:val="SpravaSKPRESnadpis1"/>
        <w:numPr>
          <w:numId w:val="13"/>
        </w:numPr>
        <w:tabs>
          <w:tab w:val="clear" w:pos="567"/>
          <w:tab w:val="clear" w:pos="926"/>
        </w:tabs>
        <w:bidi w:val="0"/>
        <w:rPr>
          <w:rFonts w:ascii="Times New Roman" w:hAnsi="Times New Roman"/>
        </w:rPr>
      </w:pPr>
      <w:r w:rsidRPr="002D7975" w:rsidR="003C0123">
        <w:rPr>
          <w:rFonts w:ascii="Times New Roman" w:hAnsi="Times New Roman"/>
        </w:rPr>
        <w:br w:type="page"/>
      </w:r>
      <w:bookmarkStart w:id="1" w:name="_Toc475948611"/>
      <w:r w:rsidRPr="00B01E00">
        <w:rPr>
          <w:rFonts w:ascii="Times New Roman" w:hAnsi="Times New Roman"/>
        </w:rPr>
        <w:t>Kontext predsedníctva SR v Rade EÚ</w:t>
      </w:r>
      <w:bookmarkEnd w:id="1"/>
    </w:p>
    <w:p w:rsidR="00B01E00" w:rsidRPr="002D7975" w:rsidP="00B01E00">
      <w:pPr>
        <w:bidi w:val="0"/>
        <w:jc w:val="both"/>
        <w:rPr>
          <w:rFonts w:ascii="Times New Roman" w:hAnsi="Times New Roman"/>
          <w:shd w:val="clear" w:color="auto" w:fill="FFFFFF"/>
        </w:rPr>
      </w:pPr>
    </w:p>
    <w:p w:rsidR="00B01E00" w:rsidRPr="00A7575B" w:rsidP="00A7575B">
      <w:pPr>
        <w:bidi w:val="0"/>
        <w:jc w:val="both"/>
        <w:rPr>
          <w:rFonts w:ascii="Times New Roman" w:hAnsi="Times New Roman"/>
        </w:rPr>
      </w:pPr>
      <w:r w:rsidRPr="00A7575B">
        <w:rPr>
          <w:rFonts w:ascii="Times New Roman" w:hAnsi="Times New Roman"/>
        </w:rPr>
        <w:t>Začiatok historicky prvého predsedníctva Slovenskej republiky v Rade Európskej únie bol poznačený bezprecedentnou situáciou pre Úniu a jej členské štáty. Spôsobilo ju rozhodnutie občanov Spojeného kráľovstva o vystúpení ich krajiny z Európskej únie. Hoci toto rozhodnutie nemalo vplyv na priority a zameranie slovenského predsedníctva, bolo určujúce pre atmosféru v EÚ, v ktorej výkon predsedníctva prebiehal. Výsledok referenda podčiarkol naliehavú potrebu diskusie o budúcnosti Únie a slovenské predsedníctvo sa muselo zhostiť náročnej úlohy – prispieť k</w:t>
      </w:r>
      <w:r w:rsidRPr="00A7575B" w:rsidR="00A7575B">
        <w:rPr>
          <w:rFonts w:ascii="Times New Roman" w:hAnsi="Times New Roman"/>
        </w:rPr>
        <w:t> </w:t>
      </w:r>
      <w:r w:rsidRPr="00A7575B">
        <w:rPr>
          <w:rFonts w:ascii="Times New Roman" w:hAnsi="Times New Roman"/>
        </w:rPr>
        <w:t xml:space="preserve">obnoveniu dôvery občanov Únie v spoločný európsky projekt. Prvým krokom na tejto ceste bol </w:t>
      </w:r>
      <w:r w:rsidRPr="00A7575B">
        <w:rPr>
          <w:rFonts w:ascii="Times New Roman" w:hAnsi="Times New Roman"/>
          <w:b/>
        </w:rPr>
        <w:t>Bratislavský samit</w:t>
      </w:r>
      <w:r w:rsidRPr="00A7575B">
        <w:rPr>
          <w:rFonts w:ascii="Times New Roman" w:hAnsi="Times New Roman"/>
        </w:rPr>
        <w:t xml:space="preserve">, ktorý po dlhých rokoch umožnil lídrom členských štátov diskutovať otvorene o budúcnosti EÚ mimo Bruselu. Začiatok a priebeh slovenského predsedníctva ovplyvnili aj ďalšie zložité výzvy: pretrvávajúca migračná a utečenecká kríza, teroristické útoky a stále citeľné dôsledky finančnej a hospodárskej krízy poznačené vysokou nezamestnanosťou. </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shd w:val="clear" w:color="auto" w:fill="FFFFFF"/>
        </w:rPr>
      </w:pPr>
      <w:r w:rsidRPr="00A7575B">
        <w:rPr>
          <w:rFonts w:ascii="Times New Roman" w:hAnsi="Times New Roman"/>
        </w:rPr>
        <w:t xml:space="preserve">Ambíciou slovenského predsedníctva bolo zvýšiť jednotu, súdržnosť a odolnosť Únie voči vonkajším i vnútorným výzvam. </w:t>
      </w:r>
      <w:r w:rsidRPr="00A7575B">
        <w:rPr>
          <w:rFonts w:ascii="Times New Roman" w:hAnsi="Times New Roman"/>
          <w:shd w:val="clear" w:color="auto" w:fill="FFFFFF"/>
        </w:rPr>
        <w:t xml:space="preserve">Priority slovenského predsedníctva boli preto motivované tromi vzájomne prepojenými princípmi: </w:t>
      </w:r>
      <w:r w:rsidRPr="00A7575B">
        <w:rPr>
          <w:rFonts w:ascii="Times New Roman" w:hAnsi="Times New Roman"/>
          <w:b/>
          <w:shd w:val="clear" w:color="auto" w:fill="FFFFFF"/>
        </w:rPr>
        <w:t>konkrétne výsledky</w:t>
      </w:r>
      <w:r w:rsidRPr="00A7575B">
        <w:rPr>
          <w:rFonts w:ascii="Times New Roman" w:hAnsi="Times New Roman"/>
          <w:shd w:val="clear" w:color="auto" w:fill="FFFFFF"/>
        </w:rPr>
        <w:t xml:space="preserve"> a </w:t>
      </w:r>
      <w:r w:rsidRPr="00A7575B">
        <w:rPr>
          <w:rFonts w:ascii="Times New Roman" w:hAnsi="Times New Roman"/>
          <w:b/>
          <w:shd w:val="clear" w:color="auto" w:fill="FFFFFF"/>
        </w:rPr>
        <w:t>prekonávanie fragmentácie</w:t>
      </w:r>
      <w:r w:rsidRPr="00A7575B">
        <w:rPr>
          <w:rFonts w:ascii="Times New Roman" w:hAnsi="Times New Roman"/>
          <w:shd w:val="clear" w:color="auto" w:fill="FFFFFF"/>
        </w:rPr>
        <w:t xml:space="preserve"> s cieľom priblížiť</w:t>
      </w:r>
      <w:r w:rsidRPr="00A7575B">
        <w:rPr>
          <w:rFonts w:ascii="Times New Roman" w:hAnsi="Times New Roman"/>
          <w:b/>
          <w:shd w:val="clear" w:color="auto" w:fill="FFFFFF"/>
        </w:rPr>
        <w:t xml:space="preserve"> Úniu občanom</w:t>
      </w:r>
      <w:r w:rsidRPr="00A7575B">
        <w:rPr>
          <w:rFonts w:ascii="Times New Roman" w:hAnsi="Times New Roman"/>
          <w:shd w:val="clear" w:color="auto" w:fill="FFFFFF"/>
        </w:rPr>
        <w:t xml:space="preserve">. Zamerali sme sa na oblasti, v ktorých Únia prináša hmatateľné výsledky pre občanov. K takým patrí napríklad legislatíva o odstránení prekážok elektronického obchodovania, zrušení roamingových poplatkov pre spotrebiteľov, či podpore pre internetové pripojenie 5G. </w:t>
      </w:r>
    </w:p>
    <w:p w:rsidR="00B01E00" w:rsidRPr="00A7575B" w:rsidP="00A7575B">
      <w:pPr>
        <w:bidi w:val="0"/>
        <w:jc w:val="both"/>
        <w:rPr>
          <w:rFonts w:ascii="Times New Roman" w:hAnsi="Times New Roman"/>
          <w:shd w:val="clear" w:color="auto" w:fill="FFFFFF"/>
        </w:rPr>
      </w:pPr>
    </w:p>
    <w:p w:rsidR="00B01E00" w:rsidRPr="00A7575B" w:rsidP="00A7575B">
      <w:pPr>
        <w:bidi w:val="0"/>
        <w:jc w:val="both"/>
        <w:rPr>
          <w:rFonts w:ascii="Times New Roman" w:hAnsi="Times New Roman"/>
        </w:rPr>
      </w:pPr>
      <w:r w:rsidRPr="00A7575B">
        <w:rPr>
          <w:rFonts w:ascii="Times New Roman" w:hAnsi="Times New Roman"/>
          <w:shd w:val="clear" w:color="auto" w:fill="FFFFFF"/>
        </w:rPr>
        <w:t xml:space="preserve">Pri napĺňaní strategických priorít Únie sme v pozícii predsedníckej krajiny fungovali ako čestný sprostredkovateľ a mediátor európskej diskusie. Slovensko sa počas predsedníctva ocitlo v novej pozícii, keď sa do úzadia dostali naše národné ciele a prioritným sa stal spoločný záujem Únie. Konkrétne výsledky a pozitívne reakcie našich partnerov sú dôkazom, že sme v tejto pozícií obstáli. </w:t>
      </w:r>
      <w:r w:rsidRPr="00A7575B">
        <w:rPr>
          <w:rFonts w:ascii="Times New Roman" w:hAnsi="Times New Roman"/>
        </w:rPr>
        <w:t>Pri mnohých legislatívnych návrhoch sa nám podarilo dosiahnuť dohodu členských štátov alebo dohodu s Európskym parlamentom. Vďaka včasnej a dôslednej príprave Slovensko zvládlo svoje historicky prvé predsedníctvo aj po organizačnej a logistickej stránke.</w:t>
      </w:r>
    </w:p>
    <w:p w:rsidR="00B01E00" w:rsidRPr="00A7575B" w:rsidP="00A7575B">
      <w:pPr>
        <w:bidi w:val="0"/>
        <w:jc w:val="both"/>
        <w:rPr>
          <w:rFonts w:ascii="Times New Roman" w:hAnsi="Times New Roman"/>
        </w:rPr>
      </w:pPr>
    </w:p>
    <w:p w:rsidR="005207F1" w:rsidRPr="00A7575B" w:rsidP="005207F1">
      <w:pPr>
        <w:bidi w:val="0"/>
        <w:jc w:val="both"/>
        <w:rPr>
          <w:rFonts w:ascii="Times New Roman" w:hAnsi="Times New Roman"/>
        </w:rPr>
      </w:pPr>
      <w:r w:rsidRPr="00A7575B">
        <w:rPr>
          <w:rFonts w:ascii="Times New Roman" w:hAnsi="Times New Roman"/>
        </w:rPr>
        <w:t xml:space="preserve">Osobitnú pozornosť venovalo slovenské predsedníctvo </w:t>
      </w:r>
      <w:r w:rsidRPr="00B07C97">
        <w:rPr>
          <w:rFonts w:ascii="Times New Roman" w:hAnsi="Times New Roman"/>
          <w:b/>
        </w:rPr>
        <w:t>vzťahom s Európskym parlamentom</w:t>
      </w:r>
      <w:r w:rsidRPr="00A7575B">
        <w:rPr>
          <w:rFonts w:ascii="Times New Roman" w:hAnsi="Times New Roman"/>
        </w:rPr>
        <w:t>. K efektívnej spolupráci s Európskym parlamentom na všetkých úrovniach významne prispelo</w:t>
      </w:r>
      <w:r>
        <w:rPr>
          <w:rFonts w:ascii="Times New Roman" w:hAnsi="Times New Roman"/>
        </w:rPr>
        <w:t xml:space="preserve"> </w:t>
      </w:r>
      <w:r w:rsidRPr="00A7575B">
        <w:rPr>
          <w:rFonts w:ascii="Times New Roman" w:hAnsi="Times New Roman"/>
        </w:rPr>
        <w:t xml:space="preserve">pôsobenie </w:t>
      </w:r>
      <w:r w:rsidRPr="009662A9" w:rsidR="009662A9">
        <w:rPr>
          <w:rFonts w:ascii="Times New Roman" w:hAnsi="Times New Roman"/>
        </w:rPr>
        <w:t>Ivan</w:t>
      </w:r>
      <w:r w:rsidR="009662A9">
        <w:rPr>
          <w:rFonts w:ascii="Times New Roman" w:hAnsi="Times New Roman"/>
        </w:rPr>
        <w:t>a</w:t>
      </w:r>
      <w:r w:rsidRPr="009662A9" w:rsidR="009662A9">
        <w:rPr>
          <w:rFonts w:ascii="Times New Roman" w:hAnsi="Times New Roman"/>
        </w:rPr>
        <w:t xml:space="preserve"> Korčok</w:t>
      </w:r>
      <w:r w:rsidR="009662A9">
        <w:rPr>
          <w:rFonts w:ascii="Times New Roman" w:hAnsi="Times New Roman"/>
        </w:rPr>
        <w:t xml:space="preserve">a, </w:t>
      </w:r>
      <w:r w:rsidRPr="00A7575B">
        <w:rPr>
          <w:rFonts w:ascii="Times New Roman" w:hAnsi="Times New Roman"/>
        </w:rPr>
        <w:t>splnomocnenca vlády SR pre predsedníctvo SR v Rade Európskej únie</w:t>
      </w:r>
      <w:r>
        <w:rPr>
          <w:rFonts w:ascii="Times New Roman" w:hAnsi="Times New Roman"/>
        </w:rPr>
        <w:t xml:space="preserve"> v</w:t>
      </w:r>
      <w:r w:rsidR="009662A9">
        <w:rPr>
          <w:rFonts w:ascii="Times New Roman" w:hAnsi="Times New Roman"/>
        </w:rPr>
        <w:t> </w:t>
      </w:r>
      <w:r>
        <w:rPr>
          <w:rFonts w:ascii="Times New Roman" w:hAnsi="Times New Roman"/>
        </w:rPr>
        <w:t>pozícii „ministre délégué“</w:t>
      </w:r>
      <w:r w:rsidRPr="00A7575B">
        <w:rPr>
          <w:rFonts w:ascii="Times New Roman" w:hAnsi="Times New Roman"/>
        </w:rPr>
        <w:t>. Aktívny dialóg členov vlády SR</w:t>
      </w:r>
      <w:r w:rsidR="00EB7576">
        <w:rPr>
          <w:rFonts w:ascii="Times New Roman" w:hAnsi="Times New Roman"/>
        </w:rPr>
        <w:t>,</w:t>
      </w:r>
      <w:r w:rsidRPr="00A7575B">
        <w:rPr>
          <w:rFonts w:ascii="Times New Roman" w:hAnsi="Times New Roman"/>
        </w:rPr>
        <w:t xml:space="preserve"> ako aj splnomocnenca vlády Slovenskej republiky pre vyjednávanie rozpočtu EÚ na rok 2017 s predstaviteľmi Európskeho parlamentu</w:t>
      </w:r>
      <w:r w:rsidR="00EB7576">
        <w:rPr>
          <w:rFonts w:ascii="Times New Roman" w:hAnsi="Times New Roman"/>
        </w:rPr>
        <w:t>,</w:t>
      </w:r>
      <w:r w:rsidRPr="00A7575B">
        <w:rPr>
          <w:rFonts w:ascii="Times New Roman" w:hAnsi="Times New Roman"/>
        </w:rPr>
        <w:t xml:space="preserve"> priniesol konkrétne výsledky v mnohých oblastiach.</w:t>
      </w:r>
    </w:p>
    <w:p w:rsidR="00B50951"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Kľúčovou udalosťou a zároveň dôležitým úspechom slovenského predsedníctva je </w:t>
      </w:r>
      <w:r w:rsidRPr="00A7575B">
        <w:rPr>
          <w:rFonts w:ascii="Times New Roman" w:hAnsi="Times New Roman"/>
          <w:b/>
        </w:rPr>
        <w:t>Bratislavský samit</w:t>
      </w:r>
      <w:r w:rsidRPr="00A7575B">
        <w:rPr>
          <w:rFonts w:ascii="Times New Roman" w:hAnsi="Times New Roman"/>
        </w:rPr>
        <w:t>. Po</w:t>
      </w:r>
      <w:r w:rsidRPr="00A7575B" w:rsidR="00D04863">
        <w:rPr>
          <w:rFonts w:ascii="Times New Roman" w:hAnsi="Times New Roman"/>
        </w:rPr>
        <w:t xml:space="preserve"> </w:t>
      </w:r>
      <w:r w:rsidRPr="00A7575B">
        <w:rPr>
          <w:rFonts w:ascii="Times New Roman" w:hAnsi="Times New Roman"/>
        </w:rPr>
        <w:t xml:space="preserve">výsledku referenda v Spojenom kráľovstve hlavy štátov a vlád 27 členských štátov Únie jasne potvrdili záujem pokračovať v projekte európskej integrácie. </w:t>
      </w:r>
      <w:r w:rsidRPr="00A7575B">
        <w:rPr>
          <w:rFonts w:ascii="Times New Roman" w:hAnsi="Times New Roman"/>
          <w:b/>
        </w:rPr>
        <w:t>Bratislavský proces</w:t>
      </w:r>
      <w:r w:rsidRPr="00A7575B">
        <w:rPr>
          <w:rFonts w:ascii="Times New Roman" w:hAnsi="Times New Roman"/>
        </w:rPr>
        <w:t xml:space="preserve"> bude pokračovať aj po skončení predsedníctva – vyvrcholí v Ríme v marci 2017 pri príležitosti pripomenutia si 60. výročia podpísania </w:t>
      </w:r>
      <w:r w:rsidR="00EB7576">
        <w:rPr>
          <w:rFonts w:ascii="Times New Roman" w:hAnsi="Times New Roman"/>
        </w:rPr>
        <w:t>R</w:t>
      </w:r>
      <w:r w:rsidRPr="00A7575B">
        <w:rPr>
          <w:rFonts w:ascii="Times New Roman" w:hAnsi="Times New Roman"/>
        </w:rPr>
        <w:t>ímskych zmlúv.</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Konkrétne výsledky sme dosiahli vo všetkých štyroch prioritných oblastiach, na ktoré sme sa zamerali v programe slovenského predsedníctva. Našou ambíciou bolo prispieť k vytvoreniu </w:t>
      </w:r>
      <w:r w:rsidRPr="00A7575B">
        <w:rPr>
          <w:rFonts w:ascii="Times New Roman" w:hAnsi="Times New Roman"/>
          <w:b/>
        </w:rPr>
        <w:t>hospodársky silnej Európy</w:t>
      </w:r>
      <w:r w:rsidRPr="00A7575B">
        <w:rPr>
          <w:rFonts w:ascii="Times New Roman" w:hAnsi="Times New Roman"/>
        </w:rPr>
        <w:t>. Pod vedením slovenského predsedníctva bol schválený rozpočet EÚ na rok 2017, ktorý je flexibilný</w:t>
      </w:r>
      <w:r w:rsidR="00342012">
        <w:rPr>
          <w:rFonts w:ascii="Times New Roman" w:hAnsi="Times New Roman"/>
        </w:rPr>
        <w:t>,</w:t>
      </w:r>
      <w:r w:rsidRPr="00A7575B" w:rsidR="0031215A">
        <w:rPr>
          <w:rFonts w:ascii="Times New Roman" w:hAnsi="Times New Roman"/>
        </w:rPr>
        <w:t> </w:t>
      </w:r>
      <w:r w:rsidRPr="00A7575B">
        <w:rPr>
          <w:rFonts w:ascii="Times New Roman" w:hAnsi="Times New Roman"/>
        </w:rPr>
        <w:t>vyvážený</w:t>
      </w:r>
      <w:r w:rsidRPr="00A7575B" w:rsidR="0031215A">
        <w:rPr>
          <w:rFonts w:ascii="Times New Roman" w:hAnsi="Times New Roman"/>
        </w:rPr>
        <w:t xml:space="preserve"> a</w:t>
      </w:r>
      <w:r w:rsidRPr="00A7575B">
        <w:rPr>
          <w:rFonts w:ascii="Times New Roman" w:hAnsi="Times New Roman"/>
        </w:rPr>
        <w:t xml:space="preserve"> odráža priority Únie. Vďaka prijatému rozpočtu sa v roku 2017 zvýšia zdroje na podporu rastu a zamestnanosti o</w:t>
      </w:r>
      <w:r w:rsidR="004B170D">
        <w:rPr>
          <w:rFonts w:ascii="Times New Roman" w:hAnsi="Times New Roman"/>
        </w:rPr>
        <w:t> </w:t>
      </w:r>
      <w:r w:rsidRPr="00A7575B">
        <w:rPr>
          <w:rFonts w:ascii="Times New Roman" w:hAnsi="Times New Roman"/>
        </w:rPr>
        <w:t>12</w:t>
      </w:r>
      <w:r w:rsidR="004B170D">
        <w:rPr>
          <w:rFonts w:ascii="Times New Roman" w:hAnsi="Times New Roman"/>
        </w:rPr>
        <w:t xml:space="preserve"> </w:t>
      </w:r>
      <w:r w:rsidRPr="00A7575B">
        <w:rPr>
          <w:rFonts w:ascii="Times New Roman" w:hAnsi="Times New Roman"/>
        </w:rPr>
        <w:t>%. Únia tiež bude lepšie finančne pripravená na zvládanie migrácie a jej príčin, ako aj na zvýšenie bezpečnosti a</w:t>
      </w:r>
      <w:r w:rsidRPr="00A7575B" w:rsidR="00A87F6A">
        <w:rPr>
          <w:rFonts w:ascii="Times New Roman" w:hAnsi="Times New Roman"/>
        </w:rPr>
        <w:t> </w:t>
      </w:r>
      <w:r w:rsidRPr="00A7575B">
        <w:rPr>
          <w:rFonts w:ascii="Times New Roman" w:hAnsi="Times New Roman"/>
        </w:rPr>
        <w:t xml:space="preserve">ochrany hraníc EÚ. V rámci prioritnej oblasti zameranej na </w:t>
      </w:r>
      <w:r w:rsidRPr="00A7575B">
        <w:rPr>
          <w:rFonts w:ascii="Times New Roman" w:hAnsi="Times New Roman"/>
          <w:b/>
        </w:rPr>
        <w:t xml:space="preserve">modernizáciu jednotného trhu </w:t>
      </w:r>
      <w:r w:rsidRPr="00A7575B">
        <w:rPr>
          <w:rFonts w:ascii="Times New Roman" w:hAnsi="Times New Roman"/>
        </w:rPr>
        <w:t>sme urobili konkrétne kroky pre postupné odstránenie fragmentácie jednotného trhu. V budovaní jednotného digitálneho</w:t>
      </w:r>
      <w:r w:rsidRPr="00A7575B" w:rsidR="00D04863">
        <w:rPr>
          <w:rFonts w:ascii="Times New Roman" w:hAnsi="Times New Roman"/>
        </w:rPr>
        <w:t xml:space="preserve"> </w:t>
      </w:r>
      <w:r w:rsidRPr="00A7575B">
        <w:rPr>
          <w:rFonts w:ascii="Times New Roman" w:hAnsi="Times New Roman"/>
        </w:rPr>
        <w:t>trhu dosiahlo slovenské</w:t>
      </w:r>
      <w:r w:rsidRPr="00A7575B" w:rsidR="00D04863">
        <w:rPr>
          <w:rFonts w:ascii="Times New Roman" w:hAnsi="Times New Roman"/>
        </w:rPr>
        <w:t xml:space="preserve"> </w:t>
      </w:r>
      <w:r w:rsidRPr="00A7575B">
        <w:rPr>
          <w:rFonts w:ascii="Times New Roman" w:hAnsi="Times New Roman"/>
        </w:rPr>
        <w:t>predsedníctvo niekoľko konkrétnych výsledkov</w:t>
      </w:r>
      <w:r w:rsidRPr="00A7575B" w:rsidR="00C466FA">
        <w:rPr>
          <w:rFonts w:ascii="Times New Roman" w:hAnsi="Times New Roman"/>
        </w:rPr>
        <w:t>,</w:t>
      </w:r>
      <w:r w:rsidRPr="00A7575B">
        <w:rPr>
          <w:rFonts w:ascii="Times New Roman" w:hAnsi="Times New Roman"/>
        </w:rPr>
        <w:t xml:space="preserve"> či už v odstraňovaní prekážok nákupu služieb cez internet, vytvorení predpokladov pre rýchly internet 5G alebo pre postupné odstránenie roamingových poplatkov v roku 2017. Medzi dôležité výsledky slovenského predsedníctva patrí ratifikácia Parížskej dohody na úrovni EÚ, ktorá predstavuje veľký príspevok k</w:t>
      </w:r>
      <w:r w:rsidR="00A7575B">
        <w:rPr>
          <w:rFonts w:ascii="Times New Roman" w:hAnsi="Times New Roman"/>
        </w:rPr>
        <w:t> </w:t>
      </w:r>
      <w:r w:rsidRPr="00A7575B">
        <w:rPr>
          <w:rFonts w:ascii="Times New Roman" w:hAnsi="Times New Roman"/>
        </w:rPr>
        <w:t xml:space="preserve">európskemu a svetovému boju so zmenou klímy a zároveň prispieva k budovaniu Energetickej únie. Migračná kríza naďalej ostáva aktuálnou prioritou pre EÚ a vyžaduje si </w:t>
      </w:r>
      <w:r w:rsidR="00342012">
        <w:rPr>
          <w:rFonts w:ascii="Times New Roman" w:hAnsi="Times New Roman"/>
        </w:rPr>
        <w:t xml:space="preserve">ďalšiu </w:t>
      </w:r>
      <w:r w:rsidRPr="00A7575B">
        <w:rPr>
          <w:rFonts w:ascii="Times New Roman" w:hAnsi="Times New Roman"/>
        </w:rPr>
        <w:t>diskusi</w:t>
      </w:r>
      <w:r w:rsidR="00342012">
        <w:rPr>
          <w:rFonts w:ascii="Times New Roman" w:hAnsi="Times New Roman"/>
        </w:rPr>
        <w:t>u</w:t>
      </w:r>
      <w:r w:rsidRPr="00A7575B">
        <w:rPr>
          <w:rFonts w:ascii="Times New Roman" w:hAnsi="Times New Roman"/>
        </w:rPr>
        <w:t xml:space="preserve"> a hľadanie spoločných riešení všetkých členských štátov. Slovenské predsedníctvo sa zameralo na odstraňovanie príčin migrácie, ochranu vonkajších hraníc EÚ a na oblasti, v ktorých bolo možné dosiahnuť dohodu medzi členskými štátmi. V rámci </w:t>
      </w:r>
      <w:r w:rsidRPr="00A7575B">
        <w:rPr>
          <w:rFonts w:ascii="Times New Roman" w:hAnsi="Times New Roman"/>
          <w:b/>
          <w:iCs/>
        </w:rPr>
        <w:t>udržateľnej migračnej a azylovej politiky</w:t>
      </w:r>
      <w:r w:rsidRPr="00A7575B">
        <w:rPr>
          <w:rFonts w:ascii="Times New Roman" w:hAnsi="Times New Roman"/>
        </w:rPr>
        <w:t xml:space="preserve"> začiatkom októbra 2016 začala oficiálne svoju činnosť </w:t>
      </w:r>
      <w:r w:rsidRPr="00A7575B">
        <w:rPr>
          <w:rFonts w:ascii="Times New Roman" w:hAnsi="Times New Roman"/>
          <w:bCs/>
        </w:rPr>
        <w:t xml:space="preserve">Európska pohraničná a pobrežná stráž, ktorá je </w:t>
      </w:r>
      <w:r w:rsidRPr="00A7575B">
        <w:rPr>
          <w:rFonts w:ascii="Times New Roman" w:hAnsi="Times New Roman"/>
        </w:rPr>
        <w:t xml:space="preserve">významným nástrojom na ochranu vonkajších hraníc Únie. Slovenské predsedníctvo nezostalo pasívne ani pri veľmi </w:t>
      </w:r>
      <w:r w:rsidR="00342012">
        <w:rPr>
          <w:rFonts w:ascii="Times New Roman" w:hAnsi="Times New Roman"/>
        </w:rPr>
        <w:t>citlivej</w:t>
      </w:r>
      <w:r w:rsidRPr="00A7575B">
        <w:rPr>
          <w:rFonts w:ascii="Times New Roman" w:hAnsi="Times New Roman"/>
        </w:rPr>
        <w:t xml:space="preserve"> téme reformy spoločného európskeho azylového systému a prišlo s</w:t>
      </w:r>
      <w:r w:rsidR="00680D8F">
        <w:rPr>
          <w:rFonts w:ascii="Times New Roman" w:hAnsi="Times New Roman"/>
        </w:rPr>
        <w:t> </w:t>
      </w:r>
      <w:r w:rsidRPr="00A7575B">
        <w:rPr>
          <w:rFonts w:ascii="Times New Roman" w:hAnsi="Times New Roman"/>
        </w:rPr>
        <w:t>návrhom </w:t>
      </w:r>
      <w:r w:rsidRPr="00A7575B">
        <w:rPr>
          <w:rFonts w:ascii="Times New Roman" w:hAnsi="Times New Roman"/>
          <w:b/>
        </w:rPr>
        <w:t>konceptu efektívnej solidarity</w:t>
      </w:r>
      <w:r w:rsidRPr="00A7575B">
        <w:rPr>
          <w:rFonts w:ascii="Times New Roman" w:hAnsi="Times New Roman"/>
        </w:rPr>
        <w:t xml:space="preserve">, ktorým sa pokúsilo zblížiť pohľady členských štátov a prekonať politické napätia v tejto oblasti. Malta ako nástupnícka krajina predsedajúca Rade EÚ po Slovensku bude v prístupe iniciovanom slovenským predsedníctvom pokračovať. Počas slovenského predsedníctva sa tiež podarilo dosiahnuť dohodu členských štátov k vytvoreniu Európskeho fondu pre udržateľný rozvoj, ktorý má </w:t>
      </w:r>
      <w:r w:rsidRPr="00A7575B" w:rsidR="00B50951">
        <w:rPr>
          <w:rFonts w:ascii="Times New Roman" w:hAnsi="Times New Roman"/>
        </w:rPr>
        <w:t xml:space="preserve">prispieť k </w:t>
      </w:r>
      <w:r w:rsidRPr="00A7575B">
        <w:rPr>
          <w:rFonts w:ascii="Times New Roman" w:hAnsi="Times New Roman"/>
        </w:rPr>
        <w:t>rieš</w:t>
      </w:r>
      <w:r w:rsidRPr="00A7575B" w:rsidR="00B50951">
        <w:rPr>
          <w:rFonts w:ascii="Times New Roman" w:hAnsi="Times New Roman"/>
        </w:rPr>
        <w:t>eniu</w:t>
      </w:r>
      <w:r w:rsidRPr="00A7575B">
        <w:rPr>
          <w:rFonts w:ascii="Times New Roman" w:hAnsi="Times New Roman"/>
        </w:rPr>
        <w:t xml:space="preserve"> prvotn</w:t>
      </w:r>
      <w:r w:rsidRPr="00A7575B" w:rsidR="00B50951">
        <w:rPr>
          <w:rFonts w:ascii="Times New Roman" w:hAnsi="Times New Roman"/>
        </w:rPr>
        <w:t>ých</w:t>
      </w:r>
      <w:r w:rsidRPr="00A7575B">
        <w:rPr>
          <w:rFonts w:ascii="Times New Roman" w:hAnsi="Times New Roman"/>
        </w:rPr>
        <w:t xml:space="preserve"> príčin migračnej a utečeneckej krízy. V rámci posilňovania </w:t>
      </w:r>
      <w:r w:rsidRPr="00A7575B">
        <w:rPr>
          <w:rFonts w:ascii="Times New Roman" w:hAnsi="Times New Roman"/>
          <w:b/>
          <w:iCs/>
        </w:rPr>
        <w:t>globálnej angažovanosti EÚ</w:t>
      </w:r>
      <w:r w:rsidRPr="00A7575B">
        <w:rPr>
          <w:rFonts w:ascii="Times New Roman" w:hAnsi="Times New Roman"/>
        </w:rPr>
        <w:t xml:space="preserve"> sme sa zamerali na presadzovanie dôveryhodnej politiky rozširovania, posilňovanie spoločnej zahraničnej a bezpečnostnej politiky, prehlbovan</w:t>
      </w:r>
      <w:r w:rsidRPr="00A7575B" w:rsidR="00B50951">
        <w:rPr>
          <w:rFonts w:ascii="Times New Roman" w:hAnsi="Times New Roman"/>
        </w:rPr>
        <w:t>ie</w:t>
      </w:r>
      <w:r w:rsidRPr="00A7575B">
        <w:rPr>
          <w:rFonts w:ascii="Times New Roman" w:hAnsi="Times New Roman"/>
        </w:rPr>
        <w:t xml:space="preserve"> susedstva a budovanie silných obchodných vzťahov s kľúčovými svetovými ekonomikami. </w:t>
      </w:r>
      <w:r w:rsidRPr="005179F6" w:rsidR="005179F6">
        <w:rPr>
          <w:rFonts w:ascii="Times New Roman" w:hAnsi="Times New Roman"/>
        </w:rPr>
        <w:t>Podpis Komplexnej hospodárskej a obchodnej dohody EÚ s Kanadou (CETA) je dôležitým úspechom slovenského predsedníctva v tejto oblasti a zároveň je významnou udalosťou pre transatlantický obchod.</w:t>
      </w:r>
      <w:r w:rsidRPr="00A7575B">
        <w:rPr>
          <w:rFonts w:ascii="Times New Roman" w:hAnsi="Times New Roman"/>
        </w:rPr>
        <w:t xml:space="preserve"> Dohoda prinesie firmám z EÚ nové obchodné príležitosti v Kanade a očakávame, že prispeje k zvýšeniu zamestnanosti v Európe.</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Okrem presadzovania programu je predsedníctvo príležitosťou </w:t>
      </w:r>
      <w:r w:rsidR="00342012">
        <w:rPr>
          <w:rFonts w:ascii="Times New Roman" w:hAnsi="Times New Roman"/>
          <w:b/>
        </w:rPr>
        <w:t>pre</w:t>
      </w:r>
      <w:r w:rsidRPr="00A7575B">
        <w:rPr>
          <w:rFonts w:ascii="Times New Roman" w:hAnsi="Times New Roman"/>
          <w:b/>
        </w:rPr>
        <w:t xml:space="preserve"> prezentáciu krajiny v zahraničí a priblíženie EÚ a európskych tém občanom SR</w:t>
      </w:r>
      <w:r w:rsidRPr="00A7575B">
        <w:rPr>
          <w:rFonts w:ascii="Times New Roman" w:hAnsi="Times New Roman"/>
        </w:rPr>
        <w:t>. Tento aspekt bol zohľadnený pri prípravách predsedníctva a polročné predsednícke obdobie sme plne využili na komunikáciu európskych tém na domácej pôde a propagáciu našej krajiny a jej kultúry zahraničným návštevníkom. Slovensko navštívilo viac ako 25 tisíc delegátov, ktorí sa zúčastnili na viac ako 200 podujatiach nielen v Bratislave. Po celom svete bolo uvedených takmer 300 výstav a prezentačných projektov</w:t>
      </w:r>
      <w:r w:rsidR="005179F6">
        <w:rPr>
          <w:rFonts w:ascii="Times New Roman" w:hAnsi="Times New Roman"/>
        </w:rPr>
        <w:t>,</w:t>
      </w:r>
      <w:r w:rsidRPr="00A7575B">
        <w:rPr>
          <w:rFonts w:ascii="Times New Roman" w:hAnsi="Times New Roman"/>
        </w:rPr>
        <w:t xml:space="preserve"> ako aj 68 koncertov a živých vystúpení. Predsednícky web a sociálne siete boli hlavným komunikačným kanálom predsedníckych aktivít. Návštevnosť webu dosiahla približne 180 tisíc </w:t>
      </w:r>
      <w:r w:rsidRPr="00A7575B" w:rsidR="008D3D7E">
        <w:rPr>
          <w:rFonts w:ascii="Times New Roman" w:hAnsi="Times New Roman"/>
        </w:rPr>
        <w:t xml:space="preserve">unikátnych používateľov </w:t>
      </w:r>
      <w:r w:rsidRPr="00A7575B">
        <w:rPr>
          <w:rFonts w:ascii="Times New Roman" w:hAnsi="Times New Roman"/>
        </w:rPr>
        <w:t xml:space="preserve">a stránka bola zobrazená 800 tisíc krát. Dva twitterové predsednícke účty a facebook predsedníctva mali dokopy cez 11 tisíc followerov. Predsednícke obdobie sme plne využili aj na priblíženie Európy a európskych tém občanom množstvom článkov, rozhovorov politických predstaviteľov v printových či online médiách, ako aj diskusií a relácií v rozhlase či televízii. </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Pri organizácii podujatí sme zvolili </w:t>
      </w:r>
      <w:r w:rsidRPr="00A7575B">
        <w:rPr>
          <w:rFonts w:ascii="Times New Roman" w:hAnsi="Times New Roman"/>
          <w:b/>
        </w:rPr>
        <w:t>centralizovaný model</w:t>
      </w:r>
      <w:r w:rsidRPr="00A7575B">
        <w:rPr>
          <w:rFonts w:ascii="Times New Roman" w:hAnsi="Times New Roman"/>
        </w:rPr>
        <w:t>, ktorý sa ukázal ako najefektívnejší z logistického a finančného hľadiska</w:t>
      </w:r>
      <w:r w:rsidR="00342012">
        <w:rPr>
          <w:rFonts w:ascii="Times New Roman" w:hAnsi="Times New Roman"/>
        </w:rPr>
        <w:t>,</w:t>
      </w:r>
      <w:r w:rsidRPr="00A7575B">
        <w:rPr>
          <w:rFonts w:ascii="Times New Roman" w:hAnsi="Times New Roman"/>
        </w:rPr>
        <w:t xml:space="preserve"> ale aj z pohľadu bezpečnosti návštevníkov a občanov SR. Predsedníctvo a jeho témy sme však priniesli aj do regiónov, miest a obcí Slovenska prostredníctvom širokej škály podujatí podporených cez dotačnú schému MZVaEZ SR v celkovej hodnote takmer 300 tisíc EUR</w:t>
      </w:r>
      <w:r w:rsidR="005179F6">
        <w:rPr>
          <w:rFonts w:ascii="Times New Roman" w:hAnsi="Times New Roman"/>
        </w:rPr>
        <w:t>,</w:t>
      </w:r>
      <w:r w:rsidRPr="00A7575B">
        <w:rPr>
          <w:rFonts w:ascii="Times New Roman" w:hAnsi="Times New Roman"/>
        </w:rPr>
        <w:t xml:space="preserve"> ako aj udelením záštity SK PRES </w:t>
      </w:r>
      <w:r w:rsidR="00342012">
        <w:rPr>
          <w:rFonts w:ascii="Times New Roman" w:hAnsi="Times New Roman"/>
        </w:rPr>
        <w:t>viac než 200 podujatiam</w:t>
      </w:r>
      <w:r w:rsidRPr="00A7575B">
        <w:rPr>
          <w:rFonts w:ascii="Times New Roman" w:hAnsi="Times New Roman"/>
        </w:rPr>
        <w:t xml:space="preserve">. </w:t>
      </w:r>
    </w:p>
    <w:p w:rsidR="00B01E00" w:rsidRPr="00A7575B" w:rsidP="00A7575B">
      <w:pPr>
        <w:bidi w:val="0"/>
        <w:jc w:val="both"/>
        <w:rPr>
          <w:rFonts w:ascii="Times New Roman" w:hAnsi="Times New Roman"/>
        </w:rPr>
      </w:pPr>
    </w:p>
    <w:p w:rsidR="0059404A" w:rsidRPr="00A7575B" w:rsidP="00A7575B">
      <w:pPr>
        <w:bidi w:val="0"/>
        <w:jc w:val="both"/>
        <w:rPr>
          <w:rFonts w:ascii="Times New Roman" w:hAnsi="Times New Roman"/>
          <w:b/>
        </w:rPr>
      </w:pPr>
      <w:r w:rsidRPr="00A7575B">
        <w:rPr>
          <w:rFonts w:ascii="Times New Roman" w:hAnsi="Times New Roman"/>
        </w:rPr>
        <w:t xml:space="preserve">Predsedníctvo je samozrejme finančnou investíciou, ale v prvom rade je </w:t>
      </w:r>
      <w:r w:rsidRPr="00A7575B">
        <w:rPr>
          <w:rFonts w:ascii="Times New Roman" w:hAnsi="Times New Roman"/>
          <w:b/>
        </w:rPr>
        <w:t>investíciou do ľudského kapitálu.</w:t>
      </w:r>
      <w:r w:rsidRPr="00A7575B">
        <w:rPr>
          <w:rFonts w:ascii="Times New Roman" w:hAnsi="Times New Roman"/>
        </w:rPr>
        <w:t xml:space="preserve"> Počas predsedníctva vyrástlo mnoho špičkových diplomatov a expertov, ktorí sú teraz oveľa lepšie vybavení na presadzovanie záujmov našej krajiny v EÚ a vo svete. Pri plánovaní predsedníctva sme si dali za cieľ byť najúspornejším predsedníctvom Rady EÚ spomedzi krajín V4. Napriek tomu, že vyúčtovanie ešte nie je konečné a v rámci celkového zhodnotenia nákladov na predsedníctvo bude potrebné započítať aj plánované výdavky v r. 2017, už dnes môžeme</w:t>
      </w:r>
      <w:r w:rsidR="00894D87">
        <w:rPr>
          <w:rFonts w:ascii="Times New Roman" w:hAnsi="Times New Roman"/>
        </w:rPr>
        <w:t xml:space="preserve"> </w:t>
      </w:r>
      <w:r w:rsidRPr="00A7575B">
        <w:rPr>
          <w:rFonts w:ascii="Times New Roman" w:hAnsi="Times New Roman"/>
        </w:rPr>
        <w:t>konštatovať, že sa nám z</w:t>
      </w:r>
      <w:r w:rsidR="00894D87">
        <w:rPr>
          <w:rFonts w:ascii="Times New Roman" w:hAnsi="Times New Roman"/>
        </w:rPr>
        <w:t xml:space="preserve"> </w:t>
      </w:r>
      <w:r w:rsidRPr="00A7575B">
        <w:rPr>
          <w:rFonts w:ascii="Times New Roman" w:hAnsi="Times New Roman"/>
        </w:rPr>
        <w:t xml:space="preserve">rozpočtu na roky 2014-2016 v sume 69,5 mil. EUR podarilo efektívnym a hospodárnym vynakladaním finančných prostriedkov ušetriť približne 27 % rozpočtovaných prostriedkov. </w:t>
      </w:r>
    </w:p>
    <w:p w:rsidR="00C466FA" w:rsidP="00A7575B">
      <w:pPr>
        <w:bidi w:val="0"/>
        <w:jc w:val="both"/>
        <w:rPr>
          <w:rFonts w:ascii="Times New Roman" w:hAnsi="Times New Roman"/>
          <w:b/>
        </w:rPr>
      </w:pPr>
    </w:p>
    <w:p w:rsidR="000659D7" w:rsidP="00A7575B">
      <w:pPr>
        <w:bidi w:val="0"/>
        <w:jc w:val="both"/>
        <w:rPr>
          <w:rFonts w:ascii="Times New Roman" w:hAnsi="Times New Roman"/>
          <w:b/>
        </w:rPr>
      </w:pPr>
    </w:p>
    <w:p w:rsidR="009F52F2" w:rsidRPr="00A7575B" w:rsidP="00A7575B">
      <w:pPr>
        <w:bidi w:val="0"/>
        <w:jc w:val="both"/>
        <w:rPr>
          <w:rFonts w:ascii="Times New Roman" w:hAnsi="Times New Roman"/>
          <w:b/>
        </w:rPr>
      </w:pPr>
    </w:p>
    <w:p w:rsidR="003C0123" w:rsidRPr="00894D87" w:rsidP="00894D87">
      <w:pPr>
        <w:pStyle w:val="SpravaSKPRESnadpis1"/>
        <w:numPr>
          <w:numId w:val="13"/>
        </w:numPr>
        <w:tabs>
          <w:tab w:val="clear" w:pos="567"/>
          <w:tab w:val="clear" w:pos="926"/>
        </w:tabs>
        <w:bidi w:val="0"/>
        <w:rPr>
          <w:rFonts w:ascii="Times New Roman" w:hAnsi="Times New Roman"/>
        </w:rPr>
      </w:pPr>
      <w:bookmarkStart w:id="2" w:name="_Toc475948612"/>
      <w:r w:rsidRPr="00894D87">
        <w:rPr>
          <w:rFonts w:ascii="Times New Roman" w:hAnsi="Times New Roman"/>
        </w:rPr>
        <w:t>Bratislavský samit</w:t>
      </w:r>
      <w:bookmarkEnd w:id="2"/>
    </w:p>
    <w:p w:rsidR="003C0123" w:rsidRPr="002D7975" w:rsidP="003C0123">
      <w:pPr>
        <w:bidi w:val="0"/>
        <w:jc w:val="both"/>
        <w:rPr>
          <w:rFonts w:ascii="Times New Roman" w:hAnsi="Times New Roman"/>
          <w:shd w:val="clear" w:color="auto" w:fill="FFFFFF"/>
        </w:rPr>
      </w:pPr>
    </w:p>
    <w:p w:rsidR="00B01E00" w:rsidP="00B01E00">
      <w:pPr>
        <w:bidi w:val="0"/>
        <w:jc w:val="both"/>
        <w:rPr>
          <w:rFonts w:ascii="Times New Roman" w:hAnsi="Times New Roman"/>
        </w:rPr>
      </w:pPr>
      <w:r>
        <w:rPr>
          <w:rFonts w:ascii="Times New Roman" w:hAnsi="Times New Roman"/>
        </w:rPr>
        <w:t>Najvýznamnejším podujatím slovenského predsedníctva bolo neformálne stretnutie lídrov 27</w:t>
      </w:r>
      <w:r w:rsidR="00A87F6A">
        <w:rPr>
          <w:rFonts w:ascii="Times New Roman" w:hAnsi="Times New Roman"/>
        </w:rPr>
        <w:t> </w:t>
      </w:r>
      <w:r w:rsidR="00B50951">
        <w:rPr>
          <w:rFonts w:ascii="Times New Roman" w:hAnsi="Times New Roman"/>
        </w:rPr>
        <w:t>členských štátov EÚ </w:t>
      </w:r>
      <w:r w:rsidR="002A0017">
        <w:rPr>
          <w:rFonts w:ascii="Times New Roman" w:hAnsi="Times New Roman"/>
        </w:rPr>
        <w:t>–</w:t>
      </w:r>
      <w:r w:rsidR="00B50951">
        <w:rPr>
          <w:rFonts w:ascii="Times New Roman" w:hAnsi="Times New Roman"/>
        </w:rPr>
        <w:t> </w:t>
      </w:r>
      <w:r w:rsidRPr="0095765E">
        <w:rPr>
          <w:rFonts w:ascii="Times New Roman" w:hAnsi="Times New Roman"/>
          <w:b/>
        </w:rPr>
        <w:t>Bratislavský samit</w:t>
      </w:r>
      <w:r>
        <w:rPr>
          <w:rFonts w:ascii="Times New Roman" w:hAnsi="Times New Roman"/>
        </w:rPr>
        <w:t>, ktoré sa uskutočnilo 16.9.2016 v</w:t>
      </w:r>
      <w:r w:rsidR="00A87F6A">
        <w:rPr>
          <w:rFonts w:ascii="Times New Roman" w:hAnsi="Times New Roman"/>
        </w:rPr>
        <w:t> </w:t>
      </w:r>
      <w:r>
        <w:rPr>
          <w:rFonts w:ascii="Times New Roman" w:hAnsi="Times New Roman"/>
        </w:rPr>
        <w:t>Bratislave. Úspešné zvládnutie samitu bolo najväčšou výzvou polročného predsedníctva Slovenskej republiky. Jeho význam v najväčšej miere podčiarkuje politický vývoj a okolnosti, ktoré stretnutiu lídrov v Bratislave predchádzali.</w:t>
      </w:r>
    </w:p>
    <w:p w:rsidR="00B01E00" w:rsidP="00B01E00">
      <w:pPr>
        <w:bidi w:val="0"/>
        <w:jc w:val="both"/>
        <w:rPr>
          <w:rFonts w:ascii="Times New Roman" w:hAnsi="Times New Roman"/>
        </w:rPr>
      </w:pPr>
    </w:p>
    <w:p w:rsidR="00B01E00" w:rsidP="00B01E00">
      <w:pPr>
        <w:bidi w:val="0"/>
        <w:jc w:val="both"/>
        <w:rPr>
          <w:rFonts w:ascii="Times New Roman" w:hAnsi="Times New Roman"/>
        </w:rPr>
      </w:pPr>
      <w:r w:rsidRPr="003B7B6E">
        <w:rPr>
          <w:rFonts w:ascii="Times New Roman" w:hAnsi="Times New Roman"/>
        </w:rPr>
        <w:t xml:space="preserve">Bratislavský samit bol zvolaný </w:t>
      </w:r>
      <w:r>
        <w:rPr>
          <w:rFonts w:ascii="Times New Roman" w:hAnsi="Times New Roman"/>
        </w:rPr>
        <w:t xml:space="preserve">v snahe vytvoriť podmienky pre </w:t>
      </w:r>
      <w:r w:rsidRPr="003B7B6E">
        <w:rPr>
          <w:rFonts w:ascii="Times New Roman" w:hAnsi="Times New Roman"/>
        </w:rPr>
        <w:t xml:space="preserve">otvorenú diskusiu lídrov </w:t>
      </w:r>
      <w:r>
        <w:rPr>
          <w:rFonts w:ascii="Times New Roman" w:hAnsi="Times New Roman"/>
        </w:rPr>
        <w:t xml:space="preserve">o budúcnosti EÚ v neformálnom formáte mimo Bruselu. V nadväznosti na rozhodnutie občanov UK o odchode z EÚ diskutovalo </w:t>
      </w:r>
      <w:r w:rsidRPr="003B7B6E">
        <w:rPr>
          <w:rFonts w:ascii="Times New Roman" w:hAnsi="Times New Roman"/>
        </w:rPr>
        <w:t>27 členských štátov</w:t>
      </w:r>
      <w:r>
        <w:rPr>
          <w:rFonts w:ascii="Times New Roman" w:hAnsi="Times New Roman"/>
        </w:rPr>
        <w:t xml:space="preserve"> o tom</w:t>
      </w:r>
      <w:r w:rsidRPr="003B7B6E">
        <w:rPr>
          <w:rFonts w:ascii="Times New Roman" w:hAnsi="Times New Roman"/>
          <w:spacing w:val="-4"/>
        </w:rPr>
        <w:t xml:space="preserve">, aké kroky treba vykonať, aby sme boli schopní ponúknuť </w:t>
      </w:r>
      <w:r w:rsidRPr="003B7B6E">
        <w:rPr>
          <w:rFonts w:ascii="Times New Roman" w:hAnsi="Times New Roman"/>
        </w:rPr>
        <w:t>Európanom bezpečnejšiu, prosperujúcejšiu a jednotnejšiu Úniu, ktorá</w:t>
      </w:r>
      <w:r>
        <w:rPr>
          <w:rFonts w:ascii="Times New Roman" w:hAnsi="Times New Roman"/>
        </w:rPr>
        <w:t xml:space="preserve"> je schopná</w:t>
      </w:r>
      <w:r w:rsidRPr="003B7B6E">
        <w:rPr>
          <w:rFonts w:ascii="Times New Roman" w:hAnsi="Times New Roman"/>
        </w:rPr>
        <w:t xml:space="preserve"> efektívnejšie riešiť problémy svojich občanov.</w:t>
      </w:r>
      <w:r>
        <w:rPr>
          <w:rFonts w:ascii="Times New Roman" w:hAnsi="Times New Roman"/>
        </w:rPr>
        <w:t xml:space="preserve"> </w:t>
      </w:r>
    </w:p>
    <w:p w:rsidR="00B01E00" w:rsidRPr="003B7B6E" w:rsidP="00B01E00">
      <w:pPr>
        <w:bidi w:val="0"/>
        <w:jc w:val="both"/>
        <w:rPr>
          <w:rFonts w:ascii="Times New Roman" w:hAnsi="Times New Roman"/>
        </w:rPr>
      </w:pPr>
    </w:p>
    <w:p w:rsidR="00B01E00" w:rsidRPr="004C3490" w:rsidP="00B01E00">
      <w:pPr>
        <w:bidi w:val="0"/>
        <w:jc w:val="both"/>
        <w:rPr>
          <w:rStyle w:val="Emphasis"/>
          <w:rFonts w:ascii="Times New Roman" w:hAnsi="Times New Roman"/>
          <w:i w:val="0"/>
          <w:iCs/>
          <w:color w:val="000000"/>
        </w:rPr>
      </w:pPr>
      <w:r>
        <w:rPr>
          <w:rFonts w:ascii="Times New Roman" w:hAnsi="Times New Roman"/>
        </w:rPr>
        <w:t>Bratislavský s</w:t>
      </w:r>
      <w:r w:rsidRPr="003B7B6E">
        <w:rPr>
          <w:rFonts w:ascii="Times New Roman" w:hAnsi="Times New Roman"/>
        </w:rPr>
        <w:t xml:space="preserve">amit predstavuje začiatok procesu sebareflexie, tzv. </w:t>
      </w:r>
      <w:r w:rsidRPr="00A30C50">
        <w:rPr>
          <w:rFonts w:ascii="Times New Roman" w:hAnsi="Times New Roman"/>
          <w:b/>
        </w:rPr>
        <w:t>bratislavského procesu</w:t>
      </w:r>
      <w:r w:rsidRPr="003B7B6E">
        <w:rPr>
          <w:rFonts w:ascii="Times New Roman" w:hAnsi="Times New Roman"/>
        </w:rPr>
        <w:t xml:space="preserve">, ktorý vyvrcholí v marci 2017 v Ríme pri príležitosti 60. výročia podpisu </w:t>
      </w:r>
      <w:r w:rsidRPr="004C3490">
        <w:rPr>
          <w:rFonts w:ascii="Times New Roman" w:hAnsi="Times New Roman"/>
        </w:rPr>
        <w:t xml:space="preserve">Rímskych zmlúv. </w:t>
      </w:r>
      <w:r w:rsidRPr="004C3490">
        <w:rPr>
          <w:rFonts w:ascii="Times New Roman" w:hAnsi="Times New Roman"/>
          <w:iCs/>
        </w:rPr>
        <w:t>Na jeho konci by sme mali mať jasnejšiu predstavu o budúcej podobe Únie, ako aj o tom, na ktoré oblasti by sme</w:t>
      </w:r>
      <w:r w:rsidRPr="004C3490">
        <w:rPr>
          <w:rStyle w:val="Emphasis"/>
          <w:rFonts w:ascii="Times New Roman" w:hAnsi="Times New Roman"/>
          <w:i w:val="0"/>
          <w:iCs/>
          <w:color w:val="000000"/>
        </w:rPr>
        <w:t xml:space="preserve"> sa mali prioritne zamerať, ak chceme naplniť očakávania občanov.</w:t>
      </w:r>
    </w:p>
    <w:p w:rsidR="00B01E00" w:rsidRPr="003B7B6E" w:rsidP="00B01E00">
      <w:pPr>
        <w:bidi w:val="0"/>
        <w:jc w:val="both"/>
        <w:rPr>
          <w:rFonts w:ascii="Times New Roman" w:hAnsi="Times New Roman"/>
        </w:rPr>
      </w:pPr>
    </w:p>
    <w:p w:rsidR="00B01E00" w:rsidRPr="005A31CC" w:rsidP="00B01E00">
      <w:pPr>
        <w:bidi w:val="0"/>
        <w:jc w:val="both"/>
        <w:rPr>
          <w:rFonts w:ascii="Times New Roman" w:hAnsi="Times New Roman"/>
          <w:color w:val="000000"/>
        </w:rPr>
      </w:pPr>
      <w:r>
        <w:rPr>
          <w:rFonts w:ascii="Times New Roman" w:hAnsi="Times New Roman"/>
        </w:rPr>
        <w:t>Napriek zložit</w:t>
      </w:r>
      <w:r w:rsidR="0031215A">
        <w:rPr>
          <w:rFonts w:ascii="Times New Roman" w:hAnsi="Times New Roman"/>
        </w:rPr>
        <w:t>ej situácii</w:t>
      </w:r>
      <w:r w:rsidR="00B50951">
        <w:rPr>
          <w:rFonts w:ascii="Times New Roman" w:hAnsi="Times New Roman"/>
        </w:rPr>
        <w:t xml:space="preserve"> </w:t>
      </w:r>
      <w:r>
        <w:rPr>
          <w:rFonts w:ascii="Times New Roman" w:hAnsi="Times New Roman"/>
        </w:rPr>
        <w:t xml:space="preserve">lídri v Bratislave prijatím spoločnej </w:t>
      </w:r>
      <w:r w:rsidRPr="00A30C50">
        <w:rPr>
          <w:rFonts w:ascii="Times New Roman" w:hAnsi="Times New Roman"/>
          <w:b/>
        </w:rPr>
        <w:t xml:space="preserve">Bratislavskej deklarácie </w:t>
      </w:r>
      <w:r>
        <w:rPr>
          <w:rFonts w:ascii="Times New Roman" w:hAnsi="Times New Roman"/>
        </w:rPr>
        <w:t>jasne</w:t>
      </w:r>
      <w:r w:rsidRPr="003B7B6E">
        <w:rPr>
          <w:rFonts w:ascii="Times New Roman" w:hAnsi="Times New Roman"/>
        </w:rPr>
        <w:t xml:space="preserve"> </w:t>
      </w:r>
      <w:r>
        <w:rPr>
          <w:rFonts w:ascii="Times New Roman" w:hAnsi="Times New Roman"/>
        </w:rPr>
        <w:t>demonštrovali jednotu</w:t>
      </w:r>
      <w:r w:rsidRPr="003B7B6E">
        <w:rPr>
          <w:rFonts w:ascii="Times New Roman" w:hAnsi="Times New Roman"/>
        </w:rPr>
        <w:t xml:space="preserve"> a</w:t>
      </w:r>
      <w:r>
        <w:rPr>
          <w:rFonts w:ascii="Times New Roman" w:hAnsi="Times New Roman"/>
        </w:rPr>
        <w:t> </w:t>
      </w:r>
      <w:r w:rsidRPr="003B7B6E">
        <w:rPr>
          <w:rFonts w:ascii="Times New Roman" w:hAnsi="Times New Roman"/>
        </w:rPr>
        <w:t>odhodlanie</w:t>
      </w:r>
      <w:r>
        <w:rPr>
          <w:rFonts w:ascii="Times New Roman" w:hAnsi="Times New Roman"/>
        </w:rPr>
        <w:t xml:space="preserve"> </w:t>
      </w:r>
      <w:r w:rsidRPr="003B7B6E">
        <w:rPr>
          <w:rFonts w:ascii="Times New Roman" w:hAnsi="Times New Roman"/>
        </w:rPr>
        <w:t xml:space="preserve">rozvíjať európsky integračný projekt aj po odchode Spojeného kráľovstva. </w:t>
      </w:r>
      <w:r>
        <w:rPr>
          <w:rFonts w:ascii="Times New Roman" w:hAnsi="Times New Roman"/>
        </w:rPr>
        <w:t xml:space="preserve">Dohodli sa na troch </w:t>
      </w:r>
      <w:r w:rsidRPr="003B7B6E">
        <w:rPr>
          <w:rFonts w:ascii="Times New Roman" w:hAnsi="Times New Roman"/>
        </w:rPr>
        <w:t>prioritn</w:t>
      </w:r>
      <w:r>
        <w:rPr>
          <w:rFonts w:ascii="Times New Roman" w:hAnsi="Times New Roman"/>
        </w:rPr>
        <w:t>ých oblastiach a </w:t>
      </w:r>
      <w:r w:rsidRPr="003B7B6E">
        <w:rPr>
          <w:rFonts w:ascii="Times New Roman" w:hAnsi="Times New Roman"/>
          <w:color w:val="000000"/>
        </w:rPr>
        <w:t xml:space="preserve">konkrétnych opatreniach s časovým rámcom ich plnenia </w:t>
      </w:r>
      <w:r>
        <w:rPr>
          <w:rFonts w:ascii="Times New Roman" w:hAnsi="Times New Roman"/>
          <w:color w:val="000000"/>
        </w:rPr>
        <w:t>v</w:t>
      </w:r>
      <w:r w:rsidRPr="003B7B6E">
        <w:rPr>
          <w:rFonts w:ascii="Times New Roman" w:hAnsi="Times New Roman"/>
          <w:color w:val="000000"/>
        </w:rPr>
        <w:t> na</w:t>
      </w:r>
      <w:r>
        <w:rPr>
          <w:rFonts w:ascii="Times New Roman" w:hAnsi="Times New Roman"/>
          <w:color w:val="000000"/>
        </w:rPr>
        <w:t>sledujúcich</w:t>
      </w:r>
      <w:r w:rsidRPr="003B7B6E">
        <w:rPr>
          <w:rFonts w:ascii="Times New Roman" w:hAnsi="Times New Roman"/>
          <w:color w:val="000000"/>
        </w:rPr>
        <w:t xml:space="preserve"> šiestich mesiacoch</w:t>
      </w:r>
      <w:r>
        <w:rPr>
          <w:rFonts w:ascii="Times New Roman" w:hAnsi="Times New Roman"/>
          <w:color w:val="000000"/>
        </w:rPr>
        <w:t xml:space="preserve">, ktoré sú obsahom tzv. </w:t>
      </w:r>
      <w:r w:rsidRPr="00A30C50">
        <w:rPr>
          <w:rFonts w:ascii="Times New Roman" w:hAnsi="Times New Roman"/>
          <w:b/>
          <w:color w:val="000000"/>
        </w:rPr>
        <w:t>bratislavskej cestovnej mapy</w:t>
      </w:r>
      <w:r>
        <w:rPr>
          <w:rFonts w:ascii="Times New Roman" w:hAnsi="Times New Roman"/>
          <w:color w:val="000000"/>
        </w:rPr>
        <w:t xml:space="preserve"> – druhého politického dokumentu lídrov 27 členských štátov. Prioritami bratislavského procesu sú oblasti so </w:t>
      </w:r>
      <w:r w:rsidRPr="00FD75AA">
        <w:rPr>
          <w:rFonts w:ascii="Times New Roman" w:hAnsi="Times New Roman"/>
        </w:rPr>
        <w:t>zásadný</w:t>
      </w:r>
      <w:r>
        <w:rPr>
          <w:rFonts w:ascii="Times New Roman" w:hAnsi="Times New Roman"/>
        </w:rPr>
        <w:t>m</w:t>
      </w:r>
      <w:r w:rsidRPr="00FD75AA">
        <w:rPr>
          <w:rFonts w:ascii="Times New Roman" w:hAnsi="Times New Roman"/>
        </w:rPr>
        <w:t xml:space="preserve"> vplyv</w:t>
      </w:r>
      <w:r>
        <w:rPr>
          <w:rFonts w:ascii="Times New Roman" w:hAnsi="Times New Roman"/>
        </w:rPr>
        <w:t>om</w:t>
      </w:r>
      <w:r w:rsidRPr="00FD75AA">
        <w:rPr>
          <w:rFonts w:ascii="Times New Roman" w:hAnsi="Times New Roman"/>
        </w:rPr>
        <w:t xml:space="preserve"> na životy bežných ľudí</w:t>
      </w:r>
      <w:r>
        <w:rPr>
          <w:rFonts w:ascii="Times New Roman" w:hAnsi="Times New Roman"/>
        </w:rPr>
        <w:t xml:space="preserve"> – </w:t>
      </w:r>
      <w:r w:rsidRPr="005A31CC">
        <w:rPr>
          <w:rFonts w:ascii="Times New Roman" w:hAnsi="Times New Roman"/>
        </w:rPr>
        <w:t>migrácia a vonkajšie hranice, vnútorná a vonkajšia bezpečnosť a napokon hospodársky a sociálny rozvoj a</w:t>
      </w:r>
      <w:r w:rsidR="00A87F6A">
        <w:rPr>
          <w:rFonts w:ascii="Times New Roman" w:hAnsi="Times New Roman"/>
        </w:rPr>
        <w:t> </w:t>
      </w:r>
      <w:r w:rsidRPr="005A31CC">
        <w:rPr>
          <w:rFonts w:ascii="Times New Roman" w:hAnsi="Times New Roman"/>
        </w:rPr>
        <w:t>podpora mládeže.</w:t>
      </w:r>
    </w:p>
    <w:p w:rsidR="00B01E00" w:rsidRPr="00925A9D" w:rsidP="00B01E00">
      <w:pPr>
        <w:bidi w:val="0"/>
        <w:jc w:val="both"/>
        <w:rPr>
          <w:rFonts w:ascii="Times New Roman" w:hAnsi="Times New Roman"/>
          <w:color w:val="000000"/>
        </w:rPr>
      </w:pPr>
    </w:p>
    <w:p w:rsidR="00B01E00" w:rsidP="00B01E00">
      <w:pPr>
        <w:bidi w:val="0"/>
        <w:jc w:val="both"/>
        <w:rPr>
          <w:rFonts w:ascii="Times New Roman" w:hAnsi="Times New Roman"/>
          <w:color w:val="000000"/>
        </w:rPr>
      </w:pPr>
      <w:r>
        <w:rPr>
          <w:rFonts w:ascii="Times New Roman" w:hAnsi="Times New Roman"/>
          <w:color w:val="000000"/>
        </w:rPr>
        <w:t>Samit nebol jednora</w:t>
      </w:r>
      <w:r w:rsidRPr="00925A9D">
        <w:rPr>
          <w:rFonts w:ascii="Times New Roman" w:hAnsi="Times New Roman"/>
          <w:color w:val="000000"/>
        </w:rPr>
        <w:t>zovou záležitosťou</w:t>
      </w:r>
      <w:r>
        <w:rPr>
          <w:rFonts w:ascii="Times New Roman" w:hAnsi="Times New Roman"/>
          <w:color w:val="000000"/>
        </w:rPr>
        <w:t>, ale prvým krokom</w:t>
      </w:r>
      <w:r w:rsidRPr="00925A9D">
        <w:rPr>
          <w:rFonts w:ascii="Times New Roman" w:hAnsi="Times New Roman"/>
          <w:color w:val="000000"/>
        </w:rPr>
        <w:t xml:space="preserve"> v dlhodobejšom procese</w:t>
      </w:r>
      <w:r>
        <w:rPr>
          <w:rFonts w:ascii="Times New Roman" w:hAnsi="Times New Roman"/>
          <w:color w:val="000000"/>
        </w:rPr>
        <w:t>. Konkrétne opatrenia i časový harmonogram stanovený v bratislavskej cestovnej mape zásadne určoval</w:t>
      </w:r>
      <w:r w:rsidR="00B50951">
        <w:rPr>
          <w:rFonts w:ascii="Times New Roman" w:hAnsi="Times New Roman"/>
          <w:color w:val="000000"/>
        </w:rPr>
        <w:t>i</w:t>
      </w:r>
      <w:r>
        <w:rPr>
          <w:rFonts w:ascii="Times New Roman" w:hAnsi="Times New Roman"/>
          <w:color w:val="000000"/>
        </w:rPr>
        <w:t xml:space="preserve"> agendu zasadnutí jednotlivých zložení Rady EÚ i oboch riadnych zasadnutí Európskej rady počas SK PRES v októbri a decembri. Rovnako tomu bude aj počas predsedníctva Malty v Rade EÚ v prvom polroku 2017. Finálnou fázou bratislavského procesu budú samity na Malte vo februári a v Ríme v marci 2017, ktoré budú venované vyhodnoteniu implementácie cieľov stanovených v Bratislave. Už po skončení nášho predsedníctva je zrejmé, že vďaka Bratislavskému samitu členské krajiny Únie v relatívne krátkom čase dosiahli konkrétne výsledky vo všetkých troch prioritných oblastiach. Silný apel lídrov zároveň podporil snahu posunúť diskusiu na úrovni Rady EÚ aj v oblastiach, v ktorých sa zhodu členských štátov nedarilo nájsť niekoľko rokov.</w:t>
      </w:r>
    </w:p>
    <w:p w:rsidR="000659D7" w:rsidP="00B01E00">
      <w:pPr>
        <w:bidi w:val="0"/>
        <w:jc w:val="both"/>
        <w:rPr>
          <w:rFonts w:ascii="Times New Roman" w:hAnsi="Times New Roman"/>
          <w:color w:val="000000"/>
        </w:rPr>
      </w:pPr>
    </w:p>
    <w:p w:rsidR="000659D7" w:rsidP="00B01E00">
      <w:pPr>
        <w:bidi w:val="0"/>
        <w:jc w:val="both"/>
        <w:rPr>
          <w:rFonts w:ascii="Times New Roman" w:hAnsi="Times New Roman"/>
          <w:color w:val="000000"/>
        </w:rPr>
      </w:pPr>
    </w:p>
    <w:p w:rsidR="003C0123" w:rsidRPr="00020C07" w:rsidP="00894D87">
      <w:pPr>
        <w:pStyle w:val="SpravaSKPRESnadpis1"/>
        <w:numPr>
          <w:numId w:val="13"/>
        </w:numPr>
        <w:tabs>
          <w:tab w:val="clear" w:pos="567"/>
          <w:tab w:val="clear" w:pos="926"/>
        </w:tabs>
        <w:bidi w:val="0"/>
        <w:rPr>
          <w:rFonts w:ascii="Times New Roman" w:hAnsi="Times New Roman"/>
        </w:rPr>
      </w:pPr>
      <w:r w:rsidR="000659D7">
        <w:rPr>
          <w:rFonts w:ascii="Times New Roman" w:hAnsi="Times New Roman"/>
        </w:rPr>
        <w:br w:type="page"/>
      </w:r>
      <w:bookmarkStart w:id="3" w:name="_Toc475948613"/>
      <w:r w:rsidRPr="00020C07">
        <w:rPr>
          <w:rFonts w:ascii="Times New Roman" w:hAnsi="Times New Roman"/>
        </w:rPr>
        <w:t xml:space="preserve">Vyhodnotenie obsahových priorít slovenského predsedníctva </w:t>
      </w:r>
      <w:r>
        <w:rPr>
          <w:rFonts w:ascii="Times New Roman" w:hAnsi="Times New Roman"/>
        </w:rPr>
        <w:br/>
      </w:r>
      <w:r w:rsidRPr="00020C07">
        <w:rPr>
          <w:rFonts w:ascii="Times New Roman" w:hAnsi="Times New Roman"/>
        </w:rPr>
        <w:t>v Rade EÚ</w:t>
      </w:r>
      <w:bookmarkEnd w:id="3"/>
    </w:p>
    <w:p w:rsidR="003C0123" w:rsidRPr="002D7975" w:rsidP="003C0123">
      <w:pPr>
        <w:bidi w:val="0"/>
        <w:jc w:val="both"/>
        <w:rPr>
          <w:rFonts w:ascii="Times New Roman" w:hAnsi="Times New Roman"/>
        </w:rPr>
      </w:pPr>
    </w:p>
    <w:p w:rsidR="00B01E00" w:rsidRPr="00894D87" w:rsidP="00894D87">
      <w:pPr>
        <w:pStyle w:val="SpravaSKPRESnadpis2"/>
        <w:bidi w:val="0"/>
        <w:rPr>
          <w:rFonts w:ascii="Times New Roman" w:hAnsi="Times New Roman"/>
        </w:rPr>
      </w:pPr>
      <w:bookmarkStart w:id="4" w:name="_Toc473045054"/>
      <w:bookmarkStart w:id="5" w:name="_Toc475948614"/>
      <w:r w:rsidRPr="00894D87">
        <w:rPr>
          <w:rFonts w:ascii="Times New Roman" w:hAnsi="Times New Roman"/>
        </w:rPr>
        <w:t>Hospodársky silná Európa</w:t>
      </w:r>
      <w:bookmarkEnd w:id="4"/>
      <w:bookmarkEnd w:id="5"/>
    </w:p>
    <w:p w:rsidR="00B01E00" w:rsidRPr="002D7975" w:rsidP="00B01E00">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Bratislavská deklarácia a Bratislavská cestovná mapa prijaté na septembrovom Bratislavskom samite zdôraznili potrebu riešiť ekonomickú a sociálnu neistotu ako jednu z urgentných priorít Únie. </w:t>
      </w:r>
      <w:r w:rsidRPr="00A7575B">
        <w:rPr>
          <w:rFonts w:ascii="Times New Roman" w:hAnsi="Times New Roman"/>
          <w:b/>
        </w:rPr>
        <w:t>Hospodárska a menová únia</w:t>
      </w:r>
      <w:r w:rsidRPr="00A7575B">
        <w:rPr>
          <w:rFonts w:ascii="Times New Roman" w:hAnsi="Times New Roman"/>
        </w:rPr>
        <w:t xml:space="preserve"> stále zostáva nedokončená. </w:t>
      </w:r>
      <w:r w:rsidRPr="00295F28" w:rsidR="00295F28">
        <w:rPr>
          <w:rFonts w:ascii="Times New Roman" w:hAnsi="Times New Roman"/>
        </w:rPr>
        <w:t>Slovenské predsedníctvo preto vytvorilo na viacerých fórach priestor pre diskusiu členských štátov o potrebe jej dobudovania, konkrétne jej fiškálneho piliera, s cieľom priniesť pozitívny impulz v ďalšom procese.</w:t>
      </w:r>
      <w:r w:rsidR="00295F28">
        <w:rPr>
          <w:rFonts w:ascii="Times New Roman" w:hAnsi="Times New Roman"/>
        </w:rPr>
        <w:t xml:space="preserve"> </w:t>
      </w:r>
      <w:r w:rsidRPr="00A7575B">
        <w:rPr>
          <w:rFonts w:ascii="Times New Roman" w:hAnsi="Times New Roman"/>
        </w:rPr>
        <w:t>Na neformálnom zasadnutí Rady pre hospodárske a finančné záležitosti (ECOFIN) ministri diskutovali o podmienkach pre vznik spoločnej fiškálnej kapacity, o jej možných formách</w:t>
      </w:r>
      <w:r w:rsidR="005179F6">
        <w:rPr>
          <w:rFonts w:ascii="Times New Roman" w:hAnsi="Times New Roman"/>
        </w:rPr>
        <w:t>,</w:t>
      </w:r>
      <w:r w:rsidRPr="00A7575B">
        <w:rPr>
          <w:rFonts w:ascii="Times New Roman" w:hAnsi="Times New Roman"/>
        </w:rPr>
        <w:t xml:space="preserve"> ako aj princípoch, na ktorých by mala fungovať. Kvalitu diskusie a jej prínos ocenili aj krajiny, ktoré túto tému vo všeobecnosti nepodporujú. </w:t>
      </w:r>
    </w:p>
    <w:p w:rsidR="00B01E00" w:rsidRPr="00A7575B" w:rsidP="00A7575B">
      <w:pPr>
        <w:bidi w:val="0"/>
        <w:jc w:val="both"/>
        <w:rPr>
          <w:rFonts w:ascii="Times New Roman" w:hAnsi="Times New Roman"/>
          <w:highlight w:val="yellow"/>
        </w:rPr>
      </w:pPr>
    </w:p>
    <w:p w:rsidR="00295F28" w:rsidRPr="00295F28" w:rsidP="00A7575B">
      <w:pPr>
        <w:bidi w:val="0"/>
        <w:jc w:val="both"/>
        <w:rPr>
          <w:rFonts w:ascii="Times New Roman" w:hAnsi="Times New Roman"/>
        </w:rPr>
      </w:pPr>
      <w:r w:rsidRPr="00A7575B" w:rsidR="00B01E00">
        <w:rPr>
          <w:rFonts w:ascii="Times New Roman" w:hAnsi="Times New Roman"/>
        </w:rPr>
        <w:t xml:space="preserve">Únia musí pokračovať v úsilí o oživenie súkromných investícií, ktoré stále nedosahujú predkrízové hodnoty. V tejto oblasti zohráva dôležitú úlohu </w:t>
      </w:r>
      <w:r w:rsidRPr="00A7575B" w:rsidR="00B01E00">
        <w:rPr>
          <w:rFonts w:ascii="Times New Roman" w:hAnsi="Times New Roman"/>
          <w:b/>
          <w:bCs/>
        </w:rPr>
        <w:t>Európsky fond pre strategické investície</w:t>
      </w:r>
      <w:r w:rsidRPr="00A7575B" w:rsidR="00B01E00">
        <w:rPr>
          <w:rFonts w:ascii="Times New Roman" w:hAnsi="Times New Roman"/>
        </w:rPr>
        <w:t xml:space="preserve"> ako dodatočný nástroj k existujúcim európskym investičným programom. Cieľom fondu je podpora využívania verejných financií, vrátane financií z rozpočtu EÚ, pre účely mobilizácie súkromných investícií. Členské štáty pod vedením slovenského predsedníctva schválili svoju pozíciu k návrhu na predĺženie trvania fondu a súhlasili s jeho rozšírením tak z hľadiska trvania</w:t>
      </w:r>
      <w:r w:rsidRPr="00A7575B" w:rsidR="0059404A">
        <w:rPr>
          <w:rFonts w:ascii="Times New Roman" w:hAnsi="Times New Roman"/>
        </w:rPr>
        <w:t>,</w:t>
      </w:r>
      <w:r w:rsidRPr="00A7575B" w:rsidR="00B01E00">
        <w:rPr>
          <w:rFonts w:ascii="Times New Roman" w:hAnsi="Times New Roman"/>
        </w:rPr>
        <w:t xml:space="preserve"> ako aj z hľadiska jeho finančnej kapacity – investičný cieľ do roku 2020 predstavuje pol bilióna eur.</w:t>
      </w:r>
      <w:r>
        <w:rPr>
          <w:rFonts w:ascii="Times New Roman" w:hAnsi="Times New Roman"/>
        </w:rPr>
        <w:t xml:space="preserve"> </w:t>
      </w:r>
      <w:r w:rsidRPr="00295F28">
        <w:rPr>
          <w:rFonts w:ascii="Times New Roman" w:hAnsi="Times New Roman"/>
        </w:rPr>
        <w:t xml:space="preserve">Okrem predĺženia </w:t>
      </w:r>
      <w:r w:rsidR="008A1CC0">
        <w:rPr>
          <w:rFonts w:ascii="Times New Roman" w:hAnsi="Times New Roman"/>
        </w:rPr>
        <w:t xml:space="preserve">trvania </w:t>
      </w:r>
      <w:r w:rsidRPr="00295F28">
        <w:rPr>
          <w:rFonts w:ascii="Times New Roman" w:hAnsi="Times New Roman"/>
        </w:rPr>
        <w:t>a</w:t>
      </w:r>
      <w:r>
        <w:rPr>
          <w:rFonts w:ascii="Times New Roman" w:hAnsi="Times New Roman"/>
        </w:rPr>
        <w:t> </w:t>
      </w:r>
      <w:r w:rsidRPr="00295F28">
        <w:rPr>
          <w:rFonts w:ascii="Times New Roman" w:hAnsi="Times New Roman"/>
        </w:rPr>
        <w:t>zväčšenia</w:t>
      </w:r>
      <w:r>
        <w:rPr>
          <w:rFonts w:ascii="Times New Roman" w:hAnsi="Times New Roman"/>
        </w:rPr>
        <w:t xml:space="preserve"> finančnej kapacity</w:t>
      </w:r>
      <w:r w:rsidRPr="00295F28">
        <w:rPr>
          <w:rFonts w:ascii="Times New Roman" w:hAnsi="Times New Roman"/>
        </w:rPr>
        <w:t xml:space="preserve"> fondu sú súčasťou návrhu aj viaceré opatrenia na </w:t>
      </w:r>
      <w:r>
        <w:rPr>
          <w:rFonts w:ascii="Times New Roman" w:hAnsi="Times New Roman"/>
        </w:rPr>
        <w:t>z</w:t>
      </w:r>
      <w:r w:rsidRPr="00295F28">
        <w:rPr>
          <w:rFonts w:ascii="Times New Roman" w:hAnsi="Times New Roman"/>
        </w:rPr>
        <w:t xml:space="preserve">lepšenie </w:t>
      </w:r>
      <w:r>
        <w:rPr>
          <w:rFonts w:ascii="Times New Roman" w:hAnsi="Times New Roman"/>
        </w:rPr>
        <w:t xml:space="preserve">jeho </w:t>
      </w:r>
      <w:r w:rsidRPr="00295F28">
        <w:rPr>
          <w:rFonts w:ascii="Times New Roman" w:hAnsi="Times New Roman"/>
        </w:rPr>
        <w:t>fungovania.</w:t>
      </w:r>
    </w:p>
    <w:p w:rsidR="00295F28"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Cieľom </w:t>
      </w:r>
      <w:r w:rsidRPr="00A7575B">
        <w:rPr>
          <w:rFonts w:ascii="Times New Roman" w:hAnsi="Times New Roman"/>
          <w:b/>
          <w:bCs/>
        </w:rPr>
        <w:t>Únie kapitálových trhov</w:t>
      </w:r>
      <w:r w:rsidRPr="00A7575B">
        <w:rPr>
          <w:rFonts w:ascii="Times New Roman" w:hAnsi="Times New Roman"/>
        </w:rPr>
        <w:t xml:space="preserve"> je sprístupniť alternatívne zdroje financovania pre malé a stredné podniky, opierajúce sa v súčasnosti najmä o bankové úvery. Hlavným výsledkom bude postupné odbúravanie zostávajúcich bariér pri cezhraničnom toku kapitálu. Slovenské predsedníctvo dosiahlo dohodu členských štátov pri návrhu o európskych fondoch rizikového kapitálu a európskych fondoch sociálneho podnikania. Cieľom </w:t>
      </w:r>
      <w:r w:rsidR="006465F0">
        <w:rPr>
          <w:rFonts w:ascii="Times New Roman" w:hAnsi="Times New Roman"/>
        </w:rPr>
        <w:t xml:space="preserve">zmien nariadení je podporiť investície do rizikového kapitálu a sociálnych projektov </w:t>
      </w:r>
      <w:r w:rsidR="00091C77">
        <w:rPr>
          <w:rFonts w:ascii="Times New Roman" w:hAnsi="Times New Roman"/>
        </w:rPr>
        <w:t xml:space="preserve">a uľahčiť investorom investovanie do malých a stredne veľkých inovatívnych spoločností. </w:t>
      </w:r>
      <w:r w:rsidRPr="00A7575B">
        <w:rPr>
          <w:rFonts w:ascii="Times New Roman" w:hAnsi="Times New Roman"/>
        </w:rPr>
        <w:t>Pod vedením slovenského predsedníctva sa tiež dosiahla politická dohoda s Európskym parlamentom o fondoch peňažného trhu. Po viac ako troch rokoch vyjednávaní sa slovenskému predsedníctvu podarilo úspešne uzavrieť tento mimoriadne ťažký a technicky náročný návrh, ktorý prispeje k zvýšeniu finančnej stability v EÚ, a ktorým sa po prvýkrát nastavuje regulácia v oblasti tieňového bankovníctva. Dôležitým príspevkom k budovaniu Únie kapitálových trhov je aj politická dohoda Rady a Európskeho parlamentu pri nariadení o prospektoch. Prospekt je právny dokument, ktorý pre potenciálnych investorov spoločnosti vydávajú o emitovaných cenných papieroch a o sebe. Je základným zdrojom informácií pre investorov a jedným z kľúčových nástrojov pre spoločnosti, ktoré chcú získavať kapitál na trhoch s cennými papiermi v EÚ.</w:t>
      </w:r>
    </w:p>
    <w:p w:rsidR="00091C77" w:rsidP="00CD15C3">
      <w:pPr>
        <w:bidi w:val="0"/>
        <w:jc w:val="both"/>
        <w:rPr>
          <w:rFonts w:ascii="Times New Roman" w:hAnsi="Times New Roman"/>
        </w:rPr>
      </w:pPr>
    </w:p>
    <w:p w:rsidR="00CD15C3" w:rsidRPr="00CD15C3" w:rsidP="00CD15C3">
      <w:pPr>
        <w:bidi w:val="0"/>
        <w:jc w:val="both"/>
        <w:rPr>
          <w:rFonts w:ascii="Times New Roman" w:hAnsi="Times New Roman"/>
        </w:rPr>
      </w:pPr>
      <w:r w:rsidRPr="00CD15C3">
        <w:rPr>
          <w:rFonts w:ascii="Times New Roman" w:hAnsi="Times New Roman"/>
        </w:rPr>
        <w:t xml:space="preserve">Dokončenie </w:t>
      </w:r>
      <w:r w:rsidRPr="00CD15C3">
        <w:rPr>
          <w:rFonts w:ascii="Times New Roman" w:hAnsi="Times New Roman"/>
          <w:b/>
        </w:rPr>
        <w:t>Bankovej únie</w:t>
      </w:r>
      <w:r w:rsidRPr="00CD15C3">
        <w:rPr>
          <w:rFonts w:ascii="Times New Roman" w:hAnsi="Times New Roman"/>
        </w:rPr>
        <w:t xml:space="preserve"> je dôležitým nástrojom na stabilizáciu bankového sektora EÚ. Slovenské predsedníctvo pokračovalo v rokovaniach o treťom pilieri Bankovej únie </w:t>
      </w:r>
      <w:r>
        <w:rPr>
          <w:rFonts w:ascii="Times New Roman" w:hAnsi="Times New Roman"/>
        </w:rPr>
        <w:t>–</w:t>
      </w:r>
      <w:r w:rsidRPr="00CD15C3">
        <w:rPr>
          <w:rFonts w:ascii="Times New Roman" w:hAnsi="Times New Roman"/>
        </w:rPr>
        <w:t xml:space="preserve"> európskom systéme ochrany vkladov, ktorý by mal prispieť k ochrane vkladateľov a posilneniu finančnej stability a</w:t>
      </w:r>
      <w:r>
        <w:rPr>
          <w:rFonts w:ascii="Times New Roman" w:hAnsi="Times New Roman"/>
        </w:rPr>
        <w:t>ko</w:t>
      </w:r>
      <w:r w:rsidRPr="00CD15C3">
        <w:rPr>
          <w:rFonts w:ascii="Times New Roman" w:hAnsi="Times New Roman"/>
        </w:rPr>
        <w:t xml:space="preserve"> aj dôvery občanov EÚ k finančnému trhu a inštitútom EÚ vo všeobecnosti.</w:t>
      </w:r>
    </w:p>
    <w:p w:rsidR="00CD15C3" w:rsidRPr="00A7575B" w:rsidP="00A7575B">
      <w:pPr>
        <w:pStyle w:val="ListParagraph"/>
        <w:bidi w:val="0"/>
        <w:ind w:left="0"/>
        <w:contextualSpacing/>
        <w:jc w:val="both"/>
        <w:rPr>
          <w:rFonts w:ascii="Times New Roman" w:hAnsi="Times New Roman"/>
          <w:highlight w:val="yellow"/>
        </w:rPr>
      </w:pPr>
    </w:p>
    <w:p w:rsidR="00B01E00" w:rsidRPr="00A7575B" w:rsidP="00A7575B">
      <w:pPr>
        <w:pStyle w:val="ListParagraph"/>
        <w:bidi w:val="0"/>
        <w:ind w:left="0"/>
        <w:contextualSpacing/>
        <w:jc w:val="both"/>
        <w:rPr>
          <w:rFonts w:ascii="Times New Roman" w:hAnsi="Times New Roman"/>
        </w:rPr>
      </w:pPr>
      <w:r w:rsidRPr="00A7575B">
        <w:rPr>
          <w:rFonts w:ascii="Times New Roman" w:hAnsi="Times New Roman"/>
        </w:rPr>
        <w:t xml:space="preserve">Rozpočet EÚ ako hlavný investičný nástroj musí reflektovať aktuálne priority EÚ a zároveň disponovať potrebnou kapacitou na riešenie neočakávaných výziev. V mimoriadne zložitom období ovplyvnenom výsledkom referenda v Spojenom kráľovstve sa slovenskému predsedníctvu podarilo dohodnúť </w:t>
      </w:r>
      <w:r w:rsidRPr="00A7575B">
        <w:rPr>
          <w:rFonts w:ascii="Times New Roman" w:hAnsi="Times New Roman"/>
          <w:b/>
        </w:rPr>
        <w:t>rozpočet EÚ na rok 2017</w:t>
      </w:r>
      <w:r w:rsidRPr="00A7575B">
        <w:rPr>
          <w:rFonts w:ascii="Times New Roman" w:hAnsi="Times New Roman"/>
        </w:rPr>
        <w:t>, ktorý je flexibilný, vyvážený a odráža aktuálne priority Únie. V roku 2017 sa v porovnaní s rokom 2016 o</w:t>
      </w:r>
      <w:r w:rsidR="00686A61">
        <w:rPr>
          <w:rFonts w:ascii="Times New Roman" w:hAnsi="Times New Roman"/>
        </w:rPr>
        <w:t> </w:t>
      </w:r>
      <w:r w:rsidRPr="00A7575B">
        <w:rPr>
          <w:rFonts w:ascii="Times New Roman" w:hAnsi="Times New Roman"/>
        </w:rPr>
        <w:t>11</w:t>
      </w:r>
      <w:r w:rsidR="00686A61">
        <w:rPr>
          <w:rFonts w:ascii="Times New Roman" w:hAnsi="Times New Roman"/>
        </w:rPr>
        <w:t xml:space="preserve"> </w:t>
      </w:r>
      <w:r w:rsidRPr="00A7575B">
        <w:rPr>
          <w:rFonts w:ascii="Times New Roman" w:hAnsi="Times New Roman"/>
        </w:rPr>
        <w:t>% zvýšia zdroje na riešenie migrácie a zvýšenie bezpečnosti občanov a o</w:t>
      </w:r>
      <w:r w:rsidR="00686A61">
        <w:rPr>
          <w:rFonts w:ascii="Times New Roman" w:hAnsi="Times New Roman"/>
        </w:rPr>
        <w:t> </w:t>
      </w:r>
      <w:r w:rsidRPr="00A7575B">
        <w:rPr>
          <w:rFonts w:ascii="Times New Roman" w:hAnsi="Times New Roman"/>
        </w:rPr>
        <w:t>12</w:t>
      </w:r>
      <w:r w:rsidR="00686A61">
        <w:rPr>
          <w:rFonts w:ascii="Times New Roman" w:hAnsi="Times New Roman"/>
        </w:rPr>
        <w:t xml:space="preserve"> </w:t>
      </w:r>
      <w:r w:rsidRPr="00A7575B">
        <w:rPr>
          <w:rFonts w:ascii="Times New Roman" w:hAnsi="Times New Roman"/>
        </w:rPr>
        <w:t>% zdroje na podporu rastu a zamestnanosti. V rokovaniach k návrhu na strednodobé preskúmanie</w:t>
      </w:r>
      <w:r w:rsidRPr="00A7575B">
        <w:rPr>
          <w:rFonts w:ascii="Times New Roman" w:hAnsi="Times New Roman"/>
          <w:b/>
        </w:rPr>
        <w:t xml:space="preserve"> Viacročného finančného rámca 2014-2020</w:t>
      </w:r>
      <w:r w:rsidRPr="00A7575B">
        <w:rPr>
          <w:rFonts w:ascii="Times New Roman" w:hAnsi="Times New Roman"/>
        </w:rPr>
        <w:t xml:space="preserve"> dosiahlo slovenské predsedníctvo širokú podporu členských štátov pre kompromisný návrh, ktorý zvyšuje zdroje o</w:t>
      </w:r>
      <w:r w:rsidRPr="00A7575B" w:rsidR="00D04863">
        <w:rPr>
          <w:rFonts w:ascii="Times New Roman" w:hAnsi="Times New Roman"/>
        </w:rPr>
        <w:t> </w:t>
      </w:r>
      <w:r w:rsidRPr="00A7575B">
        <w:rPr>
          <w:rFonts w:ascii="Times New Roman" w:hAnsi="Times New Roman"/>
        </w:rPr>
        <w:t>6</w:t>
      </w:r>
      <w:r w:rsidRPr="00A7575B" w:rsidR="00D04863">
        <w:rPr>
          <w:rFonts w:ascii="Times New Roman" w:hAnsi="Times New Roman"/>
        </w:rPr>
        <w:t> </w:t>
      </w:r>
      <w:r w:rsidRPr="00A7575B">
        <w:rPr>
          <w:rFonts w:ascii="Times New Roman" w:hAnsi="Times New Roman"/>
        </w:rPr>
        <w:t>miliárd eur, z toho takmer 4 miliardy na aktuálne priority ako sú migrácia a bezpečnosť a</w:t>
      </w:r>
      <w:r w:rsidRPr="00A7575B" w:rsidR="00D04863">
        <w:rPr>
          <w:rFonts w:ascii="Times New Roman" w:hAnsi="Times New Roman"/>
        </w:rPr>
        <w:t> </w:t>
      </w:r>
      <w:r w:rsidRPr="00A7575B">
        <w:rPr>
          <w:rFonts w:ascii="Times New Roman" w:hAnsi="Times New Roman"/>
        </w:rPr>
        <w:t>o</w:t>
      </w:r>
      <w:r w:rsidRPr="00A7575B" w:rsidR="00D04863">
        <w:rPr>
          <w:rFonts w:ascii="Times New Roman" w:hAnsi="Times New Roman"/>
        </w:rPr>
        <w:t> </w:t>
      </w:r>
      <w:r w:rsidRPr="00A7575B">
        <w:rPr>
          <w:rFonts w:ascii="Times New Roman" w:hAnsi="Times New Roman"/>
        </w:rPr>
        <w:t>ďalšie 2</w:t>
      </w:r>
      <w:r w:rsidRPr="00A7575B" w:rsidR="00D04863">
        <w:rPr>
          <w:rFonts w:ascii="Times New Roman" w:hAnsi="Times New Roman"/>
        </w:rPr>
        <w:t> </w:t>
      </w:r>
      <w:r w:rsidRPr="00A7575B">
        <w:rPr>
          <w:rFonts w:ascii="Times New Roman" w:hAnsi="Times New Roman"/>
        </w:rPr>
        <w:t xml:space="preserve">miliardy na podporu rastu a zamestnanosti, vrátane 1 miliardy na podporu mládeže. </w:t>
      </w:r>
    </w:p>
    <w:p w:rsidR="00B01E00" w:rsidRPr="00A7575B" w:rsidP="00A7575B">
      <w:pPr>
        <w:bidi w:val="0"/>
        <w:jc w:val="both"/>
        <w:rPr>
          <w:rFonts w:ascii="Times New Roman" w:hAnsi="Times New Roman"/>
          <w:highlight w:val="yellow"/>
        </w:rPr>
      </w:pPr>
    </w:p>
    <w:p w:rsidR="00B01E00" w:rsidRPr="00A7575B" w:rsidP="00A7575B">
      <w:pPr>
        <w:bidi w:val="0"/>
        <w:jc w:val="both"/>
        <w:rPr>
          <w:rFonts w:ascii="Times New Roman" w:hAnsi="Times New Roman"/>
        </w:rPr>
      </w:pPr>
      <w:r w:rsidRPr="00A7575B">
        <w:rPr>
          <w:rFonts w:ascii="Times New Roman" w:hAnsi="Times New Roman"/>
        </w:rPr>
        <w:t xml:space="preserve">Hospodársky rast v Európe nie je možné dosiahnuť bez cielenej investície do konvergencie všetkých regiónov EÚ, čo je hlavnou úlohou </w:t>
      </w:r>
      <w:r w:rsidRPr="00A7575B">
        <w:rPr>
          <w:rFonts w:ascii="Times New Roman" w:hAnsi="Times New Roman"/>
          <w:b/>
          <w:bCs/>
        </w:rPr>
        <w:t>Európskych štrukturálnych a investičných fondov</w:t>
      </w:r>
      <w:r w:rsidRPr="00A7575B">
        <w:rPr>
          <w:rFonts w:ascii="Times New Roman" w:hAnsi="Times New Roman"/>
        </w:rPr>
        <w:t>. Členské štáty pod vedením slovenského predsedníctva prijali závery k výsledkom a novým prvkom politiky súdržnosti a európskych štrukturálnych a investičných fondov, v ktorých vyzdvihli</w:t>
      </w:r>
      <w:r w:rsidRPr="00A7575B" w:rsidR="00D04863">
        <w:rPr>
          <w:rFonts w:ascii="Times New Roman" w:hAnsi="Times New Roman"/>
        </w:rPr>
        <w:t xml:space="preserve"> </w:t>
      </w:r>
      <w:r w:rsidRPr="00A7575B">
        <w:rPr>
          <w:rFonts w:ascii="Times New Roman" w:hAnsi="Times New Roman"/>
        </w:rPr>
        <w:t>pozitívny vplyv politiky súdržnosti na podporu rastu a tvorbu pracovných miest. Ministri sa zaviazali pravidelne diskutovať o podobe politiky súdržnosti po roku 2020 s</w:t>
      </w:r>
      <w:r w:rsidR="00686A61">
        <w:rPr>
          <w:rFonts w:ascii="Times New Roman" w:hAnsi="Times New Roman"/>
        </w:rPr>
        <w:t> </w:t>
      </w:r>
      <w:r w:rsidRPr="00A7575B">
        <w:rPr>
          <w:rFonts w:ascii="Times New Roman" w:hAnsi="Times New Roman"/>
        </w:rPr>
        <w:t>cieľom</w:t>
      </w:r>
      <w:r w:rsidR="00686A61">
        <w:rPr>
          <w:rFonts w:ascii="Times New Roman" w:hAnsi="Times New Roman"/>
        </w:rPr>
        <w:t xml:space="preserve"> zabezpečiť</w:t>
      </w:r>
      <w:r w:rsidRPr="00A7575B">
        <w:rPr>
          <w:rFonts w:ascii="Times New Roman" w:hAnsi="Times New Roman"/>
        </w:rPr>
        <w:t>, aby bolo využívanie týchto fondov pre občanov čo najjednoduchšie, najprístupnejšie a najzrozumiteľnejšie.</w:t>
      </w:r>
    </w:p>
    <w:p w:rsidR="00B01E00" w:rsidRPr="00A7575B" w:rsidP="00A7575B">
      <w:pPr>
        <w:bidi w:val="0"/>
        <w:jc w:val="both"/>
        <w:rPr>
          <w:rFonts w:ascii="Times New Roman" w:hAnsi="Times New Roman"/>
          <w:bCs/>
          <w:iCs/>
          <w:highlight w:val="yellow"/>
        </w:rPr>
      </w:pPr>
    </w:p>
    <w:p w:rsidR="00B01E00" w:rsidRPr="00A7575B" w:rsidP="00A7575B">
      <w:pPr>
        <w:bidi w:val="0"/>
        <w:jc w:val="both"/>
        <w:rPr>
          <w:rFonts w:ascii="Times New Roman" w:hAnsi="Times New Roman"/>
        </w:rPr>
      </w:pPr>
      <w:r w:rsidRPr="00A7575B">
        <w:rPr>
          <w:rFonts w:ascii="Times New Roman" w:hAnsi="Times New Roman"/>
          <w:bCs/>
          <w:iCs/>
        </w:rPr>
        <w:t>Hospodárska súťaž a transparentné investičné prostredie sa musia opierať o opatrenia v </w:t>
      </w:r>
      <w:r w:rsidRPr="00A7575B">
        <w:rPr>
          <w:rFonts w:ascii="Times New Roman" w:hAnsi="Times New Roman"/>
          <w:b/>
          <w:bCs/>
          <w:iCs/>
        </w:rPr>
        <w:t>daňovej oblasti</w:t>
      </w:r>
      <w:r w:rsidRPr="00A7575B">
        <w:rPr>
          <w:rFonts w:ascii="Times New Roman" w:hAnsi="Times New Roman"/>
          <w:bCs/>
          <w:iCs/>
        </w:rPr>
        <w:t xml:space="preserve">, ktoré povedú k </w:t>
      </w:r>
      <w:r w:rsidRPr="00A7575B">
        <w:rPr>
          <w:rFonts w:ascii="Times New Roman" w:hAnsi="Times New Roman"/>
        </w:rPr>
        <w:t>spravodlivému a účinnému zdaňovaniu v EÚ. Členské štáty pod vedením slovenského predsedníctva schválili kritériá a proces vytvorenia zoznamu EÚ, ktorý sa týka nespolupracujúcich jurisdikcií v daňovej oblasti. Cieľom tejto iniciatívy je predchádzať vyhýbaniu sa daňovým povinnostiam (reakcia na odhalenie Panamských dokumentov v apríli 2016), narúšaniu základu dane a presunu ziskov</w:t>
      </w:r>
      <w:r w:rsidR="003C53B2">
        <w:rPr>
          <w:rFonts w:ascii="Times New Roman" w:hAnsi="Times New Roman"/>
        </w:rPr>
        <w:t xml:space="preserve"> </w:t>
      </w:r>
      <w:r w:rsidRPr="003C53B2" w:rsidR="003C53B2">
        <w:rPr>
          <w:rFonts w:ascii="Times New Roman" w:hAnsi="Times New Roman"/>
        </w:rPr>
        <w:t>a napomôcť k presadzovaniu medzinárodných štandardov v oblasti transparentnosti a spravodlivého zdaňovania na globálnej úrovni.</w:t>
      </w:r>
    </w:p>
    <w:p w:rsidR="007C30ED" w:rsidP="007C30ED">
      <w:pPr>
        <w:bidi w:val="0"/>
        <w:jc w:val="both"/>
        <w:rPr>
          <w:rFonts w:ascii="Times New Roman" w:hAnsi="Times New Roman"/>
        </w:rPr>
      </w:pPr>
    </w:p>
    <w:p w:rsidR="007C30ED" w:rsidRPr="00A7575B" w:rsidP="007C30ED">
      <w:pPr>
        <w:bidi w:val="0"/>
        <w:jc w:val="both"/>
        <w:rPr>
          <w:rFonts w:ascii="Times New Roman" w:hAnsi="Times New Roman"/>
        </w:rPr>
      </w:pPr>
      <w:r w:rsidRPr="00A7575B">
        <w:rPr>
          <w:rFonts w:ascii="Times New Roman" w:hAnsi="Times New Roman"/>
        </w:rPr>
        <w:t xml:space="preserve">Rada pod vedením </w:t>
      </w:r>
      <w:r>
        <w:rPr>
          <w:rFonts w:ascii="Times New Roman" w:hAnsi="Times New Roman"/>
        </w:rPr>
        <w:t>slovenského predsedníctva</w:t>
      </w:r>
      <w:r w:rsidRPr="00A7575B">
        <w:rPr>
          <w:rFonts w:ascii="Times New Roman" w:hAnsi="Times New Roman"/>
        </w:rPr>
        <w:t xml:space="preserve"> prijala </w:t>
      </w:r>
      <w:r>
        <w:rPr>
          <w:rFonts w:ascii="Times New Roman" w:hAnsi="Times New Roman"/>
        </w:rPr>
        <w:t xml:space="preserve">novelu </w:t>
      </w:r>
      <w:r w:rsidRPr="005E23F2">
        <w:rPr>
          <w:rFonts w:ascii="Times New Roman" w:hAnsi="Times New Roman"/>
        </w:rPr>
        <w:t>smernice</w:t>
      </w:r>
      <w:r>
        <w:rPr>
          <w:rFonts w:ascii="Times New Roman" w:hAnsi="Times New Roman"/>
          <w:color w:val="FF0000"/>
        </w:rPr>
        <w:t xml:space="preserve"> </w:t>
      </w:r>
      <w:r w:rsidRPr="00A7575B">
        <w:rPr>
          <w:rFonts w:ascii="Times New Roman" w:hAnsi="Times New Roman"/>
        </w:rPr>
        <w:t xml:space="preserve"> ktorou sa daňovým orgánom poskytuje prístup k informáciám orgánov zodpovedných za </w:t>
      </w:r>
      <w:r w:rsidRPr="00A7575B">
        <w:rPr>
          <w:rFonts w:ascii="Times New Roman" w:hAnsi="Times New Roman"/>
          <w:b/>
        </w:rPr>
        <w:t>predchádzanie praniu špinavých peňazí</w:t>
      </w:r>
      <w:r w:rsidRPr="00A7575B">
        <w:rPr>
          <w:rFonts w:ascii="Times New Roman" w:hAnsi="Times New Roman"/>
        </w:rPr>
        <w:t>. Smernica umožní daňovým orgánom prístup k informáciám o skutočnom vlastníctve spoločností pri sledovaní riadneho uplatňovania daňových predpisov a zároveň pomôže predchádzať daňovým únikom a daňovým podvodom</w:t>
      </w:r>
      <w:r>
        <w:rPr>
          <w:rFonts w:ascii="Times New Roman" w:hAnsi="Times New Roman"/>
        </w:rPr>
        <w:t>.</w:t>
      </w:r>
    </w:p>
    <w:p w:rsidR="00B01E00" w:rsidP="00A7575B">
      <w:pPr>
        <w:bidi w:val="0"/>
        <w:jc w:val="both"/>
        <w:rPr>
          <w:rFonts w:ascii="Times New Roman" w:hAnsi="Times New Roman"/>
        </w:rPr>
      </w:pPr>
    </w:p>
    <w:p w:rsidR="003C53B2" w:rsidP="00A7575B">
      <w:pPr>
        <w:bidi w:val="0"/>
        <w:jc w:val="both"/>
        <w:rPr>
          <w:rFonts w:ascii="Times New Roman" w:hAnsi="Times New Roman"/>
        </w:rPr>
      </w:pPr>
      <w:r w:rsidRPr="003C53B2">
        <w:rPr>
          <w:rFonts w:ascii="Times New Roman" w:hAnsi="Times New Roman"/>
        </w:rPr>
        <w:t xml:space="preserve">Dôležitým výsledkom v oblasti DPH bolo dosiahnutie kompromisného </w:t>
      </w:r>
      <w:r w:rsidRPr="00B42BDE">
        <w:rPr>
          <w:rFonts w:ascii="Times New Roman" w:hAnsi="Times New Roman"/>
        </w:rPr>
        <w:t>znenia</w:t>
      </w:r>
      <w:r w:rsidRPr="003C53B2">
        <w:rPr>
          <w:rFonts w:ascii="Times New Roman" w:hAnsi="Times New Roman"/>
          <w:b/>
        </w:rPr>
        <w:t xml:space="preserve"> dohody medzi EÚ a Nórskom</w:t>
      </w:r>
      <w:r w:rsidRPr="003C53B2">
        <w:rPr>
          <w:rFonts w:ascii="Times New Roman" w:hAnsi="Times New Roman"/>
        </w:rPr>
        <w:t xml:space="preserve"> </w:t>
      </w:r>
      <w:r w:rsidRPr="00B42BDE">
        <w:rPr>
          <w:rFonts w:ascii="Times New Roman" w:hAnsi="Times New Roman"/>
          <w:b/>
        </w:rPr>
        <w:t>o administratívnej spolupráci, boji proti podvodom a vymáhaniu v oblasti DPH</w:t>
      </w:r>
      <w:r w:rsidRPr="003C53B2">
        <w:rPr>
          <w:rFonts w:ascii="Times New Roman" w:hAnsi="Times New Roman"/>
        </w:rPr>
        <w:t xml:space="preserve">. Slovenské predsedníctvo ešte pred samotným predložením návrhu EK, ktorým sa má zaviesť definitívny režim DPH pre cezhraničné transakcie v EÚ, otvorilo diskusiu o identifikácii </w:t>
      </w:r>
      <w:r w:rsidRPr="00B42BDE">
        <w:rPr>
          <w:rFonts w:ascii="Times New Roman" w:hAnsi="Times New Roman"/>
          <w:b/>
        </w:rPr>
        <w:t>problémov súčasných pravidiel DPH</w:t>
      </w:r>
      <w:r w:rsidRPr="003C53B2">
        <w:rPr>
          <w:rFonts w:ascii="Times New Roman" w:hAnsi="Times New Roman"/>
        </w:rPr>
        <w:t xml:space="preserve"> v tejto oblasti, ako aj návrhov na ich riešenie. Táto iniciatíva bola zavŕšená jednohlasným schválením záverov Rady. </w:t>
      </w:r>
    </w:p>
    <w:p w:rsidR="003C53B2" w:rsidP="00A7575B">
      <w:pPr>
        <w:bidi w:val="0"/>
        <w:jc w:val="both"/>
        <w:rPr>
          <w:rFonts w:ascii="Times New Roman" w:hAnsi="Times New Roman"/>
        </w:rPr>
      </w:pPr>
    </w:p>
    <w:p w:rsidR="003C53B2" w:rsidRPr="003C53B2" w:rsidP="00A7575B">
      <w:pPr>
        <w:bidi w:val="0"/>
        <w:jc w:val="both"/>
        <w:rPr>
          <w:rFonts w:ascii="Times New Roman" w:hAnsi="Times New Roman"/>
        </w:rPr>
      </w:pPr>
      <w:r w:rsidRPr="003C53B2">
        <w:rPr>
          <w:rFonts w:ascii="Times New Roman" w:hAnsi="Times New Roman"/>
        </w:rPr>
        <w:t xml:space="preserve">V </w:t>
      </w:r>
      <w:r w:rsidRPr="00C4090F">
        <w:rPr>
          <w:rFonts w:ascii="Times New Roman" w:hAnsi="Times New Roman"/>
        </w:rPr>
        <w:t>oblasti</w:t>
      </w:r>
      <w:r w:rsidRPr="003C53B2">
        <w:rPr>
          <w:rFonts w:ascii="Times New Roman" w:hAnsi="Times New Roman"/>
          <w:b/>
        </w:rPr>
        <w:t xml:space="preserve"> spotrebných daní </w:t>
      </w:r>
      <w:r w:rsidRPr="003C53B2">
        <w:rPr>
          <w:rFonts w:ascii="Times New Roman" w:hAnsi="Times New Roman"/>
        </w:rPr>
        <w:t xml:space="preserve">Európska komisia </w:t>
      </w:r>
      <w:r>
        <w:rPr>
          <w:rFonts w:ascii="Times New Roman" w:hAnsi="Times New Roman"/>
        </w:rPr>
        <w:t>zverejnila</w:t>
      </w:r>
      <w:r w:rsidRPr="003C53B2">
        <w:rPr>
          <w:rFonts w:ascii="Times New Roman" w:hAnsi="Times New Roman"/>
        </w:rPr>
        <w:t xml:space="preserve"> správu o hodnotení smernice o štruktúrach spotrebných daní pre alkohol a alkoholického nápoje. V nadväznosti na predloženú správu sa slovenskému predsedníctvu</w:t>
      </w:r>
      <w:r>
        <w:rPr>
          <w:rFonts w:ascii="Times New Roman" w:hAnsi="Times New Roman"/>
        </w:rPr>
        <w:t xml:space="preserve"> podarilo</w:t>
      </w:r>
      <w:r w:rsidRPr="003C53B2">
        <w:rPr>
          <w:rFonts w:ascii="Times New Roman" w:hAnsi="Times New Roman"/>
        </w:rPr>
        <w:t xml:space="preserve"> dosiahnuť jednomyseľné odsúhlasenie záverov Rady vyzývajú</w:t>
      </w:r>
      <w:r>
        <w:rPr>
          <w:rFonts w:ascii="Times New Roman" w:hAnsi="Times New Roman"/>
        </w:rPr>
        <w:t>cich</w:t>
      </w:r>
      <w:r w:rsidRPr="003C53B2">
        <w:rPr>
          <w:rFonts w:ascii="Times New Roman" w:hAnsi="Times New Roman"/>
        </w:rPr>
        <w:t xml:space="preserve"> Európsku komisiu na predloženie legislatívneho návrhu, ktorým bude táto smernica zmenená po prvýkrát po 23 rokoch.</w:t>
      </w:r>
    </w:p>
    <w:p w:rsidR="003C53B2" w:rsidP="00A7575B">
      <w:pPr>
        <w:bidi w:val="0"/>
        <w:jc w:val="both"/>
        <w:rPr>
          <w:rFonts w:ascii="Times New Roman" w:hAnsi="Times New Roman"/>
        </w:rPr>
      </w:pPr>
    </w:p>
    <w:p w:rsidR="00F54A87" w:rsidP="00F54A87">
      <w:pPr>
        <w:bidi w:val="0"/>
        <w:jc w:val="both"/>
        <w:rPr>
          <w:rFonts w:ascii="Times New Roman" w:hAnsi="Times New Roman"/>
        </w:rPr>
      </w:pPr>
      <w:r w:rsidRPr="00F54A87" w:rsidR="00EA2C51">
        <w:rPr>
          <w:rFonts w:ascii="Times New Roman" w:hAnsi="Times New Roman"/>
        </w:rPr>
        <w:t xml:space="preserve">V kontexte zhoršujúcej sa bezpečnostnej situácie v EÚ v súvislosti s teroristickými útokmi a hrozbami, ako aj dôkazmi o praní špinavých peňazí, ktoré boli zverejnené v rámci tzv. Panama Papers, sa slovenskému predsedníctvu podarilo dosiahnuť dohodu členských štátov na novele smernice </w:t>
      </w:r>
      <w:r w:rsidRPr="00F54A87" w:rsidR="00EA2C51">
        <w:rPr>
          <w:rFonts w:ascii="Times New Roman" w:hAnsi="Times New Roman"/>
          <w:b/>
        </w:rPr>
        <w:t>o predchádzaní využívania finančného systému na účely prania špinavých peňazí a financovania terorizmu</w:t>
      </w:r>
      <w:r w:rsidRPr="00F54A87" w:rsidR="00EA2C51">
        <w:rPr>
          <w:rFonts w:ascii="Times New Roman" w:hAnsi="Times New Roman"/>
        </w:rPr>
        <w:t xml:space="preserve">. </w:t>
      </w:r>
    </w:p>
    <w:p w:rsidR="00EA2C51" w:rsidRPr="00E02F17" w:rsidP="00A7575B">
      <w:pPr>
        <w:bidi w:val="0"/>
        <w:jc w:val="both"/>
        <w:rPr>
          <w:rFonts w:ascii="Times New Roman" w:hAnsi="Times New Roman"/>
          <w:highlight w:val="cyan"/>
        </w:rPr>
      </w:pPr>
    </w:p>
    <w:p w:rsidR="00E02F17" w:rsidRPr="00E02F17" w:rsidP="00E02F17">
      <w:pPr>
        <w:bidi w:val="0"/>
        <w:jc w:val="both"/>
        <w:rPr>
          <w:rFonts w:ascii="Times New Roman" w:hAnsi="Times New Roman"/>
          <w:color w:val="000000"/>
        </w:rPr>
      </w:pPr>
      <w:r w:rsidRPr="00E02F17">
        <w:rPr>
          <w:rFonts w:ascii="Times New Roman" w:hAnsi="Times New Roman"/>
          <w:color w:val="000000"/>
        </w:rPr>
        <w:t xml:space="preserve">V </w:t>
      </w:r>
      <w:r w:rsidRPr="00E02F17">
        <w:rPr>
          <w:rFonts w:ascii="Times New Roman" w:hAnsi="Times New Roman"/>
        </w:rPr>
        <w:t>kontexte</w:t>
      </w:r>
      <w:r w:rsidRPr="00E02F17">
        <w:rPr>
          <w:rFonts w:ascii="Times New Roman" w:hAnsi="Times New Roman"/>
          <w:color w:val="000000"/>
        </w:rPr>
        <w:t xml:space="preserve"> boja proti terorizmu sa počas </w:t>
      </w:r>
      <w:r>
        <w:rPr>
          <w:rFonts w:ascii="Times New Roman" w:hAnsi="Times New Roman"/>
          <w:color w:val="000000"/>
        </w:rPr>
        <w:t>slovenského predsedníctva</w:t>
      </w:r>
      <w:r w:rsidRPr="00E02F17">
        <w:rPr>
          <w:rFonts w:ascii="Times New Roman" w:hAnsi="Times New Roman"/>
          <w:color w:val="000000"/>
        </w:rPr>
        <w:t xml:space="preserve"> diskutovalo aj o úlohe colníctva. V oblasti colníctva sa </w:t>
      </w:r>
      <w:r>
        <w:rPr>
          <w:rFonts w:ascii="Times New Roman" w:hAnsi="Times New Roman"/>
          <w:color w:val="000000"/>
        </w:rPr>
        <w:t>predsedníctvu</w:t>
      </w:r>
      <w:r w:rsidRPr="00E02F17">
        <w:rPr>
          <w:rFonts w:ascii="Times New Roman" w:hAnsi="Times New Roman"/>
          <w:color w:val="000000"/>
        </w:rPr>
        <w:t xml:space="preserve"> podarilo dosiahnuť dohodu</w:t>
      </w:r>
      <w:r>
        <w:rPr>
          <w:rFonts w:ascii="Times New Roman" w:hAnsi="Times New Roman"/>
          <w:color w:val="000000"/>
        </w:rPr>
        <w:t xml:space="preserve"> členských štátov</w:t>
      </w:r>
      <w:r w:rsidRPr="00E02F17">
        <w:rPr>
          <w:rFonts w:ascii="Times New Roman" w:hAnsi="Times New Roman"/>
          <w:color w:val="000000"/>
        </w:rPr>
        <w:t xml:space="preserve"> na svojom návrhu na </w:t>
      </w:r>
      <w:r w:rsidRPr="00E02F17">
        <w:rPr>
          <w:rFonts w:ascii="Times New Roman" w:hAnsi="Times New Roman"/>
        </w:rPr>
        <w:t xml:space="preserve">zriadenie </w:t>
      </w:r>
      <w:r w:rsidRPr="00E02F17">
        <w:rPr>
          <w:rFonts w:ascii="Times New Roman" w:hAnsi="Times New Roman"/>
          <w:b/>
          <w:bCs/>
        </w:rPr>
        <w:t>stálej platformy generálnych riaditeľov colných správ</w:t>
      </w:r>
      <w:r w:rsidR="008A1CC0">
        <w:rPr>
          <w:rFonts w:ascii="Times New Roman" w:hAnsi="Times New Roman"/>
          <w:b/>
          <w:bCs/>
        </w:rPr>
        <w:t>,</w:t>
      </w:r>
      <w:r w:rsidRPr="00E02F17">
        <w:rPr>
          <w:rFonts w:ascii="Times New Roman" w:hAnsi="Times New Roman"/>
          <w:b/>
          <w:bCs/>
        </w:rPr>
        <w:t xml:space="preserve"> </w:t>
      </w:r>
      <w:r w:rsidRPr="00E02F17">
        <w:rPr>
          <w:rFonts w:ascii="Times New Roman" w:hAnsi="Times New Roman"/>
        </w:rPr>
        <w:t>ako aj</w:t>
      </w:r>
      <w:r w:rsidRPr="00E02F17">
        <w:rPr>
          <w:rFonts w:ascii="Times New Roman" w:hAnsi="Times New Roman"/>
          <w:b/>
          <w:bCs/>
        </w:rPr>
        <w:t xml:space="preserve"> na návrhu na</w:t>
      </w:r>
      <w:r w:rsidRPr="00E02F17">
        <w:rPr>
          <w:rFonts w:ascii="Times New Roman" w:hAnsi="Times New Roman"/>
        </w:rPr>
        <w:t xml:space="preserve"> </w:t>
      </w:r>
      <w:r w:rsidRPr="00E02F17">
        <w:rPr>
          <w:rFonts w:ascii="Times New Roman" w:hAnsi="Times New Roman"/>
          <w:b/>
          <w:bCs/>
        </w:rPr>
        <w:t>neformálnu dohodu o postupe pre nomináciu spoločného kandidáta</w:t>
      </w:r>
      <w:r w:rsidRPr="00E02F17">
        <w:rPr>
          <w:rFonts w:ascii="Times New Roman" w:hAnsi="Times New Roman"/>
        </w:rPr>
        <w:t xml:space="preserve"> na manažérske pozície v Sveto</w:t>
      </w:r>
      <w:r>
        <w:rPr>
          <w:rFonts w:ascii="Times New Roman" w:hAnsi="Times New Roman"/>
        </w:rPr>
        <w:t>vej colnej organizácii (WCO). Slovenské predsedníctvo</w:t>
      </w:r>
      <w:r w:rsidRPr="00E02F17">
        <w:rPr>
          <w:rFonts w:ascii="Times New Roman" w:hAnsi="Times New Roman"/>
        </w:rPr>
        <w:t xml:space="preserve"> nastolilo závažnú otázku potreby zlepšenia výmeny colných informácií s tretími krajinami a k tejto téme </w:t>
      </w:r>
      <w:r>
        <w:rPr>
          <w:rFonts w:ascii="Times New Roman" w:hAnsi="Times New Roman"/>
        </w:rPr>
        <w:t>dosiahlo</w:t>
      </w:r>
      <w:r w:rsidRPr="00E02F17">
        <w:rPr>
          <w:rFonts w:ascii="Times New Roman" w:hAnsi="Times New Roman"/>
        </w:rPr>
        <w:t xml:space="preserve"> </w:t>
      </w:r>
      <w:r w:rsidRPr="00E02F17">
        <w:rPr>
          <w:rFonts w:ascii="Times New Roman" w:hAnsi="Times New Roman"/>
          <w:b/>
          <w:bCs/>
        </w:rPr>
        <w:t>schválenie záverov Rady</w:t>
      </w:r>
      <w:r w:rsidRPr="00E02F17">
        <w:rPr>
          <w:rFonts w:ascii="Times New Roman" w:hAnsi="Times New Roman"/>
        </w:rPr>
        <w:t>. </w:t>
      </w:r>
    </w:p>
    <w:p w:rsidR="00091C77"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S</w:t>
      </w:r>
      <w:r w:rsidR="00686A61">
        <w:rPr>
          <w:rFonts w:ascii="Times New Roman" w:hAnsi="Times New Roman"/>
        </w:rPr>
        <w:t>lovenské predsedníctvo</w:t>
      </w:r>
      <w:r w:rsidRPr="00A7575B">
        <w:rPr>
          <w:rFonts w:ascii="Times New Roman" w:hAnsi="Times New Roman"/>
        </w:rPr>
        <w:t xml:space="preserve"> odblokovalo rokovania a dosiahlo dohodu k smernici </w:t>
      </w:r>
      <w:r w:rsidRPr="00A7575B">
        <w:rPr>
          <w:rFonts w:ascii="Times New Roman" w:hAnsi="Times New Roman"/>
          <w:b/>
        </w:rPr>
        <w:t>o boji proti podvodom poškodzujúcim finančné záujmy EÚ</w:t>
      </w:r>
      <w:r w:rsidRPr="00A7575B">
        <w:rPr>
          <w:rFonts w:ascii="Times New Roman" w:hAnsi="Times New Roman"/>
        </w:rPr>
        <w:t xml:space="preserve"> (tzv. smernica o ochrane finančných záujmov EÚ), ktorá bola v Rade prerokúvaná viac ako štyri roky. Smernica je prelomovou, keďže napriek tomu, že na úrovni EÚ boli vypracované právne predpisy v oblasti boja proti podvodom, korupcii a praniu špinavých peňazí, príslušné pravidlá členských štátov sa v súčasnosti v značnej miere odlišujú. Spoločné vymedzenie trestných činov vo všetkých členských štátoch v duchu tejto smernice obmedzí riziko uplatňovania odlišných postupov. Cieľom </w:t>
      </w:r>
      <w:r w:rsidR="00686A61">
        <w:rPr>
          <w:rFonts w:ascii="Times New Roman" w:hAnsi="Times New Roman"/>
        </w:rPr>
        <w:t>je odrádzať páchateľov podvodov a</w:t>
      </w:r>
      <w:r w:rsidRPr="00A7575B">
        <w:rPr>
          <w:rFonts w:ascii="Times New Roman" w:hAnsi="Times New Roman"/>
        </w:rPr>
        <w:t xml:space="preserve"> zlepšiť stíhanie a sankcionovanie trestných činov poškodzujúcich rozpočet EÚ (vrátane podvodov s DPH). Smernica sa zameriava aj na uľahčenie vymáhania zneužitých finančných prostriedkov EÚ v</w:t>
      </w:r>
      <w:r w:rsidRPr="00A7575B" w:rsidR="00A87F6A">
        <w:rPr>
          <w:rFonts w:ascii="Times New Roman" w:hAnsi="Times New Roman"/>
        </w:rPr>
        <w:t> </w:t>
      </w:r>
      <w:r w:rsidRPr="00A7575B">
        <w:rPr>
          <w:rFonts w:ascii="Times New Roman" w:hAnsi="Times New Roman"/>
        </w:rPr>
        <w:t xml:space="preserve">záujme zvýšenia ochrany peňazí daňových poplatníkov. </w:t>
      </w:r>
      <w:r w:rsidRPr="00E33E44" w:rsidR="00E33E44">
        <w:rPr>
          <w:rFonts w:ascii="Times New Roman" w:hAnsi="Times New Roman"/>
        </w:rPr>
        <w:t>Trestné činy uvedené v smernici budú stíhané Európskou prokuratúrou.</w:t>
      </w:r>
    </w:p>
    <w:p w:rsidR="0059404A" w:rsidRPr="00A7575B" w:rsidP="00A7575B">
      <w:pPr>
        <w:bidi w:val="0"/>
        <w:jc w:val="both"/>
        <w:rPr>
          <w:rFonts w:ascii="Times New Roman" w:hAnsi="Times New Roman"/>
        </w:rPr>
      </w:pPr>
    </w:p>
    <w:p w:rsidR="0019462F" w:rsidRPr="0019462F" w:rsidP="0019462F">
      <w:pPr>
        <w:bidi w:val="0"/>
        <w:jc w:val="both"/>
        <w:rPr>
          <w:rFonts w:ascii="Times New Roman" w:hAnsi="Times New Roman"/>
        </w:rPr>
      </w:pPr>
      <w:r w:rsidRPr="0019462F">
        <w:rPr>
          <w:rFonts w:ascii="Times New Roman" w:hAnsi="Times New Roman"/>
        </w:rPr>
        <w:t xml:space="preserve">Pod vedením slovenského predsedníctva veľká väčšina členských štátov potvrdila záväzok pripojiť sa k zriadeniu </w:t>
      </w:r>
      <w:r w:rsidRPr="0019462F">
        <w:rPr>
          <w:rFonts w:ascii="Times New Roman" w:hAnsi="Times New Roman"/>
          <w:b/>
        </w:rPr>
        <w:t>Európskej prokuratúry (EPPO)</w:t>
      </w:r>
      <w:r w:rsidRPr="0019462F">
        <w:rPr>
          <w:rFonts w:ascii="Times New Roman" w:hAnsi="Times New Roman"/>
        </w:rPr>
        <w:t>. Základ budúcich diskusií o posilnenej spolupráci bude tvoriť stabilizovaný text návrhu nariadenia, ktorý vypracovalo slovenské predsedníctvo. Cieľom zriadenia Európskej prokuratúry je vyššia ochrana peňazí daňových poplatníkov a boj proti podvodom týkajúcim sa finančných prostriedkov EÚ.</w:t>
      </w:r>
    </w:p>
    <w:p w:rsidR="00091C77" w:rsidRPr="00A7575B" w:rsidP="00A7575B">
      <w:pPr>
        <w:bidi w:val="0"/>
        <w:rPr>
          <w:rFonts w:ascii="Times New Roman" w:hAnsi="Times New Roman"/>
          <w:b/>
        </w:rPr>
      </w:pPr>
    </w:p>
    <w:p w:rsidR="00B01E00" w:rsidRPr="00A7575B" w:rsidP="00894D87">
      <w:pPr>
        <w:pStyle w:val="SpravaSKPRESnadpis2"/>
        <w:bidi w:val="0"/>
        <w:rPr>
          <w:rFonts w:ascii="Times New Roman" w:hAnsi="Times New Roman"/>
        </w:rPr>
      </w:pPr>
      <w:bookmarkStart w:id="6" w:name="_Toc473045055"/>
      <w:bookmarkStart w:id="7" w:name="_Toc475948615"/>
      <w:r w:rsidRPr="00A7575B">
        <w:rPr>
          <w:rFonts w:ascii="Times New Roman" w:hAnsi="Times New Roman"/>
        </w:rPr>
        <w:t>Moderný jednotný trh</w:t>
      </w:r>
      <w:bookmarkEnd w:id="6"/>
      <w:bookmarkEnd w:id="7"/>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u w:color="000000"/>
        </w:rPr>
        <w:t>EÚ dováža až 53</w:t>
      </w:r>
      <w:r w:rsidR="005401F8">
        <w:rPr>
          <w:rFonts w:ascii="Times New Roman" w:hAnsi="Times New Roman"/>
          <w:u w:color="000000"/>
        </w:rPr>
        <w:t> </w:t>
      </w:r>
      <w:r w:rsidRPr="00A7575B">
        <w:rPr>
          <w:rFonts w:ascii="Times New Roman" w:hAnsi="Times New Roman"/>
          <w:u w:color="000000"/>
        </w:rPr>
        <w:t xml:space="preserve">% energie, ktorú spotrebuje a s týmto podielom je najväčším dovozcom energie na svete. </w:t>
      </w:r>
      <w:r w:rsidRPr="00A7575B">
        <w:rPr>
          <w:rFonts w:ascii="Times New Roman" w:hAnsi="Times New Roman"/>
        </w:rPr>
        <w:t>Ambíciou slovenského predsedníctva preto bolo prispieť k vytvoreniu odolnej a</w:t>
      </w:r>
      <w:r w:rsidRPr="00A7575B" w:rsidR="00D04863">
        <w:rPr>
          <w:rFonts w:ascii="Times New Roman" w:hAnsi="Times New Roman"/>
        </w:rPr>
        <w:t> </w:t>
      </w:r>
      <w:r w:rsidRPr="00A7575B">
        <w:rPr>
          <w:rFonts w:ascii="Times New Roman" w:hAnsi="Times New Roman"/>
        </w:rPr>
        <w:t xml:space="preserve">konkurencieschopnej </w:t>
      </w:r>
      <w:r w:rsidRPr="00A7575B">
        <w:rPr>
          <w:rFonts w:ascii="Times New Roman" w:hAnsi="Times New Roman"/>
          <w:b/>
        </w:rPr>
        <w:t>Energetickej únie</w:t>
      </w:r>
      <w:r w:rsidRPr="00A7575B">
        <w:rPr>
          <w:rFonts w:ascii="Times New Roman" w:hAnsi="Times New Roman"/>
        </w:rPr>
        <w:t xml:space="preserve"> s výhľadovou politikou v oblasti zmeny klímy. Dôležitým úspechom slovenského predsedníctva je dosiahnutie dohody Rady s Európskym parlamentom o návrhu revízie rozhodnutia o ustanovení mechanizmu výmeny informácií, pokiaľ ide o medzivládne dohody v oblasti energetiky. Dohoda je významným politickým úspechom nášho predsedníctva, keďže energetická bezpečnosť patrí medzi základné stavebné prvky budovania Energetickej únie. Ide o</w:t>
      </w:r>
      <w:r w:rsidRPr="00A7575B" w:rsidR="00D04863">
        <w:rPr>
          <w:rFonts w:ascii="Times New Roman" w:hAnsi="Times New Roman"/>
        </w:rPr>
        <w:t xml:space="preserve"> </w:t>
      </w:r>
      <w:r w:rsidRPr="00A7575B">
        <w:rPr>
          <w:rFonts w:ascii="Times New Roman" w:hAnsi="Times New Roman"/>
        </w:rPr>
        <w:t>prvú legislatívu dohodnutú v rámci budovania Energetickej únie od začiatku nového volebného cyklu (od roku 2014). Slovenské predsedníctvo zároveň zabezpečilo jasné politické usmernenie k návrhu nariadenia o bezpečnosti dodávok plynu, najmä čo sa týka regionálnej spolupráce, solidarity a výmeny informácii pri zmluvách na dodávky zemného plynu. Nariadenie umožní zvýšiť bezpečnosť dodávok plynu, posilní dôveru a solidaritu na regionálnej a</w:t>
      </w:r>
      <w:r w:rsidRPr="00A7575B" w:rsidR="00D04863">
        <w:rPr>
          <w:rFonts w:ascii="Times New Roman" w:hAnsi="Times New Roman"/>
        </w:rPr>
        <w:t> </w:t>
      </w:r>
      <w:r w:rsidRPr="00A7575B">
        <w:rPr>
          <w:rFonts w:ascii="Times New Roman" w:hAnsi="Times New Roman"/>
        </w:rPr>
        <w:t>európskej úrovni, ale aj vo vzťahu s partnermi z Energetického spoločenstva.</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highlight w:val="yellow"/>
        </w:rPr>
      </w:pPr>
      <w:r w:rsidRPr="00A7575B">
        <w:rPr>
          <w:rFonts w:ascii="Times New Roman" w:hAnsi="Times New Roman"/>
        </w:rPr>
        <w:t xml:space="preserve">Neoddeliteľnou súčasťou Energetickej únie je aj ambiciózna politika v oblasti </w:t>
      </w:r>
      <w:r w:rsidRPr="00A7575B">
        <w:rPr>
          <w:rFonts w:ascii="Times New Roman" w:hAnsi="Times New Roman"/>
          <w:b/>
        </w:rPr>
        <w:t>zmeny klímy</w:t>
      </w:r>
      <w:r w:rsidRPr="00A7575B">
        <w:rPr>
          <w:rFonts w:ascii="Times New Roman" w:hAnsi="Times New Roman"/>
        </w:rPr>
        <w:t xml:space="preserve">. Parížska dohoda z roku 2015, ktorá potvrdila smerovanie k nízkouhlíkovému hospodárstvu, bola ratifikovaná pod vedením slovenského predsedníctva. Významným krokom v procese ratifikácie bolo mimoriadne zasadnutie Rady pre životné prostredie zvolané slovenským predsedníctvom. Prijatím dohody EÚ potvrdila svoje vedúce postavenie v globálnom boji proti </w:t>
      </w:r>
      <w:r w:rsidR="009A01E1">
        <w:rPr>
          <w:rFonts w:ascii="Times New Roman" w:hAnsi="Times New Roman"/>
        </w:rPr>
        <w:t>zmene klímy</w:t>
      </w:r>
      <w:r w:rsidRPr="00A7575B">
        <w:rPr>
          <w:rFonts w:ascii="Times New Roman" w:hAnsi="Times New Roman"/>
        </w:rPr>
        <w:t xml:space="preserve">. </w:t>
      </w:r>
    </w:p>
    <w:p w:rsidR="00B01E00" w:rsidRPr="00A7575B" w:rsidP="00A7575B">
      <w:pPr>
        <w:pStyle w:val="ListParagraph"/>
        <w:bidi w:val="0"/>
        <w:ind w:left="360"/>
        <w:jc w:val="both"/>
        <w:rPr>
          <w:rFonts w:ascii="Times New Roman" w:hAnsi="Times New Roman"/>
        </w:rPr>
      </w:pPr>
    </w:p>
    <w:p w:rsidR="00706C96" w:rsidRPr="00A7575B" w:rsidP="00A7575B">
      <w:pPr>
        <w:bidi w:val="0"/>
        <w:jc w:val="both"/>
        <w:rPr>
          <w:rFonts w:ascii="Times New Roman" w:hAnsi="Times New Roman"/>
        </w:rPr>
      </w:pPr>
      <w:r w:rsidRPr="00A7575B" w:rsidR="00B01E00">
        <w:rPr>
          <w:rFonts w:ascii="Times New Roman" w:hAnsi="Times New Roman"/>
        </w:rPr>
        <w:t xml:space="preserve">Podpora udržateľného rastu na jednotnom trhu si vyžaduje aj výrazné zlepšenie riadenia prírodných zdrojov. Slovenské predsedníctvo presadzovalo rozvoj opatrení smerujúcich k </w:t>
      </w:r>
      <w:r w:rsidRPr="00A7575B" w:rsidR="00B01E00">
        <w:rPr>
          <w:rFonts w:ascii="Times New Roman" w:hAnsi="Times New Roman"/>
          <w:b/>
        </w:rPr>
        <w:t>obehovému hospodárstvu</w:t>
      </w:r>
      <w:r w:rsidRPr="00A7575B" w:rsidR="00B01E00">
        <w:rPr>
          <w:rFonts w:ascii="Times New Roman" w:hAnsi="Times New Roman"/>
        </w:rPr>
        <w:t xml:space="preserve">, ktorého podstatou je znižovanie množstva odpadu, ochrana životného prostredia a efektívne nakladanie s prírodnými zdrojmi. Členské štáty pod vedením slovenského predsedníctva prijali závery o udržateľnom hospodárení s vodami zamerané na problematiku sucha a nedostatku vody. Dôraz predsedníctva na problematiku vôd, ako súčasť opatrení smerujúcich k obehovému hospodárstvu, si medzi členskými štátmi získal veľkú </w:t>
      </w:r>
      <w:r w:rsidRPr="00B240D3" w:rsidR="00B01E00">
        <w:rPr>
          <w:rFonts w:ascii="Times New Roman" w:hAnsi="Times New Roman"/>
        </w:rPr>
        <w:t xml:space="preserve">podporu. </w:t>
      </w:r>
      <w:r w:rsidRPr="00B240D3">
        <w:rPr>
          <w:rFonts w:ascii="Times New Roman" w:hAnsi="Times New Roman"/>
        </w:rPr>
        <w:t>V rámci obehového hospodárstva sa SK PRES intenzívne zaoberalo aj jednou z kľúčových úloh jeho akčného plánu, a to novým návrhom nariadenia o hnojivách, ktorý v plnej miere podporuje využívanie živín z odpadov a druhotných surovín.</w:t>
      </w:r>
    </w:p>
    <w:p w:rsidR="006465F0" w:rsidRPr="00A7575B" w:rsidP="00A7575B">
      <w:pPr>
        <w:bidi w:val="0"/>
        <w:jc w:val="both"/>
        <w:rPr>
          <w:rFonts w:ascii="Times New Roman" w:hAnsi="Times New Roman"/>
          <w:b/>
        </w:rPr>
      </w:pPr>
    </w:p>
    <w:p w:rsidR="00B01E00" w:rsidRPr="00A7575B" w:rsidP="00A7575B">
      <w:pPr>
        <w:bidi w:val="0"/>
        <w:jc w:val="both"/>
        <w:rPr>
          <w:rFonts w:ascii="Times New Roman" w:hAnsi="Times New Roman"/>
        </w:rPr>
      </w:pPr>
      <w:r w:rsidRPr="00A7575B">
        <w:rPr>
          <w:rFonts w:ascii="Times New Roman" w:hAnsi="Times New Roman"/>
        </w:rPr>
        <w:t xml:space="preserve">Digitalizácia významne mení náš spôsob života a práce. V budovaní </w:t>
      </w:r>
      <w:r w:rsidRPr="00A7575B">
        <w:rPr>
          <w:rFonts w:ascii="Times New Roman" w:hAnsi="Times New Roman"/>
          <w:b/>
        </w:rPr>
        <w:t>jednotného digitálneho</w:t>
      </w:r>
      <w:r w:rsidRPr="00A7575B" w:rsidR="00D04863">
        <w:rPr>
          <w:rFonts w:ascii="Times New Roman" w:hAnsi="Times New Roman"/>
          <w:b/>
        </w:rPr>
        <w:t xml:space="preserve"> </w:t>
      </w:r>
      <w:r w:rsidRPr="00A7575B">
        <w:rPr>
          <w:rFonts w:ascii="Times New Roman" w:hAnsi="Times New Roman"/>
          <w:b/>
        </w:rPr>
        <w:t xml:space="preserve">trhu </w:t>
      </w:r>
      <w:r w:rsidRPr="00A7575B">
        <w:rPr>
          <w:rFonts w:ascii="Times New Roman" w:hAnsi="Times New Roman"/>
        </w:rPr>
        <w:t>dosiahlo slovenské</w:t>
      </w:r>
      <w:r w:rsidRPr="00A7575B" w:rsidR="00D04863">
        <w:rPr>
          <w:rFonts w:ascii="Times New Roman" w:hAnsi="Times New Roman"/>
        </w:rPr>
        <w:t xml:space="preserve"> </w:t>
      </w:r>
      <w:r w:rsidRPr="00A7575B">
        <w:rPr>
          <w:rFonts w:ascii="Times New Roman" w:hAnsi="Times New Roman"/>
        </w:rPr>
        <w:t xml:space="preserve">predsedníctvo niekoľko konkrétnych výsledkov. Členské štáty sa dohodli na návrhu nariadenia o zákaze neodôvodneného geografického blokovania medzi členskými štátmi, ktoré je diskriminačným postupom a bráni on-line zákazníkom v prístupe na webové sídlo v inom členskom štáte a v nákupe produktov a služieb z neho. Cieľom návrhu je odstrániť diskrimináciu zákazníkov z dôvodu ich štátnej príslušnosti a miesta pobytu alebo sídla a podporiť elektronický obchod. Slovenské predsedníctvo dosiahnutím dohody členských štátov o regulácii veľkoobchodných roamingových trhov prispelo k zrušeniu roamingových poplatkov, ktoré je naplánované na rok 2017. V pozícii predsedníckej krajiny sme dosiahli dohodu s Európskym parlamentom o návrhu na podporu širokopásmových služieb (700 MHz), ktoré sú základom pre internetové pripojenie 5G. Rýchly internet </w:t>
      </w:r>
      <w:r w:rsidRPr="00A7575B">
        <w:rPr>
          <w:rFonts w:ascii="Times New Roman" w:hAnsi="Times New Roman"/>
          <w:bCs/>
        </w:rPr>
        <w:t>bude</w:t>
      </w:r>
      <w:r w:rsidRPr="00A7575B">
        <w:rPr>
          <w:rFonts w:ascii="Times New Roman" w:hAnsi="Times New Roman"/>
        </w:rPr>
        <w:t xml:space="preserve"> prínosom pre digitálny priemysel, audiovizuálny sektor a pre všetkých spotrebiteľov, keďže je dôležitý nielen pre hospodársky rozvoj Únie, ale aj pre každodenný život jej občanov.</w:t>
      </w:r>
    </w:p>
    <w:p w:rsidR="00B01E00"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 xml:space="preserve">Slovenskému predsedníctvu sa tiež podarilo v rekordne krátkom čase dosiahnuť dohodu členských štátov k nariadeniu </w:t>
      </w:r>
      <w:r w:rsidRPr="00A7575B">
        <w:rPr>
          <w:rFonts w:ascii="Times New Roman" w:hAnsi="Times New Roman"/>
          <w:b/>
        </w:rPr>
        <w:t>WIFI4EÚ</w:t>
      </w:r>
      <w:r w:rsidRPr="00A7575B">
        <w:rPr>
          <w:rFonts w:ascii="Times New Roman" w:hAnsi="Times New Roman"/>
        </w:rPr>
        <w:t>, ktorého cieľom je vybaviť verejné priestranstvá miest a obcí EÚ vysokorýchlostným internetom.</w:t>
      </w:r>
    </w:p>
    <w:p w:rsidR="00685642" w:rsidRPr="008C68C2" w:rsidP="00A7575B">
      <w:pPr>
        <w:bidi w:val="0"/>
        <w:jc w:val="both"/>
        <w:rPr>
          <w:rFonts w:ascii="Times New Roman" w:hAnsi="Times New Roman"/>
        </w:rPr>
      </w:pPr>
    </w:p>
    <w:p w:rsidR="008C68C2" w:rsidRPr="008C68C2" w:rsidP="008C68C2">
      <w:pPr>
        <w:autoSpaceDE w:val="0"/>
        <w:autoSpaceDN w:val="0"/>
        <w:bidi w:val="0"/>
        <w:spacing w:line="241" w:lineRule="atLeast"/>
        <w:jc w:val="both"/>
        <w:rPr>
          <w:rFonts w:ascii="Times New Roman" w:hAnsi="Times New Roman"/>
        </w:rPr>
      </w:pPr>
      <w:r w:rsidRPr="008C68C2">
        <w:rPr>
          <w:rFonts w:ascii="Times New Roman" w:hAnsi="Times New Roman"/>
        </w:rPr>
        <w:t xml:space="preserve">Slovenské predsedníctvo sa zameralo aj na oblasť </w:t>
      </w:r>
      <w:r w:rsidRPr="008C68C2">
        <w:rPr>
          <w:rFonts w:ascii="Times New Roman" w:hAnsi="Times New Roman"/>
          <w:b/>
          <w:bCs/>
        </w:rPr>
        <w:t>kybernetickej bezpečnosti</w:t>
      </w:r>
      <w:r w:rsidRPr="008C68C2">
        <w:rPr>
          <w:rFonts w:ascii="Times New Roman" w:hAnsi="Times New Roman"/>
        </w:rPr>
        <w:t>. Pod naším vedením boli schválené závery Rady o posilnení európskeho systému kybernetickej odolnosti a podpore konkurencieschopného a inovačného odvetvia kybernetickej bezpečnosti. Vďaka úsiliu slovenského predsedníctva bola vytvorená Horizontálna pracovná skupina pre kybernetické záležitosti. Okruh tém novej stálej pracovnej skupiny dostal strategický a prierezový rozsah, čo umožní komplexnejší prístup členských štátov k otázkam kybernetickej bezpečnosti.</w:t>
      </w:r>
    </w:p>
    <w:p w:rsidR="008C68C2" w:rsidRPr="008C68C2" w:rsidP="00A7575B">
      <w:pPr>
        <w:bidi w:val="0"/>
        <w:jc w:val="both"/>
        <w:rPr>
          <w:rFonts w:ascii="Times New Roman" w:hAnsi="Times New Roman"/>
        </w:rPr>
      </w:pPr>
    </w:p>
    <w:p w:rsidR="00B01E00" w:rsidRPr="00A7575B" w:rsidP="00A7575B">
      <w:pPr>
        <w:bidi w:val="0"/>
        <w:jc w:val="both"/>
        <w:rPr>
          <w:rFonts w:ascii="Times New Roman" w:hAnsi="Times New Roman"/>
        </w:rPr>
      </w:pPr>
      <w:r w:rsidRPr="008C68C2">
        <w:rPr>
          <w:rFonts w:ascii="Times New Roman" w:hAnsi="Times New Roman"/>
        </w:rPr>
        <w:t>Členské štáty</w:t>
      </w:r>
      <w:r w:rsidRPr="008C68C2" w:rsidR="00686A61">
        <w:rPr>
          <w:rFonts w:ascii="Times New Roman" w:hAnsi="Times New Roman"/>
        </w:rPr>
        <w:t xml:space="preserve"> pod vedením slovenského predsedníctva</w:t>
      </w:r>
      <w:r w:rsidRPr="008C68C2">
        <w:rPr>
          <w:rFonts w:ascii="Times New Roman" w:hAnsi="Times New Roman"/>
        </w:rPr>
        <w:t xml:space="preserve"> odsúhlasili rokovaciu</w:t>
      </w:r>
      <w:r w:rsidRPr="00A7575B">
        <w:rPr>
          <w:rFonts w:ascii="Times New Roman" w:hAnsi="Times New Roman"/>
        </w:rPr>
        <w:t xml:space="preserve"> pozíciu Rady k návrhu na </w:t>
      </w:r>
      <w:r w:rsidRPr="00A7575B">
        <w:rPr>
          <w:rFonts w:ascii="Times New Roman" w:hAnsi="Times New Roman"/>
          <w:b/>
        </w:rPr>
        <w:t>modernizáciu nástrojov na ochranu trhu</w:t>
      </w:r>
      <w:r w:rsidRPr="00A7575B">
        <w:rPr>
          <w:rFonts w:ascii="Times New Roman" w:hAnsi="Times New Roman"/>
        </w:rPr>
        <w:t>. Dohoda je prelomová, keďže nástroje na ochranu trhu sa nemenili viac ako 15</w:t>
      </w:r>
      <w:r w:rsidR="005A3DB5">
        <w:rPr>
          <w:rFonts w:ascii="Times New Roman" w:hAnsi="Times New Roman"/>
        </w:rPr>
        <w:t> </w:t>
      </w:r>
      <w:r w:rsidRPr="00A7575B">
        <w:rPr>
          <w:rFonts w:ascii="Times New Roman" w:hAnsi="Times New Roman"/>
        </w:rPr>
        <w:t>rokov, napriek tomu, že situácia na svetových trhoch sa zmenila dramaticky. Návrh nariadenia mení súčasné antidumpingové nariadenia tak, aby lepšie reagovali na nekalé obchodné praktiky. Cieľom je ochrániť výrobcov EÚ pred škodami spôsobenými nekalou súťažou a zabezpečiť voľný a</w:t>
      </w:r>
      <w:r w:rsidRPr="00A7575B" w:rsidR="00D04863">
        <w:rPr>
          <w:rFonts w:ascii="Times New Roman" w:hAnsi="Times New Roman"/>
        </w:rPr>
        <w:t> </w:t>
      </w:r>
      <w:r w:rsidRPr="00A7575B">
        <w:rPr>
          <w:rFonts w:ascii="Times New Roman" w:hAnsi="Times New Roman"/>
        </w:rPr>
        <w:t>spravodlivý obchod.</w:t>
      </w:r>
    </w:p>
    <w:p w:rsidR="0088521E" w:rsidP="00A7575B">
      <w:pPr>
        <w:bidi w:val="0"/>
        <w:jc w:val="both"/>
        <w:rPr>
          <w:rFonts w:ascii="Times New Roman" w:hAnsi="Times New Roman"/>
          <w:b/>
        </w:rPr>
      </w:pPr>
    </w:p>
    <w:p w:rsidR="00BE3303" w:rsidRPr="00BE3303" w:rsidP="00A7575B">
      <w:pPr>
        <w:bidi w:val="0"/>
        <w:jc w:val="both"/>
        <w:rPr>
          <w:rFonts w:ascii="Times New Roman" w:hAnsi="Times New Roman"/>
        </w:rPr>
      </w:pPr>
      <w:r w:rsidRPr="00BE3303">
        <w:rPr>
          <w:rFonts w:ascii="Times New Roman" w:hAnsi="Times New Roman"/>
        </w:rPr>
        <w:t>Členské štáty sa vďaka aktivitám S</w:t>
      </w:r>
      <w:r>
        <w:rPr>
          <w:rFonts w:ascii="Times New Roman" w:hAnsi="Times New Roman"/>
        </w:rPr>
        <w:t>K PRES</w:t>
      </w:r>
      <w:r w:rsidRPr="00BE3303">
        <w:rPr>
          <w:rFonts w:ascii="Times New Roman" w:hAnsi="Times New Roman"/>
        </w:rPr>
        <w:t xml:space="preserve"> po prvýkrát v histórii jednohlasne zhodli na </w:t>
      </w:r>
      <w:r w:rsidRPr="007B1F62">
        <w:rPr>
          <w:rFonts w:ascii="Times New Roman" w:hAnsi="Times New Roman"/>
        </w:rPr>
        <w:t>potrebe</w:t>
      </w:r>
      <w:r w:rsidRPr="007B1F62">
        <w:rPr>
          <w:rFonts w:ascii="Times New Roman" w:hAnsi="Times New Roman"/>
          <w:b/>
        </w:rPr>
        <w:t xml:space="preserve"> riešenia nekalých obchodných praktík</w:t>
      </w:r>
      <w:r w:rsidRPr="00BE3303">
        <w:rPr>
          <w:rFonts w:ascii="Times New Roman" w:hAnsi="Times New Roman"/>
        </w:rPr>
        <w:t xml:space="preserve"> legislatívnymi a nelegislatívnymi opatreniami na celoeurópskej úrovni. Rada prijala závery </w:t>
      </w:r>
      <w:r w:rsidRPr="007B1F62">
        <w:rPr>
          <w:rFonts w:ascii="Times New Roman" w:hAnsi="Times New Roman"/>
        </w:rPr>
        <w:t>o posilnení postavenia poľnohospodárov v potravinovom dodávateľskom reťazci a boji proti nekalým obchodným praktikám s cieľom nastoliť spravodlivé obchodné podmienky na všetkých úro</w:t>
      </w:r>
      <w:r w:rsidRPr="00BE3303">
        <w:rPr>
          <w:rFonts w:ascii="Times New Roman" w:hAnsi="Times New Roman"/>
        </w:rPr>
        <w:t>vniach potravinového dodávateľského reťazca.</w:t>
      </w:r>
    </w:p>
    <w:p w:rsidR="00BE3303" w:rsidRPr="00BE3303" w:rsidP="00A7575B">
      <w:pPr>
        <w:bidi w:val="0"/>
        <w:jc w:val="both"/>
        <w:rPr>
          <w:rFonts w:ascii="Times New Roman" w:hAnsi="Times New Roman"/>
        </w:rPr>
      </w:pPr>
    </w:p>
    <w:p w:rsidR="00B01E00" w:rsidRPr="00B86A6F" w:rsidP="00B86A6F">
      <w:pPr>
        <w:pStyle w:val="SpravaSKPRESnadpis2"/>
        <w:bidi w:val="0"/>
        <w:rPr>
          <w:rFonts w:ascii="Times New Roman" w:hAnsi="Times New Roman"/>
        </w:rPr>
      </w:pPr>
      <w:bookmarkStart w:id="8" w:name="_Toc475948616"/>
      <w:r w:rsidRPr="00B86A6F">
        <w:rPr>
          <w:rFonts w:ascii="Times New Roman" w:hAnsi="Times New Roman"/>
        </w:rPr>
        <w:t>Udržateľná migračná a azylová politika</w:t>
      </w:r>
      <w:bookmarkEnd w:id="8"/>
    </w:p>
    <w:p w:rsidR="00B01E00" w:rsidRPr="00A7575B" w:rsidP="00A7575B">
      <w:pPr>
        <w:bidi w:val="0"/>
        <w:jc w:val="both"/>
        <w:rPr>
          <w:rFonts w:ascii="Times New Roman" w:hAnsi="Times New Roman"/>
        </w:rPr>
      </w:pPr>
    </w:p>
    <w:p w:rsidR="00B01E00" w:rsidRPr="00A7575B" w:rsidP="00A7575B">
      <w:pPr>
        <w:pStyle w:val="ListParagraph"/>
        <w:bidi w:val="0"/>
        <w:ind w:left="0"/>
        <w:contextualSpacing/>
        <w:jc w:val="both"/>
        <w:rPr>
          <w:rFonts w:ascii="Times New Roman" w:hAnsi="Times New Roman"/>
        </w:rPr>
      </w:pPr>
      <w:r w:rsidRPr="00A7575B">
        <w:rPr>
          <w:rFonts w:ascii="Times New Roman" w:hAnsi="Times New Roman"/>
        </w:rPr>
        <w:t xml:space="preserve">Migračná a utečenecká kríza priniesla úvahy o budúcnosti </w:t>
      </w:r>
      <w:r w:rsidRPr="00A7575B">
        <w:rPr>
          <w:rFonts w:ascii="Times New Roman" w:hAnsi="Times New Roman"/>
          <w:b/>
        </w:rPr>
        <w:t>spoločného európskeho azylového systému</w:t>
      </w:r>
      <w:r w:rsidRPr="00A7575B">
        <w:rPr>
          <w:rFonts w:ascii="Times New Roman" w:hAnsi="Times New Roman"/>
        </w:rPr>
        <w:t xml:space="preserve">. Ambíciou slovenského predsedníctva bolo posunúť dopredu diskusiu o tých prvkoch, v ktorých medzi členskými štátmi prevláda zhoda. Vzhľadom na to, že diskusia k reforme Dublinského systému uviazla, pripravilo slovenské predsedníctvo návrh </w:t>
      </w:r>
      <w:r w:rsidR="00686A61">
        <w:rPr>
          <w:rFonts w:ascii="Times New Roman" w:hAnsi="Times New Roman"/>
        </w:rPr>
        <w:t>konceptu</w:t>
      </w:r>
      <w:r w:rsidRPr="00A7575B">
        <w:rPr>
          <w:rFonts w:ascii="Times New Roman" w:hAnsi="Times New Roman"/>
        </w:rPr>
        <w:t xml:space="preserve"> </w:t>
      </w:r>
      <w:r w:rsidRPr="00A7575B">
        <w:rPr>
          <w:rFonts w:ascii="Times New Roman" w:hAnsi="Times New Roman"/>
          <w:b/>
        </w:rPr>
        <w:t>efektívnej solidarity</w:t>
      </w:r>
      <w:r w:rsidRPr="00A7575B">
        <w:rPr>
          <w:rFonts w:ascii="Times New Roman" w:hAnsi="Times New Roman"/>
        </w:rPr>
        <w:t>. V prípade nutnosti by mal pomáhať každý štát, ale zároveň je potrebné zohľadniť možnosti a schopnosti jednotlivých členských štátov pomôcť. Návrh slovenského predsedníctva prispel k obnoveniu diskusie o tejto zložitej téme</w:t>
      </w:r>
      <w:r w:rsidRPr="00A7575B" w:rsidR="00755DB8">
        <w:rPr>
          <w:rFonts w:ascii="Times New Roman" w:hAnsi="Times New Roman"/>
        </w:rPr>
        <w:t>.</w:t>
      </w:r>
      <w:r w:rsidRPr="00A7575B">
        <w:rPr>
          <w:rFonts w:ascii="Times New Roman" w:hAnsi="Times New Roman"/>
        </w:rPr>
        <w:t xml:space="preserve"> Malta ako nástupnícka krajina predsedajúca Rade EÚ po Slovensku </w:t>
      </w:r>
      <w:r w:rsidR="00686A61">
        <w:rPr>
          <w:rFonts w:ascii="Times New Roman" w:hAnsi="Times New Roman"/>
        </w:rPr>
        <w:t>pokračuje v práci</w:t>
      </w:r>
      <w:r w:rsidRPr="00A7575B">
        <w:rPr>
          <w:rFonts w:ascii="Times New Roman" w:hAnsi="Times New Roman"/>
        </w:rPr>
        <w:t xml:space="preserve"> iniciovan</w:t>
      </w:r>
      <w:r w:rsidR="00686A61">
        <w:rPr>
          <w:rFonts w:ascii="Times New Roman" w:hAnsi="Times New Roman"/>
        </w:rPr>
        <w:t>ej</w:t>
      </w:r>
      <w:r w:rsidRPr="00A7575B">
        <w:rPr>
          <w:rFonts w:ascii="Times New Roman" w:hAnsi="Times New Roman"/>
        </w:rPr>
        <w:t xml:space="preserve"> slovenským predsedníctvom.</w:t>
      </w:r>
    </w:p>
    <w:p w:rsidR="00B01E00" w:rsidRPr="00A7575B" w:rsidP="00A7575B">
      <w:pPr>
        <w:pStyle w:val="ListParagraph"/>
        <w:bidi w:val="0"/>
        <w:ind w:left="0"/>
        <w:jc w:val="both"/>
        <w:rPr>
          <w:rFonts w:ascii="Times New Roman" w:hAnsi="Times New Roman"/>
        </w:rPr>
      </w:pPr>
    </w:p>
    <w:p w:rsidR="00A47171" w:rsidRPr="00A47171" w:rsidP="00A47171">
      <w:pPr>
        <w:pStyle w:val="ListParagraph"/>
        <w:bidi w:val="0"/>
        <w:ind w:left="0"/>
        <w:jc w:val="both"/>
        <w:rPr>
          <w:rFonts w:ascii="Times New Roman" w:hAnsi="Times New Roman"/>
        </w:rPr>
      </w:pPr>
      <w:r w:rsidRPr="00A7575B" w:rsidR="00B01E00">
        <w:rPr>
          <w:rFonts w:ascii="Times New Roman" w:hAnsi="Times New Roman"/>
        </w:rPr>
        <w:t xml:space="preserve">Pre občanov Únie je </w:t>
      </w:r>
      <w:r w:rsidRPr="00A7575B" w:rsidR="00B01E00">
        <w:rPr>
          <w:rFonts w:ascii="Times New Roman" w:hAnsi="Times New Roman"/>
          <w:b/>
        </w:rPr>
        <w:t>Schengen</w:t>
      </w:r>
      <w:r w:rsidRPr="00A7575B" w:rsidR="00B01E00">
        <w:rPr>
          <w:rFonts w:ascii="Times New Roman" w:hAnsi="Times New Roman"/>
        </w:rPr>
        <w:t xml:space="preserve"> jedným z najväčších prínosov európskej integrácie. Hlavným predpokladom fungujúceho schengenského priestoru je </w:t>
      </w:r>
      <w:r w:rsidRPr="00A7575B" w:rsidR="00B01E00">
        <w:rPr>
          <w:rFonts w:ascii="Times New Roman" w:hAnsi="Times New Roman"/>
          <w:b/>
        </w:rPr>
        <w:t>ochrana vonkajších hraníc Únie</w:t>
      </w:r>
      <w:r w:rsidRPr="00A7575B" w:rsidR="00B01E00">
        <w:rPr>
          <w:rFonts w:ascii="Times New Roman" w:hAnsi="Times New Roman"/>
        </w:rPr>
        <w:t xml:space="preserve">. Fungujúce vonkajšie hranice umožňujú účinnejšie riadiť migráciu, zlepšiť vnútornú bezpečnosť Únie a zachovať voľný pohyb osôb. Počas slovenského predsedníctva začala oficiálne svoju </w:t>
      </w:r>
      <w:r w:rsidRPr="00A47171" w:rsidR="00B01E00">
        <w:rPr>
          <w:rFonts w:ascii="Times New Roman" w:hAnsi="Times New Roman"/>
        </w:rPr>
        <w:t xml:space="preserve">činnosť Európska pohraničná a pobrežná stráž. Európska agentúra pre pohraničnú a pobrežnú stráž (pôvodná agentúra FRONTEX) </w:t>
      </w:r>
      <w:r>
        <w:rPr>
          <w:rFonts w:ascii="Times New Roman" w:hAnsi="Times New Roman"/>
        </w:rPr>
        <w:t>má</w:t>
      </w:r>
      <w:r w:rsidRPr="00A7575B">
        <w:rPr>
          <w:rFonts w:ascii="Times New Roman" w:hAnsi="Times New Roman"/>
        </w:rPr>
        <w:t xml:space="preserve"> k dispozícii </w:t>
      </w:r>
      <w:r w:rsidRPr="00A47171">
        <w:rPr>
          <w:rFonts w:ascii="Times New Roman" w:hAnsi="Times New Roman"/>
        </w:rPr>
        <w:t>jednotku rýchleho nasadenia</w:t>
      </w:r>
      <w:r w:rsidRPr="00A7575B">
        <w:rPr>
          <w:rFonts w:ascii="Times New Roman" w:hAnsi="Times New Roman"/>
        </w:rPr>
        <w:t xml:space="preserve"> v počte 1500 príslušníkov pohraničnej stráže a </w:t>
      </w:r>
      <w:r w:rsidRPr="00A47171">
        <w:rPr>
          <w:rFonts w:ascii="Times New Roman" w:hAnsi="Times New Roman"/>
        </w:rPr>
        <w:t>rezervu technického vybavenia</w:t>
      </w:r>
      <w:r w:rsidRPr="00A7575B">
        <w:rPr>
          <w:rFonts w:ascii="Times New Roman" w:hAnsi="Times New Roman"/>
        </w:rPr>
        <w:t xml:space="preserve">, čo znamená, že pri svojich </w:t>
      </w:r>
      <w:r w:rsidRPr="00A47171">
        <w:rPr>
          <w:rFonts w:ascii="Times New Roman" w:hAnsi="Times New Roman"/>
        </w:rPr>
        <w:t>operáciách už nebude mať problémy s nedostatkom zamestnancov alebo vybavenia a bude schopná rýchlo a efektívne zasiahnuť v problémových teritóriách.</w:t>
      </w:r>
    </w:p>
    <w:p w:rsidR="00B01E00" w:rsidRPr="004C3490" w:rsidP="00A7575B">
      <w:pPr>
        <w:bidi w:val="0"/>
        <w:jc w:val="both"/>
        <w:rPr>
          <w:rFonts w:ascii="Times New Roman" w:hAnsi="Times New Roman"/>
          <w:highlight w:val="yellow"/>
        </w:rPr>
      </w:pPr>
    </w:p>
    <w:p w:rsidR="00B01E00" w:rsidRPr="00A7575B" w:rsidP="00A7575B">
      <w:pPr>
        <w:bidi w:val="0"/>
        <w:jc w:val="both"/>
        <w:rPr>
          <w:rFonts w:ascii="Times New Roman" w:hAnsi="Times New Roman"/>
        </w:rPr>
      </w:pPr>
      <w:r w:rsidRPr="004C3490">
        <w:rPr>
          <w:rStyle w:val="Emphasis"/>
          <w:rFonts w:ascii="Times New Roman" w:hAnsi="Times New Roman"/>
          <w:i w:val="0"/>
          <w:iCs/>
          <w:shd w:val="clear" w:color="auto" w:fill="FFFFFF"/>
        </w:rPr>
        <w:t>Na vonkajších hraniciach Únie je zároveň potrebné vo väčšej miere využívať moderné informačné technológie s cieľom zvýšenia ich ochrany.</w:t>
      </w:r>
      <w:r w:rsidRPr="004C3490">
        <w:rPr>
          <w:rStyle w:val="Emphasis"/>
          <w:rFonts w:ascii="Times New Roman" w:hAnsi="Times New Roman"/>
          <w:b/>
          <w:i w:val="0"/>
          <w:iCs/>
          <w:shd w:val="clear" w:color="auto" w:fill="FFFFFF"/>
        </w:rPr>
        <w:t xml:space="preserve"> </w:t>
      </w:r>
      <w:r w:rsidRPr="004C3490">
        <w:rPr>
          <w:rFonts w:ascii="Times New Roman" w:hAnsi="Times New Roman"/>
        </w:rPr>
        <w:t>Členské štáty sa pod vedením slovenského predsedníctva dohodli na mandáte pre rokovania s Európskym parlamentom k návrhu nariadenia</w:t>
      </w:r>
      <w:r w:rsidRPr="00A7575B">
        <w:rPr>
          <w:rFonts w:ascii="Times New Roman" w:hAnsi="Times New Roman"/>
        </w:rPr>
        <w:t xml:space="preserve"> o </w:t>
      </w:r>
      <w:r w:rsidRPr="00A7575B">
        <w:rPr>
          <w:rFonts w:ascii="Times New Roman" w:hAnsi="Times New Roman"/>
          <w:b/>
        </w:rPr>
        <w:t xml:space="preserve">európskom systéme </w:t>
      </w:r>
      <w:r w:rsidRPr="00A7575B">
        <w:rPr>
          <w:rFonts w:ascii="Times New Roman" w:hAnsi="Times New Roman"/>
          <w:b/>
          <w:shd w:val="clear" w:color="auto" w:fill="FFFFFF"/>
        </w:rPr>
        <w:t>na porovnávanie odtlačkov prstov žiadateľov o azyl Eurodac</w:t>
      </w:r>
      <w:r w:rsidRPr="00A7575B">
        <w:rPr>
          <w:rFonts w:ascii="Times New Roman" w:hAnsi="Times New Roman"/>
          <w:b/>
        </w:rPr>
        <w:t xml:space="preserve"> </w:t>
      </w:r>
      <w:r w:rsidRPr="00A7575B">
        <w:rPr>
          <w:rFonts w:ascii="Times New Roman" w:hAnsi="Times New Roman"/>
        </w:rPr>
        <w:t>(súčasť azylového balíka). Cieľom návrhu je pos</w:t>
      </w:r>
      <w:r w:rsidR="005179F6">
        <w:rPr>
          <w:rFonts w:ascii="Times New Roman" w:hAnsi="Times New Roman"/>
        </w:rPr>
        <w:t>i</w:t>
      </w:r>
      <w:r w:rsidRPr="00A7575B">
        <w:rPr>
          <w:rFonts w:ascii="Times New Roman" w:hAnsi="Times New Roman"/>
        </w:rPr>
        <w:t xml:space="preserve">lniť systém Eurodac a rozšíriť jeho účel, uľahčiť návraty a prispieť k boju proti nelegálnej migrácii. Návrh rozšíri rozsah nariadenia o možnosť členských štátov uchovávať a vyhľadávať údaje o príslušníkoch tretích krajín alebo občanoch bez štátnej príslušnosti, ktorí sú žiadateľmi o medzinárodnú ochranu a nelegálne sa zdržiavajú na území EÚ, čo umožní ich identifikáciu pre účely návratu a readmisie. </w:t>
      </w:r>
    </w:p>
    <w:p w:rsidR="00B01E00" w:rsidRPr="00A7575B" w:rsidP="00A7575B">
      <w:pPr>
        <w:bidi w:val="0"/>
        <w:jc w:val="both"/>
        <w:rPr>
          <w:rFonts w:ascii="Times New Roman" w:hAnsi="Times New Roman"/>
          <w:b/>
          <w:highlight w:val="yellow"/>
        </w:rPr>
      </w:pPr>
    </w:p>
    <w:p w:rsidR="00B01E00" w:rsidRPr="00A7575B" w:rsidP="00A7575B">
      <w:pPr>
        <w:bidi w:val="0"/>
        <w:jc w:val="both"/>
        <w:rPr>
          <w:rFonts w:ascii="Times New Roman" w:hAnsi="Times New Roman"/>
        </w:rPr>
      </w:pPr>
      <w:r w:rsidRPr="00A7575B">
        <w:rPr>
          <w:rFonts w:ascii="Times New Roman" w:hAnsi="Times New Roman"/>
          <w:b/>
        </w:rPr>
        <w:t>Spolupráca s</w:t>
      </w:r>
      <w:r w:rsidRPr="00A7575B">
        <w:rPr>
          <w:rFonts w:ascii="Times New Roman" w:hAnsi="Times New Roman"/>
        </w:rPr>
        <w:t> </w:t>
      </w:r>
      <w:r w:rsidRPr="00A7575B">
        <w:rPr>
          <w:rFonts w:ascii="Times New Roman" w:hAnsi="Times New Roman"/>
          <w:b/>
        </w:rPr>
        <w:t>tretími krajinami</w:t>
      </w:r>
      <w:r w:rsidRPr="00A7575B">
        <w:rPr>
          <w:rFonts w:ascii="Times New Roman" w:hAnsi="Times New Roman"/>
        </w:rPr>
        <w:t xml:space="preserve">, najmä krajinami tranzitu a pôvodu migrantov, je neoddeliteľnou súčasťou komplexného prístupu k migrácii. Slovenské predsedníctvo sa aktívne zapájalo do dialógov s partnerskými krajinami zameraných na rozvoj partnerského rámca (tzv. migračné kompakty) s cieľom odstraňovať dôvody, ktoré vedú k masovej migrácii obyvateľstva týchto krajín. </w:t>
      </w:r>
    </w:p>
    <w:p w:rsidR="0031215A" w:rsidRPr="00A7575B" w:rsidP="00A7575B">
      <w:pPr>
        <w:bidi w:val="0"/>
        <w:jc w:val="both"/>
        <w:rPr>
          <w:rFonts w:ascii="Times New Roman" w:hAnsi="Times New Roman"/>
          <w:highlight w:val="yellow"/>
        </w:rPr>
      </w:pPr>
    </w:p>
    <w:p w:rsidR="00B01E00" w:rsidRPr="00A7575B" w:rsidP="00894D87">
      <w:pPr>
        <w:pStyle w:val="SpravaSKPRESnadpis2"/>
        <w:bidi w:val="0"/>
        <w:rPr>
          <w:rFonts w:ascii="Times New Roman" w:hAnsi="Times New Roman"/>
        </w:rPr>
      </w:pPr>
      <w:bookmarkStart w:id="9" w:name="_Toc473045056"/>
      <w:bookmarkStart w:id="10" w:name="_Toc475948617"/>
      <w:r w:rsidRPr="00A7575B">
        <w:rPr>
          <w:rFonts w:ascii="Times New Roman" w:hAnsi="Times New Roman"/>
        </w:rPr>
        <w:t>Globálne angažovaná Európa</w:t>
      </w:r>
      <w:bookmarkEnd w:id="9"/>
      <w:bookmarkEnd w:id="10"/>
    </w:p>
    <w:p w:rsidR="00B01E00" w:rsidRPr="00A7575B" w:rsidP="00A7575B">
      <w:pPr>
        <w:bidi w:val="0"/>
        <w:jc w:val="both"/>
        <w:rPr>
          <w:rFonts w:ascii="Times New Roman" w:hAnsi="Times New Roman"/>
        </w:rPr>
      </w:pPr>
    </w:p>
    <w:p w:rsidR="00C466FA" w:rsidRPr="00A7575B" w:rsidP="00A7575B">
      <w:pPr>
        <w:bidi w:val="0"/>
        <w:jc w:val="both"/>
        <w:rPr>
          <w:rFonts w:ascii="Times New Roman" w:hAnsi="Times New Roman"/>
          <w:bCs/>
        </w:rPr>
      </w:pPr>
      <w:r w:rsidRPr="00A7575B">
        <w:rPr>
          <w:rFonts w:ascii="Times New Roman" w:hAnsi="Times New Roman"/>
        </w:rPr>
        <w:t xml:space="preserve">Stabilita oboch častí </w:t>
      </w:r>
      <w:r w:rsidR="00434BC6">
        <w:rPr>
          <w:rFonts w:ascii="Times New Roman" w:hAnsi="Times New Roman"/>
        </w:rPr>
        <w:t>–</w:t>
      </w:r>
      <w:r w:rsidRPr="00A7575B">
        <w:rPr>
          <w:rFonts w:ascii="Times New Roman" w:hAnsi="Times New Roman"/>
        </w:rPr>
        <w:t xml:space="preserve"> východného a južného susedstva Únie sa v posledných rokoch výrazne oslabila. Slovenské predsedníctvo sa preto prioritne sústredilo na presadzovanie efektívnej </w:t>
      </w:r>
      <w:r w:rsidRPr="00A7575B">
        <w:rPr>
          <w:rFonts w:ascii="Times New Roman" w:hAnsi="Times New Roman"/>
          <w:b/>
        </w:rPr>
        <w:t xml:space="preserve">Európskej susedskej politiky </w:t>
      </w:r>
      <w:r w:rsidRPr="00A7575B">
        <w:rPr>
          <w:rFonts w:ascii="Times New Roman" w:hAnsi="Times New Roman"/>
        </w:rPr>
        <w:t>s cieľom stabilizovať susedstvo a rozvíjať vzťahy s partnermi na princípe spoločných záujmov a potrieb. Cieľom predsedníctva voči Východnému partnerstvu bola podpora stabilizácie krajín v politickej a bezpečnostnej oblasti, pokračovanie reforiem, uplatňovanie asociačných dohôd a pokrok vo vízovej liberalizácii. Konkrétnym výsledkom dlhých rokovaní bolo prijatie rokovacej pozície k vízovej liberalizácii pre Gruzínsko a Ukrajinu. Vo vzťahu ku krajinám južného susedstva sa predsedníctvo zameralo na podporu rozvoja kontaktov a spolupráce s týmito krajinami pri ich politickej, hospodárskej a bezpečnostnej stabilizácii.</w:t>
      </w:r>
    </w:p>
    <w:p w:rsidR="00B01E00" w:rsidRPr="00A7575B" w:rsidP="00A7575B">
      <w:pPr>
        <w:bidi w:val="0"/>
        <w:jc w:val="both"/>
        <w:rPr>
          <w:rFonts w:ascii="Times New Roman" w:hAnsi="Times New Roman"/>
          <w:highlight w:val="yellow"/>
        </w:rPr>
      </w:pPr>
    </w:p>
    <w:p w:rsidR="00B01E00" w:rsidRPr="00A7575B" w:rsidP="00A7575B">
      <w:pPr>
        <w:pStyle w:val="ListParagraph"/>
        <w:bidi w:val="0"/>
        <w:ind w:left="0"/>
        <w:contextualSpacing/>
        <w:jc w:val="both"/>
        <w:rPr>
          <w:rFonts w:ascii="Times New Roman" w:hAnsi="Times New Roman"/>
          <w:b/>
          <w:bCs/>
        </w:rPr>
      </w:pPr>
      <w:r w:rsidRPr="00A7575B">
        <w:rPr>
          <w:rFonts w:ascii="Times New Roman" w:hAnsi="Times New Roman"/>
        </w:rPr>
        <w:t>Prioritou slovenského predsedníctva bolo aj posilnenie dynamiky a dôveryhodnosti</w:t>
      </w:r>
      <w:r w:rsidRPr="00A7575B">
        <w:rPr>
          <w:rFonts w:ascii="Times New Roman" w:hAnsi="Times New Roman"/>
          <w:b/>
        </w:rPr>
        <w:t xml:space="preserve"> politiky rozširovania</w:t>
      </w:r>
      <w:r w:rsidRPr="00A7575B">
        <w:rPr>
          <w:rFonts w:ascii="Times New Roman" w:hAnsi="Times New Roman"/>
        </w:rPr>
        <w:t>. Počas slovenského predsedníctva boli otvorené štyri nové kapitoly v prístupovom procese so Srbskom</w:t>
      </w:r>
      <w:r>
        <w:rPr>
          <w:rStyle w:val="FootnoteReference"/>
          <w:rFonts w:ascii="Times New Roman" w:hAnsi="Times New Roman"/>
          <w:rtl w:val="0"/>
        </w:rPr>
        <w:footnoteReference w:id="2"/>
      </w:r>
      <w:r w:rsidRPr="00A7575B">
        <w:rPr>
          <w:rFonts w:ascii="Times New Roman" w:hAnsi="Times New Roman"/>
          <w:b/>
        </w:rPr>
        <w:t xml:space="preserve"> </w:t>
      </w:r>
      <w:r w:rsidRPr="00A7575B">
        <w:rPr>
          <w:rFonts w:ascii="Times New Roman" w:hAnsi="Times New Roman"/>
        </w:rPr>
        <w:t>a dve kapitoly v prístupovom procese s Čiernou horou</w:t>
      </w:r>
      <w:r>
        <w:rPr>
          <w:rStyle w:val="FootnoteReference"/>
          <w:rFonts w:ascii="Times New Roman" w:hAnsi="Times New Roman"/>
          <w:rtl w:val="0"/>
        </w:rPr>
        <w:footnoteReference w:id="3"/>
      </w:r>
      <w:r w:rsidRPr="00A7575B">
        <w:rPr>
          <w:rFonts w:ascii="Times New Roman" w:hAnsi="Times New Roman"/>
        </w:rPr>
        <w:t>. Členské štáty pod vedením slovenského predsedníctva prijali závery, ktorými požiadali Európsku komisiu o vypracovanie stanoviska k prihláške Bosny a Hercegoviny za člena EÚ. Vo vzťahu k Turecku, ktoré v druhej polovici roka 2016 čelilo bezprecedentným výzvam, slovenské predsedníctvo presadzovalo otvorenú komunikáciu na podporu stabilného a demokratického vývoja v krajine.</w:t>
      </w:r>
    </w:p>
    <w:p w:rsidR="00B01E00" w:rsidRPr="00A7575B" w:rsidP="00A7575B">
      <w:pPr>
        <w:bidi w:val="0"/>
        <w:jc w:val="both"/>
        <w:rPr>
          <w:rFonts w:ascii="Times New Roman" w:hAnsi="Times New Roman"/>
        </w:rPr>
      </w:pPr>
    </w:p>
    <w:p w:rsidR="00B01E00" w:rsidRPr="004C3490" w:rsidP="00A7575B">
      <w:pPr>
        <w:bidi w:val="0"/>
        <w:jc w:val="both"/>
        <w:rPr>
          <w:rFonts w:ascii="Times New Roman" w:hAnsi="Times New Roman"/>
        </w:rPr>
      </w:pPr>
      <w:r w:rsidRPr="00A7575B">
        <w:rPr>
          <w:rFonts w:ascii="Times New Roman" w:hAnsi="Times New Roman"/>
        </w:rPr>
        <w:t xml:space="preserve">V oblasti </w:t>
      </w:r>
      <w:r w:rsidRPr="00A7575B">
        <w:rPr>
          <w:rFonts w:ascii="Times New Roman" w:hAnsi="Times New Roman"/>
          <w:b/>
        </w:rPr>
        <w:t>bezpečnosti a obrany</w:t>
      </w:r>
      <w:r w:rsidRPr="00A7575B">
        <w:rPr>
          <w:rFonts w:ascii="Times New Roman" w:hAnsi="Times New Roman"/>
        </w:rPr>
        <w:t xml:space="preserve"> je potrebné zdôrazniť </w:t>
      </w:r>
      <w:r w:rsidRPr="00A7575B" w:rsidR="00C466FA">
        <w:rPr>
          <w:rFonts w:ascii="Times New Roman" w:hAnsi="Times New Roman"/>
        </w:rPr>
        <w:t xml:space="preserve">naštartovanie procesu </w:t>
      </w:r>
      <w:r w:rsidRPr="00A7575B">
        <w:rPr>
          <w:rFonts w:ascii="Times New Roman" w:hAnsi="Times New Roman"/>
        </w:rPr>
        <w:t xml:space="preserve">„Európskej globálnej stratégie pre zahraničnú a bezpečnostnú politiku“ a podpísanie „Spoločnej deklarácie lídrov EÚ a NATO o posilnení strategickej spolupráce“. Bratislavský summit a jeho cestovná mapa boli dôležitým politickým impulzom pre pokrok </w:t>
      </w:r>
      <w:r w:rsidRPr="00A7575B" w:rsidR="0031215A">
        <w:rPr>
          <w:rFonts w:ascii="Times New Roman" w:hAnsi="Times New Roman"/>
        </w:rPr>
        <w:t xml:space="preserve">aj </w:t>
      </w:r>
      <w:r w:rsidRPr="00A7575B">
        <w:rPr>
          <w:rFonts w:ascii="Times New Roman" w:hAnsi="Times New Roman"/>
        </w:rPr>
        <w:t xml:space="preserve">v tejto oblasti. Slovensko podporilo rozpracovanie politických ambícií a priorít stratégie v oblasti posilnenia civilných a vojenských spôsobilostí a obrannej spolupráce, rozvoja spôsobilostí krízového manažmentu a zefektívnenia pôsobenia misií </w:t>
      </w:r>
      <w:r w:rsidRPr="004C3490">
        <w:rPr>
          <w:rFonts w:ascii="Times New Roman" w:hAnsi="Times New Roman"/>
        </w:rPr>
        <w:t xml:space="preserve">a operácií a zároveň </w:t>
      </w:r>
      <w:r w:rsidRPr="004C3490">
        <w:rPr>
          <w:rFonts w:ascii="Times New Roman" w:hAnsi="Times New Roman"/>
          <w:color w:val="000000"/>
        </w:rPr>
        <w:t>aktívne presadzovalo prijatie nového strategického rámca EÚ pre reformu bezpečnostného sektora.</w:t>
      </w:r>
    </w:p>
    <w:p w:rsidR="00B01E00" w:rsidRPr="004C3490" w:rsidP="00A7575B">
      <w:pPr>
        <w:bidi w:val="0"/>
        <w:jc w:val="both"/>
        <w:rPr>
          <w:rFonts w:ascii="Times New Roman" w:hAnsi="Times New Roman"/>
        </w:rPr>
      </w:pPr>
    </w:p>
    <w:p w:rsidR="00C466FA" w:rsidRPr="004C3490" w:rsidP="00A7575B">
      <w:pPr>
        <w:bidi w:val="0"/>
        <w:jc w:val="both"/>
        <w:rPr>
          <w:rFonts w:ascii="Times New Roman" w:hAnsi="Times New Roman"/>
        </w:rPr>
      </w:pPr>
      <w:r w:rsidRPr="004C3490">
        <w:rPr>
          <w:rFonts w:ascii="Times New Roman" w:hAnsi="Times New Roman"/>
        </w:rPr>
        <w:t xml:space="preserve">Slovenské predsedníctvo sa aktívne angažovalo aj v oblasti </w:t>
      </w:r>
      <w:r w:rsidRPr="004C3490">
        <w:rPr>
          <w:rFonts w:ascii="Times New Roman" w:hAnsi="Times New Roman"/>
          <w:b/>
          <w:bCs/>
        </w:rPr>
        <w:t xml:space="preserve">posilňovania transatlantických väzieb </w:t>
      </w:r>
      <w:r w:rsidRPr="004C3490">
        <w:rPr>
          <w:rFonts w:ascii="Times New Roman" w:hAnsi="Times New Roman"/>
          <w:bCs/>
        </w:rPr>
        <w:t>a</w:t>
      </w:r>
      <w:r w:rsidRPr="004C3490">
        <w:rPr>
          <w:rFonts w:ascii="Times New Roman" w:hAnsi="Times New Roman"/>
        </w:rPr>
        <w:t xml:space="preserve"> prehlbovania spolupráce EÚ s medzinárodnými organizáciami, vrátane posilňovania vzťahov medzi EÚ a</w:t>
      </w:r>
      <w:r w:rsidRPr="004C3490" w:rsidR="004C3490">
        <w:rPr>
          <w:rFonts w:ascii="Times New Roman" w:hAnsi="Times New Roman"/>
        </w:rPr>
        <w:t> </w:t>
      </w:r>
      <w:r w:rsidRPr="004C3490">
        <w:rPr>
          <w:rFonts w:ascii="Times New Roman" w:hAnsi="Times New Roman"/>
        </w:rPr>
        <w:t>NATO</w:t>
      </w:r>
      <w:r w:rsidRPr="004C3490" w:rsidR="004C3490">
        <w:rPr>
          <w:rFonts w:ascii="Times New Roman" w:hAnsi="Times New Roman"/>
        </w:rPr>
        <w:t>,</w:t>
      </w:r>
      <w:r w:rsidRPr="004C3490">
        <w:rPr>
          <w:rFonts w:ascii="Times New Roman" w:hAnsi="Times New Roman"/>
        </w:rPr>
        <w:t xml:space="preserve"> </w:t>
      </w:r>
      <w:r w:rsidRPr="004C3490" w:rsidR="004C3490">
        <w:rPr>
          <w:rFonts w:ascii="Times New Roman" w:hAnsi="Times New Roman"/>
        </w:rPr>
        <w:t xml:space="preserve">formou </w:t>
      </w:r>
      <w:r w:rsidRPr="004C3490">
        <w:rPr>
          <w:rFonts w:ascii="Times New Roman" w:hAnsi="Times New Roman"/>
        </w:rPr>
        <w:t>podpisu spoločnej deklarácie. Téma strategickej spolupráce medzi EÚ a NATO bola tiež predmetom neformálneho rokovania ministrov obrany členských štátov EÚ, ktoré sa konalo v septembri v Bratislave. K najperspektívnejším oblastiam spolupráce patrí oblasť boja proti hybridným hrozbám a budovania odolnosti partnerov.</w:t>
      </w:r>
    </w:p>
    <w:p w:rsidR="00B01E00" w:rsidRPr="004C3490" w:rsidP="00A7575B">
      <w:pPr>
        <w:bidi w:val="0"/>
        <w:jc w:val="both"/>
        <w:rPr>
          <w:rFonts w:ascii="Times New Roman" w:hAnsi="Times New Roman"/>
        </w:rPr>
      </w:pPr>
    </w:p>
    <w:p w:rsidR="00C466FA" w:rsidRPr="00A7575B" w:rsidP="00A7575B">
      <w:pPr>
        <w:bidi w:val="0"/>
        <w:jc w:val="both"/>
        <w:rPr>
          <w:rFonts w:ascii="Times New Roman" w:hAnsi="Times New Roman"/>
        </w:rPr>
      </w:pPr>
      <w:r w:rsidRPr="004C3490">
        <w:rPr>
          <w:rFonts w:ascii="Times New Roman" w:hAnsi="Times New Roman"/>
        </w:rPr>
        <w:t xml:space="preserve">Dôležitý význam pre vnútornú a vonkajšiu stabilitu EÚ má </w:t>
      </w:r>
      <w:r w:rsidRPr="004C3490">
        <w:rPr>
          <w:rFonts w:ascii="Times New Roman" w:hAnsi="Times New Roman"/>
          <w:b/>
        </w:rPr>
        <w:t>voľný, spravodlivý a</w:t>
      </w:r>
      <w:r w:rsidRPr="004C3490" w:rsidR="00A7575B">
        <w:rPr>
          <w:rFonts w:ascii="Times New Roman" w:hAnsi="Times New Roman"/>
          <w:b/>
        </w:rPr>
        <w:t> </w:t>
      </w:r>
      <w:r w:rsidRPr="004C3490">
        <w:rPr>
          <w:rFonts w:ascii="Times New Roman" w:hAnsi="Times New Roman"/>
          <w:b/>
        </w:rPr>
        <w:t xml:space="preserve">vyvážený obchod </w:t>
      </w:r>
      <w:r w:rsidRPr="004C3490">
        <w:rPr>
          <w:rFonts w:ascii="Times New Roman" w:hAnsi="Times New Roman"/>
        </w:rPr>
        <w:t xml:space="preserve">založený na reciprocite a vzájomných prínosoch. Počas slovenského predsedníctva bola podpísaná Komplexná hospodárska a </w:t>
      </w:r>
      <w:r w:rsidRPr="004C3490">
        <w:rPr>
          <w:rFonts w:ascii="Times New Roman" w:hAnsi="Times New Roman"/>
          <w:bCs/>
        </w:rPr>
        <w:t>obchodná dohoda</w:t>
      </w:r>
      <w:r w:rsidRPr="004C3490">
        <w:rPr>
          <w:rFonts w:ascii="Times New Roman" w:hAnsi="Times New Roman"/>
        </w:rPr>
        <w:t xml:space="preserve"> s Kanadou (CETA). Podpísanie tejto</w:t>
      </w:r>
      <w:r w:rsidRPr="00A7575B">
        <w:rPr>
          <w:rFonts w:ascii="Times New Roman" w:hAnsi="Times New Roman"/>
        </w:rPr>
        <w:t xml:space="preserve"> dohody je dôležitým momentom pre transatlantický obchod. Moderná obchodná dohoda prinesie firmám z EÚ nové obchodné príležitosti v Kanade a prispeje k zvýšeniu zamestnanosti v Európe. </w:t>
      </w:r>
    </w:p>
    <w:p w:rsidR="00C466FA" w:rsidRPr="00A7575B" w:rsidP="00A7575B">
      <w:pPr>
        <w:bidi w:val="0"/>
        <w:jc w:val="both"/>
        <w:rPr>
          <w:rFonts w:ascii="Times New Roman" w:hAnsi="Times New Roman"/>
        </w:rPr>
      </w:pPr>
    </w:p>
    <w:p w:rsidR="00B01E00" w:rsidRPr="00A7575B" w:rsidP="00A7575B">
      <w:pPr>
        <w:bidi w:val="0"/>
        <w:jc w:val="both"/>
        <w:rPr>
          <w:rFonts w:ascii="Times New Roman" w:hAnsi="Times New Roman"/>
        </w:rPr>
      </w:pPr>
      <w:r w:rsidRPr="00A7575B">
        <w:rPr>
          <w:rFonts w:ascii="Times New Roman" w:hAnsi="Times New Roman"/>
        </w:rPr>
        <w:t>V oblasti </w:t>
      </w:r>
      <w:r w:rsidRPr="00A7575B">
        <w:rPr>
          <w:rFonts w:ascii="Times New Roman" w:hAnsi="Times New Roman"/>
          <w:b/>
          <w:bCs/>
        </w:rPr>
        <w:t>rozvojovej spolupráce</w:t>
      </w:r>
      <w:r w:rsidRPr="00A7575B">
        <w:rPr>
          <w:rFonts w:ascii="Times New Roman" w:hAnsi="Times New Roman"/>
        </w:rPr>
        <w:t> bolo ambíciou slovenského predsedníctva posilnenie súladu medzi politikami pre rozvoj s cieľom komplexne riešiť krízy vrátane migračnej. Kľúčovým úspechom predsedníctva je dohoda členských štátov k nariadeniu o Európskom fonde pre trvalo</w:t>
      </w:r>
      <w:r w:rsidR="00BE3303">
        <w:rPr>
          <w:rFonts w:ascii="Times New Roman" w:hAnsi="Times New Roman"/>
        </w:rPr>
        <w:t xml:space="preserve"> </w:t>
      </w:r>
      <w:r w:rsidRPr="00A7575B">
        <w:rPr>
          <w:rFonts w:ascii="Times New Roman" w:hAnsi="Times New Roman"/>
        </w:rPr>
        <w:t>udržateľný rozvoj. Cieľom fondu je riešiť prvotné príčiny nelegálnej migrácie vytváraním pracovných príležitostí, podporou investícií a uľahčením trvalo udržateľného rozvoja v</w:t>
      </w:r>
      <w:r w:rsidRPr="00A7575B" w:rsidR="00D04863">
        <w:rPr>
          <w:rFonts w:ascii="Times New Roman" w:hAnsi="Times New Roman"/>
        </w:rPr>
        <w:t> </w:t>
      </w:r>
      <w:r w:rsidRPr="00A7575B">
        <w:rPr>
          <w:rFonts w:ascii="Times New Roman" w:hAnsi="Times New Roman"/>
        </w:rPr>
        <w:t xml:space="preserve">partnerských krajinách. </w:t>
      </w:r>
    </w:p>
    <w:p w:rsidR="00EA2C51" w:rsidP="00B86A6F">
      <w:pPr>
        <w:bidi w:val="0"/>
        <w:jc w:val="both"/>
        <w:rPr>
          <w:rFonts w:ascii="Times New Roman" w:hAnsi="Times New Roman"/>
          <w:b/>
          <w:u w:val="single"/>
        </w:rPr>
      </w:pPr>
      <w:bookmarkStart w:id="11" w:name="_Toc473045057"/>
    </w:p>
    <w:p w:rsidR="00B01E00" w:rsidRPr="007C30ED" w:rsidP="007C30ED">
      <w:pPr>
        <w:pStyle w:val="SpravaSKPRESnadpis2"/>
        <w:bidi w:val="0"/>
        <w:rPr>
          <w:rFonts w:ascii="Times New Roman" w:hAnsi="Times New Roman"/>
        </w:rPr>
      </w:pPr>
      <w:bookmarkStart w:id="12" w:name="_Toc475948618"/>
      <w:r w:rsidRPr="007C30ED">
        <w:rPr>
          <w:rFonts w:ascii="Times New Roman" w:hAnsi="Times New Roman"/>
        </w:rPr>
        <w:t>Sumár hlavných výsledkov SK PRES vo vzťahu k občanom</w:t>
      </w:r>
      <w:bookmarkEnd w:id="11"/>
      <w:bookmarkEnd w:id="12"/>
    </w:p>
    <w:p w:rsidR="00B01E00" w:rsidRPr="00A7575B" w:rsidP="00A7575B">
      <w:pPr>
        <w:bidi w:val="0"/>
        <w:rPr>
          <w:rFonts w:ascii="Times New Roman" w:hAnsi="Times New Roman"/>
          <w:b/>
          <w:u w:val="single"/>
        </w:rPr>
      </w:pPr>
    </w:p>
    <w:p w:rsidR="00B01E00"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Členské štáty sa pod vedením SK PRES dohodli na návrhu nariadenia, ktorým sa </w:t>
      </w:r>
      <w:r w:rsidRPr="00A7575B">
        <w:rPr>
          <w:rFonts w:ascii="Times New Roman" w:hAnsi="Times New Roman"/>
          <w:b/>
        </w:rPr>
        <w:t xml:space="preserve">zakazuje neodôvodnené geografické blokovanie internetových služieb medzi členskými štátmi. </w:t>
      </w:r>
      <w:r w:rsidRPr="00A7575B">
        <w:rPr>
          <w:rFonts w:ascii="Times New Roman" w:hAnsi="Times New Roman"/>
        </w:rPr>
        <w:t xml:space="preserve">V praxi ide o to, že si </w:t>
      </w:r>
      <w:r w:rsidR="004B170D">
        <w:rPr>
          <w:rFonts w:ascii="Times New Roman" w:hAnsi="Times New Roman"/>
        </w:rPr>
        <w:t>občania budú</w:t>
      </w:r>
      <w:r w:rsidRPr="00A7575B">
        <w:rPr>
          <w:rFonts w:ascii="Times New Roman" w:hAnsi="Times New Roman"/>
        </w:rPr>
        <w:t xml:space="preserve"> môcť kúpiť on</w:t>
      </w:r>
      <w:r w:rsidR="004B170D">
        <w:rPr>
          <w:rFonts w:ascii="Times New Roman" w:hAnsi="Times New Roman"/>
        </w:rPr>
        <w:t>-</w:t>
      </w:r>
      <w:r w:rsidRPr="00A7575B">
        <w:rPr>
          <w:rFonts w:ascii="Times New Roman" w:hAnsi="Times New Roman"/>
        </w:rPr>
        <w:t xml:space="preserve">line produkty a služby aj z inej krajiny </w:t>
      </w:r>
      <w:r w:rsidR="004B170D">
        <w:rPr>
          <w:rFonts w:ascii="Times New Roman" w:hAnsi="Times New Roman"/>
        </w:rPr>
        <w:t>–</w:t>
      </w:r>
      <w:r w:rsidRPr="00A7575B">
        <w:rPr>
          <w:rFonts w:ascii="Times New Roman" w:hAnsi="Times New Roman"/>
        </w:rPr>
        <w:t xml:space="preserve"> vznikne voľný elektronický obchod medzi štátmi EÚ. </w:t>
      </w:r>
    </w:p>
    <w:p w:rsidR="00B01E00" w:rsidRPr="00A7575B" w:rsidP="004B170D">
      <w:pPr>
        <w:pStyle w:val="ListParagraph"/>
        <w:bidi w:val="0"/>
        <w:ind w:left="426" w:hanging="426"/>
        <w:rPr>
          <w:rFonts w:ascii="Times New Roman" w:hAnsi="Times New Roman"/>
        </w:rPr>
      </w:pPr>
    </w:p>
    <w:p w:rsidR="00B01E00"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SK PRES prispelo k zrušeniu </w:t>
      </w:r>
      <w:r w:rsidRPr="00A7575B">
        <w:rPr>
          <w:rFonts w:ascii="Times New Roman" w:hAnsi="Times New Roman"/>
          <w:b/>
        </w:rPr>
        <w:t>roamingových poplatkov</w:t>
      </w:r>
      <w:r w:rsidRPr="00A7575B">
        <w:rPr>
          <w:rFonts w:ascii="Times New Roman" w:hAnsi="Times New Roman"/>
        </w:rPr>
        <w:t xml:space="preserve"> pre spotrebiteľov v roku 2017. Záväzok, ktorý si Únia dala minulý rok, hovorí o odstránení roamingových poplatkov pre spotrebiteľov v júni 2017 – „v cudzine ako doma“</w:t>
      </w:r>
      <w:r w:rsidR="004B170D">
        <w:rPr>
          <w:rFonts w:ascii="Times New Roman" w:hAnsi="Times New Roman"/>
        </w:rPr>
        <w:t xml:space="preserve">. K naplneniu záväzku </w:t>
      </w:r>
      <w:r w:rsidRPr="00A7575B">
        <w:rPr>
          <w:rFonts w:ascii="Times New Roman" w:hAnsi="Times New Roman"/>
        </w:rPr>
        <w:t xml:space="preserve">je potrebný záverečný krok – </w:t>
      </w:r>
      <w:r w:rsidRPr="00A7575B">
        <w:rPr>
          <w:rFonts w:ascii="Times New Roman" w:hAnsi="Times New Roman"/>
          <w:b/>
        </w:rPr>
        <w:t>úprava poplatkov, ktoré si môžu prevádzkovatelia navzájom účtovať za používanie sietí</w:t>
      </w:r>
      <w:r w:rsidRPr="00A7575B">
        <w:rPr>
          <w:rFonts w:ascii="Times New Roman" w:hAnsi="Times New Roman"/>
        </w:rPr>
        <w:t xml:space="preserve"> (</w:t>
      </w:r>
      <w:r w:rsidR="004B170D">
        <w:rPr>
          <w:rFonts w:ascii="Times New Roman" w:hAnsi="Times New Roman"/>
        </w:rPr>
        <w:t>ide</w:t>
      </w:r>
      <w:r w:rsidRPr="00A7575B">
        <w:rPr>
          <w:rFonts w:ascii="Times New Roman" w:hAnsi="Times New Roman"/>
        </w:rPr>
        <w:t xml:space="preserve"> o poplatk</w:t>
      </w:r>
      <w:r w:rsidR="004B170D">
        <w:rPr>
          <w:rFonts w:ascii="Times New Roman" w:hAnsi="Times New Roman"/>
        </w:rPr>
        <w:t>y</w:t>
      </w:r>
      <w:r w:rsidRPr="00A7575B">
        <w:rPr>
          <w:rFonts w:ascii="Times New Roman" w:hAnsi="Times New Roman"/>
        </w:rPr>
        <w:t xml:space="preserve"> za hlasové volania, SMS správy a</w:t>
      </w:r>
      <w:r w:rsidRPr="00A7575B" w:rsidR="00A87F6A">
        <w:rPr>
          <w:rFonts w:ascii="Times New Roman" w:hAnsi="Times New Roman"/>
        </w:rPr>
        <w:t> </w:t>
      </w:r>
      <w:r w:rsidRPr="00A7575B">
        <w:rPr>
          <w:rFonts w:ascii="Times New Roman" w:hAnsi="Times New Roman"/>
        </w:rPr>
        <w:t>využívanie dát</w:t>
      </w:r>
      <w:r w:rsidRPr="00A7575B">
        <w:rPr>
          <w:rFonts w:ascii="Times New Roman" w:hAnsi="Times New Roman"/>
          <w:bCs/>
        </w:rPr>
        <w:t>)</w:t>
      </w:r>
      <w:r w:rsidR="004B170D">
        <w:rPr>
          <w:rFonts w:ascii="Times New Roman" w:hAnsi="Times New Roman"/>
          <w:bCs/>
        </w:rPr>
        <w:t>.</w:t>
      </w:r>
    </w:p>
    <w:p w:rsidR="00B01E00" w:rsidRPr="00A7575B" w:rsidP="004B170D">
      <w:pPr>
        <w:bidi w:val="0"/>
        <w:ind w:left="426" w:hanging="426"/>
        <w:jc w:val="both"/>
        <w:rPr>
          <w:rFonts w:ascii="Times New Roman" w:hAnsi="Times New Roman"/>
        </w:rPr>
      </w:pPr>
    </w:p>
    <w:p w:rsidR="00B01E00"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Slovenské predsedníctvo dosiahlo dohodu s Európskym parlamentom </w:t>
      </w:r>
      <w:r w:rsidRPr="00A7575B">
        <w:rPr>
          <w:rFonts w:ascii="Times New Roman" w:hAnsi="Times New Roman"/>
          <w:b/>
        </w:rPr>
        <w:t>o vysokorýchlostnom internetovom pripojení 5G</w:t>
      </w:r>
      <w:r w:rsidR="00A7575B">
        <w:rPr>
          <w:rFonts w:ascii="Times New Roman" w:hAnsi="Times New Roman"/>
          <w:b/>
        </w:rPr>
        <w:t> </w:t>
      </w:r>
      <w:r w:rsidR="004B170D">
        <w:rPr>
          <w:rFonts w:ascii="Times New Roman" w:hAnsi="Times New Roman"/>
          <w:b/>
        </w:rPr>
        <w:t>–</w:t>
      </w:r>
      <w:r w:rsidR="00A7575B">
        <w:rPr>
          <w:rFonts w:ascii="Times New Roman" w:hAnsi="Times New Roman"/>
          <w:b/>
        </w:rPr>
        <w:t> </w:t>
      </w:r>
      <w:r w:rsidRPr="00A7575B">
        <w:rPr>
          <w:rFonts w:ascii="Times New Roman" w:hAnsi="Times New Roman"/>
        </w:rPr>
        <w:t>môže to znieť technicky, keďže hovoríme o</w:t>
      </w:r>
      <w:r w:rsidR="00A7575B">
        <w:rPr>
          <w:rFonts w:ascii="Times New Roman" w:hAnsi="Times New Roman"/>
        </w:rPr>
        <w:t> </w:t>
      </w:r>
      <w:r w:rsidRPr="00A7575B">
        <w:rPr>
          <w:rFonts w:ascii="Times New Roman" w:hAnsi="Times New Roman"/>
        </w:rPr>
        <w:t xml:space="preserve">dohode sprístupniť isté frekvenčné pásmo (700 MHz) pre </w:t>
      </w:r>
      <w:r w:rsidRPr="00A7575B">
        <w:rPr>
          <w:rFonts w:ascii="Times New Roman" w:hAnsi="Times New Roman"/>
          <w:b/>
        </w:rPr>
        <w:t>WiFi</w:t>
      </w:r>
      <w:r w:rsidR="004B170D">
        <w:rPr>
          <w:rFonts w:ascii="Times New Roman" w:hAnsi="Times New Roman"/>
        </w:rPr>
        <w:t>, výsledkom však</w:t>
      </w:r>
      <w:r w:rsidRPr="00A7575B">
        <w:rPr>
          <w:rFonts w:ascii="Times New Roman" w:hAnsi="Times New Roman"/>
        </w:rPr>
        <w:t xml:space="preserve"> </w:t>
      </w:r>
      <w:r w:rsidR="004B170D">
        <w:rPr>
          <w:rFonts w:ascii="Times New Roman" w:hAnsi="Times New Roman"/>
        </w:rPr>
        <w:t>bude</w:t>
      </w:r>
      <w:r w:rsidRPr="00A7575B">
        <w:rPr>
          <w:rFonts w:ascii="Times New Roman" w:hAnsi="Times New Roman"/>
        </w:rPr>
        <w:t xml:space="preserve"> nov</w:t>
      </w:r>
      <w:r w:rsidR="004B170D">
        <w:rPr>
          <w:rFonts w:ascii="Times New Roman" w:hAnsi="Times New Roman"/>
        </w:rPr>
        <w:t>á</w:t>
      </w:r>
      <w:r w:rsidRPr="00A7575B">
        <w:rPr>
          <w:rFonts w:ascii="Times New Roman" w:hAnsi="Times New Roman"/>
        </w:rPr>
        <w:t xml:space="preserve"> generáci</w:t>
      </w:r>
      <w:r w:rsidR="004B170D">
        <w:rPr>
          <w:rFonts w:ascii="Times New Roman" w:hAnsi="Times New Roman"/>
        </w:rPr>
        <w:t>a komunikácie s vysokou</w:t>
      </w:r>
      <w:r w:rsidRPr="00A7575B">
        <w:rPr>
          <w:rFonts w:ascii="Times New Roman" w:hAnsi="Times New Roman"/>
        </w:rPr>
        <w:t xml:space="preserve"> rýchlosť</w:t>
      </w:r>
      <w:r w:rsidR="004B170D">
        <w:rPr>
          <w:rFonts w:ascii="Times New Roman" w:hAnsi="Times New Roman"/>
        </w:rPr>
        <w:t>ou</w:t>
      </w:r>
      <w:r w:rsidRPr="00A7575B">
        <w:rPr>
          <w:rFonts w:ascii="Times New Roman" w:hAnsi="Times New Roman"/>
        </w:rPr>
        <w:t xml:space="preserve"> a rozsiahl</w:t>
      </w:r>
      <w:r w:rsidR="004B170D">
        <w:rPr>
          <w:rFonts w:ascii="Times New Roman" w:hAnsi="Times New Roman"/>
        </w:rPr>
        <w:t>ym pokrytím</w:t>
      </w:r>
      <w:r w:rsidRPr="00A7575B">
        <w:rPr>
          <w:rFonts w:ascii="Times New Roman" w:hAnsi="Times New Roman"/>
        </w:rPr>
        <w:t xml:space="preserve">. </w:t>
      </w:r>
    </w:p>
    <w:p w:rsidR="00B01E00" w:rsidRPr="00A7575B" w:rsidP="004B170D">
      <w:pPr>
        <w:bidi w:val="0"/>
        <w:ind w:left="426" w:hanging="426"/>
        <w:jc w:val="both"/>
        <w:rPr>
          <w:rFonts w:ascii="Times New Roman" w:hAnsi="Times New Roman"/>
        </w:rPr>
      </w:pPr>
    </w:p>
    <w:p w:rsidR="00706C96" w:rsidRPr="006F1321" w:rsidP="00EA2C51">
      <w:pPr>
        <w:pStyle w:val="ListParagraph"/>
        <w:numPr>
          <w:numId w:val="33"/>
        </w:numPr>
        <w:bidi w:val="0"/>
        <w:ind w:left="426" w:hanging="426"/>
        <w:contextualSpacing/>
        <w:jc w:val="both"/>
        <w:rPr>
          <w:rFonts w:ascii="Times New Roman" w:hAnsi="Times New Roman"/>
        </w:rPr>
      </w:pPr>
      <w:r w:rsidRPr="006F1321" w:rsidR="00EA2C51">
        <w:rPr>
          <w:rFonts w:ascii="Times New Roman" w:hAnsi="Times New Roman"/>
        </w:rPr>
        <w:t xml:space="preserve">Aktivity SK PRES v problematike </w:t>
      </w:r>
      <w:r w:rsidRPr="006F1321" w:rsidR="00EA2C51">
        <w:rPr>
          <w:rFonts w:ascii="Times New Roman" w:hAnsi="Times New Roman"/>
          <w:b/>
        </w:rPr>
        <w:t xml:space="preserve">posilnenia postavenia poľnohospodárov v potravinovom dodávateľskom reťazci </w:t>
      </w:r>
      <w:r w:rsidRPr="006F1321" w:rsidR="00EA2C51">
        <w:rPr>
          <w:rFonts w:ascii="Times New Roman" w:hAnsi="Times New Roman"/>
        </w:rPr>
        <w:t>a boja proti nekalým obchodným praktikám prispeli k zaradeniu tejto témy do pracovného programu Európskej komisie na rok 2017. K uplatňovaniu nekalých obchodných praktík dochádza najmä zo strany subjektov so silnou vyjednávacou silou, predovšetkým v oblasti maloobchodu</w:t>
      </w:r>
      <w:r w:rsidRPr="006F1321" w:rsidR="006F1321">
        <w:rPr>
          <w:rFonts w:ascii="Times New Roman" w:hAnsi="Times New Roman"/>
        </w:rPr>
        <w:t>,</w:t>
      </w:r>
      <w:r w:rsidRPr="006F1321" w:rsidR="00EA2C51">
        <w:rPr>
          <w:rFonts w:ascii="Times New Roman" w:hAnsi="Times New Roman"/>
        </w:rPr>
        <w:t xml:space="preserve"> a majú negatívny dopad hlavne na poľnohospodárov, ako ekonomicky najslabší článok reťazca. Farmári a prvovýrobcovia nielen na Slovensku, ale v celej EÚ, získavajú znova šancu na transparentné obchodné prostredie bez nekalých obchodných praktík.</w:t>
      </w:r>
    </w:p>
    <w:p w:rsidR="00EA2C51" w:rsidRPr="00EA2C51" w:rsidP="00EA2C51">
      <w:pPr>
        <w:pStyle w:val="ListParagraph"/>
        <w:bidi w:val="0"/>
        <w:ind w:left="0"/>
        <w:contextualSpacing/>
        <w:jc w:val="both"/>
        <w:rPr>
          <w:rFonts w:ascii="Times New Roman" w:hAnsi="Times New Roman"/>
        </w:rPr>
      </w:pPr>
    </w:p>
    <w:p w:rsidR="00B01E00" w:rsidRPr="00706C96" w:rsidP="00706C96">
      <w:pPr>
        <w:pStyle w:val="ListParagraph"/>
        <w:numPr>
          <w:numId w:val="33"/>
        </w:numPr>
        <w:bidi w:val="0"/>
        <w:ind w:left="426" w:hanging="426"/>
        <w:contextualSpacing/>
        <w:jc w:val="both"/>
        <w:rPr>
          <w:rFonts w:ascii="Times New Roman" w:hAnsi="Times New Roman"/>
        </w:rPr>
      </w:pPr>
      <w:r w:rsidRPr="00706C96" w:rsidR="00706C96">
        <w:rPr>
          <w:rFonts w:ascii="Times New Roman" w:hAnsi="Times New Roman"/>
        </w:rPr>
        <w:t xml:space="preserve">V oblasti </w:t>
      </w:r>
      <w:r w:rsidRPr="00706C96" w:rsidR="00706C96">
        <w:rPr>
          <w:rFonts w:ascii="Times New Roman" w:hAnsi="Times New Roman"/>
          <w:b/>
        </w:rPr>
        <w:t>rybárskej politiky</w:t>
      </w:r>
      <w:r w:rsidRPr="00706C96" w:rsidR="00706C96">
        <w:rPr>
          <w:rFonts w:ascii="Times New Roman" w:hAnsi="Times New Roman"/>
        </w:rPr>
        <w:t>, ktorá je najmä pre prímorské štáty významným hospodárskym odvetvím zamestnávajúcim desiatky tisíc ľudí, bolo najväčším úspechom SK PRES dosiahnutie jednomyseľnej dohody vo všetkých štyroch nezávislých nariadeniach Rady týkajúcich sa rybolovných možností, a to pre hlbokomorské druhy, Baltské more, Čierne more a ostatné rybolovné oblasti patriace EÚ a mimo EÚ.</w:t>
      </w:r>
      <w:r w:rsidR="006F1321">
        <w:rPr>
          <w:rFonts w:ascii="Times New Roman" w:hAnsi="Times New Roman"/>
        </w:rPr>
        <w:t xml:space="preserve"> Naším výsledkom je jedinečná jednomyseľná dohoda o tom, koľko rýb možno počas budúceho roka vyloviť v európskych moriach. Táto dohoda je veľmi dôležitá pre 23 členských štátov s prístupom k moru.</w:t>
      </w:r>
    </w:p>
    <w:p w:rsidR="006F1321" w:rsidRPr="00706C96" w:rsidP="00706C96">
      <w:pPr>
        <w:pStyle w:val="ListParagraph"/>
        <w:bidi w:val="0"/>
        <w:ind w:left="426"/>
        <w:contextualSpacing/>
        <w:jc w:val="both"/>
        <w:rPr>
          <w:rFonts w:ascii="Times New Roman" w:hAnsi="Times New Roman"/>
        </w:rPr>
      </w:pPr>
    </w:p>
    <w:p w:rsidR="00B01E00"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b/>
        </w:rPr>
        <w:t>Rozpočet EÚ na rok 2017</w:t>
      </w:r>
      <w:r w:rsidR="00A7575B">
        <w:rPr>
          <w:rFonts w:ascii="Times New Roman" w:hAnsi="Times New Roman"/>
          <w:b/>
        </w:rPr>
        <w:t> </w:t>
      </w:r>
      <w:r w:rsidR="004B170D">
        <w:rPr>
          <w:rFonts w:ascii="Times New Roman" w:hAnsi="Times New Roman"/>
        </w:rPr>
        <w:t>–</w:t>
      </w:r>
      <w:r w:rsidR="00A7575B">
        <w:rPr>
          <w:rFonts w:ascii="Times New Roman" w:hAnsi="Times New Roman"/>
        </w:rPr>
        <w:t> </w:t>
      </w:r>
      <w:r w:rsidRPr="00A7575B">
        <w:rPr>
          <w:rFonts w:ascii="Times New Roman" w:hAnsi="Times New Roman"/>
        </w:rPr>
        <w:t>SK</w:t>
      </w:r>
      <w:r w:rsidR="004B170D">
        <w:rPr>
          <w:rFonts w:ascii="Times New Roman" w:hAnsi="Times New Roman"/>
        </w:rPr>
        <w:t xml:space="preserve"> </w:t>
      </w:r>
      <w:r w:rsidRPr="00A7575B">
        <w:rPr>
          <w:rFonts w:ascii="Times New Roman" w:hAnsi="Times New Roman"/>
        </w:rPr>
        <w:t>PRES sa podarilo v mimoriadne ťažkom období ovplyvnenom Brexitom, dohodnúť rozpočet EÚ</w:t>
      </w:r>
      <w:r w:rsidR="004B170D">
        <w:rPr>
          <w:rFonts w:ascii="Times New Roman" w:hAnsi="Times New Roman"/>
        </w:rPr>
        <w:t xml:space="preserve"> na rok</w:t>
      </w:r>
      <w:r w:rsidRPr="00A7575B">
        <w:rPr>
          <w:rFonts w:ascii="Times New Roman" w:hAnsi="Times New Roman"/>
        </w:rPr>
        <w:t xml:space="preserve"> 2017, v ktorom pôjde o</w:t>
      </w:r>
      <w:r w:rsidR="00A7575B">
        <w:rPr>
          <w:rFonts w:ascii="Times New Roman" w:hAnsi="Times New Roman"/>
        </w:rPr>
        <w:t> </w:t>
      </w:r>
      <w:r w:rsidRPr="00A7575B">
        <w:rPr>
          <w:rFonts w:ascii="Times New Roman" w:hAnsi="Times New Roman"/>
        </w:rPr>
        <w:t>11</w:t>
      </w:r>
      <w:r w:rsidR="00A7575B">
        <w:rPr>
          <w:rFonts w:ascii="Times New Roman" w:hAnsi="Times New Roman"/>
        </w:rPr>
        <w:t> </w:t>
      </w:r>
      <w:r w:rsidRPr="00A7575B">
        <w:rPr>
          <w:rFonts w:ascii="Times New Roman" w:hAnsi="Times New Roman"/>
        </w:rPr>
        <w:t>% viac zdrojov ako v roku 2016 na riešenie migrácie a zvýšenie bezpečnosti občanov (6</w:t>
      </w:r>
      <w:r w:rsidR="00A7575B">
        <w:rPr>
          <w:rFonts w:ascii="Times New Roman" w:hAnsi="Times New Roman"/>
        </w:rPr>
        <w:t> </w:t>
      </w:r>
      <w:r w:rsidRPr="00A7575B">
        <w:rPr>
          <w:rFonts w:ascii="Times New Roman" w:hAnsi="Times New Roman"/>
        </w:rPr>
        <w:t>mld.</w:t>
      </w:r>
      <w:r w:rsidR="00A7575B">
        <w:rPr>
          <w:rFonts w:ascii="Times New Roman" w:hAnsi="Times New Roman"/>
        </w:rPr>
        <w:t> </w:t>
      </w:r>
      <w:r w:rsidRPr="00A7575B">
        <w:rPr>
          <w:rFonts w:ascii="Times New Roman" w:hAnsi="Times New Roman"/>
        </w:rPr>
        <w:t>EUR), o</w:t>
      </w:r>
      <w:r w:rsidR="004B170D">
        <w:rPr>
          <w:rFonts w:ascii="Times New Roman" w:hAnsi="Times New Roman"/>
        </w:rPr>
        <w:t> </w:t>
      </w:r>
      <w:r w:rsidRPr="00A7575B">
        <w:rPr>
          <w:rFonts w:ascii="Times New Roman" w:hAnsi="Times New Roman"/>
        </w:rPr>
        <w:t>12</w:t>
      </w:r>
      <w:r w:rsidR="004B170D">
        <w:rPr>
          <w:rFonts w:ascii="Times New Roman" w:hAnsi="Times New Roman"/>
        </w:rPr>
        <w:t xml:space="preserve"> %</w:t>
      </w:r>
      <w:r w:rsidR="00A7575B">
        <w:rPr>
          <w:rFonts w:ascii="Times New Roman" w:hAnsi="Times New Roman"/>
        </w:rPr>
        <w:t> </w:t>
      </w:r>
      <w:r w:rsidRPr="00A7575B">
        <w:rPr>
          <w:rFonts w:ascii="Times New Roman" w:hAnsi="Times New Roman"/>
        </w:rPr>
        <w:t>viac na podporu hospodárskeho rastu a zamestnanosti – Erasmus+ a EFSI (Junckerov investičný fond) a dodatočných 500 mil. EUR na Iniciatívu pre zamestnanosť mladých. Pol</w:t>
      </w:r>
      <w:r w:rsidR="00680D8F">
        <w:rPr>
          <w:rFonts w:ascii="Times New Roman" w:hAnsi="Times New Roman"/>
        </w:rPr>
        <w:t> </w:t>
      </w:r>
      <w:r w:rsidRPr="00A7575B">
        <w:rPr>
          <w:rFonts w:ascii="Times New Roman" w:hAnsi="Times New Roman"/>
        </w:rPr>
        <w:t xml:space="preserve">miliardy EUR bude určených pre producentov mlieka a chovateľov hospodárskych zvierat. </w:t>
      </w:r>
    </w:p>
    <w:p w:rsidR="00B01E00" w:rsidRPr="00A7575B" w:rsidP="004B170D">
      <w:pPr>
        <w:pStyle w:val="ListParagraph"/>
        <w:bidi w:val="0"/>
        <w:ind w:left="426" w:hanging="426"/>
        <w:jc w:val="both"/>
        <w:rPr>
          <w:rFonts w:ascii="Times New Roman" w:hAnsi="Times New Roman"/>
        </w:rPr>
      </w:pPr>
    </w:p>
    <w:p w:rsidR="00B01E00" w:rsidRPr="004C3490"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V rokovaniach k návrhu na </w:t>
      </w:r>
      <w:r w:rsidRPr="00A7575B">
        <w:rPr>
          <w:rFonts w:ascii="Times New Roman" w:hAnsi="Times New Roman"/>
          <w:b/>
        </w:rPr>
        <w:t>aktualizáciu Viacročného finančného rámca 2014-2020</w:t>
      </w:r>
      <w:r w:rsidRPr="00A7575B">
        <w:rPr>
          <w:rFonts w:ascii="Times New Roman" w:hAnsi="Times New Roman"/>
        </w:rPr>
        <w:t xml:space="preserve"> SK PRES dosiahlo širokú podporu Rady pre kompromisný návrh, ktorý navyšuje zdroje o</w:t>
      </w:r>
      <w:r w:rsidRPr="00A7575B" w:rsidR="00A87F6A">
        <w:rPr>
          <w:rFonts w:ascii="Times New Roman" w:hAnsi="Times New Roman"/>
        </w:rPr>
        <w:t> </w:t>
      </w:r>
      <w:r w:rsidRPr="00A7575B">
        <w:rPr>
          <w:rFonts w:ascii="Times New Roman" w:hAnsi="Times New Roman"/>
        </w:rPr>
        <w:t>6</w:t>
      </w:r>
      <w:r w:rsidRPr="00A7575B" w:rsidR="00A87F6A">
        <w:rPr>
          <w:rFonts w:ascii="Times New Roman" w:hAnsi="Times New Roman"/>
        </w:rPr>
        <w:t> </w:t>
      </w:r>
      <w:r w:rsidRPr="00A7575B">
        <w:rPr>
          <w:rFonts w:ascii="Times New Roman" w:hAnsi="Times New Roman"/>
        </w:rPr>
        <w:t xml:space="preserve">miliárd EUR. Z toho sú takmer 4 miliardy EUR určené na </w:t>
      </w:r>
      <w:r w:rsidRPr="00A7575B">
        <w:rPr>
          <w:rFonts w:ascii="Times New Roman" w:hAnsi="Times New Roman"/>
          <w:b/>
        </w:rPr>
        <w:t>aktuálne priority ako sú migrácia a bezpečnosť</w:t>
      </w:r>
      <w:r w:rsidRPr="00A7575B">
        <w:rPr>
          <w:rFonts w:ascii="Times New Roman" w:hAnsi="Times New Roman"/>
        </w:rPr>
        <w:t>. Ďalšie 2 miliardy EUR pôjdu</w:t>
      </w:r>
      <w:r w:rsidRPr="00A7575B" w:rsidR="00D04863">
        <w:rPr>
          <w:rFonts w:ascii="Times New Roman" w:hAnsi="Times New Roman"/>
        </w:rPr>
        <w:t xml:space="preserve"> </w:t>
      </w:r>
      <w:r w:rsidRPr="00A7575B">
        <w:rPr>
          <w:rFonts w:ascii="Times New Roman" w:hAnsi="Times New Roman"/>
        </w:rPr>
        <w:t xml:space="preserve">na </w:t>
      </w:r>
      <w:r w:rsidRPr="00A7575B">
        <w:rPr>
          <w:rFonts w:ascii="Times New Roman" w:hAnsi="Times New Roman"/>
          <w:b/>
        </w:rPr>
        <w:t>podporu rastu a zamestnanosti</w:t>
      </w:r>
      <w:r w:rsidRPr="00A7575B">
        <w:rPr>
          <w:rFonts w:ascii="Times New Roman" w:hAnsi="Times New Roman"/>
        </w:rPr>
        <w:t>, vrátane 1</w:t>
      </w:r>
      <w:r w:rsidR="00680D8F">
        <w:rPr>
          <w:rFonts w:ascii="Times New Roman" w:hAnsi="Times New Roman"/>
        </w:rPr>
        <w:t> </w:t>
      </w:r>
      <w:r w:rsidRPr="004C3490">
        <w:rPr>
          <w:rFonts w:ascii="Times New Roman" w:hAnsi="Times New Roman"/>
        </w:rPr>
        <w:t xml:space="preserve">miliardy EUR na podporu mládeže. </w:t>
      </w:r>
    </w:p>
    <w:p w:rsidR="00B01E00" w:rsidRPr="004C3490" w:rsidP="004B170D">
      <w:pPr>
        <w:bidi w:val="0"/>
        <w:ind w:left="426" w:hanging="426"/>
        <w:jc w:val="both"/>
        <w:rPr>
          <w:rFonts w:ascii="Times New Roman" w:hAnsi="Times New Roman"/>
        </w:rPr>
      </w:pPr>
    </w:p>
    <w:p w:rsidR="00B01E00" w:rsidRPr="004C3490" w:rsidP="004B170D">
      <w:pPr>
        <w:pStyle w:val="ListParagraph"/>
        <w:numPr>
          <w:numId w:val="33"/>
        </w:numPr>
        <w:bidi w:val="0"/>
        <w:ind w:left="426" w:hanging="426"/>
        <w:contextualSpacing/>
        <w:jc w:val="both"/>
        <w:rPr>
          <w:rFonts w:ascii="Times New Roman" w:hAnsi="Times New Roman"/>
        </w:rPr>
      </w:pPr>
      <w:r w:rsidRPr="004C3490">
        <w:rPr>
          <w:rFonts w:ascii="Times New Roman" w:hAnsi="Times New Roman"/>
        </w:rPr>
        <w:t>Rada pod vedením SK PRES</w:t>
      </w:r>
      <w:r w:rsidRPr="004C3490" w:rsidR="00D04863">
        <w:rPr>
          <w:rFonts w:ascii="Times New Roman" w:hAnsi="Times New Roman"/>
        </w:rPr>
        <w:t xml:space="preserve"> </w:t>
      </w:r>
      <w:r w:rsidRPr="004C3490">
        <w:rPr>
          <w:rFonts w:ascii="Times New Roman" w:hAnsi="Times New Roman"/>
        </w:rPr>
        <w:t xml:space="preserve">prijala závery </w:t>
      </w:r>
      <w:r w:rsidRPr="004C3490">
        <w:rPr>
          <w:rFonts w:ascii="Times New Roman" w:hAnsi="Times New Roman"/>
          <w:b/>
        </w:rPr>
        <w:t>k výsledkom a novým prvkom politiky súdržnosti a európskych štrukturálnych a investičných fondov</w:t>
      </w:r>
      <w:r w:rsidRPr="004C3490">
        <w:rPr>
          <w:rFonts w:ascii="Times New Roman" w:hAnsi="Times New Roman"/>
        </w:rPr>
        <w:t xml:space="preserve">. Pre SR ako kohéznu krajinu je dôležité </w:t>
      </w:r>
      <w:r w:rsidRPr="004C3490" w:rsidR="004C3490">
        <w:rPr>
          <w:rFonts w:ascii="Times New Roman" w:hAnsi="Times New Roman"/>
        </w:rPr>
        <w:t xml:space="preserve">zdôrazňovať </w:t>
      </w:r>
      <w:r w:rsidRPr="004C3490">
        <w:rPr>
          <w:rFonts w:ascii="Times New Roman" w:hAnsi="Times New Roman"/>
          <w:b/>
        </w:rPr>
        <w:t>v</w:t>
      </w:r>
      <w:r w:rsidRPr="004C3490" w:rsidR="004C3490">
        <w:rPr>
          <w:rFonts w:ascii="Times New Roman" w:hAnsi="Times New Roman"/>
          <w:b/>
        </w:rPr>
        <w:t> rámci európskej diskusie</w:t>
      </w:r>
      <w:r w:rsidRPr="004C3490">
        <w:rPr>
          <w:rFonts w:ascii="Times New Roman" w:hAnsi="Times New Roman"/>
          <w:b/>
        </w:rPr>
        <w:t xml:space="preserve"> význam </w:t>
      </w:r>
      <w:r w:rsidRPr="004C3490" w:rsidR="004C3490">
        <w:rPr>
          <w:rFonts w:ascii="Times New Roman" w:hAnsi="Times New Roman"/>
          <w:b/>
        </w:rPr>
        <w:t>p</w:t>
      </w:r>
      <w:r w:rsidRPr="004C3490">
        <w:rPr>
          <w:rFonts w:ascii="Times New Roman" w:hAnsi="Times New Roman"/>
          <w:b/>
        </w:rPr>
        <w:t xml:space="preserve">olitiky </w:t>
      </w:r>
      <w:r w:rsidRPr="004C3490" w:rsidR="004C3490">
        <w:rPr>
          <w:rFonts w:ascii="Times New Roman" w:hAnsi="Times New Roman"/>
          <w:b/>
        </w:rPr>
        <w:t>súdržnosti ako nenahraditeľnej investičnej politiky</w:t>
      </w:r>
      <w:r w:rsidRPr="004C3490" w:rsidR="004C3490">
        <w:rPr>
          <w:rFonts w:ascii="Times New Roman" w:hAnsi="Times New Roman"/>
        </w:rPr>
        <w:t xml:space="preserve"> </w:t>
      </w:r>
      <w:r w:rsidRPr="004C3490" w:rsidR="004C3490">
        <w:rPr>
          <w:rFonts w:ascii="Times New Roman" w:hAnsi="Times New Roman"/>
          <w:b/>
        </w:rPr>
        <w:t xml:space="preserve">EÚ </w:t>
      </w:r>
      <w:r w:rsidRPr="004C3490">
        <w:rPr>
          <w:rFonts w:ascii="Times New Roman" w:hAnsi="Times New Roman"/>
          <w:b/>
        </w:rPr>
        <w:t>pre podporu rastu a</w:t>
      </w:r>
      <w:r w:rsidRPr="004C3490" w:rsidR="004C3490">
        <w:rPr>
          <w:rFonts w:ascii="Times New Roman" w:hAnsi="Times New Roman"/>
          <w:b/>
        </w:rPr>
        <w:t> zamestnanosti</w:t>
      </w:r>
      <w:r w:rsidRPr="004C3490">
        <w:rPr>
          <w:rFonts w:ascii="Times New Roman" w:hAnsi="Times New Roman"/>
        </w:rPr>
        <w:t xml:space="preserve">. </w:t>
      </w:r>
    </w:p>
    <w:p w:rsidR="00B01E00" w:rsidRPr="004C3490" w:rsidP="004B170D">
      <w:pPr>
        <w:pStyle w:val="ListParagraph"/>
        <w:bidi w:val="0"/>
        <w:ind w:left="426" w:hanging="426"/>
        <w:jc w:val="both"/>
        <w:rPr>
          <w:rFonts w:ascii="Times New Roman" w:hAnsi="Times New Roman"/>
        </w:rPr>
      </w:pPr>
    </w:p>
    <w:p w:rsidR="00E33E44" w:rsidRPr="00A7575B" w:rsidP="00E33E44">
      <w:pPr>
        <w:pStyle w:val="ListParagraph"/>
        <w:numPr>
          <w:numId w:val="33"/>
        </w:numPr>
        <w:bidi w:val="0"/>
        <w:ind w:left="426" w:hanging="426"/>
        <w:contextualSpacing/>
        <w:jc w:val="both"/>
        <w:rPr>
          <w:rFonts w:ascii="Times New Roman" w:hAnsi="Times New Roman"/>
        </w:rPr>
      </w:pPr>
      <w:r w:rsidRPr="004C3490" w:rsidR="002158A6">
        <w:rPr>
          <w:rFonts w:ascii="Times New Roman" w:hAnsi="Times New Roman"/>
        </w:rPr>
        <w:t xml:space="preserve">SK PRES po rokoch odblokovalo rokovania a dosiahlo dohodu k </w:t>
      </w:r>
      <w:r w:rsidRPr="00E33E44" w:rsidR="002158A6">
        <w:rPr>
          <w:rFonts w:ascii="Times New Roman" w:hAnsi="Times New Roman"/>
          <w:b/>
        </w:rPr>
        <w:t>smernici o boji proti podvodom poškodzujúcim finančné záujmy EÚ (tzv. smernica o ochrane finančných záujmov EÚ)</w:t>
      </w:r>
      <w:r w:rsidRPr="00A7575B" w:rsidR="002158A6">
        <w:rPr>
          <w:rFonts w:ascii="Times New Roman" w:hAnsi="Times New Roman"/>
        </w:rPr>
        <w:t xml:space="preserve">. Európsky rozpočet tvoria príspevky členských štátov, a teda všetkých, vrátane slovenských, daňových poplatníkov. </w:t>
      </w:r>
      <w:r w:rsidRPr="00E33E44">
        <w:rPr>
          <w:rFonts w:ascii="Times New Roman" w:hAnsi="Times New Roman"/>
        </w:rPr>
        <w:t>Tiež musíme mať nástroj ako takéto trestné činy efektívne stíhať – pod vedením SK PRES väčšina členských štátov potvrdila záväzok k zriadeniu Európskej prokuratúry (EPPO), ktorá prispeje k vyššej ochrane peňazí daňových poplatníkov tým, že zlepší účinné riešenie podvodov týkajúcich sa finančných prostriedkov EÚ.</w:t>
      </w:r>
    </w:p>
    <w:p w:rsidR="002158A6" w:rsidRPr="00A7575B" w:rsidP="004B170D">
      <w:pPr>
        <w:pStyle w:val="ListParagraph"/>
        <w:bidi w:val="0"/>
        <w:ind w:left="426" w:hanging="426"/>
        <w:jc w:val="both"/>
        <w:rPr>
          <w:rFonts w:ascii="Times New Roman" w:hAnsi="Times New Roman"/>
        </w:rPr>
      </w:pPr>
    </w:p>
    <w:p w:rsidR="00B01E00" w:rsidRPr="00A7575B" w:rsidP="004B170D">
      <w:pPr>
        <w:pStyle w:val="ListParagraph"/>
        <w:numPr>
          <w:numId w:val="33"/>
        </w:numPr>
        <w:bidi w:val="0"/>
        <w:ind w:left="426" w:hanging="426"/>
        <w:contextualSpacing/>
        <w:jc w:val="both"/>
        <w:rPr>
          <w:rFonts w:ascii="Times New Roman" w:hAnsi="Times New Roman"/>
          <w:b/>
          <w:bCs/>
        </w:rPr>
      </w:pPr>
      <w:r w:rsidRPr="00A7575B">
        <w:rPr>
          <w:rFonts w:ascii="Times New Roman" w:hAnsi="Times New Roman"/>
          <w:b/>
        </w:rPr>
        <w:t xml:space="preserve">Parížska klimatická dohoda </w:t>
      </w:r>
      <w:r w:rsidRPr="00680D8F">
        <w:rPr>
          <w:rFonts w:ascii="Times New Roman" w:hAnsi="Times New Roman"/>
        </w:rPr>
        <w:t>a</w:t>
      </w:r>
      <w:r w:rsidRPr="00A7575B">
        <w:rPr>
          <w:rFonts w:ascii="Times New Roman" w:hAnsi="Times New Roman"/>
          <w:b/>
        </w:rPr>
        <w:t xml:space="preserve"> </w:t>
      </w:r>
      <w:r w:rsidR="00680D8F">
        <w:rPr>
          <w:rFonts w:ascii="Times New Roman" w:hAnsi="Times New Roman"/>
          <w:b/>
        </w:rPr>
        <w:t>K</w:t>
      </w:r>
      <w:r w:rsidR="006C18A9">
        <w:rPr>
          <w:rFonts w:ascii="Times New Roman" w:hAnsi="Times New Roman"/>
          <w:b/>
        </w:rPr>
        <w:t>omplexná hospodárska a obchodná d</w:t>
      </w:r>
      <w:r w:rsidRPr="00A7575B" w:rsidR="006C18A9">
        <w:rPr>
          <w:rFonts w:ascii="Times New Roman" w:hAnsi="Times New Roman"/>
          <w:b/>
        </w:rPr>
        <w:t>ohoda</w:t>
      </w:r>
      <w:r w:rsidR="006C18A9">
        <w:rPr>
          <w:rFonts w:ascii="Times New Roman" w:hAnsi="Times New Roman"/>
          <w:b/>
        </w:rPr>
        <w:t xml:space="preserve"> s Kanadou</w:t>
      </w:r>
      <w:r w:rsidRPr="00A7575B" w:rsidR="006C18A9">
        <w:rPr>
          <w:rFonts w:ascii="Times New Roman" w:hAnsi="Times New Roman"/>
          <w:b/>
        </w:rPr>
        <w:t xml:space="preserve"> </w:t>
      </w:r>
      <w:r w:rsidR="006C18A9">
        <w:rPr>
          <w:rFonts w:ascii="Times New Roman" w:hAnsi="Times New Roman"/>
          <w:b/>
        </w:rPr>
        <w:t>(</w:t>
      </w:r>
      <w:r w:rsidRPr="00A7575B">
        <w:rPr>
          <w:rFonts w:ascii="Times New Roman" w:hAnsi="Times New Roman"/>
          <w:b/>
        </w:rPr>
        <w:t>CETA</w:t>
      </w:r>
      <w:r w:rsidR="006C18A9">
        <w:rPr>
          <w:rFonts w:ascii="Times New Roman" w:hAnsi="Times New Roman"/>
          <w:b/>
        </w:rPr>
        <w:t>)</w:t>
      </w:r>
      <w:r w:rsidRPr="00A7575B">
        <w:rPr>
          <w:rFonts w:ascii="Times New Roman" w:hAnsi="Times New Roman"/>
          <w:b/>
        </w:rPr>
        <w:t xml:space="preserve">: Parížska klimatická dohoda </w:t>
      </w:r>
      <w:r w:rsidRPr="00A7575B">
        <w:rPr>
          <w:rFonts w:ascii="Times New Roman" w:hAnsi="Times New Roman"/>
        </w:rPr>
        <w:t>predstavuje míľnik v boji proti zmen</w:t>
      </w:r>
      <w:r w:rsidR="009A01E1">
        <w:rPr>
          <w:rFonts w:ascii="Times New Roman" w:hAnsi="Times New Roman"/>
        </w:rPr>
        <w:t>e klímy</w:t>
      </w:r>
      <w:r w:rsidRPr="00A7575B">
        <w:rPr>
          <w:rFonts w:ascii="Times New Roman" w:hAnsi="Times New Roman"/>
        </w:rPr>
        <w:t>. SK PRES vyvinulo maximálne úsilie na jej ratifikáciu</w:t>
      </w:r>
      <w:r w:rsidRPr="00A7575B" w:rsidR="00D04863">
        <w:rPr>
          <w:rFonts w:ascii="Times New Roman" w:hAnsi="Times New Roman"/>
        </w:rPr>
        <w:t xml:space="preserve"> </w:t>
      </w:r>
      <w:r w:rsidRPr="00A7575B">
        <w:rPr>
          <w:rFonts w:ascii="Times New Roman" w:hAnsi="Times New Roman"/>
        </w:rPr>
        <w:t>aj na Bratislavskom summite</w:t>
      </w:r>
      <w:r w:rsidR="006C18A9">
        <w:rPr>
          <w:rFonts w:ascii="Times New Roman" w:hAnsi="Times New Roman"/>
        </w:rPr>
        <w:t xml:space="preserve"> a </w:t>
      </w:r>
      <w:r w:rsidRPr="00A7575B">
        <w:rPr>
          <w:rFonts w:ascii="Times New Roman" w:hAnsi="Times New Roman"/>
        </w:rPr>
        <w:t>zorganizovalo</w:t>
      </w:r>
      <w:r w:rsidR="006C18A9">
        <w:rPr>
          <w:rFonts w:ascii="Times New Roman" w:hAnsi="Times New Roman"/>
        </w:rPr>
        <w:t xml:space="preserve"> tiež</w:t>
      </w:r>
      <w:r w:rsidRPr="00A7575B">
        <w:rPr>
          <w:rFonts w:ascii="Times New Roman" w:hAnsi="Times New Roman"/>
        </w:rPr>
        <w:t xml:space="preserve"> mimoriadne zasadnutie ministrov pre životné prostredie. Prijatím dohody EÚ potvrdila svoju schopnosť spolupracovať a jednotne a</w:t>
      </w:r>
      <w:r w:rsidRPr="00A7575B" w:rsidR="00D04863">
        <w:rPr>
          <w:rFonts w:ascii="Times New Roman" w:hAnsi="Times New Roman"/>
        </w:rPr>
        <w:t> </w:t>
      </w:r>
      <w:r w:rsidRPr="00A7575B">
        <w:rPr>
          <w:rFonts w:ascii="Times New Roman" w:hAnsi="Times New Roman"/>
        </w:rPr>
        <w:t>pružne reagovať na globálne výzvy.</w:t>
      </w:r>
      <w:r w:rsidRPr="00A7575B" w:rsidR="00D16FFE">
        <w:rPr>
          <w:rFonts w:ascii="Times New Roman" w:hAnsi="Times New Roman"/>
        </w:rPr>
        <w:t xml:space="preserve"> </w:t>
      </w:r>
      <w:r w:rsidRPr="00A7575B">
        <w:rPr>
          <w:rFonts w:ascii="Times New Roman" w:hAnsi="Times New Roman"/>
        </w:rPr>
        <w:t>Počas SK PRES bola podpísaná</w:t>
      </w:r>
      <w:r w:rsidRPr="00A7575B" w:rsidR="00D16FFE">
        <w:rPr>
          <w:rFonts w:ascii="Times New Roman" w:hAnsi="Times New Roman"/>
        </w:rPr>
        <w:t xml:space="preserve"> aj</w:t>
      </w:r>
      <w:r w:rsidR="006C18A9">
        <w:rPr>
          <w:rFonts w:ascii="Times New Roman" w:hAnsi="Times New Roman"/>
        </w:rPr>
        <w:t xml:space="preserve"> dohoda</w:t>
      </w:r>
      <w:r w:rsidRPr="00A7575B">
        <w:rPr>
          <w:rFonts w:ascii="Times New Roman" w:hAnsi="Times New Roman"/>
        </w:rPr>
        <w:t xml:space="preserve"> </w:t>
      </w:r>
      <w:r w:rsidRPr="00A7575B">
        <w:rPr>
          <w:rFonts w:ascii="Times New Roman" w:hAnsi="Times New Roman"/>
          <w:b/>
        </w:rPr>
        <w:t>CETA</w:t>
      </w:r>
      <w:r w:rsidRPr="006C18A9">
        <w:rPr>
          <w:rFonts w:ascii="Times New Roman" w:hAnsi="Times New Roman"/>
        </w:rPr>
        <w:t xml:space="preserve">. </w:t>
      </w:r>
      <w:r w:rsidRPr="00A7575B">
        <w:rPr>
          <w:rFonts w:ascii="Times New Roman" w:hAnsi="Times New Roman"/>
        </w:rPr>
        <w:t>Podpísanie</w:t>
      </w:r>
      <w:r w:rsidR="006C18A9">
        <w:rPr>
          <w:rFonts w:ascii="Times New Roman" w:hAnsi="Times New Roman"/>
        </w:rPr>
        <w:t xml:space="preserve"> tejto</w:t>
      </w:r>
      <w:r w:rsidRPr="00A7575B">
        <w:rPr>
          <w:rFonts w:ascii="Times New Roman" w:hAnsi="Times New Roman"/>
        </w:rPr>
        <w:t xml:space="preserve"> dohody je dôležitým momentom pre transatlantický obchod</w:t>
      </w:r>
      <w:r w:rsidR="006C18A9">
        <w:rPr>
          <w:rFonts w:ascii="Times New Roman" w:hAnsi="Times New Roman"/>
        </w:rPr>
        <w:t xml:space="preserve"> –</w:t>
      </w:r>
      <w:r w:rsidRPr="00A7575B">
        <w:rPr>
          <w:rFonts w:ascii="Times New Roman" w:hAnsi="Times New Roman"/>
          <w:b/>
        </w:rPr>
        <w:t xml:space="preserve"> prinesie firmám z EÚ nové obchodné príležitosti v</w:t>
      </w:r>
      <w:r w:rsidR="00680D8F">
        <w:rPr>
          <w:rFonts w:ascii="Times New Roman" w:hAnsi="Times New Roman"/>
          <w:b/>
        </w:rPr>
        <w:t> </w:t>
      </w:r>
      <w:r w:rsidRPr="00A7575B">
        <w:rPr>
          <w:rFonts w:ascii="Times New Roman" w:hAnsi="Times New Roman"/>
          <w:b/>
        </w:rPr>
        <w:t>Kanade a očakávame, že prispeje k zvýšeniu zamestnanosti v Európe</w:t>
      </w:r>
      <w:r w:rsidRPr="00A7575B">
        <w:rPr>
          <w:rFonts w:ascii="Times New Roman" w:hAnsi="Times New Roman"/>
        </w:rPr>
        <w:t>. Dohodou CETA sa odstráni 99</w:t>
      </w:r>
      <w:r w:rsidR="00A47171">
        <w:rPr>
          <w:rFonts w:ascii="Times New Roman" w:hAnsi="Times New Roman"/>
        </w:rPr>
        <w:t xml:space="preserve"> </w:t>
      </w:r>
      <w:r w:rsidRPr="00A7575B">
        <w:rPr>
          <w:rFonts w:ascii="Times New Roman" w:hAnsi="Times New Roman"/>
        </w:rPr>
        <w:t>% ciel, ktoré sa v súčasnosti vzťahujú na obchod medzi EÚ a</w:t>
      </w:r>
      <w:r w:rsidRPr="00A7575B" w:rsidR="00A87F6A">
        <w:rPr>
          <w:rFonts w:ascii="Times New Roman" w:hAnsi="Times New Roman"/>
        </w:rPr>
        <w:t> </w:t>
      </w:r>
      <w:r w:rsidRPr="00A7575B">
        <w:rPr>
          <w:rFonts w:ascii="Times New Roman" w:hAnsi="Times New Roman"/>
        </w:rPr>
        <w:t xml:space="preserve">Kanadou. </w:t>
      </w:r>
    </w:p>
    <w:p w:rsidR="00B01E00" w:rsidRPr="00A7575B" w:rsidP="004B170D">
      <w:pPr>
        <w:pStyle w:val="ListParagraph"/>
        <w:bidi w:val="0"/>
        <w:ind w:left="426" w:hanging="426"/>
        <w:jc w:val="both"/>
        <w:rPr>
          <w:rFonts w:ascii="Times New Roman" w:hAnsi="Times New Roman"/>
        </w:rPr>
      </w:pPr>
    </w:p>
    <w:p w:rsidR="00B01E00" w:rsidRPr="00A7575B" w:rsidP="004B170D">
      <w:pPr>
        <w:pStyle w:val="ListParagraph"/>
        <w:numPr>
          <w:numId w:val="33"/>
        </w:numPr>
        <w:bidi w:val="0"/>
        <w:ind w:left="426" w:hanging="426"/>
        <w:contextualSpacing/>
        <w:jc w:val="both"/>
        <w:rPr>
          <w:rFonts w:ascii="Times New Roman" w:hAnsi="Times New Roman"/>
        </w:rPr>
      </w:pPr>
      <w:r w:rsidRPr="00A47171" w:rsidR="00A47171">
        <w:rPr>
          <w:rFonts w:ascii="Times New Roman" w:hAnsi="Times New Roman"/>
        </w:rPr>
        <w:t>Veľkým úspechom SK PRES je dosiahnutie dohody s Európskym parlamentom</w:t>
      </w:r>
      <w:r w:rsidR="00A47171">
        <w:rPr>
          <w:rFonts w:ascii="Times New Roman" w:hAnsi="Times New Roman"/>
        </w:rPr>
        <w:t xml:space="preserve"> o</w:t>
      </w:r>
      <w:r w:rsidR="00680D8F">
        <w:rPr>
          <w:rFonts w:ascii="Times New Roman" w:hAnsi="Times New Roman"/>
        </w:rPr>
        <w:t> </w:t>
      </w:r>
      <w:r w:rsidR="00A47171">
        <w:rPr>
          <w:rFonts w:ascii="Times New Roman" w:hAnsi="Times New Roman"/>
          <w:b/>
        </w:rPr>
        <w:t>medzivládnych dohodách</w:t>
      </w:r>
      <w:r w:rsidRPr="00A7575B">
        <w:rPr>
          <w:rFonts w:ascii="Times New Roman" w:hAnsi="Times New Roman"/>
          <w:b/>
        </w:rPr>
        <w:t xml:space="preserve"> v oblasti energetiky</w:t>
      </w:r>
      <w:r w:rsidR="00A47171">
        <w:rPr>
          <w:rFonts w:ascii="Times New Roman" w:hAnsi="Times New Roman"/>
        </w:rPr>
        <w:t>.</w:t>
      </w:r>
      <w:r w:rsidRPr="00A7575B">
        <w:rPr>
          <w:rFonts w:ascii="Times New Roman" w:hAnsi="Times New Roman"/>
        </w:rPr>
        <w:t xml:space="preserve"> </w:t>
      </w:r>
      <w:r w:rsidR="00A47171">
        <w:rPr>
          <w:rFonts w:ascii="Times New Roman" w:hAnsi="Times New Roman"/>
        </w:rPr>
        <w:t xml:space="preserve">Jej výsledkom bude </w:t>
      </w:r>
      <w:r w:rsidRPr="00A7575B">
        <w:rPr>
          <w:rFonts w:ascii="Times New Roman" w:hAnsi="Times New Roman"/>
        </w:rPr>
        <w:t>mechanizmus, ktorý zav</w:t>
      </w:r>
      <w:r w:rsidR="00A47171">
        <w:rPr>
          <w:rFonts w:ascii="Times New Roman" w:hAnsi="Times New Roman"/>
        </w:rPr>
        <w:t>iaže</w:t>
      </w:r>
      <w:r w:rsidRPr="00A7575B">
        <w:rPr>
          <w:rFonts w:ascii="Times New Roman" w:hAnsi="Times New Roman"/>
        </w:rPr>
        <w:t xml:space="preserve"> členské štáty </w:t>
      </w:r>
      <w:r w:rsidRPr="00A7575B">
        <w:rPr>
          <w:rFonts w:ascii="Times New Roman" w:hAnsi="Times New Roman"/>
          <w:b/>
        </w:rPr>
        <w:t>transparentne konzultovať pripravované dohody</w:t>
      </w:r>
      <w:r w:rsidR="00A47171">
        <w:rPr>
          <w:rFonts w:ascii="Times New Roman" w:hAnsi="Times New Roman"/>
          <w:b/>
        </w:rPr>
        <w:t xml:space="preserve"> v oblasti energetiky</w:t>
      </w:r>
      <w:r w:rsidRPr="00A7575B">
        <w:rPr>
          <w:rFonts w:ascii="Times New Roman" w:hAnsi="Times New Roman"/>
        </w:rPr>
        <w:t xml:space="preserve">, </w:t>
      </w:r>
      <w:r w:rsidRPr="00A47171">
        <w:rPr>
          <w:rFonts w:ascii="Times New Roman" w:hAnsi="Times New Roman"/>
        </w:rPr>
        <w:t xml:space="preserve">čo </w:t>
      </w:r>
      <w:r w:rsidRPr="00A47171" w:rsidR="00A47171">
        <w:rPr>
          <w:rFonts w:ascii="Times New Roman" w:hAnsi="Times New Roman"/>
        </w:rPr>
        <w:t>zabráni</w:t>
      </w:r>
      <w:r w:rsidRPr="00A47171">
        <w:rPr>
          <w:rFonts w:ascii="Times New Roman" w:hAnsi="Times New Roman"/>
        </w:rPr>
        <w:t xml:space="preserve"> skrytý</w:t>
      </w:r>
      <w:r w:rsidRPr="00A47171" w:rsidR="00A47171">
        <w:rPr>
          <w:rFonts w:ascii="Times New Roman" w:hAnsi="Times New Roman"/>
        </w:rPr>
        <w:t>m</w:t>
      </w:r>
      <w:r w:rsidRPr="00A47171">
        <w:rPr>
          <w:rFonts w:ascii="Times New Roman" w:hAnsi="Times New Roman"/>
        </w:rPr>
        <w:t xml:space="preserve"> a škodlivý</w:t>
      </w:r>
      <w:r w:rsidRPr="00A47171" w:rsidR="00A47171">
        <w:rPr>
          <w:rFonts w:ascii="Times New Roman" w:hAnsi="Times New Roman"/>
        </w:rPr>
        <w:t>m</w:t>
      </w:r>
      <w:r w:rsidR="00A47171">
        <w:rPr>
          <w:rFonts w:ascii="Times New Roman" w:hAnsi="Times New Roman"/>
        </w:rPr>
        <w:t xml:space="preserve"> dojednaniam</w:t>
      </w:r>
      <w:r w:rsidRPr="00A47171">
        <w:rPr>
          <w:rFonts w:ascii="Times New Roman" w:hAnsi="Times New Roman"/>
        </w:rPr>
        <w:t xml:space="preserve"> </w:t>
      </w:r>
      <w:r w:rsidRPr="00A7575B">
        <w:rPr>
          <w:rFonts w:ascii="Times New Roman" w:hAnsi="Times New Roman"/>
        </w:rPr>
        <w:t>a</w:t>
      </w:r>
      <w:r w:rsidR="00A47171">
        <w:rPr>
          <w:rFonts w:ascii="Times New Roman" w:hAnsi="Times New Roman"/>
        </w:rPr>
        <w:t xml:space="preserve"> prispeje k </w:t>
      </w:r>
      <w:r w:rsidRPr="00A7575B">
        <w:rPr>
          <w:rFonts w:ascii="Times New Roman" w:hAnsi="Times New Roman"/>
        </w:rPr>
        <w:t>zvýšeni</w:t>
      </w:r>
      <w:r w:rsidR="00A47171">
        <w:rPr>
          <w:rFonts w:ascii="Times New Roman" w:hAnsi="Times New Roman"/>
        </w:rPr>
        <w:t>u</w:t>
      </w:r>
      <w:r w:rsidRPr="00A7575B" w:rsidR="00D04863">
        <w:rPr>
          <w:rFonts w:ascii="Times New Roman" w:hAnsi="Times New Roman"/>
        </w:rPr>
        <w:t xml:space="preserve"> </w:t>
      </w:r>
      <w:r w:rsidRPr="00A7575B">
        <w:rPr>
          <w:rFonts w:ascii="Times New Roman" w:hAnsi="Times New Roman"/>
        </w:rPr>
        <w:t xml:space="preserve">energetickej bezpečnosti </w:t>
      </w:r>
      <w:r w:rsidRPr="00A7575B" w:rsidR="0059404A">
        <w:rPr>
          <w:rFonts w:ascii="Times New Roman" w:hAnsi="Times New Roman"/>
        </w:rPr>
        <w:t>Ú</w:t>
      </w:r>
      <w:r w:rsidR="00A47171">
        <w:rPr>
          <w:rFonts w:ascii="Times New Roman" w:hAnsi="Times New Roman"/>
        </w:rPr>
        <w:t>nie</w:t>
      </w:r>
      <w:r w:rsidRPr="00A7575B">
        <w:rPr>
          <w:rFonts w:ascii="Times New Roman" w:hAnsi="Times New Roman"/>
        </w:rPr>
        <w:t>.</w:t>
      </w:r>
    </w:p>
    <w:p w:rsidR="00B01E00" w:rsidRPr="00A7575B" w:rsidP="004B170D">
      <w:pPr>
        <w:pStyle w:val="ListParagraph"/>
        <w:bidi w:val="0"/>
        <w:ind w:left="426" w:hanging="426"/>
        <w:jc w:val="both"/>
        <w:rPr>
          <w:rFonts w:ascii="Times New Roman" w:hAnsi="Times New Roman"/>
        </w:rPr>
      </w:pPr>
    </w:p>
    <w:p w:rsidR="00A47171" w:rsidRPr="00A47171" w:rsidP="00A47171">
      <w:pPr>
        <w:pStyle w:val="ListParagraph"/>
        <w:numPr>
          <w:numId w:val="33"/>
        </w:numPr>
        <w:bidi w:val="0"/>
        <w:ind w:left="426" w:hanging="426"/>
        <w:contextualSpacing/>
        <w:jc w:val="both"/>
        <w:rPr>
          <w:rFonts w:ascii="Times New Roman" w:hAnsi="Times New Roman"/>
        </w:rPr>
      </w:pPr>
      <w:r w:rsidRPr="00A7575B" w:rsidR="008D3D7E">
        <w:rPr>
          <w:rFonts w:ascii="Times New Roman" w:hAnsi="Times New Roman"/>
        </w:rPr>
        <w:t xml:space="preserve">Dňa </w:t>
      </w:r>
      <w:r w:rsidRPr="00A7575B" w:rsidR="00B01E00">
        <w:rPr>
          <w:rFonts w:ascii="Times New Roman" w:hAnsi="Times New Roman"/>
        </w:rPr>
        <w:t xml:space="preserve">6. októbra začala oficiálne svoju činnosť </w:t>
      </w:r>
      <w:r w:rsidRPr="00A7575B" w:rsidR="00B01E00">
        <w:rPr>
          <w:rFonts w:ascii="Times New Roman" w:hAnsi="Times New Roman"/>
          <w:b/>
          <w:bCs/>
        </w:rPr>
        <w:t>Európska pohraničná a pobrežná stráž</w:t>
      </w:r>
      <w:r w:rsidRPr="00A7575B" w:rsidR="00B01E00">
        <w:rPr>
          <w:rFonts w:ascii="Times New Roman" w:hAnsi="Times New Roman"/>
        </w:rPr>
        <w:t xml:space="preserve">. Spustenie činnosti agentúry, ktoré bolo jednou z kľúčových priorít SK PRES, prispeje k ochrane vonkajších hraníc Únie. Európska agentúra pre pohraničnú a pobrežnú stráž (pôvodná agentúra FRONTEX) </w:t>
      </w:r>
      <w:r>
        <w:rPr>
          <w:rFonts w:ascii="Times New Roman" w:hAnsi="Times New Roman"/>
        </w:rPr>
        <w:t>má</w:t>
      </w:r>
      <w:r w:rsidRPr="00A7575B" w:rsidR="00B01E00">
        <w:rPr>
          <w:rFonts w:ascii="Times New Roman" w:hAnsi="Times New Roman"/>
        </w:rPr>
        <w:t xml:space="preserve"> k dispozícii </w:t>
      </w:r>
      <w:r>
        <w:rPr>
          <w:rFonts w:ascii="Times New Roman" w:hAnsi="Times New Roman"/>
          <w:b/>
          <w:bCs/>
        </w:rPr>
        <w:t>jednotku</w:t>
      </w:r>
      <w:r w:rsidRPr="00A7575B" w:rsidR="00B01E00">
        <w:rPr>
          <w:rFonts w:ascii="Times New Roman" w:hAnsi="Times New Roman"/>
          <w:b/>
          <w:bCs/>
        </w:rPr>
        <w:t xml:space="preserve"> rýchleho nasadenia</w:t>
      </w:r>
      <w:r w:rsidRPr="00A7575B" w:rsidR="00B01E00">
        <w:rPr>
          <w:rFonts w:ascii="Times New Roman" w:hAnsi="Times New Roman"/>
        </w:rPr>
        <w:t xml:space="preserve"> v počte 1500 príslušníkov pohraničnej stráže a </w:t>
      </w:r>
      <w:r w:rsidRPr="00A7575B" w:rsidR="00B01E00">
        <w:rPr>
          <w:rFonts w:ascii="Times New Roman" w:hAnsi="Times New Roman"/>
          <w:b/>
          <w:bCs/>
        </w:rPr>
        <w:t>rezervu technického vybavenia</w:t>
      </w:r>
      <w:r w:rsidRPr="00A7575B" w:rsidR="00B01E00">
        <w:rPr>
          <w:rFonts w:ascii="Times New Roman" w:hAnsi="Times New Roman"/>
        </w:rPr>
        <w:t xml:space="preserve">, čo znamená, že pri svojich </w:t>
      </w:r>
      <w:r w:rsidRPr="00A47171" w:rsidR="00B01E00">
        <w:rPr>
          <w:rFonts w:ascii="Times New Roman" w:hAnsi="Times New Roman"/>
        </w:rPr>
        <w:t>operáciách už nebude mať problémy s nedostatk</w:t>
      </w:r>
      <w:r w:rsidRPr="00A47171">
        <w:rPr>
          <w:rFonts w:ascii="Times New Roman" w:hAnsi="Times New Roman"/>
        </w:rPr>
        <w:t>om zamestnancov alebo vybavenia a bude schopná rýchlo a efektívne zasiahnuť v problémových teritóriách.</w:t>
      </w:r>
    </w:p>
    <w:p w:rsidR="008D3D7E" w:rsidRPr="00A7575B" w:rsidP="004B170D">
      <w:pPr>
        <w:pStyle w:val="ListParagraph"/>
        <w:bidi w:val="0"/>
        <w:ind w:left="426" w:hanging="426"/>
        <w:rPr>
          <w:rFonts w:ascii="Times New Roman" w:hAnsi="Times New Roman"/>
        </w:rPr>
      </w:pPr>
    </w:p>
    <w:p w:rsidR="008D3D7E"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Vzhľadom na to, že diskusia k reforme Dublinského nariadenia dlhodobo viazla, pripravilo SK PRES kompromisný koncept </w:t>
      </w:r>
      <w:r w:rsidRPr="00A7575B">
        <w:rPr>
          <w:rFonts w:ascii="Times New Roman" w:hAnsi="Times New Roman"/>
          <w:b/>
        </w:rPr>
        <w:t>efektívnej solidarity</w:t>
      </w:r>
      <w:r w:rsidRPr="00A7575B">
        <w:rPr>
          <w:rFonts w:ascii="Times New Roman" w:hAnsi="Times New Roman"/>
        </w:rPr>
        <w:t xml:space="preserve">. Ten je založený na myšlienke, že v prípade nutnosti by mal pomáhať každý štát, ale zároveň je potrebné zohľadniť možnosti a schopnosti jednotlivých členských štátov. </w:t>
      </w:r>
      <w:r w:rsidRPr="00A7575B" w:rsidR="0022082B">
        <w:rPr>
          <w:rFonts w:ascii="Times New Roman" w:hAnsi="Times New Roman"/>
        </w:rPr>
        <w:t>Postoj členských štátov k</w:t>
      </w:r>
      <w:r w:rsidRPr="00A7575B">
        <w:rPr>
          <w:rFonts w:ascii="Times New Roman" w:hAnsi="Times New Roman"/>
        </w:rPr>
        <w:t xml:space="preserve"> povinný</w:t>
      </w:r>
      <w:r w:rsidRPr="00A7575B" w:rsidR="0022082B">
        <w:rPr>
          <w:rFonts w:ascii="Times New Roman" w:hAnsi="Times New Roman"/>
        </w:rPr>
        <w:t>m</w:t>
      </w:r>
      <w:r w:rsidRPr="00A7575B">
        <w:rPr>
          <w:rFonts w:ascii="Times New Roman" w:hAnsi="Times New Roman"/>
        </w:rPr>
        <w:t xml:space="preserve"> kvót</w:t>
      </w:r>
      <w:r w:rsidRPr="00A7575B" w:rsidR="0022082B">
        <w:rPr>
          <w:rFonts w:ascii="Times New Roman" w:hAnsi="Times New Roman"/>
        </w:rPr>
        <w:t>am nie je jednotný</w:t>
      </w:r>
      <w:r w:rsidRPr="00A7575B" w:rsidR="00553C31">
        <w:rPr>
          <w:rFonts w:ascii="Times New Roman" w:hAnsi="Times New Roman"/>
        </w:rPr>
        <w:t xml:space="preserve"> – jedna skupina ich považuje za podmienku riešenia, druhá ich úplne odmieta</w:t>
      </w:r>
      <w:r w:rsidRPr="00A7575B" w:rsidR="0022082B">
        <w:rPr>
          <w:rFonts w:ascii="Times New Roman" w:hAnsi="Times New Roman"/>
        </w:rPr>
        <w:t xml:space="preserve">. </w:t>
      </w:r>
      <w:r w:rsidRPr="00A7575B">
        <w:rPr>
          <w:rFonts w:ascii="Times New Roman" w:hAnsi="Times New Roman"/>
        </w:rPr>
        <w:t>SK PRES sa</w:t>
      </w:r>
      <w:r w:rsidRPr="00A7575B" w:rsidR="0022082B">
        <w:rPr>
          <w:rFonts w:ascii="Times New Roman" w:hAnsi="Times New Roman"/>
        </w:rPr>
        <w:t xml:space="preserve"> </w:t>
      </w:r>
      <w:r w:rsidRPr="00A7575B">
        <w:rPr>
          <w:rFonts w:ascii="Times New Roman" w:hAnsi="Times New Roman"/>
        </w:rPr>
        <w:t xml:space="preserve">podarilo </w:t>
      </w:r>
      <w:r w:rsidRPr="00A7575B" w:rsidR="00553C31">
        <w:rPr>
          <w:rFonts w:ascii="Times New Roman" w:hAnsi="Times New Roman"/>
        </w:rPr>
        <w:t>obnoviť diskusiu o tejto zložitej téme a vzbudiť záujem o hľadanie kompromisného riešenia</w:t>
      </w:r>
      <w:r w:rsidRPr="00A7575B">
        <w:rPr>
          <w:rFonts w:ascii="Times New Roman" w:hAnsi="Times New Roman"/>
        </w:rPr>
        <w:t>. Malta pokrač</w:t>
      </w:r>
      <w:r w:rsidRPr="00A7575B" w:rsidR="00553C31">
        <w:rPr>
          <w:rFonts w:ascii="Times New Roman" w:hAnsi="Times New Roman"/>
        </w:rPr>
        <w:t>uje</w:t>
      </w:r>
      <w:r w:rsidRPr="00A7575B">
        <w:rPr>
          <w:rFonts w:ascii="Times New Roman" w:hAnsi="Times New Roman"/>
        </w:rPr>
        <w:t xml:space="preserve"> v </w:t>
      </w:r>
      <w:r w:rsidRPr="00A7575B" w:rsidR="00553C31">
        <w:rPr>
          <w:rFonts w:ascii="Times New Roman" w:hAnsi="Times New Roman"/>
        </w:rPr>
        <w:t>diskusii</w:t>
      </w:r>
      <w:r w:rsidRPr="00A7575B">
        <w:rPr>
          <w:rFonts w:ascii="Times New Roman" w:hAnsi="Times New Roman"/>
        </w:rPr>
        <w:t>, ktorú iniciovalo SK PRES.</w:t>
      </w:r>
    </w:p>
    <w:p w:rsidR="008D3D7E" w:rsidRPr="00A7575B" w:rsidP="004B170D">
      <w:pPr>
        <w:pStyle w:val="ListParagraph"/>
        <w:bidi w:val="0"/>
        <w:ind w:left="426" w:hanging="426"/>
        <w:contextualSpacing/>
        <w:jc w:val="both"/>
        <w:rPr>
          <w:rFonts w:ascii="Times New Roman" w:hAnsi="Times New Roman"/>
        </w:rPr>
      </w:pPr>
    </w:p>
    <w:p w:rsidR="008D3D7E" w:rsidRPr="00A7575B"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Z hľadiska ostatných legislatívnych návrhov v rámci reformy Spoločného európskeho azylového systému sa SK PRES sústredilo najmä na tie, kde prevládala principiálna zhoda medzi </w:t>
      </w:r>
      <w:r w:rsidRPr="00A7575B" w:rsidR="00553C31">
        <w:rPr>
          <w:rFonts w:ascii="Times New Roman" w:hAnsi="Times New Roman"/>
        </w:rPr>
        <w:t>členskými štátmi</w:t>
      </w:r>
      <w:r w:rsidRPr="00A7575B">
        <w:rPr>
          <w:rFonts w:ascii="Times New Roman" w:hAnsi="Times New Roman"/>
        </w:rPr>
        <w:t xml:space="preserve"> a bolo tak možné dosiahnuť najväčší pokrok. </w:t>
      </w:r>
      <w:r w:rsidRPr="00A7575B" w:rsidR="00553C31">
        <w:rPr>
          <w:rFonts w:ascii="Times New Roman" w:hAnsi="Times New Roman"/>
        </w:rPr>
        <w:t>Členské štáty sa pod vedením SK PRES dohodli na návrhu</w:t>
      </w:r>
      <w:r w:rsidRPr="00A7575B">
        <w:rPr>
          <w:rFonts w:ascii="Times New Roman" w:hAnsi="Times New Roman"/>
        </w:rPr>
        <w:t xml:space="preserve"> nariadenia </w:t>
      </w:r>
      <w:r w:rsidRPr="00A7575B">
        <w:rPr>
          <w:rFonts w:ascii="Times New Roman" w:hAnsi="Times New Roman"/>
          <w:b/>
        </w:rPr>
        <w:t>o systéme Eurodac</w:t>
      </w:r>
      <w:r w:rsidRPr="00A7575B" w:rsidR="00553C31">
        <w:rPr>
          <w:rFonts w:ascii="Times New Roman" w:hAnsi="Times New Roman"/>
        </w:rPr>
        <w:t>. Návrh</w:t>
      </w:r>
      <w:r w:rsidRPr="00A7575B">
        <w:rPr>
          <w:rFonts w:ascii="Times New Roman" w:hAnsi="Times New Roman"/>
        </w:rPr>
        <w:t xml:space="preserve"> rozšíri rozsah nariadenia o možnosť členských štátov uchovávať a vyhľadávať údaje o príslušníkoch tretích krajín alebo občanoch bez štátnej príslušnosti, ktorí sú žiadateľmi o medzinárodnú ochranu a</w:t>
      </w:r>
      <w:r w:rsidR="00680D8F">
        <w:rPr>
          <w:rFonts w:ascii="Times New Roman" w:hAnsi="Times New Roman"/>
        </w:rPr>
        <w:t> </w:t>
      </w:r>
      <w:r w:rsidRPr="00A7575B">
        <w:rPr>
          <w:rFonts w:ascii="Times New Roman" w:hAnsi="Times New Roman"/>
        </w:rPr>
        <w:t>nelegálne sa zdržiavajú na území EÚ, čo umožní ich identifikáciu pre účely návratu a</w:t>
      </w:r>
      <w:r w:rsidR="00680D8F">
        <w:rPr>
          <w:rFonts w:ascii="Times New Roman" w:hAnsi="Times New Roman"/>
        </w:rPr>
        <w:t> </w:t>
      </w:r>
      <w:r w:rsidRPr="00A7575B">
        <w:rPr>
          <w:rFonts w:ascii="Times New Roman" w:hAnsi="Times New Roman"/>
        </w:rPr>
        <w:t xml:space="preserve">readmisie. </w:t>
      </w:r>
    </w:p>
    <w:p w:rsidR="008D3D7E" w:rsidRPr="00A7575B" w:rsidP="004B170D">
      <w:pPr>
        <w:pStyle w:val="ListParagraph"/>
        <w:bidi w:val="0"/>
        <w:ind w:left="426" w:hanging="426"/>
        <w:rPr>
          <w:rFonts w:ascii="Times New Roman" w:hAnsi="Times New Roman"/>
        </w:rPr>
      </w:pPr>
    </w:p>
    <w:p w:rsidR="00B01E00" w:rsidRPr="009F52F2"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Členské štáty </w:t>
      </w:r>
      <w:r w:rsidR="004C3490">
        <w:rPr>
          <w:rFonts w:ascii="Times New Roman" w:hAnsi="Times New Roman"/>
        </w:rPr>
        <w:t xml:space="preserve">pod vedením SK PRES </w:t>
      </w:r>
      <w:r w:rsidRPr="00A7575B">
        <w:rPr>
          <w:rFonts w:ascii="Times New Roman" w:hAnsi="Times New Roman"/>
        </w:rPr>
        <w:t xml:space="preserve">odsúhlasili rokovaciu pozíciu Rady k návrhu na </w:t>
      </w:r>
      <w:r w:rsidRPr="00A7575B">
        <w:rPr>
          <w:rFonts w:ascii="Times New Roman" w:hAnsi="Times New Roman"/>
          <w:b/>
        </w:rPr>
        <w:t>modernizáciu nástrojov na ochranu trhu</w:t>
      </w:r>
      <w:r w:rsidRPr="00A7575B">
        <w:rPr>
          <w:rFonts w:ascii="Times New Roman" w:hAnsi="Times New Roman"/>
        </w:rPr>
        <w:t xml:space="preserve">. Dohoda je prelomová, keďže nástroje na ochranu trhu sa nemenili viac ako 15 rokov, napriek tomu, že situácia na svetových trhoch sa zmenila dramaticky. Návrh nariadenia mení súčasné antidumpingové nariadenia tak, aby lepšie reagovali na nekalé obchodné praktiky. Cieľom </w:t>
      </w:r>
      <w:r w:rsidRPr="00A7575B">
        <w:rPr>
          <w:rFonts w:ascii="Times New Roman" w:hAnsi="Times New Roman"/>
          <w:b/>
        </w:rPr>
        <w:t>je ochrániť výrobcov EÚ</w:t>
      </w:r>
      <w:r w:rsidRPr="00A7575B">
        <w:rPr>
          <w:rFonts w:ascii="Times New Roman" w:hAnsi="Times New Roman"/>
        </w:rPr>
        <w:t xml:space="preserve"> pred škodami </w:t>
      </w:r>
      <w:r w:rsidRPr="009F52F2">
        <w:rPr>
          <w:rFonts w:ascii="Times New Roman" w:hAnsi="Times New Roman"/>
        </w:rPr>
        <w:t xml:space="preserve">spôsobenými nekalou súťažou a zabezpečiť voľný a spravodlivý obchod. </w:t>
      </w:r>
      <w:r w:rsidRPr="009F52F2">
        <w:rPr>
          <w:rFonts w:ascii="Times New Roman" w:hAnsi="Times New Roman"/>
          <w:iCs/>
        </w:rPr>
        <w:t>V</w:t>
      </w:r>
      <w:r w:rsidR="009F52F2">
        <w:rPr>
          <w:rFonts w:ascii="Times New Roman" w:hAnsi="Times New Roman"/>
          <w:iCs/>
        </w:rPr>
        <w:t> tejto súvislosti je vhodné poznamenať, že v</w:t>
      </w:r>
      <w:r w:rsidRPr="009F52F2">
        <w:rPr>
          <w:rFonts w:ascii="Times New Roman" w:hAnsi="Times New Roman"/>
          <w:iCs/>
        </w:rPr>
        <w:t xml:space="preserve">iac </w:t>
      </w:r>
      <w:r w:rsidR="009F52F2">
        <w:rPr>
          <w:rFonts w:ascii="Times New Roman" w:hAnsi="Times New Roman"/>
          <w:iCs/>
        </w:rPr>
        <w:t>ako</w:t>
      </w:r>
      <w:r w:rsidRPr="009F52F2">
        <w:rPr>
          <w:rFonts w:ascii="Times New Roman" w:hAnsi="Times New Roman"/>
          <w:iCs/>
        </w:rPr>
        <w:t xml:space="preserve"> 30 miliónov pracovných miest v</w:t>
      </w:r>
      <w:r w:rsidRPr="009F52F2" w:rsidR="00A87F6A">
        <w:rPr>
          <w:rFonts w:ascii="Times New Roman" w:hAnsi="Times New Roman"/>
          <w:iCs/>
        </w:rPr>
        <w:t> </w:t>
      </w:r>
      <w:r w:rsidRPr="009F52F2">
        <w:rPr>
          <w:rFonts w:ascii="Times New Roman" w:hAnsi="Times New Roman"/>
          <w:iCs/>
        </w:rPr>
        <w:t>Európe vrátane 6 miliónov pracovných miest v</w:t>
      </w:r>
      <w:r w:rsidR="009F52F2">
        <w:rPr>
          <w:rFonts w:ascii="Times New Roman" w:hAnsi="Times New Roman"/>
          <w:iCs/>
        </w:rPr>
        <w:t> malých a stredných podnikoch</w:t>
      </w:r>
      <w:r w:rsidRPr="009F52F2">
        <w:rPr>
          <w:rFonts w:ascii="Times New Roman" w:hAnsi="Times New Roman"/>
          <w:iCs/>
        </w:rPr>
        <w:t xml:space="preserve"> závisí od voľného a spravodlivého obchodu</w:t>
      </w:r>
      <w:r w:rsidRPr="009F52F2">
        <w:rPr>
          <w:rFonts w:ascii="Times New Roman" w:hAnsi="Times New Roman"/>
        </w:rPr>
        <w:t xml:space="preserve">. </w:t>
      </w:r>
    </w:p>
    <w:p w:rsidR="008D3D7E" w:rsidRPr="00A7575B" w:rsidP="004B170D">
      <w:pPr>
        <w:pStyle w:val="ListParagraph"/>
        <w:bidi w:val="0"/>
        <w:ind w:left="426" w:hanging="426"/>
        <w:rPr>
          <w:rFonts w:ascii="Times New Roman" w:hAnsi="Times New Roman"/>
        </w:rPr>
      </w:pPr>
    </w:p>
    <w:p w:rsidR="008D3D7E" w:rsidP="004B170D">
      <w:pPr>
        <w:pStyle w:val="ListParagraph"/>
        <w:numPr>
          <w:numId w:val="33"/>
        </w:numPr>
        <w:bidi w:val="0"/>
        <w:ind w:left="426" w:hanging="426"/>
        <w:contextualSpacing/>
        <w:jc w:val="both"/>
        <w:rPr>
          <w:rFonts w:ascii="Times New Roman" w:hAnsi="Times New Roman"/>
        </w:rPr>
      </w:pPr>
      <w:r w:rsidRPr="00A7575B">
        <w:rPr>
          <w:rFonts w:ascii="Times New Roman" w:hAnsi="Times New Roman"/>
        </w:rPr>
        <w:t xml:space="preserve">Prioritou SK PRES bola </w:t>
      </w:r>
      <w:r w:rsidRPr="00A7575B" w:rsidR="00553C31">
        <w:rPr>
          <w:rFonts w:ascii="Times New Roman" w:hAnsi="Times New Roman"/>
        </w:rPr>
        <w:t xml:space="preserve">aj </w:t>
      </w:r>
      <w:r w:rsidRPr="004C3490">
        <w:rPr>
          <w:rFonts w:ascii="Times New Roman" w:hAnsi="Times New Roman"/>
          <w:b/>
        </w:rPr>
        <w:t>dôveryhodná politika rozširovania</w:t>
      </w:r>
      <w:r w:rsidRPr="00A7575B">
        <w:rPr>
          <w:rFonts w:ascii="Times New Roman" w:hAnsi="Times New Roman"/>
        </w:rPr>
        <w:t>, ktorá je účinným nástrojom pre politickú a ekonomickú transformáciu v Európe. Vnútri EÚ čelíme mnohým krízam, ale Únia je zvonku stále atraktívna. Vidieť to na integračnom úsilí, najmä krajín západného Balkánu. SK PRES v tomto smere dosiahlo pokrok</w:t>
      </w:r>
      <w:r w:rsidRPr="00A7575B" w:rsidR="00D16FFE">
        <w:rPr>
          <w:rFonts w:ascii="Times New Roman" w:hAnsi="Times New Roman"/>
        </w:rPr>
        <w:t xml:space="preserve"> </w:t>
      </w:r>
      <w:r w:rsidRPr="00A7575B">
        <w:rPr>
          <w:rFonts w:ascii="Times New Roman" w:hAnsi="Times New Roman"/>
        </w:rPr>
        <w:t>–</w:t>
      </w:r>
      <w:r w:rsidRPr="00A7575B" w:rsidR="00D16FFE">
        <w:rPr>
          <w:rFonts w:ascii="Times New Roman" w:hAnsi="Times New Roman"/>
        </w:rPr>
        <w:t xml:space="preserve"> </w:t>
      </w:r>
      <w:r w:rsidRPr="00A7575B">
        <w:rPr>
          <w:rFonts w:ascii="Times New Roman" w:hAnsi="Times New Roman"/>
        </w:rPr>
        <w:t>boli otvorené štyri nové kapitoly v</w:t>
      </w:r>
      <w:r w:rsidR="005A3DB5">
        <w:rPr>
          <w:rFonts w:ascii="Times New Roman" w:hAnsi="Times New Roman"/>
        </w:rPr>
        <w:t> </w:t>
      </w:r>
      <w:r w:rsidRPr="00A7575B">
        <w:rPr>
          <w:rFonts w:ascii="Times New Roman" w:hAnsi="Times New Roman"/>
        </w:rPr>
        <w:t xml:space="preserve">prístupovom procese so Srbskom a dve kapitoly v prístupovom procese s Čiernou horou. Rada </w:t>
      </w:r>
      <w:r w:rsidRPr="00A7575B" w:rsidR="00D16FFE">
        <w:rPr>
          <w:rFonts w:ascii="Times New Roman" w:hAnsi="Times New Roman"/>
        </w:rPr>
        <w:t>tiež</w:t>
      </w:r>
      <w:r w:rsidRPr="00A7575B">
        <w:rPr>
          <w:rFonts w:ascii="Times New Roman" w:hAnsi="Times New Roman"/>
        </w:rPr>
        <w:t xml:space="preserve"> prijala závery, ktorými požiadala EK o vypracovanie stanoviska k prihláške Bosny a Hercegoviny za člena EÚ. </w:t>
      </w:r>
    </w:p>
    <w:p w:rsidR="000659D7" w:rsidP="000659D7">
      <w:pPr>
        <w:pStyle w:val="ListParagraph"/>
        <w:bidi w:val="0"/>
        <w:rPr>
          <w:rFonts w:ascii="Times New Roman" w:hAnsi="Times New Roman"/>
        </w:rPr>
      </w:pPr>
    </w:p>
    <w:p w:rsidR="000659D7" w:rsidRPr="00A7575B" w:rsidP="000659D7">
      <w:pPr>
        <w:pStyle w:val="ListParagraph"/>
        <w:bidi w:val="0"/>
        <w:ind w:left="426"/>
        <w:contextualSpacing/>
        <w:jc w:val="both"/>
        <w:rPr>
          <w:rFonts w:ascii="Times New Roman" w:hAnsi="Times New Roman"/>
        </w:rPr>
      </w:pPr>
    </w:p>
    <w:p w:rsidR="003C0123" w:rsidRPr="00020C07" w:rsidP="00894D87">
      <w:pPr>
        <w:pStyle w:val="SpravaSKPRESnadpis1"/>
        <w:numPr>
          <w:numId w:val="13"/>
        </w:numPr>
        <w:tabs>
          <w:tab w:val="clear" w:pos="567"/>
          <w:tab w:val="clear" w:pos="926"/>
        </w:tabs>
        <w:bidi w:val="0"/>
        <w:rPr>
          <w:rFonts w:ascii="Times New Roman" w:hAnsi="Times New Roman"/>
        </w:rPr>
      </w:pPr>
      <w:r w:rsidR="000659D7">
        <w:rPr>
          <w:rFonts w:ascii="Times New Roman" w:hAnsi="Times New Roman"/>
        </w:rPr>
        <w:br w:type="page"/>
      </w:r>
      <w:bookmarkStart w:id="13" w:name="_Toc475948619"/>
      <w:r w:rsidRPr="00020C07">
        <w:rPr>
          <w:rFonts w:ascii="Times New Roman" w:hAnsi="Times New Roman"/>
        </w:rPr>
        <w:t>Zabezpečenie výkonu SK PRES z organizačného, koordinačného, personálneho, komunikačného a prezentačného hľadiska</w:t>
      </w:r>
      <w:bookmarkEnd w:id="13"/>
    </w:p>
    <w:p w:rsidR="003C0123" w:rsidP="003C0123">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 xml:space="preserve">Základným východiskom organizačného zabezpečenia SK PRES bol „Návrh na logisticko-organizačné zabezpečenie predsedníctva SR v Rade Európskej únie v roku 2016“, ktorý vláda SR schválila v júli 2013. Materiál zadefinoval </w:t>
      </w:r>
      <w:r w:rsidRPr="00A7575B">
        <w:rPr>
          <w:rFonts w:ascii="Times New Roman" w:hAnsi="Times New Roman"/>
          <w:b/>
        </w:rPr>
        <w:t>základné parametre a princípy</w:t>
      </w:r>
      <w:r w:rsidRPr="00A7575B">
        <w:rPr>
          <w:rFonts w:ascii="Times New Roman" w:hAnsi="Times New Roman"/>
        </w:rPr>
        <w:t>, ktorými sa riadila príprava, organizácia a výkon SK PRES:</w:t>
      </w:r>
    </w:p>
    <w:p w:rsidR="00B839A0" w:rsidRPr="004D2ACB" w:rsidP="004D2ACB">
      <w:pPr>
        <w:numPr>
          <w:numId w:val="17"/>
        </w:numPr>
        <w:bidi w:val="0"/>
        <w:contextualSpacing/>
        <w:jc w:val="both"/>
        <w:rPr>
          <w:rFonts w:ascii="Times New Roman" w:hAnsi="Times New Roman"/>
          <w:lang w:val="x-none"/>
        </w:rPr>
      </w:pPr>
      <w:r w:rsidRPr="004D2ACB">
        <w:rPr>
          <w:rFonts w:ascii="Times New Roman" w:hAnsi="Times New Roman"/>
          <w:lang w:val="x-none"/>
        </w:rPr>
        <w:t>organizačná jednotnosť,</w:t>
      </w:r>
    </w:p>
    <w:p w:rsidR="00B839A0" w:rsidRPr="004D2ACB" w:rsidP="004D2ACB">
      <w:pPr>
        <w:numPr>
          <w:numId w:val="17"/>
        </w:numPr>
        <w:bidi w:val="0"/>
        <w:contextualSpacing/>
        <w:jc w:val="both"/>
        <w:rPr>
          <w:rFonts w:ascii="Times New Roman" w:hAnsi="Times New Roman"/>
          <w:lang w:val="x-none"/>
        </w:rPr>
      </w:pPr>
      <w:r w:rsidRPr="004D2ACB">
        <w:rPr>
          <w:rFonts w:ascii="Times New Roman" w:hAnsi="Times New Roman"/>
          <w:lang w:val="x-none"/>
        </w:rPr>
        <w:t>logistická efektívnosť,</w:t>
      </w:r>
    </w:p>
    <w:p w:rsidR="00B839A0" w:rsidRPr="004D2ACB" w:rsidP="004D2ACB">
      <w:pPr>
        <w:numPr>
          <w:numId w:val="17"/>
        </w:numPr>
        <w:bidi w:val="0"/>
        <w:contextualSpacing/>
        <w:jc w:val="both"/>
        <w:rPr>
          <w:rFonts w:ascii="Times New Roman" w:hAnsi="Times New Roman"/>
          <w:lang w:val="x-none"/>
        </w:rPr>
      </w:pPr>
      <w:r w:rsidRPr="004D2ACB">
        <w:rPr>
          <w:rFonts w:ascii="Times New Roman" w:hAnsi="Times New Roman"/>
          <w:lang w:val="x-none"/>
        </w:rPr>
        <w:t>finančná udržateľnosť,</w:t>
      </w:r>
    </w:p>
    <w:p w:rsidR="00B839A0" w:rsidRPr="004D2ACB" w:rsidP="004D2ACB">
      <w:pPr>
        <w:numPr>
          <w:numId w:val="17"/>
        </w:numPr>
        <w:bidi w:val="0"/>
        <w:contextualSpacing/>
        <w:jc w:val="both"/>
        <w:rPr>
          <w:rFonts w:ascii="Times New Roman" w:hAnsi="Times New Roman"/>
          <w:lang w:val="x-none"/>
        </w:rPr>
      </w:pPr>
      <w:r w:rsidRPr="004D2ACB">
        <w:rPr>
          <w:rFonts w:ascii="Times New Roman" w:hAnsi="Times New Roman"/>
          <w:lang w:val="x-none"/>
        </w:rPr>
        <w:t>účelná spolupráca so súkromným sektorom,</w:t>
      </w:r>
    </w:p>
    <w:p w:rsidR="00B839A0" w:rsidRPr="004D2ACB" w:rsidP="004D2ACB">
      <w:pPr>
        <w:numPr>
          <w:numId w:val="17"/>
        </w:numPr>
        <w:bidi w:val="0"/>
        <w:contextualSpacing/>
        <w:jc w:val="both"/>
        <w:rPr>
          <w:rFonts w:ascii="Times New Roman" w:hAnsi="Times New Roman"/>
          <w:lang w:val="x-none"/>
        </w:rPr>
      </w:pPr>
      <w:r w:rsidRPr="004D2ACB">
        <w:rPr>
          <w:rFonts w:ascii="Times New Roman" w:hAnsi="Times New Roman"/>
          <w:lang w:val="x-none"/>
        </w:rPr>
        <w:t>prezentácia Slovenska a propagácia slovenských produktov („made in Slovakia“).</w:t>
      </w:r>
    </w:p>
    <w:p w:rsidR="00C364CB" w:rsidRPr="00A7575B" w:rsidP="00A7575B">
      <w:pPr>
        <w:bidi w:val="0"/>
        <w:rPr>
          <w:rFonts w:ascii="Times New Roman" w:hAnsi="Times New Roman"/>
          <w:b/>
          <w:u w:val="single"/>
        </w:rPr>
      </w:pPr>
    </w:p>
    <w:p w:rsidR="00B839A0" w:rsidRPr="00A7575B" w:rsidP="00894D87">
      <w:pPr>
        <w:pStyle w:val="SpravaSKPRESnadpis2"/>
        <w:bidi w:val="0"/>
        <w:rPr>
          <w:rFonts w:ascii="Times New Roman" w:hAnsi="Times New Roman"/>
        </w:rPr>
      </w:pPr>
      <w:bookmarkStart w:id="14" w:name="_Toc473045058"/>
      <w:bookmarkStart w:id="15" w:name="_Toc475948620"/>
      <w:r w:rsidRPr="00A7575B">
        <w:rPr>
          <w:rFonts w:ascii="Times New Roman" w:hAnsi="Times New Roman"/>
        </w:rPr>
        <w:t>Organizačno-logistické zabezpečenie SK PRES</w:t>
      </w:r>
      <w:bookmarkEnd w:id="14"/>
      <w:bookmarkEnd w:id="15"/>
    </w:p>
    <w:p w:rsidR="00B839A0" w:rsidRPr="00A7575B" w:rsidP="00A7575B">
      <w:pPr>
        <w:bidi w:val="0"/>
        <w:jc w:val="both"/>
        <w:rPr>
          <w:rFonts w:ascii="Times New Roman" w:hAnsi="Times New Roman"/>
          <w:b/>
        </w:rPr>
      </w:pPr>
    </w:p>
    <w:p w:rsidR="00B839A0" w:rsidRPr="00A7575B" w:rsidP="00A7575B">
      <w:pPr>
        <w:bidi w:val="0"/>
        <w:jc w:val="both"/>
        <w:rPr>
          <w:rFonts w:ascii="Times New Roman" w:hAnsi="Times New Roman"/>
        </w:rPr>
      </w:pPr>
      <w:r w:rsidRPr="00A7575B">
        <w:rPr>
          <w:rFonts w:ascii="Times New Roman" w:hAnsi="Times New Roman"/>
          <w:b/>
        </w:rPr>
        <w:t>Centralizovaný model</w:t>
      </w:r>
      <w:r w:rsidRPr="00A7575B">
        <w:rPr>
          <w:rFonts w:ascii="Times New Roman" w:hAnsi="Times New Roman"/>
        </w:rPr>
        <w:t xml:space="preserve"> organizačného zabezpečenia predsedníckych podujatí na Slovensku, ktorý vychádzal z reálneho stavu konferenčných a ubytovacích kapacít, dopravnej infraštruktúry, ale aj z trendu a skúseností predchádzajúcich predsedníctiev, priniesol výhody vyplývajúce z efektívnej a finančne menej náročnej organizácie, jednoduchšej logistiky a jasnej koordinácie.</w:t>
      </w:r>
      <w:r w:rsidRPr="00A7575B" w:rsidR="00D04863">
        <w:rPr>
          <w:rFonts w:ascii="Times New Roman" w:hAnsi="Times New Roman"/>
        </w:rPr>
        <w:t xml:space="preserve"> </w:t>
      </w:r>
      <w:r w:rsidRPr="00A7575B">
        <w:rPr>
          <w:rFonts w:ascii="Times New Roman" w:hAnsi="Times New Roman"/>
        </w:rPr>
        <w:t xml:space="preserve">Takýto model sa tiež ukázal ako vysoko efektívny pre účelné zabezpečenie bezpečnosti podujatí a občanov SR počas konania SK PRES.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V záujme čo najjednoduchšieho logistického riešenia a zabezpečenia bezpečnosti</w:t>
      </w:r>
      <w:r w:rsidRPr="00A7575B" w:rsidR="0059404A">
        <w:rPr>
          <w:rFonts w:ascii="Times New Roman" w:hAnsi="Times New Roman"/>
        </w:rPr>
        <w:t>,</w:t>
      </w:r>
      <w:r w:rsidRPr="00A7575B">
        <w:rPr>
          <w:rFonts w:ascii="Times New Roman" w:hAnsi="Times New Roman"/>
        </w:rPr>
        <w:t xml:space="preserve"> ako aj čo najefektívnejšieho vynakladania verejných prostriedkov boli podujatia na vysokej úrovni, ako aj pracovné a expertné zasadnutia v rámci SK PRES organizované prednostne v Bratislave, v priestoroch v správe štátu. </w:t>
      </w:r>
      <w:r w:rsidRPr="00A7575B">
        <w:rPr>
          <w:rFonts w:ascii="Times New Roman" w:hAnsi="Times New Roman"/>
          <w:b/>
        </w:rPr>
        <w:t>Centrálne</w:t>
      </w:r>
      <w:r w:rsidRPr="00A7575B" w:rsidR="00D04863">
        <w:rPr>
          <w:rFonts w:ascii="Times New Roman" w:hAnsi="Times New Roman"/>
          <w:b/>
        </w:rPr>
        <w:t xml:space="preserve"> </w:t>
      </w:r>
      <w:r w:rsidRPr="00A7575B">
        <w:rPr>
          <w:rFonts w:ascii="Times New Roman" w:hAnsi="Times New Roman"/>
          <w:b/>
        </w:rPr>
        <w:t>predsednícke konferenčné objekty</w:t>
      </w:r>
      <w:r w:rsidRPr="00A7575B">
        <w:rPr>
          <w:rFonts w:ascii="Times New Roman" w:hAnsi="Times New Roman"/>
        </w:rPr>
        <w:t xml:space="preserve"> boli:</w:t>
      </w:r>
    </w:p>
    <w:p w:rsidR="00B839A0" w:rsidRPr="00A7575B" w:rsidP="00A7575B">
      <w:pPr>
        <w:numPr>
          <w:numId w:val="17"/>
        </w:numPr>
        <w:bidi w:val="0"/>
        <w:contextualSpacing/>
        <w:jc w:val="both"/>
        <w:rPr>
          <w:rFonts w:ascii="Times New Roman" w:hAnsi="Times New Roman"/>
          <w:lang w:val="x-none"/>
        </w:rPr>
      </w:pPr>
      <w:r w:rsidRPr="00A7575B">
        <w:rPr>
          <w:rFonts w:ascii="Times New Roman" w:hAnsi="Times New Roman"/>
          <w:lang w:val="x-none"/>
        </w:rPr>
        <w:t xml:space="preserve">budova Slovenskej filharmónie – </w:t>
      </w:r>
      <w:r w:rsidRPr="00A7575B">
        <w:rPr>
          <w:rFonts w:ascii="Times New Roman" w:hAnsi="Times New Roman"/>
          <w:b/>
          <w:lang w:val="x-none"/>
        </w:rPr>
        <w:t>Reduta</w:t>
      </w:r>
      <w:r w:rsidRPr="00A7575B">
        <w:rPr>
          <w:rFonts w:ascii="Times New Roman" w:hAnsi="Times New Roman"/>
          <w:lang w:val="x-none"/>
        </w:rPr>
        <w:t>, v ktorej sa konali podujatia na vysokej úrovni (kategória „A“)</w:t>
      </w:r>
      <w:r w:rsidRPr="00A7575B">
        <w:rPr>
          <w:rFonts w:ascii="Times New Roman" w:hAnsi="Times New Roman"/>
        </w:rPr>
        <w:t>;</w:t>
      </w:r>
      <w:r w:rsidRPr="00A7575B">
        <w:rPr>
          <w:rFonts w:ascii="Times New Roman" w:hAnsi="Times New Roman"/>
          <w:lang w:val="x-none"/>
        </w:rPr>
        <w:t xml:space="preserve"> </w:t>
      </w:r>
    </w:p>
    <w:p w:rsidR="00B839A0" w:rsidRPr="00A7575B" w:rsidP="00A7575B">
      <w:pPr>
        <w:numPr>
          <w:numId w:val="17"/>
        </w:numPr>
        <w:bidi w:val="0"/>
        <w:contextualSpacing/>
        <w:jc w:val="both"/>
        <w:rPr>
          <w:rFonts w:ascii="Times New Roman" w:hAnsi="Times New Roman"/>
          <w:lang w:val="x-none"/>
        </w:rPr>
      </w:pPr>
      <w:r w:rsidRPr="00A7575B">
        <w:rPr>
          <w:rFonts w:ascii="Times New Roman" w:hAnsi="Times New Roman"/>
          <w:b/>
          <w:lang w:val="x-none"/>
        </w:rPr>
        <w:t>Bratislavský hrad</w:t>
      </w:r>
      <w:r w:rsidRPr="00A7575B">
        <w:rPr>
          <w:rFonts w:ascii="Times New Roman" w:hAnsi="Times New Roman"/>
          <w:lang w:val="x-none"/>
        </w:rPr>
        <w:t>, ktorý hostil Bratislavský samit, galavečere počas ministerských podujatí a väčšinu podujatí parlamentnej dimenzie SK PRES;</w:t>
      </w:r>
    </w:p>
    <w:p w:rsidR="00B839A0" w:rsidRPr="00A7575B" w:rsidP="00A7575B">
      <w:pPr>
        <w:numPr>
          <w:numId w:val="17"/>
        </w:numPr>
        <w:bidi w:val="0"/>
        <w:ind w:left="714" w:hanging="357"/>
        <w:jc w:val="both"/>
        <w:rPr>
          <w:rFonts w:ascii="Times New Roman" w:hAnsi="Times New Roman"/>
        </w:rPr>
      </w:pPr>
      <w:r w:rsidRPr="00A7575B">
        <w:rPr>
          <w:rFonts w:ascii="Times New Roman" w:hAnsi="Times New Roman"/>
          <w:b/>
        </w:rPr>
        <w:t>historická budova Národnej rady SR</w:t>
      </w:r>
      <w:r w:rsidRPr="00A7575B">
        <w:rPr>
          <w:rFonts w:ascii="Times New Roman" w:hAnsi="Times New Roman"/>
        </w:rPr>
        <w:t xml:space="preserve"> na Župnom námestí, </w:t>
      </w:r>
      <w:r w:rsidRPr="00A7575B">
        <w:rPr>
          <w:rFonts w:ascii="Times New Roman" w:hAnsi="Times New Roman"/>
          <w:b/>
        </w:rPr>
        <w:t>Hotel Bôrik</w:t>
      </w:r>
      <w:r w:rsidRPr="00A7575B">
        <w:rPr>
          <w:rFonts w:ascii="Times New Roman" w:hAnsi="Times New Roman"/>
        </w:rPr>
        <w:t xml:space="preserve"> a </w:t>
      </w:r>
      <w:r w:rsidRPr="00A7575B">
        <w:rPr>
          <w:rFonts w:ascii="Times New Roman" w:hAnsi="Times New Roman"/>
          <w:b/>
        </w:rPr>
        <w:t>Kongresová sála MZVaEZ SR</w:t>
      </w:r>
      <w:r w:rsidRPr="00A7575B">
        <w:rPr>
          <w:rFonts w:ascii="Times New Roman" w:hAnsi="Times New Roman"/>
        </w:rPr>
        <w:t xml:space="preserve"> slúžili ako centrálne predsednícke priestory pre zasadnutia výborov a pracovných skupín, semináre a konferencie na pracovnej a expertnej úrovni.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Časť podujatí na pracovnej a expertnej úrovni bola z</w:t>
      </w:r>
      <w:r w:rsidRPr="00A7575B" w:rsidR="00D04863">
        <w:rPr>
          <w:rFonts w:ascii="Times New Roman" w:hAnsi="Times New Roman"/>
        </w:rPr>
        <w:t xml:space="preserve"> </w:t>
      </w:r>
      <w:r w:rsidRPr="00A7575B">
        <w:rPr>
          <w:rFonts w:ascii="Times New Roman" w:hAnsi="Times New Roman"/>
        </w:rPr>
        <w:t>kapacitných alebo organizačných dôvodov organizovaná v iných konferenčných priestoroch, najmä v hoteloch v Bratislave. Menšia časť pracovných</w:t>
      </w:r>
      <w:r w:rsidRPr="00A7575B" w:rsidR="00D04863">
        <w:rPr>
          <w:rFonts w:ascii="Times New Roman" w:hAnsi="Times New Roman"/>
        </w:rPr>
        <w:t xml:space="preserve"> </w:t>
      </w:r>
      <w:r w:rsidRPr="00A7575B">
        <w:rPr>
          <w:rFonts w:ascii="Times New Roman" w:hAnsi="Times New Roman"/>
        </w:rPr>
        <w:t xml:space="preserve">podujatí sa konala v iných regiónoch Slovenska, a to najmä v prípadoch, kedy bolo cestovanie delegátov mimo hlavného mesta tematicky podporené agendou zasadnutia alebo sídlom organizujúcej inštitúcie.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color w:val="000000"/>
        </w:rPr>
      </w:pPr>
      <w:r w:rsidRPr="00A7575B">
        <w:rPr>
          <w:rFonts w:ascii="Times New Roman" w:hAnsi="Times New Roman"/>
          <w:b/>
          <w:color w:val="000000"/>
        </w:rPr>
        <w:t>Technické a konferenčné vybavenie</w:t>
      </w:r>
      <w:r w:rsidRPr="00A7575B">
        <w:rPr>
          <w:rFonts w:ascii="Times New Roman" w:hAnsi="Times New Roman"/>
          <w:color w:val="000000"/>
        </w:rPr>
        <w:t xml:space="preserve"> v centrálnych predsedníckych objektoch </w:t>
      </w:r>
      <w:r w:rsidRPr="00A7575B">
        <w:rPr>
          <w:rFonts w:ascii="Times New Roman" w:hAnsi="Times New Roman"/>
          <w:b/>
          <w:color w:val="000000"/>
        </w:rPr>
        <w:t>a služby logisticko-technického charakteru</w:t>
      </w:r>
      <w:r w:rsidRPr="00A7575B">
        <w:rPr>
          <w:rFonts w:ascii="Times New Roman" w:hAnsi="Times New Roman"/>
          <w:color w:val="000000"/>
        </w:rPr>
        <w:t xml:space="preserve"> pre podujatia na vysokej úrovni (ubytovanie, doprava, catering, prezentačné predmety, tlmočenie a pod.) </w:t>
      </w:r>
      <w:r w:rsidRPr="00A7575B">
        <w:rPr>
          <w:rFonts w:ascii="Times New Roman" w:hAnsi="Times New Roman"/>
          <w:b/>
          <w:color w:val="000000"/>
        </w:rPr>
        <w:t xml:space="preserve">zabezpečovalo MZVaEZ SR </w:t>
      </w:r>
      <w:r w:rsidR="005A3DB5">
        <w:rPr>
          <w:rFonts w:ascii="Times New Roman" w:hAnsi="Times New Roman"/>
          <w:b/>
          <w:color w:val="000000"/>
        </w:rPr>
        <w:t>-</w:t>
      </w:r>
      <w:r w:rsidRPr="00A7575B">
        <w:rPr>
          <w:rFonts w:ascii="Times New Roman" w:hAnsi="Times New Roman"/>
          <w:b/>
          <w:color w:val="000000"/>
        </w:rPr>
        <w:t xml:space="preserve"> Sekretariát </w:t>
      </w:r>
      <w:r w:rsidRPr="00A7575B">
        <w:rPr>
          <w:rFonts w:ascii="Times New Roman" w:hAnsi="Times New Roman"/>
          <w:b/>
        </w:rPr>
        <w:t>predsedníctva SR v Rade EÚ</w:t>
      </w:r>
      <w:r w:rsidRPr="00A7575B">
        <w:rPr>
          <w:rFonts w:ascii="Times New Roman" w:hAnsi="Times New Roman"/>
          <w:b/>
          <w:color w:val="000000"/>
        </w:rPr>
        <w:t xml:space="preserve"> </w:t>
      </w:r>
      <w:r w:rsidRPr="00A7575B">
        <w:rPr>
          <w:rFonts w:ascii="Times New Roman" w:hAnsi="Times New Roman"/>
          <w:b/>
          <w:bCs/>
          <w:color w:val="000000"/>
        </w:rPr>
        <w:t>centralizovane</w:t>
      </w:r>
      <w:r w:rsidRPr="00A7575B">
        <w:rPr>
          <w:rFonts w:ascii="Times New Roman" w:hAnsi="Times New Roman"/>
          <w:b/>
          <w:color w:val="000000"/>
        </w:rPr>
        <w:t> </w:t>
      </w:r>
      <w:r w:rsidRPr="00A7575B">
        <w:rPr>
          <w:rFonts w:ascii="Times New Roman" w:hAnsi="Times New Roman"/>
          <w:color w:val="000000"/>
        </w:rPr>
        <w:t xml:space="preserve">pre všetky rezorty a inštitúcie. Podujatia na pracovnej a expertnej úrovni boli čiastočne (v prípade centrálnych konferenčných objektov) alebo komplexne (v prípade iných konferenčných objektov) zabezpečované vecne príslušnými ústrednými orgánmi štátnej správy. </w:t>
      </w:r>
    </w:p>
    <w:p w:rsidR="00B839A0" w:rsidRPr="00A7575B" w:rsidP="00A7575B">
      <w:pPr>
        <w:bidi w:val="0"/>
        <w:jc w:val="both"/>
        <w:rPr>
          <w:rFonts w:ascii="Times New Roman" w:hAnsi="Times New Roman"/>
          <w:color w:val="000000"/>
        </w:rPr>
      </w:pPr>
    </w:p>
    <w:p w:rsidR="00B839A0" w:rsidRPr="00A7575B" w:rsidP="00A7575B">
      <w:pPr>
        <w:bidi w:val="0"/>
        <w:jc w:val="both"/>
        <w:rPr>
          <w:rFonts w:ascii="Times New Roman" w:hAnsi="Times New Roman"/>
          <w:color w:val="000000"/>
        </w:rPr>
      </w:pPr>
      <w:r w:rsidRPr="00A7575B">
        <w:rPr>
          <w:rFonts w:ascii="Times New Roman" w:hAnsi="Times New Roman"/>
          <w:color w:val="000000"/>
        </w:rPr>
        <w:t xml:space="preserve">Do prípravy a realizácie SK PRES sa podarilo zapojiť aj </w:t>
      </w:r>
      <w:r w:rsidRPr="00A7575B">
        <w:rPr>
          <w:rFonts w:ascii="Times New Roman" w:hAnsi="Times New Roman"/>
          <w:b/>
          <w:color w:val="000000"/>
        </w:rPr>
        <w:t>partnerov a sponzorov zo súkromnej sféry</w:t>
      </w:r>
      <w:r w:rsidRPr="00A7575B">
        <w:rPr>
          <w:rFonts w:ascii="Times New Roman" w:hAnsi="Times New Roman"/>
          <w:color w:val="000000"/>
        </w:rPr>
        <w:t xml:space="preserve">. Na verejnú výzvu, zverejnenú MZVaEZ SR v októbri 2015, reagovalo 11 subjektov, ktoré poskytli tovary alebo služby v oblasti organizačno-logistického zabezpečenia: doprava (minivany, pohonné hmoty, špedičné služby), telekomunikačné služby, slovenské alkoholické a nealkoholické nápoje a licencie v informačnej a komunikačnej oblasti. Celková úspora v rozpočte SK PRES dosiahnutá zapojením partnerov a sponzorov presiahla 330 tisíc </w:t>
      </w:r>
      <w:r w:rsidR="00BE3303">
        <w:rPr>
          <w:rFonts w:ascii="Times New Roman" w:hAnsi="Times New Roman"/>
          <w:color w:val="000000"/>
        </w:rPr>
        <w:t>EUR</w:t>
      </w:r>
      <w:r w:rsidRPr="00A7575B">
        <w:rPr>
          <w:rFonts w:ascii="Times New Roman" w:hAnsi="Times New Roman"/>
          <w:color w:val="000000"/>
        </w:rPr>
        <w:t xml:space="preserve">. </w:t>
      </w:r>
    </w:p>
    <w:p w:rsidR="00B839A0" w:rsidRPr="00A7575B" w:rsidP="00A7575B">
      <w:pPr>
        <w:bidi w:val="0"/>
        <w:jc w:val="both"/>
        <w:rPr>
          <w:rFonts w:ascii="Times New Roman" w:hAnsi="Times New Roman"/>
          <w:color w:val="000000"/>
        </w:rPr>
      </w:pPr>
    </w:p>
    <w:p w:rsidR="00B839A0" w:rsidRPr="00A7575B" w:rsidP="00A7575B">
      <w:pPr>
        <w:bidi w:val="0"/>
        <w:jc w:val="both"/>
        <w:rPr>
          <w:rFonts w:ascii="Times New Roman" w:hAnsi="Times New Roman"/>
          <w:b/>
          <w:i/>
        </w:rPr>
      </w:pPr>
      <w:r w:rsidRPr="00A7575B">
        <w:rPr>
          <w:rFonts w:ascii="Times New Roman" w:hAnsi="Times New Roman"/>
          <w:b/>
          <w:i/>
        </w:rPr>
        <w:t>Kalendár predsedníckych podujatí</w:t>
      </w:r>
    </w:p>
    <w:p w:rsidR="00B839A0" w:rsidRPr="00A7575B" w:rsidP="00A7575B">
      <w:pPr>
        <w:bidi w:val="0"/>
        <w:jc w:val="both"/>
        <w:rPr>
          <w:rFonts w:ascii="Times New Roman" w:hAnsi="Times New Roman"/>
        </w:rPr>
      </w:pPr>
      <w:r w:rsidRPr="00A7575B">
        <w:rPr>
          <w:rFonts w:ascii="Times New Roman" w:hAnsi="Times New Roman"/>
        </w:rPr>
        <w:t>Proces prípravy oficiálneho kalendára SK PRES bol ovplyvnený vnútornými pravidlami Rady EÚ, ako aj zaužívanou praxou. Počet a druh podujatí bol stanovený s ohľadom na relevantné politické skutočnosti na európskej scéne a zároveň korešpondoval s napĺňaním politických priorít SK PRES v</w:t>
      </w:r>
      <w:r w:rsidRPr="00A7575B" w:rsidR="00A87F6A">
        <w:rPr>
          <w:rFonts w:ascii="Times New Roman" w:hAnsi="Times New Roman"/>
        </w:rPr>
        <w:t> </w:t>
      </w:r>
      <w:r w:rsidRPr="00A7575B">
        <w:rPr>
          <w:rFonts w:ascii="Times New Roman" w:hAnsi="Times New Roman"/>
        </w:rPr>
        <w:t xml:space="preserve">rámci Rady EÚ.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Počas šesťmesačného predsedníctva sa v Bruseli a Luxemburgu uskutočnilo</w:t>
      </w:r>
      <w:r w:rsidRPr="00A7575B" w:rsidR="00D04863">
        <w:rPr>
          <w:rFonts w:ascii="Times New Roman" w:hAnsi="Times New Roman"/>
        </w:rPr>
        <w:t xml:space="preserve"> </w:t>
      </w:r>
      <w:r w:rsidRPr="00A7575B">
        <w:rPr>
          <w:rFonts w:ascii="Times New Roman" w:hAnsi="Times New Roman"/>
          <w:b/>
        </w:rPr>
        <w:t>49</w:t>
      </w:r>
      <w:r w:rsidR="005A3DB5">
        <w:rPr>
          <w:rFonts w:ascii="Times New Roman" w:hAnsi="Times New Roman"/>
          <w:b/>
        </w:rPr>
        <w:t> </w:t>
      </w:r>
      <w:r w:rsidRPr="00A7575B">
        <w:rPr>
          <w:rFonts w:ascii="Times New Roman" w:hAnsi="Times New Roman"/>
          <w:b/>
        </w:rPr>
        <w:t>formálnych zasadnutí</w:t>
      </w:r>
      <w:r w:rsidRPr="00A7575B">
        <w:rPr>
          <w:rFonts w:ascii="Times New Roman" w:hAnsi="Times New Roman"/>
        </w:rPr>
        <w:t xml:space="preserve"> jednotlivých formácií </w:t>
      </w:r>
      <w:r w:rsidRPr="00A7575B">
        <w:rPr>
          <w:rFonts w:ascii="Times New Roman" w:hAnsi="Times New Roman"/>
          <w:b/>
        </w:rPr>
        <w:t>Rady EÚ</w:t>
      </w:r>
      <w:r w:rsidRPr="00A7575B">
        <w:rPr>
          <w:rFonts w:ascii="Times New Roman" w:hAnsi="Times New Roman"/>
        </w:rPr>
        <w:t xml:space="preserve"> a</w:t>
      </w:r>
      <w:r w:rsidR="005A3DB5">
        <w:rPr>
          <w:rFonts w:ascii="Times New Roman" w:hAnsi="Times New Roman"/>
        </w:rPr>
        <w:t> </w:t>
      </w:r>
      <w:r w:rsidRPr="00A7575B">
        <w:rPr>
          <w:rFonts w:ascii="Times New Roman" w:hAnsi="Times New Roman"/>
          <w:b/>
        </w:rPr>
        <w:t>1</w:t>
      </w:r>
      <w:r w:rsidR="005A3DB5">
        <w:rPr>
          <w:rFonts w:ascii="Times New Roman" w:hAnsi="Times New Roman"/>
          <w:b/>
        </w:rPr>
        <w:t> </w:t>
      </w:r>
      <w:r w:rsidRPr="00A7575B">
        <w:rPr>
          <w:rFonts w:ascii="Times New Roman" w:hAnsi="Times New Roman"/>
          <w:b/>
        </w:rPr>
        <w:t>212</w:t>
      </w:r>
      <w:r w:rsidR="005A3DB5">
        <w:rPr>
          <w:rFonts w:ascii="Times New Roman" w:hAnsi="Times New Roman"/>
          <w:b/>
        </w:rPr>
        <w:t> </w:t>
      </w:r>
      <w:r w:rsidRPr="00A7575B">
        <w:rPr>
          <w:rFonts w:ascii="Times New Roman" w:hAnsi="Times New Roman"/>
          <w:b/>
        </w:rPr>
        <w:t>zasadnutí pracovných skupín</w:t>
      </w:r>
      <w:r w:rsidRPr="00A7575B">
        <w:rPr>
          <w:rFonts w:ascii="Times New Roman" w:hAnsi="Times New Roman"/>
        </w:rPr>
        <w:t xml:space="preserve">.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 xml:space="preserve">Na Slovensku sa uskutočnilo </w:t>
      </w:r>
      <w:r w:rsidRPr="00A7575B">
        <w:rPr>
          <w:rFonts w:ascii="Times New Roman" w:hAnsi="Times New Roman"/>
          <w:b/>
        </w:rPr>
        <w:t>18 neformálnych podujatí na ministerskej úrovni</w:t>
      </w:r>
      <w:r w:rsidRPr="00A7575B">
        <w:rPr>
          <w:rFonts w:ascii="Times New Roman" w:hAnsi="Times New Roman"/>
        </w:rPr>
        <w:t>, z</w:t>
      </w:r>
      <w:r w:rsidR="005A3DB5">
        <w:rPr>
          <w:rFonts w:ascii="Times New Roman" w:hAnsi="Times New Roman"/>
        </w:rPr>
        <w:t> </w:t>
      </w:r>
      <w:r w:rsidRPr="00A7575B">
        <w:rPr>
          <w:rFonts w:ascii="Times New Roman" w:hAnsi="Times New Roman"/>
        </w:rPr>
        <w:t>toho 14</w:t>
      </w:r>
      <w:r w:rsidRPr="00A7575B" w:rsidR="00D04863">
        <w:rPr>
          <w:rFonts w:ascii="Times New Roman" w:hAnsi="Times New Roman"/>
        </w:rPr>
        <w:t> </w:t>
      </w:r>
      <w:r w:rsidRPr="00A7575B">
        <w:rPr>
          <w:rFonts w:ascii="Times New Roman" w:hAnsi="Times New Roman"/>
        </w:rPr>
        <w:t>neformálnych zasadnutí ministrov EÚ a</w:t>
      </w:r>
      <w:r w:rsidR="005A3DB5">
        <w:rPr>
          <w:rFonts w:ascii="Times New Roman" w:hAnsi="Times New Roman"/>
        </w:rPr>
        <w:t> </w:t>
      </w:r>
      <w:r w:rsidRPr="00A7575B">
        <w:rPr>
          <w:rFonts w:ascii="Times New Roman" w:hAnsi="Times New Roman"/>
        </w:rPr>
        <w:t>4</w:t>
      </w:r>
      <w:r w:rsidR="005A3DB5">
        <w:rPr>
          <w:rFonts w:ascii="Times New Roman" w:hAnsi="Times New Roman"/>
        </w:rPr>
        <w:t> </w:t>
      </w:r>
      <w:r w:rsidRPr="00A7575B">
        <w:rPr>
          <w:rFonts w:ascii="Times New Roman" w:hAnsi="Times New Roman"/>
        </w:rPr>
        <w:t xml:space="preserve">ministerské konferencie. Zoznam týchto podujatí schválila v decembri 2015 vláda SR. Za ich obsahovú a programovú prípravu boli zodpovedné vecne príslušné ústredné orgány štátnej správy a za organizačné a logistické zabezpečenie Sekretariát SK PRES.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b/>
        </w:rPr>
        <w:t>Vrcholným podujatím SK PRES</w:t>
      </w:r>
      <w:r w:rsidRPr="00A7575B">
        <w:rPr>
          <w:rFonts w:ascii="Times New Roman" w:hAnsi="Times New Roman"/>
        </w:rPr>
        <w:t xml:space="preserve"> bolo neformálne zasadnutie 27 hláv štátov a vlád – </w:t>
      </w:r>
      <w:r w:rsidRPr="00A7575B">
        <w:rPr>
          <w:rFonts w:ascii="Times New Roman" w:hAnsi="Times New Roman"/>
          <w:b/>
        </w:rPr>
        <w:t>Bratislavský samit</w:t>
      </w:r>
      <w:r w:rsidRPr="00A7575B">
        <w:rPr>
          <w:rFonts w:ascii="Times New Roman" w:hAnsi="Times New Roman"/>
        </w:rPr>
        <w:t xml:space="preserve"> (16.9.2016), ktorého potreba vyplynula z aktuálneho vývoja na európskej scéne po britskom referende o vystúpení z EÚ. Ďalším podujatím na vysokej úrovni bola </w:t>
      </w:r>
      <w:r w:rsidRPr="00A7575B">
        <w:rPr>
          <w:rFonts w:ascii="Times New Roman" w:hAnsi="Times New Roman"/>
          <w:b/>
        </w:rPr>
        <w:t>návšteva kolégia Európskej komisie</w:t>
      </w:r>
      <w:r w:rsidRPr="00A7575B">
        <w:rPr>
          <w:rFonts w:ascii="Times New Roman" w:hAnsi="Times New Roman"/>
        </w:rPr>
        <w:t xml:space="preserve"> </w:t>
      </w:r>
      <w:r w:rsidRPr="00A7575B">
        <w:rPr>
          <w:rFonts w:ascii="Times New Roman" w:hAnsi="Times New Roman"/>
          <w:b/>
        </w:rPr>
        <w:t>na Slovensku</w:t>
      </w:r>
      <w:r w:rsidRPr="00A7575B">
        <w:rPr>
          <w:rFonts w:ascii="Times New Roman" w:hAnsi="Times New Roman"/>
        </w:rPr>
        <w:t>, ktorou bolo slovenské predsedníctvo</w:t>
      </w:r>
      <w:r w:rsidRPr="00A7575B" w:rsidR="00D04863">
        <w:rPr>
          <w:rFonts w:ascii="Times New Roman" w:hAnsi="Times New Roman"/>
        </w:rPr>
        <w:t xml:space="preserve"> </w:t>
      </w:r>
      <w:r w:rsidRPr="00A7575B">
        <w:rPr>
          <w:rFonts w:ascii="Times New Roman" w:hAnsi="Times New Roman"/>
        </w:rPr>
        <w:t>v Rade EÚ oficiálne otvorené.</w:t>
      </w:r>
      <w:r w:rsidRPr="00A7575B" w:rsidR="00D04863">
        <w:rPr>
          <w:rFonts w:ascii="Times New Roman" w:hAnsi="Times New Roman"/>
        </w:rPr>
        <w:t xml:space="preserve">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 xml:space="preserve">Okrem neformálnych podujatí na vysokej úrovni sa na Slovensku uskutočnilo </w:t>
      </w:r>
      <w:r w:rsidRPr="00A7575B" w:rsidR="00D04863">
        <w:rPr>
          <w:rFonts w:ascii="Times New Roman" w:hAnsi="Times New Roman"/>
          <w:b/>
        </w:rPr>
        <w:t>viac ako 180 </w:t>
      </w:r>
      <w:r w:rsidRPr="00A7575B">
        <w:rPr>
          <w:rFonts w:ascii="Times New Roman" w:hAnsi="Times New Roman"/>
        </w:rPr>
        <w:t>výjazdových zasadnutí pracovných skupín, výborov, seminárov, workshopov, konferencií a</w:t>
      </w:r>
      <w:r w:rsidRPr="00A7575B" w:rsidR="00D04863">
        <w:rPr>
          <w:rFonts w:ascii="Times New Roman" w:hAnsi="Times New Roman"/>
        </w:rPr>
        <w:t> </w:t>
      </w:r>
      <w:r w:rsidRPr="00A7575B">
        <w:rPr>
          <w:rFonts w:ascii="Times New Roman" w:hAnsi="Times New Roman"/>
        </w:rPr>
        <w:t xml:space="preserve">iných </w:t>
      </w:r>
      <w:r w:rsidRPr="00A7575B">
        <w:rPr>
          <w:rFonts w:ascii="Times New Roman" w:hAnsi="Times New Roman"/>
          <w:b/>
        </w:rPr>
        <w:t>podujatí na pracovnej úrovni a expertnej úrovni</w:t>
      </w:r>
      <w:r w:rsidRPr="00A7575B">
        <w:rPr>
          <w:rFonts w:ascii="Times New Roman" w:hAnsi="Times New Roman"/>
        </w:rPr>
        <w:t xml:space="preserve">. </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 xml:space="preserve">Samostatnú kategóriu predsedníckych podujatí tvorilo </w:t>
      </w:r>
      <w:r w:rsidRPr="00A7575B">
        <w:rPr>
          <w:rFonts w:ascii="Times New Roman" w:hAnsi="Times New Roman"/>
          <w:b/>
        </w:rPr>
        <w:t>6 zasadnutí parlamentnej dimenzie SK PRES</w:t>
      </w:r>
      <w:r w:rsidRPr="00A7575B">
        <w:rPr>
          <w:rFonts w:ascii="Times New Roman" w:hAnsi="Times New Roman"/>
        </w:rPr>
        <w:t>, vrátane neformálneho stretnutia predsedov parlamentov členských štátov EÚ. Tieto podujatia boli</w:t>
      </w:r>
      <w:r w:rsidRPr="00A7575B" w:rsidR="00D04863">
        <w:rPr>
          <w:rFonts w:ascii="Times New Roman" w:hAnsi="Times New Roman"/>
        </w:rPr>
        <w:t xml:space="preserve"> </w:t>
      </w:r>
      <w:r w:rsidRPr="00A7575B">
        <w:rPr>
          <w:rFonts w:ascii="Times New Roman" w:hAnsi="Times New Roman"/>
        </w:rPr>
        <w:t>plne v obsahovej a organizačnej kompetencii Národnej rady SR. Dve podujatia parlamentnej dimenzie SK PRES sa uskutočnia v 1. polroku 2017.</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Zoznam predsedníckych podujatí organizovaných na Slovensku je uvedený v prílohe č. 2.</w:t>
      </w:r>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 xml:space="preserve">Osobitnou kategóriou bolo </w:t>
      </w:r>
      <w:r w:rsidRPr="00A7575B">
        <w:rPr>
          <w:rFonts w:ascii="Times New Roman" w:hAnsi="Times New Roman"/>
          <w:b/>
        </w:rPr>
        <w:t>32 podujatí SK PRES v tzv. tretích krajinách</w:t>
      </w:r>
      <w:r w:rsidRPr="00A7575B">
        <w:rPr>
          <w:rFonts w:ascii="Times New Roman" w:hAnsi="Times New Roman"/>
        </w:rPr>
        <w:t xml:space="preserve">, t.j. rokovania pracovných skupín príslušných dohovorov resp. protokolov v rámci systému OSN a koordinačné rokovania krajín EÚ, na ktorých Slovenská republika zodpovedala za koordináciu spoločných stanovísk EÚ k prerokúvanej problematike. Tieto zasadnutia zastrešovali rezorty životného prostredia, pôdohospodárstva a rozvoja vidieka, </w:t>
      </w:r>
      <w:r w:rsidR="00BE3303">
        <w:rPr>
          <w:rFonts w:ascii="Times New Roman" w:hAnsi="Times New Roman"/>
        </w:rPr>
        <w:t xml:space="preserve">kultúry, </w:t>
      </w:r>
      <w:r w:rsidRPr="00A7575B">
        <w:rPr>
          <w:rFonts w:ascii="Times New Roman" w:hAnsi="Times New Roman"/>
        </w:rPr>
        <w:t xml:space="preserve">vnútra a spravodlivosti. </w:t>
      </w:r>
    </w:p>
    <w:p w:rsidR="00C364CB" w:rsidRPr="00A7575B" w:rsidP="00A7575B">
      <w:pPr>
        <w:bidi w:val="0"/>
        <w:rPr>
          <w:rFonts w:ascii="Times New Roman" w:hAnsi="Times New Roman"/>
          <w:b/>
        </w:rPr>
      </w:pPr>
    </w:p>
    <w:p w:rsidR="00B839A0" w:rsidRPr="00A7575B" w:rsidP="00894D87">
      <w:pPr>
        <w:pStyle w:val="SpravaSKPRESnadpis2"/>
        <w:bidi w:val="0"/>
        <w:rPr>
          <w:rFonts w:ascii="Times New Roman" w:hAnsi="Times New Roman"/>
        </w:rPr>
      </w:pPr>
      <w:bookmarkStart w:id="16" w:name="_Toc473045059"/>
      <w:bookmarkStart w:id="17" w:name="_Toc475948621"/>
      <w:r w:rsidRPr="00A7575B">
        <w:rPr>
          <w:rFonts w:ascii="Times New Roman" w:hAnsi="Times New Roman"/>
        </w:rPr>
        <w:t>Rozpočet</w:t>
      </w:r>
      <w:bookmarkEnd w:id="16"/>
      <w:bookmarkEnd w:id="17"/>
    </w:p>
    <w:p w:rsidR="00B839A0" w:rsidRPr="00A7575B" w:rsidP="00A7575B">
      <w:pPr>
        <w:bidi w:val="0"/>
        <w:jc w:val="both"/>
        <w:rPr>
          <w:rFonts w:ascii="Times New Roman" w:hAnsi="Times New Roman"/>
        </w:rPr>
      </w:pPr>
    </w:p>
    <w:p w:rsidR="00B839A0" w:rsidRPr="00A7575B" w:rsidP="00A7575B">
      <w:pPr>
        <w:bidi w:val="0"/>
        <w:jc w:val="both"/>
        <w:rPr>
          <w:rFonts w:ascii="Times New Roman" w:hAnsi="Times New Roman"/>
        </w:rPr>
      </w:pPr>
      <w:r w:rsidRPr="00A7575B">
        <w:rPr>
          <w:rFonts w:ascii="Times New Roman" w:hAnsi="Times New Roman"/>
        </w:rPr>
        <w:t>Pre účely financovania prípravy a výkonu predsedníctva SR v Rade EÚ v roku 2016 bol na obdobie rokov 2014 až 2017 vytvorený samostatný medzirezortný rozpočtový program 0D4 SK PRES 2016, na ktorom je alokovaný rozpočet SK PRES. S celkovým plánovaným rozpočtom predsedníctva SR neprevyšujúcim 70 mil. EUR za uvedené obdobie si vláda SR stanovila cieľ byť najúspornejším predsedníctvom Rady EÚ v rámci krajín V4.</w:t>
      </w:r>
    </w:p>
    <w:p w:rsidR="00B839A0" w:rsidRPr="00A7575B" w:rsidP="00A7575B">
      <w:pPr>
        <w:bidi w:val="0"/>
        <w:jc w:val="both"/>
        <w:rPr>
          <w:rFonts w:ascii="Times New Roman" w:hAnsi="Times New Roman"/>
          <w:b/>
          <w:iCs/>
          <w:color w:val="000000"/>
        </w:rPr>
      </w:pPr>
    </w:p>
    <w:p w:rsidR="00B839A0" w:rsidRPr="00A7575B" w:rsidP="00A7575B">
      <w:pPr>
        <w:bidi w:val="0"/>
        <w:jc w:val="both"/>
        <w:rPr>
          <w:rFonts w:ascii="Times New Roman" w:hAnsi="Times New Roman"/>
          <w:color w:val="000000"/>
        </w:rPr>
      </w:pPr>
      <w:r w:rsidRPr="00A7575B">
        <w:rPr>
          <w:rFonts w:ascii="Times New Roman" w:hAnsi="Times New Roman"/>
          <w:color w:val="000000"/>
        </w:rPr>
        <w:t>Gestorom uvedeného programu (0D4) je</w:t>
      </w:r>
      <w:r w:rsidRPr="00A7575B" w:rsidR="00D04863">
        <w:rPr>
          <w:rFonts w:ascii="Times New Roman" w:hAnsi="Times New Roman"/>
          <w:color w:val="000000"/>
        </w:rPr>
        <w:t xml:space="preserve"> </w:t>
      </w:r>
      <w:r w:rsidRPr="00A7575B">
        <w:rPr>
          <w:rFonts w:ascii="Times New Roman" w:hAnsi="Times New Roman"/>
          <w:color w:val="000000"/>
        </w:rPr>
        <w:t>MZVaEZ SR, ktoré je zodpovedné za riadenie celkového rozpočtu SK PRES. Ústredným orgánom štátnej správy participujúcim na predsedníctve boli vytvorené v rámci programu 0D4 podprogramy. V nich sú alokované finančné prostriedky, s ktorými hospodária jednotlivé rezorty v zmysle platných dohôd a pravidiel. Za správnosť čerpania týchto prostriedkov je zodpovedný príslušný ÚOŠS SR.</w:t>
      </w:r>
    </w:p>
    <w:p w:rsidR="00B839A0" w:rsidRPr="00A7575B" w:rsidP="00A7575B">
      <w:pPr>
        <w:bidi w:val="0"/>
        <w:jc w:val="both"/>
        <w:rPr>
          <w:rFonts w:ascii="Times New Roman" w:hAnsi="Times New Roman"/>
          <w:color w:val="000000"/>
        </w:rPr>
      </w:pPr>
    </w:p>
    <w:p w:rsidR="0059404A" w:rsidRPr="00A7575B" w:rsidP="00A7575B">
      <w:pPr>
        <w:bidi w:val="0"/>
        <w:jc w:val="both"/>
        <w:rPr>
          <w:rFonts w:ascii="Times New Roman" w:hAnsi="Times New Roman"/>
        </w:rPr>
      </w:pPr>
      <w:r w:rsidRPr="00A7575B">
        <w:rPr>
          <w:rFonts w:ascii="Times New Roman" w:hAnsi="Times New Roman"/>
        </w:rPr>
        <w:t xml:space="preserve">V prvom roku čerpania rozpočtu SK PRES (2014) sa z vyčlenenej sumy </w:t>
      </w:r>
      <w:r w:rsidRPr="00A7575B">
        <w:rPr>
          <w:rFonts w:ascii="Times New Roman" w:hAnsi="Times New Roman"/>
          <w:b/>
        </w:rPr>
        <w:t>3 mil. EUR</w:t>
      </w:r>
      <w:r w:rsidRPr="00A7575B">
        <w:rPr>
          <w:rFonts w:ascii="Times New Roman" w:hAnsi="Times New Roman"/>
        </w:rPr>
        <w:t xml:space="preserve"> minulo </w:t>
      </w:r>
      <w:r w:rsidRPr="00A7575B">
        <w:rPr>
          <w:rFonts w:ascii="Times New Roman" w:hAnsi="Times New Roman"/>
          <w:b/>
        </w:rPr>
        <w:t>1,8 mil. EUR</w:t>
      </w:r>
      <w:r w:rsidRPr="00A7575B">
        <w:rPr>
          <w:rFonts w:ascii="Times New Roman" w:hAnsi="Times New Roman"/>
        </w:rPr>
        <w:t xml:space="preserve">. V roku 2015 narástlo čerpanie na konečných </w:t>
      </w:r>
      <w:r w:rsidRPr="00A7575B">
        <w:rPr>
          <w:rFonts w:ascii="Times New Roman" w:hAnsi="Times New Roman"/>
          <w:b/>
        </w:rPr>
        <w:t>12,4 mil. EUR</w:t>
      </w:r>
      <w:r w:rsidRPr="00A7575B">
        <w:rPr>
          <w:rFonts w:ascii="Times New Roman" w:hAnsi="Times New Roman"/>
        </w:rPr>
        <w:t xml:space="preserve"> (</w:t>
      </w:r>
      <w:r w:rsidRPr="00A7575B">
        <w:rPr>
          <w:rFonts w:ascii="Times New Roman" w:hAnsi="Times New Roman"/>
          <w:i/>
        </w:rPr>
        <w:t xml:space="preserve">pozn.: v tejto sume sú započítané aj investičné výdavky MK SR na </w:t>
      </w:r>
      <w:r w:rsidRPr="00A7575B">
        <w:rPr>
          <w:rFonts w:ascii="Times New Roman" w:hAnsi="Times New Roman"/>
          <w:i/>
          <w:iCs/>
          <w:color w:val="000000"/>
        </w:rPr>
        <w:t>rekonštrukciu Slovenskej filharmónie pre potreby predsedníctva SR</w:t>
      </w:r>
      <w:r w:rsidRPr="00A7575B">
        <w:rPr>
          <w:rFonts w:ascii="Times New Roman" w:hAnsi="Times New Roman"/>
          <w:i/>
        </w:rPr>
        <w:t xml:space="preserve"> vo výške 3,4 mil. EUR)</w:t>
      </w:r>
      <w:r w:rsidRPr="00A7575B">
        <w:rPr>
          <w:rFonts w:ascii="Times New Roman" w:hAnsi="Times New Roman"/>
        </w:rPr>
        <w:t xml:space="preserve">. V zákone o štátnom rozpočte na rok 2016 bol pre účely SK PRES schválený rozpočet vo výške </w:t>
      </w:r>
      <w:r w:rsidRPr="00A7575B">
        <w:rPr>
          <w:rFonts w:ascii="Times New Roman" w:hAnsi="Times New Roman"/>
          <w:b/>
        </w:rPr>
        <w:t xml:space="preserve">50,9 mil. EUR, </w:t>
      </w:r>
      <w:r w:rsidRPr="00A7575B">
        <w:rPr>
          <w:rFonts w:ascii="Times New Roman" w:hAnsi="Times New Roman"/>
        </w:rPr>
        <w:t xml:space="preserve">čo </w:t>
      </w:r>
      <w:r w:rsidRPr="00A7575B">
        <w:rPr>
          <w:rFonts w:ascii="Times New Roman" w:hAnsi="Times New Roman"/>
          <w:color w:val="000000"/>
        </w:rPr>
        <w:t>predstavuje až 75</w:t>
      </w:r>
      <w:r w:rsidR="005401F8">
        <w:rPr>
          <w:rFonts w:ascii="Times New Roman" w:hAnsi="Times New Roman"/>
          <w:color w:val="000000"/>
        </w:rPr>
        <w:t> </w:t>
      </w:r>
      <w:r w:rsidRPr="00A7575B">
        <w:rPr>
          <w:rFonts w:ascii="Times New Roman" w:hAnsi="Times New Roman"/>
          <w:color w:val="000000"/>
        </w:rPr>
        <w:t>% z celkového balíka finančných prostriedkov alokovaných v programe 0D4 SK PRES vytvorenom na roky 2014 až 2017</w:t>
      </w:r>
      <w:r w:rsidRPr="00A7575B">
        <w:rPr>
          <w:rFonts w:ascii="Times New Roman" w:hAnsi="Times New Roman"/>
        </w:rPr>
        <w:t>.</w:t>
      </w:r>
      <w:r w:rsidRPr="00A7575B">
        <w:rPr>
          <w:rFonts w:ascii="Times New Roman" w:hAnsi="Times New Roman"/>
          <w:color w:val="FF0000"/>
        </w:rPr>
        <w:t xml:space="preserve"> </w:t>
      </w:r>
      <w:r w:rsidRPr="00A7575B">
        <w:rPr>
          <w:rFonts w:ascii="Times New Roman" w:hAnsi="Times New Roman"/>
        </w:rPr>
        <w:t>Celkové</w:t>
      </w:r>
      <w:r w:rsidR="00894D87">
        <w:rPr>
          <w:rFonts w:ascii="Times New Roman" w:hAnsi="Times New Roman"/>
        </w:rPr>
        <w:t xml:space="preserve"> </w:t>
      </w:r>
      <w:r w:rsidRPr="00A7575B">
        <w:rPr>
          <w:rFonts w:ascii="Times New Roman" w:hAnsi="Times New Roman"/>
        </w:rPr>
        <w:t>čerpanie rozpočtu v roku 2016 dosiahlo sumu vo výške</w:t>
      </w:r>
      <w:r w:rsidR="00894D87">
        <w:rPr>
          <w:rFonts w:ascii="Times New Roman" w:hAnsi="Times New Roman"/>
        </w:rPr>
        <w:t xml:space="preserve"> </w:t>
      </w:r>
      <w:r w:rsidRPr="00A7575B">
        <w:rPr>
          <w:rFonts w:ascii="Times New Roman" w:hAnsi="Times New Roman"/>
          <w:b/>
        </w:rPr>
        <w:t>36,5 mil. EUR</w:t>
      </w:r>
      <w:r w:rsidRPr="00A7575B">
        <w:rPr>
          <w:rFonts w:ascii="Times New Roman" w:hAnsi="Times New Roman"/>
        </w:rPr>
        <w:t xml:space="preserve">. Celkové úspory v roku 2016 predstavujú sumu 14,4 mil. EUR. Úspory v rozpočte v roku 2016 </w:t>
      </w:r>
      <w:r w:rsidRPr="00A7575B" w:rsidR="00652C59">
        <w:rPr>
          <w:rFonts w:ascii="Times New Roman" w:hAnsi="Times New Roman"/>
        </w:rPr>
        <w:t>sa dosiahli</w:t>
      </w:r>
      <w:r w:rsidRPr="00A7575B">
        <w:rPr>
          <w:rFonts w:ascii="Times New Roman" w:hAnsi="Times New Roman"/>
        </w:rPr>
        <w:t xml:space="preserve"> najmä z nasledovných dôvodov: </w:t>
      </w:r>
    </w:p>
    <w:p w:rsidR="0059404A" w:rsidRPr="00A7575B" w:rsidP="00A7575B">
      <w:pPr>
        <w:numPr>
          <w:numId w:val="17"/>
        </w:numPr>
        <w:bidi w:val="0"/>
        <w:jc w:val="both"/>
        <w:rPr>
          <w:rFonts w:ascii="Times New Roman" w:hAnsi="Times New Roman"/>
        </w:rPr>
      </w:pPr>
      <w:r w:rsidRPr="00A7575B">
        <w:rPr>
          <w:rFonts w:ascii="Times New Roman" w:hAnsi="Times New Roman"/>
        </w:rPr>
        <w:t>nižšie</w:t>
      </w:r>
      <w:r w:rsidR="00894D87">
        <w:rPr>
          <w:rFonts w:ascii="Times New Roman" w:hAnsi="Times New Roman"/>
        </w:rPr>
        <w:t xml:space="preserve"> </w:t>
      </w:r>
      <w:r w:rsidRPr="00A7575B">
        <w:rPr>
          <w:rFonts w:ascii="Times New Roman" w:hAnsi="Times New Roman"/>
        </w:rPr>
        <w:t>vysúťažené ceny v rámci verejných obstarávaní</w:t>
      </w:r>
      <w:r w:rsidR="00894D87">
        <w:rPr>
          <w:rFonts w:ascii="Times New Roman" w:hAnsi="Times New Roman"/>
        </w:rPr>
        <w:t xml:space="preserve"> </w:t>
      </w:r>
      <w:r w:rsidRPr="00A7575B">
        <w:rPr>
          <w:rFonts w:ascii="Times New Roman" w:hAnsi="Times New Roman"/>
        </w:rPr>
        <w:t xml:space="preserve">ako boli predpokladané hodnoty jednotlivých zákaziek, </w:t>
      </w:r>
    </w:p>
    <w:p w:rsidR="0059404A" w:rsidRPr="00A7575B" w:rsidP="00A7575B">
      <w:pPr>
        <w:numPr>
          <w:numId w:val="17"/>
        </w:numPr>
        <w:bidi w:val="0"/>
        <w:jc w:val="both"/>
        <w:rPr>
          <w:rFonts w:ascii="Times New Roman" w:hAnsi="Times New Roman"/>
        </w:rPr>
      </w:pPr>
      <w:r w:rsidRPr="00A7575B">
        <w:rPr>
          <w:rFonts w:ascii="Times New Roman" w:hAnsi="Times New Roman"/>
        </w:rPr>
        <w:t xml:space="preserve">rámcové zmluvy s dodávateľmi neboli vyčerpané v plnom objeme, </w:t>
      </w:r>
    </w:p>
    <w:p w:rsidR="0059404A" w:rsidRPr="00A7575B" w:rsidP="00A7575B">
      <w:pPr>
        <w:numPr>
          <w:numId w:val="17"/>
        </w:numPr>
        <w:bidi w:val="0"/>
        <w:jc w:val="both"/>
        <w:rPr>
          <w:rFonts w:ascii="Times New Roman" w:hAnsi="Times New Roman"/>
        </w:rPr>
      </w:pPr>
      <w:r w:rsidRPr="00A7575B">
        <w:rPr>
          <w:rFonts w:ascii="Times New Roman" w:hAnsi="Times New Roman"/>
        </w:rPr>
        <w:t>podarilo sa zabezpečiť vyššie spolufinancovanie podujatí európskymi inštitúciami,</w:t>
      </w:r>
    </w:p>
    <w:p w:rsidR="0059404A" w:rsidRPr="00A7575B" w:rsidP="00A7575B">
      <w:pPr>
        <w:numPr>
          <w:numId w:val="17"/>
        </w:numPr>
        <w:bidi w:val="0"/>
        <w:jc w:val="both"/>
        <w:rPr>
          <w:rFonts w:ascii="Times New Roman" w:hAnsi="Times New Roman"/>
        </w:rPr>
      </w:pPr>
      <w:r w:rsidRPr="00A7575B">
        <w:rPr>
          <w:rFonts w:ascii="Times New Roman" w:hAnsi="Times New Roman"/>
        </w:rPr>
        <w:t>efektívne sa využívali štátne konferenčné priestory</w:t>
      </w:r>
      <w:r w:rsidRPr="00A7575B" w:rsidR="00652C59">
        <w:rPr>
          <w:rFonts w:ascii="Times New Roman" w:hAnsi="Times New Roman"/>
        </w:rPr>
        <w:t>,</w:t>
      </w:r>
    </w:p>
    <w:p w:rsidR="0059404A" w:rsidRPr="00A7575B" w:rsidP="00A7575B">
      <w:pPr>
        <w:numPr>
          <w:numId w:val="17"/>
        </w:numPr>
        <w:bidi w:val="0"/>
        <w:jc w:val="both"/>
        <w:rPr>
          <w:rFonts w:ascii="Times New Roman" w:hAnsi="Times New Roman"/>
        </w:rPr>
      </w:pPr>
      <w:r w:rsidRPr="00A7575B">
        <w:rPr>
          <w:rFonts w:ascii="Times New Roman" w:hAnsi="Times New Roman"/>
        </w:rPr>
        <w:t>vytvorením dočasného priameho leteckého spojenia medzi Bratislavou a Bruselom nízko nákladovou spoločnosťou došlo k významným úsporám na letenkách do/z Bruselu</w:t>
      </w:r>
      <w:r w:rsidRPr="00A7575B" w:rsidR="00652C59">
        <w:rPr>
          <w:rFonts w:ascii="Times New Roman" w:hAnsi="Times New Roman"/>
        </w:rPr>
        <w:t>,</w:t>
      </w:r>
    </w:p>
    <w:p w:rsidR="0059404A" w:rsidRPr="00A7575B" w:rsidP="00A7575B">
      <w:pPr>
        <w:numPr>
          <w:numId w:val="17"/>
        </w:numPr>
        <w:bidi w:val="0"/>
        <w:jc w:val="both"/>
        <w:rPr>
          <w:rFonts w:ascii="Times New Roman" w:hAnsi="Times New Roman"/>
        </w:rPr>
      </w:pPr>
      <w:r w:rsidRPr="00A7575B">
        <w:rPr>
          <w:rFonts w:ascii="Times New Roman" w:hAnsi="Times New Roman"/>
        </w:rPr>
        <w:t>MZVaEZ</w:t>
      </w:r>
      <w:r w:rsidRPr="00A7575B" w:rsidR="00652C59">
        <w:rPr>
          <w:rFonts w:ascii="Times New Roman" w:hAnsi="Times New Roman"/>
        </w:rPr>
        <w:t> </w:t>
      </w:r>
      <w:r w:rsidRPr="00A7575B">
        <w:rPr>
          <w:rFonts w:ascii="Times New Roman" w:hAnsi="Times New Roman"/>
        </w:rPr>
        <w:t>SR zapojilo do aktivít SK</w:t>
      </w:r>
      <w:r w:rsidRPr="00A7575B" w:rsidR="00652C59">
        <w:rPr>
          <w:rFonts w:ascii="Times New Roman" w:hAnsi="Times New Roman"/>
        </w:rPr>
        <w:t> </w:t>
      </w:r>
      <w:r w:rsidRPr="00A7575B">
        <w:rPr>
          <w:rFonts w:ascii="Times New Roman" w:hAnsi="Times New Roman"/>
        </w:rPr>
        <w:t>PRES významných sponzorov z rôznych oblastí národného hospodárstva</w:t>
      </w:r>
      <w:r w:rsidRPr="00A7575B" w:rsidR="00652C59">
        <w:rPr>
          <w:rFonts w:ascii="Times New Roman" w:hAnsi="Times New Roman"/>
        </w:rPr>
        <w:t>.</w:t>
      </w:r>
    </w:p>
    <w:p w:rsidR="00636759" w:rsidRPr="00A7575B" w:rsidP="00A7575B">
      <w:pPr>
        <w:bidi w:val="0"/>
        <w:ind w:left="720"/>
        <w:jc w:val="both"/>
        <w:rPr>
          <w:rFonts w:ascii="Times New Roman" w:hAnsi="Times New Roman"/>
        </w:rPr>
      </w:pPr>
    </w:p>
    <w:tbl>
      <w:tblPr>
        <w:tblStyle w:val="TableNormal"/>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1"/>
        <w:gridCol w:w="1092"/>
      </w:tblGrid>
      <w:tr>
        <w:tblPrEx>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ROZPOČET SLOVENSKÉHO PREDSEDNÍCTVA V RADE EÚ V ROKU 2014 (reálne čerpanie)</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b/>
                <w:sz w:val="23"/>
                <w:szCs w:val="23"/>
              </w:rPr>
              <w:t>v mil. EUR</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Personálne zabezpečenie predsedníctva </w:t>
            </w:r>
          </w:p>
          <w:p w:rsidR="00592770" w:rsidRPr="00A7575B" w:rsidP="00A7575B">
            <w:pPr>
              <w:bidi w:val="0"/>
              <w:rPr>
                <w:rFonts w:ascii="Times New Roman" w:hAnsi="Times New Roman"/>
                <w:sz w:val="23"/>
                <w:szCs w:val="23"/>
              </w:rPr>
            </w:pPr>
            <w:r w:rsidRPr="00A7575B">
              <w:rPr>
                <w:rFonts w:ascii="Times New Roman" w:hAnsi="Times New Roman"/>
                <w:i/>
                <w:iCs/>
                <w:sz w:val="23"/>
                <w:szCs w:val="23"/>
              </w:rPr>
              <w:t>Osobné výdavky,</w:t>
            </w:r>
            <w:r>
              <w:rPr>
                <w:rFonts w:ascii="Times New Roman" w:hAnsi="Times New Roman"/>
                <w:i/>
                <w:iCs/>
                <w:sz w:val="23"/>
                <w:szCs w:val="23"/>
              </w:rPr>
              <w:t xml:space="preserve"> </w:t>
            </w:r>
            <w:r w:rsidRPr="00A7575B">
              <w:rPr>
                <w:rFonts w:ascii="Times New Roman" w:hAnsi="Times New Roman"/>
                <w:i/>
                <w:iCs/>
                <w:sz w:val="23"/>
                <w:szCs w:val="23"/>
              </w:rPr>
              <w:t>prenájom bytových priestorov</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 xml:space="preserve">1,5 </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Logistika a bezpečnosť </w:t>
            </w:r>
          </w:p>
          <w:p w:rsidR="00592770" w:rsidRPr="00A7575B" w:rsidP="00A7575B">
            <w:pPr>
              <w:bidi w:val="0"/>
              <w:rPr>
                <w:rFonts w:ascii="Times New Roman" w:hAnsi="Times New Roman"/>
                <w:sz w:val="23"/>
                <w:szCs w:val="23"/>
              </w:rPr>
            </w:pPr>
            <w:r w:rsidRPr="00A7575B">
              <w:rPr>
                <w:rFonts w:ascii="Times New Roman" w:hAnsi="Times New Roman"/>
                <w:i/>
                <w:sz w:val="23"/>
                <w:szCs w:val="23"/>
              </w:rPr>
              <w:t xml:space="preserve">Napr. catering, cestovné, doprava, vybavenie priestorov, bezpečnosť </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0,1</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Administratívno-technické zabezpečenie </w:t>
            </w:r>
          </w:p>
          <w:p w:rsidR="00592770" w:rsidRPr="00A7575B" w:rsidP="00A7575B">
            <w:pPr>
              <w:bidi w:val="0"/>
              <w:rPr>
                <w:rFonts w:ascii="Times New Roman" w:hAnsi="Times New Roman"/>
                <w:i/>
                <w:sz w:val="23"/>
                <w:szCs w:val="23"/>
              </w:rPr>
            </w:pPr>
            <w:r w:rsidRPr="00A7575B">
              <w:rPr>
                <w:rFonts w:ascii="Times New Roman" w:hAnsi="Times New Roman"/>
                <w:i/>
                <w:sz w:val="23"/>
                <w:szCs w:val="23"/>
              </w:rPr>
              <w:t>Napr. telekomunikačné služby, spojovacia technika, PC technika, všeobecný materiál, projektová dokumentácia</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0,2</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Kapitálové výdavky</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0</w:t>
            </w:r>
          </w:p>
        </w:tc>
      </w:tr>
      <w:tr>
        <w:tblPrEx>
          <w:tblW w:w="9183" w:type="dxa"/>
          <w:tblInd w:w="332" w:type="dxa"/>
        </w:tblPrEx>
        <w:trPr>
          <w:trHeight w:val="330"/>
        </w:trPr>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Spolu</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b/>
                <w:sz w:val="23"/>
                <w:szCs w:val="23"/>
              </w:rPr>
              <w:t>1,8</w:t>
            </w:r>
          </w:p>
        </w:tc>
      </w:tr>
    </w:tbl>
    <w:p w:rsidR="00592770">
      <w:pPr>
        <w:bidi w:val="0"/>
        <w:rPr>
          <w:rFonts w:ascii="Times New Roman" w:hAnsi="Times New Roman"/>
        </w:rPr>
      </w:pPr>
    </w:p>
    <w:p w:rsidR="00592770">
      <w:pPr>
        <w:bidi w:val="0"/>
        <w:rPr>
          <w:rFonts w:ascii="Times New Roman" w:hAnsi="Times New Roman"/>
        </w:rPr>
      </w:pPr>
    </w:p>
    <w:tbl>
      <w:tblPr>
        <w:tblStyle w:val="TableNormal"/>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1"/>
        <w:gridCol w:w="1092"/>
      </w:tblGrid>
      <w:tr>
        <w:tblPrEx>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ROZPOČET SLOVENSKÉHO PREDSEDNÍCTVA V RADE EÚ V ROKU 2015 (reálne čerpanie)</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b/>
                <w:sz w:val="23"/>
                <w:szCs w:val="23"/>
              </w:rPr>
              <w:t>v mil. EUR</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Personálne zabezpečenie predsedníctva </w:t>
            </w:r>
          </w:p>
          <w:p w:rsidR="00592770" w:rsidRPr="00A7575B" w:rsidP="00A7575B">
            <w:pPr>
              <w:bidi w:val="0"/>
              <w:rPr>
                <w:rFonts w:ascii="Times New Roman" w:hAnsi="Times New Roman"/>
                <w:sz w:val="23"/>
                <w:szCs w:val="23"/>
              </w:rPr>
            </w:pPr>
            <w:r w:rsidRPr="00A7575B">
              <w:rPr>
                <w:rFonts w:ascii="Times New Roman" w:hAnsi="Times New Roman"/>
                <w:i/>
                <w:iCs/>
                <w:sz w:val="23"/>
                <w:szCs w:val="23"/>
              </w:rPr>
              <w:t>Osobné výdavky, prenájom bytových priestorov</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5,55</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Logistika a bezpečnosť</w:t>
            </w:r>
          </w:p>
          <w:p w:rsidR="00592770" w:rsidRPr="00A7575B" w:rsidP="00A7575B">
            <w:pPr>
              <w:bidi w:val="0"/>
              <w:rPr>
                <w:rFonts w:ascii="Times New Roman" w:hAnsi="Times New Roman"/>
                <w:sz w:val="23"/>
                <w:szCs w:val="23"/>
              </w:rPr>
            </w:pPr>
            <w:r w:rsidRPr="00A7575B">
              <w:rPr>
                <w:rFonts w:ascii="Times New Roman" w:hAnsi="Times New Roman"/>
                <w:i/>
                <w:sz w:val="23"/>
                <w:szCs w:val="23"/>
              </w:rPr>
              <w:t>Napr. catering, cestovné, doprava, konferenčné služby a vybavenie, bezpečnosť</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1,12</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Kultúrno-mediálna prezentácia</w:t>
            </w:r>
          </w:p>
          <w:p w:rsidR="00592770" w:rsidRPr="00A7575B" w:rsidP="00A7575B">
            <w:pPr>
              <w:bidi w:val="0"/>
              <w:rPr>
                <w:rFonts w:ascii="Times New Roman" w:hAnsi="Times New Roman"/>
                <w:sz w:val="23"/>
                <w:szCs w:val="23"/>
              </w:rPr>
            </w:pPr>
            <w:r w:rsidRPr="00A7575B">
              <w:rPr>
                <w:rFonts w:ascii="Times New Roman" w:hAnsi="Times New Roman"/>
                <w:i/>
                <w:sz w:val="23"/>
                <w:szCs w:val="23"/>
              </w:rPr>
              <w:t>Napr. dary, propagačné predmety, kultúra, mediálne služby, vizuálna prezentácia</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0,28</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Administratívno-technické zabezpečenie</w:t>
            </w:r>
          </w:p>
          <w:p w:rsidR="00592770" w:rsidRPr="00A7575B" w:rsidP="00A7575B">
            <w:pPr>
              <w:bidi w:val="0"/>
              <w:rPr>
                <w:rFonts w:ascii="Times New Roman" w:hAnsi="Times New Roman"/>
                <w:sz w:val="23"/>
                <w:szCs w:val="23"/>
              </w:rPr>
            </w:pPr>
            <w:r w:rsidRPr="00A7575B">
              <w:rPr>
                <w:rFonts w:ascii="Times New Roman" w:hAnsi="Times New Roman"/>
                <w:i/>
                <w:sz w:val="23"/>
                <w:szCs w:val="23"/>
              </w:rPr>
              <w:t>Napr. zariadenia, spojovacia technika, telekomunikačné služby, polygrafické služby, PC technika, všeobecný materiál</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1,61</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Vzdelávanie a odborná príprava</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0,04</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i/>
                <w:sz w:val="23"/>
                <w:szCs w:val="23"/>
              </w:rPr>
            </w:pPr>
            <w:r w:rsidRPr="00A7575B">
              <w:rPr>
                <w:rFonts w:ascii="Times New Roman" w:hAnsi="Times New Roman"/>
                <w:sz w:val="23"/>
                <w:szCs w:val="23"/>
              </w:rPr>
              <w:t>Kapitálové výdavky</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sz w:val="23"/>
                <w:szCs w:val="23"/>
              </w:rPr>
            </w:pPr>
            <w:r w:rsidRPr="00A7575B">
              <w:rPr>
                <w:rFonts w:ascii="Times New Roman" w:hAnsi="Times New Roman"/>
                <w:sz w:val="23"/>
                <w:szCs w:val="23"/>
              </w:rPr>
              <w:t>3,80</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Spolu</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592770" w:rsidP="00592770">
            <w:pPr>
              <w:bidi w:val="0"/>
              <w:ind w:right="113"/>
              <w:jc w:val="right"/>
              <w:rPr>
                <w:rFonts w:ascii="Times New Roman" w:hAnsi="Times New Roman"/>
                <w:b/>
                <w:sz w:val="23"/>
                <w:szCs w:val="23"/>
              </w:rPr>
            </w:pPr>
            <w:r w:rsidRPr="00592770">
              <w:rPr>
                <w:rFonts w:ascii="Times New Roman" w:hAnsi="Times New Roman"/>
                <w:b/>
                <w:sz w:val="23"/>
                <w:szCs w:val="23"/>
              </w:rPr>
              <w:t>12,40</w:t>
            </w:r>
          </w:p>
        </w:tc>
      </w:tr>
    </w:tbl>
    <w:p w:rsidR="00592770">
      <w:pPr>
        <w:bidi w:val="0"/>
        <w:rPr>
          <w:rFonts w:ascii="Times New Roman" w:hAnsi="Times New Roman"/>
        </w:rPr>
      </w:pPr>
    </w:p>
    <w:p w:rsidR="00592770">
      <w:pPr>
        <w:bidi w:val="0"/>
        <w:rPr>
          <w:rFonts w:ascii="Times New Roman" w:hAnsi="Times New Roman"/>
        </w:rPr>
      </w:pPr>
    </w:p>
    <w:tbl>
      <w:tblPr>
        <w:tblStyle w:val="TableNormal"/>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1"/>
        <w:gridCol w:w="1092"/>
      </w:tblGrid>
      <w:tr>
        <w:tblPrEx>
          <w:tblW w:w="91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ROZPOČET SLOVENSKÉHO PREDSEDNÍCTVA V RADE EÚ V ROKU 2016 (reálne čerpanie)</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b/>
                <w:sz w:val="23"/>
                <w:szCs w:val="23"/>
              </w:rPr>
              <w:t>v mil. EUR</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Personálne zabezpečenie predsedníctva </w:t>
            </w:r>
          </w:p>
          <w:p w:rsidR="00592770" w:rsidRPr="00A7575B" w:rsidP="00A7575B">
            <w:pPr>
              <w:bidi w:val="0"/>
              <w:rPr>
                <w:rFonts w:ascii="Times New Roman" w:hAnsi="Times New Roman"/>
                <w:sz w:val="23"/>
                <w:szCs w:val="23"/>
              </w:rPr>
            </w:pPr>
            <w:r w:rsidRPr="00A7575B">
              <w:rPr>
                <w:rFonts w:ascii="Times New Roman" w:hAnsi="Times New Roman"/>
                <w:i/>
                <w:iCs/>
                <w:sz w:val="23"/>
                <w:szCs w:val="23"/>
              </w:rPr>
              <w:t>Osobné výdavky, prenájom bytových priestorov</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13,90</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Logistika a bezpečnosť</w:t>
            </w:r>
          </w:p>
          <w:p w:rsidR="00592770" w:rsidRPr="00A7575B" w:rsidP="00A7575B">
            <w:pPr>
              <w:bidi w:val="0"/>
              <w:rPr>
                <w:rFonts w:ascii="Times New Roman" w:hAnsi="Times New Roman"/>
                <w:sz w:val="23"/>
                <w:szCs w:val="23"/>
              </w:rPr>
            </w:pPr>
            <w:r w:rsidRPr="00A7575B">
              <w:rPr>
                <w:rFonts w:ascii="Times New Roman" w:hAnsi="Times New Roman"/>
                <w:i/>
                <w:sz w:val="23"/>
                <w:szCs w:val="23"/>
              </w:rPr>
              <w:t>Napr. catering, cestovné doprava, konferenčné služby a vybavenie, ubytovanie, tlmočenie, akreditácia, prenájom priestorov, bezpečnosť, sprievodný program</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 xml:space="preserve">11,69 </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Kultúrno-mediálna prezentácia</w:t>
            </w:r>
          </w:p>
          <w:p w:rsidR="00592770" w:rsidRPr="00A7575B" w:rsidP="00A7575B">
            <w:pPr>
              <w:bidi w:val="0"/>
              <w:rPr>
                <w:rFonts w:ascii="Times New Roman" w:hAnsi="Times New Roman"/>
                <w:i/>
                <w:sz w:val="23"/>
                <w:szCs w:val="23"/>
              </w:rPr>
            </w:pPr>
            <w:r w:rsidRPr="00A7575B">
              <w:rPr>
                <w:rFonts w:ascii="Times New Roman" w:hAnsi="Times New Roman"/>
                <w:i/>
                <w:sz w:val="23"/>
                <w:szCs w:val="23"/>
              </w:rPr>
              <w:t>Napr. dary, propagačné predmety, kultúrne podujatia, mediálne služby, sprievodný program k podujatiam, spolupráca s MVO, školami a samosprávami</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5,35</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 xml:space="preserve">Administratívno-technické zabezpečenie </w:t>
            </w:r>
          </w:p>
          <w:p w:rsidR="00592770" w:rsidRPr="00A7575B" w:rsidP="00A7575B">
            <w:pPr>
              <w:bidi w:val="0"/>
              <w:rPr>
                <w:rFonts w:ascii="Times New Roman" w:hAnsi="Times New Roman"/>
                <w:i/>
                <w:sz w:val="23"/>
                <w:szCs w:val="23"/>
              </w:rPr>
            </w:pPr>
            <w:r w:rsidRPr="00A7575B">
              <w:rPr>
                <w:rFonts w:ascii="Times New Roman" w:hAnsi="Times New Roman"/>
                <w:i/>
                <w:sz w:val="23"/>
                <w:szCs w:val="23"/>
              </w:rPr>
              <w:t>Napr. informačné systémy a siete, spojovacia technika, telekomunikačné služby, polygrafické služby, režijné výdavky, PC technika, všeobecný materiál, projektová dokumentácia</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5,25</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i/>
                <w:sz w:val="23"/>
                <w:szCs w:val="23"/>
              </w:rPr>
            </w:pPr>
            <w:r w:rsidRPr="00A7575B">
              <w:rPr>
                <w:rFonts w:ascii="Times New Roman" w:hAnsi="Times New Roman"/>
                <w:sz w:val="23"/>
                <w:szCs w:val="23"/>
              </w:rPr>
              <w:t>Vzdelávanie a odborná príprava</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0,08</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DAEEF3"/>
            <w:textDirection w:val="lrTb"/>
            <w:vAlign w:val="center"/>
          </w:tcPr>
          <w:p w:rsidR="00592770" w:rsidRPr="00A7575B" w:rsidP="00A7575B">
            <w:pPr>
              <w:bidi w:val="0"/>
              <w:rPr>
                <w:rFonts w:ascii="Times New Roman" w:hAnsi="Times New Roman"/>
                <w:sz w:val="23"/>
                <w:szCs w:val="23"/>
              </w:rPr>
            </w:pPr>
            <w:r w:rsidRPr="00A7575B">
              <w:rPr>
                <w:rFonts w:ascii="Times New Roman" w:hAnsi="Times New Roman"/>
                <w:sz w:val="23"/>
                <w:szCs w:val="23"/>
              </w:rPr>
              <w:t>Kapitálové výdavky</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sz w:val="23"/>
                <w:szCs w:val="23"/>
              </w:rPr>
              <w:t>0,24</w:t>
            </w:r>
          </w:p>
        </w:tc>
      </w:tr>
      <w:tr>
        <w:tblPrEx>
          <w:tblW w:w="9183" w:type="dxa"/>
          <w:tblInd w:w="332" w:type="dxa"/>
          <w:tblLook w:val="04A0"/>
        </w:tblPrEx>
        <w:tc>
          <w:tcPr>
            <w:tcW w:w="8091"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A7575B">
            <w:pPr>
              <w:bidi w:val="0"/>
              <w:rPr>
                <w:rFonts w:ascii="Times New Roman" w:hAnsi="Times New Roman"/>
                <w:b/>
                <w:sz w:val="23"/>
                <w:szCs w:val="23"/>
              </w:rPr>
            </w:pPr>
            <w:r w:rsidRPr="00A7575B">
              <w:rPr>
                <w:rFonts w:ascii="Times New Roman" w:hAnsi="Times New Roman"/>
                <w:b/>
                <w:sz w:val="23"/>
                <w:szCs w:val="23"/>
              </w:rPr>
              <w:t>Spolu</w:t>
            </w:r>
          </w:p>
        </w:tc>
        <w:tc>
          <w:tcPr>
            <w:tcW w:w="1092" w:type="dxa"/>
            <w:tcBorders>
              <w:top w:val="single" w:sz="4" w:space="0" w:color="auto"/>
              <w:left w:val="single" w:sz="4" w:space="0" w:color="auto"/>
              <w:bottom w:val="single" w:sz="4" w:space="0" w:color="auto"/>
              <w:right w:val="single" w:sz="4" w:space="0" w:color="auto"/>
            </w:tcBorders>
            <w:shd w:val="clear" w:color="auto" w:fill="92CDDC"/>
            <w:textDirection w:val="lrTb"/>
            <w:vAlign w:val="center"/>
          </w:tcPr>
          <w:p w:rsidR="00592770" w:rsidRPr="00A7575B" w:rsidP="00592770">
            <w:pPr>
              <w:bidi w:val="0"/>
              <w:ind w:right="113"/>
              <w:jc w:val="right"/>
              <w:rPr>
                <w:rFonts w:ascii="Times New Roman" w:hAnsi="Times New Roman"/>
                <w:b/>
                <w:sz w:val="23"/>
                <w:szCs w:val="23"/>
              </w:rPr>
            </w:pPr>
            <w:r w:rsidRPr="00A7575B">
              <w:rPr>
                <w:rFonts w:ascii="Times New Roman" w:hAnsi="Times New Roman"/>
                <w:b/>
                <w:sz w:val="23"/>
                <w:szCs w:val="23"/>
              </w:rPr>
              <w:t>36,51</w:t>
            </w:r>
          </w:p>
        </w:tc>
      </w:tr>
    </w:tbl>
    <w:p w:rsidR="00A7575B" w:rsidRPr="00A7575B" w:rsidP="0059404A">
      <w:pPr>
        <w:bidi w:val="0"/>
        <w:jc w:val="both"/>
        <w:rPr>
          <w:rFonts w:ascii="Times New Roman" w:hAnsi="Times New Roman"/>
          <w:i/>
          <w:sz w:val="10"/>
          <w:szCs w:val="10"/>
        </w:rPr>
      </w:pPr>
    </w:p>
    <w:p w:rsidR="0059404A" w:rsidRPr="0059404A" w:rsidP="0059404A">
      <w:pPr>
        <w:bidi w:val="0"/>
        <w:jc w:val="both"/>
        <w:rPr>
          <w:rFonts w:ascii="Times New Roman" w:hAnsi="Times New Roman"/>
          <w:b/>
          <w:i/>
          <w:sz w:val="22"/>
          <w:szCs w:val="22"/>
          <w:u w:val="single"/>
          <w:lang w:val="x-none" w:eastAsia="x-none"/>
        </w:rPr>
      </w:pPr>
      <w:r w:rsidRPr="0059404A">
        <w:rPr>
          <w:rFonts w:ascii="Times New Roman" w:hAnsi="Times New Roman"/>
          <w:i/>
          <w:sz w:val="22"/>
          <w:szCs w:val="22"/>
        </w:rPr>
        <w:t>Pozn.: Číselné údaje za rok 2016 môžu podliehať zmenám v súvislosti s účtovnou závierkou</w:t>
      </w:r>
    </w:p>
    <w:p w:rsidR="009F52F2" w:rsidP="00B839A0">
      <w:pPr>
        <w:bidi w:val="0"/>
        <w:jc w:val="both"/>
        <w:rPr>
          <w:rFonts w:ascii="Times New Roman" w:hAnsi="Times New Roman"/>
          <w:b/>
          <w:i/>
          <w:lang w:eastAsia="x-none"/>
        </w:rPr>
      </w:pPr>
    </w:p>
    <w:p w:rsidR="00B839A0" w:rsidRPr="0063748E" w:rsidP="00B839A0">
      <w:pPr>
        <w:bidi w:val="0"/>
        <w:jc w:val="both"/>
        <w:rPr>
          <w:rFonts w:ascii="Times New Roman" w:hAnsi="Times New Roman"/>
          <w:b/>
          <w:i/>
          <w:lang w:eastAsia="x-none"/>
        </w:rPr>
      </w:pPr>
      <w:r w:rsidRPr="0063748E">
        <w:rPr>
          <w:rFonts w:ascii="Times New Roman" w:hAnsi="Times New Roman"/>
          <w:b/>
          <w:i/>
          <w:lang w:val="x-none" w:eastAsia="x-none"/>
        </w:rPr>
        <w:t>Rozpočet výdavkov na rok 2017</w:t>
      </w:r>
      <w:r w:rsidRPr="0063748E">
        <w:rPr>
          <w:rFonts w:ascii="Times New Roman" w:hAnsi="Times New Roman"/>
          <w:b/>
          <w:i/>
          <w:lang w:eastAsia="x-none"/>
        </w:rPr>
        <w:t xml:space="preserve"> – </w:t>
      </w:r>
      <w:r w:rsidRPr="0063748E">
        <w:rPr>
          <w:rFonts w:ascii="Times New Roman" w:hAnsi="Times New Roman"/>
          <w:b/>
          <w:i/>
          <w:lang w:val="x-none" w:eastAsia="x-none"/>
        </w:rPr>
        <w:t>3,767 mil. EUR</w:t>
      </w:r>
      <w:r w:rsidRPr="0063748E">
        <w:rPr>
          <w:rFonts w:ascii="Times New Roman" w:hAnsi="Times New Roman"/>
          <w:b/>
          <w:i/>
          <w:lang w:eastAsia="x-none"/>
        </w:rPr>
        <w:t xml:space="preserve"> </w:t>
      </w:r>
    </w:p>
    <w:p w:rsidR="00B839A0" w:rsidRPr="0063748E" w:rsidP="00B839A0">
      <w:pPr>
        <w:bidi w:val="0"/>
        <w:jc w:val="both"/>
        <w:rPr>
          <w:rFonts w:ascii="Times New Roman" w:hAnsi="Times New Roman"/>
          <w:lang w:val="x-none" w:eastAsia="x-none"/>
        </w:rPr>
      </w:pPr>
      <w:r w:rsidRPr="0063748E">
        <w:rPr>
          <w:rFonts w:ascii="Times New Roman" w:hAnsi="Times New Roman"/>
          <w:lang w:val="x-none" w:eastAsia="x-none"/>
        </w:rPr>
        <w:t xml:space="preserve">V roku 2017 sú predbežne plánované výdavky na úhradu faktúr vyplývajúcich z vyúčtovania služieb poskytnutých do konca roka 2016. V oblasti osobných výdavkov dôjde k postupnému ukončeniu pôsobenia zamestnancov v zahraničí a v ústredí na miestach dočasne vytvorených </w:t>
      </w:r>
      <w:r w:rsidRPr="0063748E">
        <w:rPr>
          <w:rFonts w:ascii="Times New Roman" w:hAnsi="Times New Roman"/>
          <w:lang w:eastAsia="x-none"/>
        </w:rPr>
        <w:t>pre</w:t>
      </w:r>
      <w:r w:rsidRPr="0063748E">
        <w:rPr>
          <w:rFonts w:ascii="Times New Roman" w:hAnsi="Times New Roman"/>
          <w:lang w:val="x-none" w:eastAsia="x-none"/>
        </w:rPr>
        <w:t xml:space="preserve"> účely SK PRES. V súvislosti s pomocou, ktorú poskytujeme v rámci spolupráce s krajinami Tria, MZVaEZ SR očakáva vznik výdavkov aj z titulu zastupovania Malty v dohodnutých pracovných skupinách a výboroch Rady EÚ (pôdohospodárstvo, energetika, </w:t>
      </w:r>
      <w:r w:rsidRPr="00592770" w:rsidR="00592770">
        <w:rPr>
          <w:rFonts w:ascii="Times New Roman" w:hAnsi="Times New Roman"/>
          <w:lang w:val="x-none" w:eastAsia="x-none"/>
        </w:rPr>
        <w:t>obchod</w:t>
      </w:r>
      <w:r w:rsidR="00592770">
        <w:rPr>
          <w:rFonts w:ascii="Times New Roman" w:hAnsi="Times New Roman"/>
          <w:lang w:eastAsia="x-none"/>
        </w:rPr>
        <w:t xml:space="preserve">, </w:t>
      </w:r>
      <w:r w:rsidRPr="0063748E">
        <w:rPr>
          <w:rFonts w:ascii="Times New Roman" w:hAnsi="Times New Roman"/>
          <w:lang w:val="x-none" w:eastAsia="x-none"/>
        </w:rPr>
        <w:t xml:space="preserve">životné prostredie) počas jej predsedníctva v 1. polroku 2017. </w:t>
      </w:r>
    </w:p>
    <w:p w:rsidR="00C364CB" w:rsidRPr="0063748E" w:rsidP="00B839A0">
      <w:pPr>
        <w:bidi w:val="0"/>
        <w:jc w:val="both"/>
        <w:rPr>
          <w:rFonts w:ascii="Times New Roman" w:hAnsi="Times New Roman"/>
          <w:b/>
          <w:u w:val="single"/>
        </w:rPr>
      </w:pPr>
    </w:p>
    <w:p w:rsidR="00B839A0" w:rsidRPr="0063748E" w:rsidP="00894D87">
      <w:pPr>
        <w:pStyle w:val="SpravaSKPRESnadpis2"/>
        <w:bidi w:val="0"/>
        <w:rPr>
          <w:rFonts w:ascii="Times New Roman" w:hAnsi="Times New Roman"/>
        </w:rPr>
      </w:pPr>
      <w:bookmarkStart w:id="18" w:name="_Toc473045060"/>
      <w:bookmarkStart w:id="19" w:name="_Toc475948622"/>
      <w:r w:rsidRPr="0063748E">
        <w:rPr>
          <w:rFonts w:ascii="Times New Roman" w:hAnsi="Times New Roman"/>
        </w:rPr>
        <w:t>Manažment ľudských zdrojov</w:t>
      </w:r>
      <w:bookmarkEnd w:id="18"/>
      <w:bookmarkEnd w:id="19"/>
    </w:p>
    <w:p w:rsidR="00B839A0" w:rsidRPr="0063748E" w:rsidP="00B839A0">
      <w:pPr>
        <w:bidi w:val="0"/>
        <w:jc w:val="both"/>
        <w:rPr>
          <w:rFonts w:ascii="Times New Roman" w:hAnsi="Times New Roman"/>
        </w:rPr>
      </w:pPr>
    </w:p>
    <w:p w:rsidR="00B839A0" w:rsidRPr="0063748E" w:rsidP="00B839A0">
      <w:pPr>
        <w:bidi w:val="0"/>
        <w:jc w:val="both"/>
        <w:rPr>
          <w:rFonts w:ascii="Times New Roman" w:hAnsi="Times New Roman"/>
        </w:rPr>
      </w:pPr>
      <w:r w:rsidRPr="0063748E">
        <w:rPr>
          <w:rFonts w:ascii="Times New Roman" w:hAnsi="Times New Roman"/>
        </w:rPr>
        <w:t xml:space="preserve">Kľúčovým faktorom úspešného výkonu predsedníckych úloh je dostatočná a dobre pripravená odborná a organizačná kapacita štátnej správy. V súvislosti s prípravou a výkonom SK PRES a s tým súvisiacim nárastom predsedníckej agendy boli ministerstvá a ústredné orgány štátnej správy posilnené </w:t>
      </w:r>
      <w:r w:rsidRPr="0063748E">
        <w:rPr>
          <w:rFonts w:ascii="Times New Roman" w:hAnsi="Times New Roman"/>
          <w:b/>
        </w:rPr>
        <w:t>celkovo o 194 zamestnancov</w:t>
      </w:r>
      <w:r w:rsidRPr="0063748E">
        <w:rPr>
          <w:rFonts w:ascii="Times New Roman" w:hAnsi="Times New Roman"/>
        </w:rPr>
        <w:t>. Ide predovšetkým o expertov, ktorí sa venujú prioritným obsahovým témam v jednotlivých sektorálnych agendách EÚ, riešia logistické úlohy v</w:t>
      </w:r>
      <w:r w:rsidR="00A7575B">
        <w:rPr>
          <w:rFonts w:ascii="Times New Roman" w:hAnsi="Times New Roman"/>
        </w:rPr>
        <w:t> </w:t>
      </w:r>
      <w:r w:rsidRPr="0063748E">
        <w:rPr>
          <w:rFonts w:ascii="Times New Roman" w:hAnsi="Times New Roman"/>
        </w:rPr>
        <w:t>súvislosti s prípravou podujatí a poskytujú podporu predsedom pracovných skupín v ústredí a</w:t>
      </w:r>
      <w:r w:rsidR="00A7575B">
        <w:rPr>
          <w:rFonts w:ascii="Times New Roman" w:hAnsi="Times New Roman"/>
        </w:rPr>
        <w:t> </w:t>
      </w:r>
      <w:r w:rsidRPr="0063748E">
        <w:rPr>
          <w:rFonts w:ascii="Times New Roman" w:hAnsi="Times New Roman"/>
        </w:rPr>
        <w:t>diplomatom na SZ SR pri EÚ v Bruseli.</w:t>
      </w:r>
    </w:p>
    <w:p w:rsidR="00B839A0" w:rsidRPr="0063748E" w:rsidP="00B839A0">
      <w:pPr>
        <w:bidi w:val="0"/>
        <w:jc w:val="both"/>
        <w:rPr>
          <w:rFonts w:ascii="Times New Roman" w:hAnsi="Times New Roman"/>
        </w:rPr>
      </w:pPr>
    </w:p>
    <w:p w:rsidR="00FC1B1E" w:rsidP="00FC1B1E">
      <w:pPr>
        <w:bidi w:val="0"/>
        <w:jc w:val="both"/>
        <w:rPr>
          <w:rFonts w:ascii="Times New Roman" w:hAnsi="Times New Roman"/>
        </w:rPr>
      </w:pPr>
      <w:r w:rsidRPr="0063748E">
        <w:rPr>
          <w:rFonts w:ascii="Times New Roman" w:hAnsi="Times New Roman"/>
        </w:rPr>
        <w:t xml:space="preserve">Vzhľadom na to, že </w:t>
      </w:r>
      <w:r w:rsidRPr="0063748E">
        <w:rPr>
          <w:rFonts w:ascii="Times New Roman" w:hAnsi="Times New Roman"/>
          <w:b/>
        </w:rPr>
        <w:t>MZVaEZ SR</w:t>
      </w:r>
      <w:r w:rsidRPr="0063748E">
        <w:rPr>
          <w:rFonts w:ascii="Times New Roman" w:hAnsi="Times New Roman"/>
        </w:rPr>
        <w:t xml:space="preserve"> zohrávalo rolu hlavného koordinátora SK PRES, najvýraznejšie posilnenie sa uskutočnilo v tomto rezorte, a to v počte </w:t>
      </w:r>
      <w:r w:rsidRPr="0063748E">
        <w:rPr>
          <w:rFonts w:ascii="Times New Roman" w:hAnsi="Times New Roman"/>
          <w:b/>
        </w:rPr>
        <w:t>76 miest</w:t>
      </w:r>
      <w:r>
        <w:rPr>
          <w:rFonts w:ascii="Times New Roman" w:hAnsi="Times New Roman"/>
          <w:b/>
        </w:rPr>
        <w:t xml:space="preserve"> </w:t>
      </w:r>
      <w:r w:rsidRPr="00592770">
        <w:rPr>
          <w:rFonts w:ascii="Times New Roman" w:hAnsi="Times New Roman"/>
        </w:rPr>
        <w:t>(plánovaná systemizácia bola nastavená v počte 96 miest)</w:t>
      </w:r>
      <w:r w:rsidRPr="0063748E">
        <w:rPr>
          <w:rFonts w:ascii="Times New Roman" w:hAnsi="Times New Roman"/>
        </w:rPr>
        <w:t xml:space="preserve">. Od 1.1.2015 bol vytvorený Sekretariát predsedníctva SR v Rade EÚ, ktorý bol hlavným plánovacím, koordinačným a iniciatívnym orgánom ministerstva pre účely príprav a výkonu predsedníctva SR v Rade EÚ v roku 2016 a v rámci svojej pôsobnosti koordinoval prípravu SK PRES s ÚOŠS SR, ktoré boli do prípravy a výkonu SK PRES zapojené. </w:t>
      </w:r>
    </w:p>
    <w:p w:rsidR="00A87F6A" w:rsidRPr="00A7575B" w:rsidP="00B839A0">
      <w:pPr>
        <w:bidi w:val="0"/>
        <w:jc w:val="both"/>
        <w:rPr>
          <w:rFonts w:ascii="Times New Roman" w:hAnsi="Times New Roman"/>
          <w:sz w:val="14"/>
          <w:szCs w:val="14"/>
        </w:rPr>
      </w:pPr>
    </w:p>
    <w:tbl>
      <w:tblPr>
        <w:tblStyle w:val="TableNormal"/>
        <w:tblW w:w="9144" w:type="dxa"/>
        <w:jc w:val="center"/>
        <w:tblCellMar>
          <w:left w:w="70" w:type="dxa"/>
          <w:right w:w="70" w:type="dxa"/>
        </w:tblCellMar>
        <w:tblLook w:val="04A0"/>
      </w:tblPr>
      <w:tblGrid>
        <w:gridCol w:w="4858"/>
        <w:gridCol w:w="1032"/>
        <w:gridCol w:w="1056"/>
        <w:gridCol w:w="1134"/>
        <w:gridCol w:w="1064"/>
      </w:tblGrid>
      <w:tr>
        <w:tblPrEx>
          <w:tblW w:w="9144" w:type="dxa"/>
          <w:jc w:val="center"/>
          <w:tblCellMar>
            <w:left w:w="70" w:type="dxa"/>
            <w:right w:w="70" w:type="dxa"/>
          </w:tblCellMar>
          <w:tblLook w:val="04A0"/>
        </w:tblPrEx>
        <w:trPr>
          <w:trHeight w:val="315"/>
          <w:jc w:val="center"/>
        </w:trPr>
        <w:tc>
          <w:tcPr>
            <w:tcW w:w="4858" w:type="dxa"/>
            <w:vMerge w:val="restart"/>
            <w:tcBorders>
              <w:top w:val="single" w:sz="8" w:space="0" w:color="auto"/>
              <w:left w:val="single" w:sz="8" w:space="0" w:color="auto"/>
              <w:bottom w:val="single" w:sz="8" w:space="0" w:color="000000"/>
              <w:right w:val="single" w:sz="8" w:space="0" w:color="auto"/>
            </w:tcBorders>
            <w:shd w:val="clear" w:color="000000" w:fill="538DD5"/>
            <w:noWrap/>
            <w:textDirection w:val="lrTb"/>
            <w:vAlign w:val="center"/>
            <w:hideMark/>
          </w:tcPr>
          <w:p w:rsidR="00B839A0" w:rsidRPr="00A7575B" w:rsidP="00A7575B">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REZORT</w:t>
            </w:r>
          </w:p>
        </w:tc>
        <w:tc>
          <w:tcPr>
            <w:tcW w:w="4286" w:type="dxa"/>
            <w:gridSpan w:val="4"/>
            <w:tcBorders>
              <w:top w:val="single" w:sz="8" w:space="0" w:color="auto"/>
              <w:left w:val="nil"/>
              <w:bottom w:val="single" w:sz="8" w:space="0" w:color="auto"/>
              <w:right w:val="single" w:sz="8" w:space="0" w:color="000000"/>
            </w:tcBorders>
            <w:shd w:val="clear" w:color="000000" w:fill="538DD5"/>
            <w:noWrap/>
            <w:textDirection w:val="lrTb"/>
            <w:vAlign w:val="center"/>
            <w:hideMark/>
          </w:tcPr>
          <w:p w:rsidR="00B839A0" w:rsidRPr="00A7575B" w:rsidP="00A7575B">
            <w:pPr>
              <w:bidi w:val="0"/>
              <w:jc w:val="center"/>
              <w:rPr>
                <w:rFonts w:ascii="Times New Roman" w:hAnsi="Times New Roman"/>
                <w:b/>
                <w:bCs/>
                <w:sz w:val="23"/>
                <w:szCs w:val="23"/>
              </w:rPr>
            </w:pPr>
            <w:r w:rsidRPr="00A7575B">
              <w:rPr>
                <w:rFonts w:ascii="Times New Roman" w:hAnsi="Times New Roman"/>
                <w:b/>
                <w:bCs/>
                <w:sz w:val="23"/>
                <w:szCs w:val="23"/>
              </w:rPr>
              <w:t>POSILNENIE</w:t>
            </w:r>
          </w:p>
        </w:tc>
      </w:tr>
      <w:tr>
        <w:tblPrEx>
          <w:tblW w:w="9144" w:type="dxa"/>
          <w:jc w:val="center"/>
          <w:tblCellMar>
            <w:left w:w="70" w:type="dxa"/>
            <w:right w:w="70" w:type="dxa"/>
          </w:tblCellMar>
          <w:tblLook w:val="04A0"/>
        </w:tblPrEx>
        <w:trPr>
          <w:trHeight w:val="315"/>
          <w:jc w:val="center"/>
        </w:trPr>
        <w:tc>
          <w:tcPr>
            <w:tcW w:w="4858" w:type="dxa"/>
            <w:vMerge/>
            <w:tcBorders>
              <w:top w:val="single" w:sz="8" w:space="0" w:color="auto"/>
              <w:left w:val="single" w:sz="8" w:space="0" w:color="auto"/>
              <w:bottom w:val="single" w:sz="8" w:space="0" w:color="000000"/>
              <w:right w:val="single" w:sz="8" w:space="0" w:color="auto"/>
            </w:tcBorders>
            <w:textDirection w:val="lrTb"/>
            <w:vAlign w:val="center"/>
            <w:hideMark/>
          </w:tcPr>
          <w:p w:rsidR="00B839A0" w:rsidRPr="00A7575B" w:rsidP="00A7575B">
            <w:pPr>
              <w:bidi w:val="0"/>
              <w:rPr>
                <w:rFonts w:ascii="Times New Roman" w:hAnsi="Times New Roman"/>
                <w:b/>
                <w:bCs/>
                <w:color w:val="000000"/>
                <w:sz w:val="23"/>
                <w:szCs w:val="23"/>
              </w:rPr>
            </w:pPr>
          </w:p>
        </w:tc>
        <w:tc>
          <w:tcPr>
            <w:tcW w:w="1032" w:type="dxa"/>
            <w:tcBorders>
              <w:top w:val="nil"/>
              <w:left w:val="nil"/>
              <w:bottom w:val="single" w:sz="8" w:space="0" w:color="auto"/>
              <w:right w:val="nil"/>
            </w:tcBorders>
            <w:shd w:val="clear" w:color="000000" w:fill="B8CCE4"/>
            <w:noWrap/>
            <w:textDirection w:val="lrTb"/>
            <w:vAlign w:val="center"/>
            <w:hideMark/>
          </w:tcPr>
          <w:p w:rsidR="00B839A0" w:rsidRPr="00A7575B" w:rsidP="00A7575B">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2014</w:t>
            </w:r>
          </w:p>
        </w:tc>
        <w:tc>
          <w:tcPr>
            <w:tcW w:w="1056" w:type="dxa"/>
            <w:tcBorders>
              <w:top w:val="nil"/>
              <w:left w:val="single" w:sz="8" w:space="0" w:color="auto"/>
              <w:bottom w:val="single" w:sz="8" w:space="0" w:color="auto"/>
              <w:right w:val="single" w:sz="8" w:space="0" w:color="auto"/>
            </w:tcBorders>
            <w:shd w:val="clear" w:color="000000" w:fill="B8CCE4"/>
            <w:noWrap/>
            <w:textDirection w:val="lrTb"/>
            <w:vAlign w:val="center"/>
            <w:hideMark/>
          </w:tcPr>
          <w:p w:rsidR="00B839A0" w:rsidRPr="00A7575B" w:rsidP="00A7575B">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2015</w:t>
            </w:r>
          </w:p>
        </w:tc>
        <w:tc>
          <w:tcPr>
            <w:tcW w:w="1134" w:type="dxa"/>
            <w:tcBorders>
              <w:top w:val="nil"/>
              <w:left w:val="nil"/>
              <w:bottom w:val="single" w:sz="8" w:space="0" w:color="auto"/>
              <w:right w:val="nil"/>
            </w:tcBorders>
            <w:shd w:val="clear" w:color="000000" w:fill="B8CCE4"/>
            <w:noWrap/>
            <w:textDirection w:val="lrTb"/>
            <w:vAlign w:val="center"/>
            <w:hideMark/>
          </w:tcPr>
          <w:p w:rsidR="00B839A0" w:rsidRPr="00A7575B" w:rsidP="00A7575B">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2016</w:t>
            </w:r>
          </w:p>
        </w:tc>
        <w:tc>
          <w:tcPr>
            <w:tcW w:w="1064" w:type="dxa"/>
            <w:tcBorders>
              <w:top w:val="nil"/>
              <w:left w:val="single" w:sz="8" w:space="0" w:color="auto"/>
              <w:bottom w:val="single" w:sz="8" w:space="0" w:color="auto"/>
              <w:right w:val="single" w:sz="8" w:space="0" w:color="auto"/>
            </w:tcBorders>
            <w:shd w:val="clear" w:color="000000" w:fill="B8CCE4"/>
            <w:noWrap/>
            <w:textDirection w:val="lrTb"/>
            <w:vAlign w:val="center"/>
            <w:hideMark/>
          </w:tcPr>
          <w:p w:rsidR="00B839A0" w:rsidRPr="00A7575B" w:rsidP="00A7575B">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SPOLU</w:t>
            </w:r>
          </w:p>
        </w:tc>
      </w:tr>
      <w:tr>
        <w:tblPrEx>
          <w:tblW w:w="9144" w:type="dxa"/>
          <w:jc w:val="center"/>
          <w:tblCellMar>
            <w:left w:w="70" w:type="dxa"/>
            <w:right w:w="70" w:type="dxa"/>
          </w:tblCellMar>
          <w:tblLook w:val="04A0"/>
        </w:tblPrEx>
        <w:trPr>
          <w:trHeight w:val="5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MZVaEZ SR</w:t>
            </w:r>
          </w:p>
        </w:tc>
        <w:tc>
          <w:tcPr>
            <w:tcW w:w="1032" w:type="dxa"/>
            <w:tcBorders>
              <w:top w:val="nil"/>
              <w:left w:val="nil"/>
              <w:bottom w:val="single" w:sz="4" w:space="0" w:color="auto"/>
              <w:right w:val="nil"/>
            </w:tcBorders>
            <w:noWrap/>
            <w:textDirection w:val="lrTb"/>
            <w:vAlign w:val="center"/>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9</w:t>
            </w:r>
          </w:p>
        </w:tc>
        <w:tc>
          <w:tcPr>
            <w:tcW w:w="1056"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32</w:t>
            </w:r>
          </w:p>
        </w:tc>
        <w:tc>
          <w:tcPr>
            <w:tcW w:w="1134" w:type="dxa"/>
            <w:tcBorders>
              <w:top w:val="nil"/>
              <w:left w:val="nil"/>
              <w:bottom w:val="single" w:sz="4" w:space="0" w:color="auto"/>
              <w:right w:val="nil"/>
            </w:tcBorders>
            <w:noWrap/>
            <w:textDirection w:val="lrTb"/>
            <w:vAlign w:val="center"/>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35</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center"/>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76</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MF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9</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14</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MH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4</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9</w:t>
            </w:r>
          </w:p>
        </w:tc>
      </w:tr>
    </w:tbl>
    <w:p w:rsidR="000659D7">
      <w:pPr>
        <w:bidi w:val="0"/>
        <w:rPr>
          <w:rFonts w:ascii="Times New Roman" w:hAnsi="Times New Roman"/>
        </w:rPr>
      </w:pPr>
      <w:r>
        <w:rPr>
          <w:rFonts w:ascii="Times New Roman" w:hAnsi="Times New Roman"/>
        </w:rPr>
        <w:br w:type="page"/>
      </w:r>
    </w:p>
    <w:tbl>
      <w:tblPr>
        <w:tblStyle w:val="TableNormal"/>
        <w:tblW w:w="9144" w:type="dxa"/>
        <w:jc w:val="center"/>
        <w:tblCellMar>
          <w:left w:w="70" w:type="dxa"/>
          <w:right w:w="70" w:type="dxa"/>
        </w:tblCellMar>
        <w:tblLook w:val="04A0"/>
      </w:tblPr>
      <w:tblGrid>
        <w:gridCol w:w="4858"/>
        <w:gridCol w:w="1032"/>
        <w:gridCol w:w="1056"/>
        <w:gridCol w:w="1134"/>
        <w:gridCol w:w="1064"/>
      </w:tblGrid>
      <w:tr>
        <w:tblPrEx>
          <w:tblW w:w="9144" w:type="dxa"/>
          <w:jc w:val="center"/>
          <w:tblCellMar>
            <w:left w:w="70" w:type="dxa"/>
            <w:right w:w="70" w:type="dxa"/>
          </w:tblCellMar>
          <w:tblLook w:val="04A0"/>
        </w:tblPrEx>
        <w:trPr>
          <w:trHeight w:val="63"/>
          <w:jc w:val="center"/>
        </w:trPr>
        <w:tc>
          <w:tcPr>
            <w:tcW w:w="4858" w:type="dxa"/>
            <w:tcBorders>
              <w:top w:val="single" w:sz="4" w:space="0" w:color="auto"/>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MK SR </w:t>
            </w:r>
          </w:p>
        </w:tc>
        <w:tc>
          <w:tcPr>
            <w:tcW w:w="1032" w:type="dxa"/>
            <w:tcBorders>
              <w:top w:val="single" w:sz="4" w:space="0" w:color="auto"/>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056" w:type="dxa"/>
            <w:tcBorders>
              <w:top w:val="single" w:sz="4" w:space="0" w:color="auto"/>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single" w:sz="4" w:space="0" w:color="auto"/>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single" w:sz="4" w:space="0" w:color="auto"/>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MPSVaR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MV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8</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8</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MS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3</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MDVaRR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4</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6</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10</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MPRV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9</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14</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MO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4</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MŠVVaŠ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9144" w:type="dxa"/>
          <w:jc w:val="center"/>
          <w:tblCellMar>
            <w:left w:w="70" w:type="dxa"/>
            <w:right w:w="70" w:type="dxa"/>
          </w:tblCellMar>
          <w:tblLook w:val="04A0"/>
        </w:tblPrEx>
        <w:trPr>
          <w:trHeight w:val="300"/>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MZ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4</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4</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MŽP SR </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8</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22</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30</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Národná rada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300"/>
          <w:jc w:val="center"/>
        </w:trPr>
        <w:tc>
          <w:tcPr>
            <w:tcW w:w="4858" w:type="dxa"/>
            <w:tcBorders>
              <w:top w:val="single" w:sz="4" w:space="0" w:color="auto"/>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Úrad priemyselného vlastníctva SR</w:t>
            </w:r>
          </w:p>
        </w:tc>
        <w:tc>
          <w:tcPr>
            <w:tcW w:w="1032" w:type="dxa"/>
            <w:tcBorders>
              <w:top w:val="single" w:sz="4" w:space="0" w:color="auto"/>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056" w:type="dxa"/>
            <w:tcBorders>
              <w:top w:val="single" w:sz="4" w:space="0" w:color="auto"/>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single" w:sz="4" w:space="0" w:color="auto"/>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single" w:sz="4" w:space="0" w:color="auto"/>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Úrad na ochranu osobných údajov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Úrad vlády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Generálna prokuratúra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Protimonopolný úrad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9144" w:type="dxa"/>
          <w:jc w:val="center"/>
          <w:tblCellMar>
            <w:left w:w="70" w:type="dxa"/>
            <w:right w:w="70" w:type="dxa"/>
          </w:tblCellMar>
          <w:tblLook w:val="04A0"/>
        </w:tblPrEx>
        <w:trPr>
          <w:trHeight w:val="300"/>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Štatistický úrad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Úrad jadrového dozoru SR</w:t>
            </w:r>
          </w:p>
        </w:tc>
        <w:tc>
          <w:tcPr>
            <w:tcW w:w="1032"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4"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4"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4"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63"/>
          <w:jc w:val="center"/>
        </w:trPr>
        <w:tc>
          <w:tcPr>
            <w:tcW w:w="4858" w:type="dxa"/>
            <w:tcBorders>
              <w:top w:val="nil"/>
              <w:left w:val="single" w:sz="8" w:space="0" w:color="auto"/>
              <w:bottom w:val="single" w:sz="8" w:space="0" w:color="auto"/>
              <w:right w:val="single" w:sz="8" w:space="0" w:color="auto"/>
            </w:tcBorders>
            <w:noWrap/>
            <w:textDirection w:val="lrTb"/>
            <w:vAlign w:val="center"/>
            <w:hideMark/>
          </w:tcPr>
          <w:p w:rsidR="00B839A0" w:rsidRPr="00A7575B" w:rsidP="00A7575B">
            <w:pPr>
              <w:bidi w:val="0"/>
              <w:rPr>
                <w:rFonts w:ascii="Times New Roman" w:hAnsi="Times New Roman"/>
                <w:b/>
                <w:bCs/>
                <w:color w:val="000000"/>
                <w:sz w:val="23"/>
                <w:szCs w:val="23"/>
              </w:rPr>
            </w:pPr>
            <w:r w:rsidRPr="00A7575B">
              <w:rPr>
                <w:rFonts w:ascii="Times New Roman" w:hAnsi="Times New Roman"/>
                <w:b/>
                <w:bCs/>
                <w:color w:val="000000"/>
                <w:sz w:val="23"/>
                <w:szCs w:val="23"/>
              </w:rPr>
              <w:t>Úrad pre verejné obstarávanie</w:t>
            </w:r>
          </w:p>
        </w:tc>
        <w:tc>
          <w:tcPr>
            <w:tcW w:w="1032" w:type="dxa"/>
            <w:tcBorders>
              <w:top w:val="nil"/>
              <w:left w:val="nil"/>
              <w:bottom w:val="single" w:sz="8"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56" w:type="dxa"/>
            <w:tcBorders>
              <w:top w:val="nil"/>
              <w:left w:val="single" w:sz="8" w:space="0" w:color="auto"/>
              <w:bottom w:val="single" w:sz="8" w:space="0" w:color="auto"/>
              <w:right w:val="single" w:sz="8" w:space="0" w:color="auto"/>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134" w:type="dxa"/>
            <w:tcBorders>
              <w:top w:val="nil"/>
              <w:left w:val="nil"/>
              <w:bottom w:val="single" w:sz="8" w:space="0" w:color="auto"/>
              <w:right w:val="nil"/>
            </w:tcBorders>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064" w:type="dxa"/>
            <w:tcBorders>
              <w:top w:val="nil"/>
              <w:left w:val="single" w:sz="8" w:space="0" w:color="auto"/>
              <w:bottom w:val="single" w:sz="8"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9144" w:type="dxa"/>
          <w:jc w:val="center"/>
          <w:tblCellMar>
            <w:left w:w="70" w:type="dxa"/>
            <w:right w:w="70" w:type="dxa"/>
          </w:tblCellMar>
          <w:tblLook w:val="04A0"/>
        </w:tblPrEx>
        <w:trPr>
          <w:trHeight w:val="53"/>
          <w:jc w:val="center"/>
        </w:trPr>
        <w:tc>
          <w:tcPr>
            <w:tcW w:w="4858" w:type="dxa"/>
            <w:tcBorders>
              <w:top w:val="nil"/>
              <w:left w:val="single" w:sz="8" w:space="0" w:color="auto"/>
              <w:bottom w:val="single" w:sz="8" w:space="0" w:color="auto"/>
              <w:right w:val="single" w:sz="8" w:space="0" w:color="auto"/>
            </w:tcBorders>
            <w:shd w:val="clear" w:color="000000" w:fill="B8CCE4"/>
            <w:noWrap/>
            <w:textDirection w:val="lrTb"/>
            <w:vAlign w:val="center"/>
            <w:hideMark/>
          </w:tcPr>
          <w:p w:rsidR="00B839A0" w:rsidRPr="00A7575B" w:rsidP="00A7575B">
            <w:pPr>
              <w:bidi w:val="0"/>
              <w:rPr>
                <w:rFonts w:ascii="Times New Roman" w:hAnsi="Times New Roman"/>
                <w:b/>
                <w:bCs/>
                <w:sz w:val="23"/>
                <w:szCs w:val="23"/>
              </w:rPr>
            </w:pPr>
            <w:r w:rsidRPr="00A7575B">
              <w:rPr>
                <w:rFonts w:ascii="Times New Roman" w:hAnsi="Times New Roman"/>
                <w:b/>
                <w:bCs/>
                <w:sz w:val="23"/>
                <w:szCs w:val="23"/>
              </w:rPr>
              <w:t>SPOLU</w:t>
            </w:r>
          </w:p>
        </w:tc>
        <w:tc>
          <w:tcPr>
            <w:tcW w:w="1032" w:type="dxa"/>
            <w:tcBorders>
              <w:top w:val="nil"/>
              <w:left w:val="nil"/>
              <w:bottom w:val="single" w:sz="8"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b/>
                <w:bCs/>
                <w:sz w:val="23"/>
                <w:szCs w:val="23"/>
              </w:rPr>
            </w:pPr>
            <w:r w:rsidRPr="00A7575B">
              <w:rPr>
                <w:rFonts w:ascii="Times New Roman" w:hAnsi="Times New Roman"/>
                <w:b/>
                <w:bCs/>
                <w:sz w:val="23"/>
                <w:szCs w:val="23"/>
              </w:rPr>
              <w:t>66</w:t>
            </w:r>
          </w:p>
        </w:tc>
        <w:tc>
          <w:tcPr>
            <w:tcW w:w="1056" w:type="dxa"/>
            <w:tcBorders>
              <w:top w:val="nil"/>
              <w:left w:val="nil"/>
              <w:bottom w:val="single" w:sz="8"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b/>
                <w:bCs/>
                <w:sz w:val="23"/>
                <w:szCs w:val="23"/>
              </w:rPr>
            </w:pPr>
            <w:r w:rsidRPr="00A7575B">
              <w:rPr>
                <w:rFonts w:ascii="Times New Roman" w:hAnsi="Times New Roman"/>
                <w:b/>
                <w:bCs/>
                <w:sz w:val="23"/>
                <w:szCs w:val="23"/>
              </w:rPr>
              <w:t>51</w:t>
            </w:r>
          </w:p>
        </w:tc>
        <w:tc>
          <w:tcPr>
            <w:tcW w:w="1134" w:type="dxa"/>
            <w:tcBorders>
              <w:top w:val="nil"/>
              <w:left w:val="nil"/>
              <w:bottom w:val="single" w:sz="8"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b/>
                <w:bCs/>
                <w:sz w:val="23"/>
                <w:szCs w:val="23"/>
              </w:rPr>
            </w:pPr>
            <w:r w:rsidRPr="00A7575B">
              <w:rPr>
                <w:rFonts w:ascii="Times New Roman" w:hAnsi="Times New Roman"/>
                <w:b/>
                <w:bCs/>
                <w:sz w:val="23"/>
                <w:szCs w:val="23"/>
              </w:rPr>
              <w:t>1</w:t>
            </w:r>
          </w:p>
        </w:tc>
        <w:tc>
          <w:tcPr>
            <w:tcW w:w="1064" w:type="dxa"/>
            <w:tcBorders>
              <w:top w:val="nil"/>
              <w:left w:val="nil"/>
              <w:bottom w:val="single" w:sz="8" w:space="0" w:color="auto"/>
              <w:right w:val="single" w:sz="8" w:space="0" w:color="auto"/>
            </w:tcBorders>
            <w:shd w:val="clear" w:color="000000" w:fill="B8CCE4"/>
            <w:noWrap/>
            <w:textDirection w:val="lrTb"/>
            <w:vAlign w:val="bottom"/>
            <w:hideMark/>
          </w:tcPr>
          <w:p w:rsidR="00B839A0" w:rsidRPr="00A7575B" w:rsidP="00A7575B">
            <w:pPr>
              <w:bidi w:val="0"/>
              <w:jc w:val="center"/>
              <w:rPr>
                <w:rFonts w:ascii="Times New Roman" w:hAnsi="Times New Roman"/>
                <w:b/>
                <w:bCs/>
                <w:sz w:val="23"/>
                <w:szCs w:val="23"/>
              </w:rPr>
            </w:pPr>
            <w:r w:rsidRPr="00A7575B">
              <w:rPr>
                <w:rFonts w:ascii="Times New Roman" w:hAnsi="Times New Roman"/>
                <w:b/>
                <w:bCs/>
                <w:sz w:val="23"/>
                <w:szCs w:val="23"/>
              </w:rPr>
              <w:t>194</w:t>
            </w:r>
          </w:p>
        </w:tc>
      </w:tr>
    </w:tbl>
    <w:p w:rsidR="00B839A0" w:rsidRPr="0063748E" w:rsidP="00B839A0">
      <w:pPr>
        <w:bidi w:val="0"/>
        <w:ind w:left="720"/>
        <w:jc w:val="both"/>
        <w:rPr>
          <w:rFonts w:ascii="Times New Roman" w:hAnsi="Times New Roman"/>
        </w:rPr>
      </w:pPr>
    </w:p>
    <w:p w:rsidR="00B839A0" w:rsidRPr="0063748E" w:rsidP="00B839A0">
      <w:pPr>
        <w:bidi w:val="0"/>
        <w:jc w:val="both"/>
        <w:rPr>
          <w:rFonts w:ascii="Times New Roman" w:hAnsi="Times New Roman"/>
        </w:rPr>
      </w:pPr>
      <w:r w:rsidRPr="0063748E">
        <w:rPr>
          <w:rFonts w:ascii="Times New Roman" w:hAnsi="Times New Roman"/>
        </w:rPr>
        <w:t xml:space="preserve">Počas výkonu predsedníctva pôsobilo na MZVaEZ SR </w:t>
      </w:r>
      <w:r w:rsidRPr="0063748E">
        <w:rPr>
          <w:rFonts w:ascii="Times New Roman" w:hAnsi="Times New Roman"/>
          <w:b/>
        </w:rPr>
        <w:t>91 styčných dôstojníkov</w:t>
      </w:r>
      <w:r w:rsidRPr="0063748E">
        <w:rPr>
          <w:rFonts w:ascii="Times New Roman" w:hAnsi="Times New Roman"/>
        </w:rPr>
        <w:t>, tzv. liaison officers. Plnili úlohy spojené so sprevádzaním zahraničných delegácií počas ich pobytu na Slovensku, pôsobili v mediálnom centre a v informačnom stánku SK PRES na letisku Schwechat vo Viedni.</w:t>
      </w:r>
    </w:p>
    <w:p w:rsidR="00B839A0" w:rsidRPr="0063748E" w:rsidP="00B839A0">
      <w:pPr>
        <w:bidi w:val="0"/>
        <w:jc w:val="both"/>
        <w:rPr>
          <w:rFonts w:ascii="Times New Roman" w:hAnsi="Times New Roman"/>
        </w:rPr>
      </w:pPr>
    </w:p>
    <w:p w:rsidR="00FC1B1E" w:rsidRPr="0063748E" w:rsidP="00FC1B1E">
      <w:pPr>
        <w:bidi w:val="0"/>
        <w:jc w:val="both"/>
        <w:rPr>
          <w:rFonts w:ascii="Times New Roman" w:hAnsi="Times New Roman"/>
          <w:b/>
        </w:rPr>
      </w:pPr>
      <w:r w:rsidRPr="0063748E">
        <w:rPr>
          <w:rFonts w:ascii="Times New Roman" w:hAnsi="Times New Roman"/>
        </w:rPr>
        <w:t xml:space="preserve">Vzhľadom na tzv. model „Brussels based Presidency“ bolo kľúčové posilnenie </w:t>
      </w:r>
      <w:r w:rsidRPr="0063748E">
        <w:rPr>
          <w:rFonts w:ascii="Times New Roman" w:hAnsi="Times New Roman"/>
          <w:b/>
        </w:rPr>
        <w:t xml:space="preserve">Stáleho zastúpenia SR pri EÚ v Bruseli. </w:t>
      </w:r>
      <w:r>
        <w:rPr>
          <w:rFonts w:ascii="Times New Roman" w:hAnsi="Times New Roman"/>
        </w:rPr>
        <w:t>D</w:t>
      </w:r>
      <w:r w:rsidRPr="0063748E">
        <w:rPr>
          <w:rFonts w:ascii="Times New Roman" w:hAnsi="Times New Roman"/>
        </w:rPr>
        <w:t>odatočne</w:t>
      </w:r>
      <w:r>
        <w:rPr>
          <w:rFonts w:ascii="Times New Roman" w:hAnsi="Times New Roman"/>
        </w:rPr>
        <w:t xml:space="preserve"> bolo</w:t>
      </w:r>
      <w:r w:rsidRPr="0063748E">
        <w:rPr>
          <w:rFonts w:ascii="Times New Roman" w:hAnsi="Times New Roman"/>
        </w:rPr>
        <w:t xml:space="preserve"> vytvorených </w:t>
      </w:r>
      <w:r>
        <w:rPr>
          <w:rFonts w:ascii="Times New Roman" w:hAnsi="Times New Roman"/>
          <w:b/>
        </w:rPr>
        <w:t>93</w:t>
      </w:r>
      <w:r w:rsidRPr="0063748E">
        <w:rPr>
          <w:rFonts w:ascii="Times New Roman" w:hAnsi="Times New Roman"/>
          <w:b/>
        </w:rPr>
        <w:t xml:space="preserve"> pozícií</w:t>
      </w:r>
      <w:r>
        <w:rPr>
          <w:rFonts w:ascii="Times New Roman" w:hAnsi="Times New Roman"/>
          <w:b/>
        </w:rPr>
        <w:t xml:space="preserve"> a pôsobilo tam 30 stážistov</w:t>
      </w:r>
      <w:r>
        <w:rPr>
          <w:rFonts w:ascii="Times New Roman" w:hAnsi="Times New Roman"/>
        </w:rPr>
        <w:t>.</w:t>
      </w:r>
    </w:p>
    <w:p w:rsidR="00FC1B1E" w:rsidRPr="0063748E" w:rsidP="00FC1B1E">
      <w:pPr>
        <w:bidi w:val="0"/>
        <w:jc w:val="both"/>
        <w:rPr>
          <w:rFonts w:ascii="Times New Roman" w:hAnsi="Times New Roman"/>
          <w:b/>
        </w:rPr>
      </w:pPr>
    </w:p>
    <w:tbl>
      <w:tblPr>
        <w:tblStyle w:val="TableNormal"/>
        <w:tblpPr w:leftFromText="180" w:rightFromText="180" w:vertAnchor="text" w:tblpXSpec="center" w:tblpY="1"/>
        <w:tblOverlap w:val="never"/>
        <w:tblW w:w="9054" w:type="dxa"/>
        <w:tblLook w:val="04A0"/>
      </w:tblPr>
      <w:tblGrid>
        <w:gridCol w:w="4226"/>
        <w:gridCol w:w="1278"/>
        <w:gridCol w:w="1278"/>
        <w:gridCol w:w="1136"/>
        <w:gridCol w:w="1136"/>
      </w:tblGrid>
      <w:tr>
        <w:tblPrEx>
          <w:tblW w:w="9054" w:type="dxa"/>
          <w:tblLook w:val="04A0"/>
        </w:tblPrEx>
        <w:trPr>
          <w:trHeight w:val="63"/>
        </w:trPr>
        <w:tc>
          <w:tcPr>
            <w:tcW w:w="4226" w:type="dxa"/>
            <w:vMerge w:val="restart"/>
            <w:tcBorders>
              <w:top w:val="single" w:sz="4" w:space="0" w:color="auto"/>
              <w:left w:val="single" w:sz="4" w:space="0" w:color="auto"/>
              <w:bottom w:val="single" w:sz="8" w:space="0" w:color="000000"/>
              <w:right w:val="single" w:sz="8" w:space="0" w:color="auto"/>
            </w:tcBorders>
            <w:shd w:val="clear" w:color="000000" w:fill="538DD5"/>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SZ BRUSEL</w:t>
            </w:r>
          </w:p>
        </w:tc>
        <w:tc>
          <w:tcPr>
            <w:tcW w:w="4828" w:type="dxa"/>
            <w:gridSpan w:val="4"/>
            <w:tcBorders>
              <w:top w:val="single" w:sz="4" w:space="0" w:color="auto"/>
              <w:left w:val="nil"/>
              <w:bottom w:val="single" w:sz="8" w:space="0" w:color="auto"/>
              <w:right w:val="single" w:sz="4" w:space="0" w:color="auto"/>
            </w:tcBorders>
            <w:shd w:val="clear" w:color="000000" w:fill="538DD5"/>
            <w:noWrap/>
            <w:textDirection w:val="lrTb"/>
            <w:vAlign w:val="bottom"/>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POSILNENIE</w:t>
            </w:r>
          </w:p>
        </w:tc>
      </w:tr>
      <w:tr>
        <w:tblPrEx>
          <w:tblW w:w="9054" w:type="dxa"/>
          <w:tblLook w:val="04A0"/>
        </w:tblPrEx>
        <w:trPr>
          <w:trHeight w:val="53"/>
        </w:trPr>
        <w:tc>
          <w:tcPr>
            <w:tcW w:w="4226" w:type="dxa"/>
            <w:vMerge/>
            <w:tcBorders>
              <w:top w:val="single" w:sz="8" w:space="0" w:color="auto"/>
              <w:left w:val="single" w:sz="4" w:space="0" w:color="auto"/>
              <w:bottom w:val="single" w:sz="8" w:space="0" w:color="000000"/>
              <w:right w:val="single" w:sz="8" w:space="0" w:color="auto"/>
            </w:tcBorders>
            <w:textDirection w:val="lrTb"/>
            <w:vAlign w:val="center"/>
            <w:hideMark/>
          </w:tcPr>
          <w:p w:rsidR="00FC1B1E" w:rsidRPr="00A7575B" w:rsidP="00E35BD1">
            <w:pPr>
              <w:bidi w:val="0"/>
              <w:suppressOverlap/>
              <w:rPr>
                <w:rFonts w:ascii="Times New Roman" w:hAnsi="Times New Roman"/>
                <w:b/>
                <w:bCs/>
                <w:color w:val="000000"/>
                <w:sz w:val="23"/>
                <w:szCs w:val="23"/>
              </w:rPr>
            </w:pPr>
          </w:p>
        </w:tc>
        <w:tc>
          <w:tcPr>
            <w:tcW w:w="1278" w:type="dxa"/>
            <w:tcBorders>
              <w:top w:val="nil"/>
              <w:left w:val="nil"/>
              <w:bottom w:val="single" w:sz="8" w:space="0" w:color="auto"/>
              <w:right w:val="nil"/>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2014</w:t>
            </w:r>
          </w:p>
        </w:tc>
        <w:tc>
          <w:tcPr>
            <w:tcW w:w="1278" w:type="dxa"/>
            <w:tcBorders>
              <w:top w:val="nil"/>
              <w:left w:val="single" w:sz="8" w:space="0" w:color="auto"/>
              <w:bottom w:val="single" w:sz="8" w:space="0" w:color="auto"/>
              <w:right w:val="single" w:sz="8"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2015</w:t>
            </w:r>
          </w:p>
        </w:tc>
        <w:tc>
          <w:tcPr>
            <w:tcW w:w="1136" w:type="dxa"/>
            <w:tcBorders>
              <w:top w:val="nil"/>
              <w:left w:val="nil"/>
              <w:bottom w:val="single" w:sz="8" w:space="0" w:color="auto"/>
              <w:right w:val="nil"/>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2016</w:t>
            </w:r>
          </w:p>
        </w:tc>
        <w:tc>
          <w:tcPr>
            <w:tcW w:w="1136" w:type="dxa"/>
            <w:tcBorders>
              <w:top w:val="nil"/>
              <w:left w:val="single" w:sz="8" w:space="0" w:color="auto"/>
              <w:bottom w:val="single" w:sz="8" w:space="0" w:color="auto"/>
              <w:right w:val="single" w:sz="4"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SPOLU</w:t>
            </w:r>
          </w:p>
        </w:tc>
      </w:tr>
      <w:tr>
        <w:tblPrEx>
          <w:tblW w:w="9054" w:type="dxa"/>
          <w:tblLook w:val="04A0"/>
        </w:tblPrEx>
        <w:trPr>
          <w:trHeight w:val="53"/>
        </w:trPr>
        <w:tc>
          <w:tcPr>
            <w:tcW w:w="4226" w:type="dxa"/>
            <w:tcBorders>
              <w:top w:val="nil"/>
              <w:left w:val="single" w:sz="4" w:space="0" w:color="auto"/>
              <w:bottom w:val="single" w:sz="4" w:space="0" w:color="auto"/>
              <w:right w:val="single" w:sz="8" w:space="0" w:color="auto"/>
            </w:tcBorders>
            <w:noWrap/>
            <w:textDirection w:val="lrTb"/>
            <w:vAlign w:val="bottom"/>
            <w:hideMark/>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Diplomati</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14</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44</w:t>
            </w:r>
          </w:p>
        </w:tc>
        <w:tc>
          <w:tcPr>
            <w:tcW w:w="1136" w:type="dxa"/>
            <w:tcBorders>
              <w:top w:val="nil"/>
              <w:left w:val="nil"/>
              <w:bottom w:val="single" w:sz="4" w:space="0" w:color="auto"/>
              <w:right w:val="nil"/>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136" w:type="dxa"/>
            <w:tcBorders>
              <w:top w:val="nil"/>
              <w:left w:val="single" w:sz="8" w:space="0" w:color="auto"/>
              <w:bottom w:val="single" w:sz="4" w:space="0" w:color="auto"/>
              <w:right w:val="single" w:sz="4"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63</w:t>
            </w:r>
          </w:p>
        </w:tc>
      </w:tr>
      <w:tr>
        <w:tblPrEx>
          <w:tblW w:w="9054" w:type="dxa"/>
          <w:tblLook w:val="04A0"/>
        </w:tblPrEx>
        <w:trPr>
          <w:trHeight w:val="63"/>
        </w:trPr>
        <w:tc>
          <w:tcPr>
            <w:tcW w:w="4226" w:type="dxa"/>
            <w:tcBorders>
              <w:top w:val="nil"/>
              <w:left w:val="single" w:sz="4" w:space="0" w:color="auto"/>
              <w:bottom w:val="single" w:sz="4" w:space="0" w:color="auto"/>
              <w:right w:val="single" w:sz="8" w:space="0" w:color="auto"/>
            </w:tcBorders>
            <w:noWrap/>
            <w:textDirection w:val="lrTb"/>
            <w:vAlign w:val="bottom"/>
            <w:hideMark/>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Asistenti</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136" w:type="dxa"/>
            <w:tcBorders>
              <w:top w:val="nil"/>
              <w:left w:val="nil"/>
              <w:bottom w:val="single" w:sz="4" w:space="0" w:color="auto"/>
              <w:right w:val="nil"/>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16</w:t>
            </w:r>
          </w:p>
        </w:tc>
        <w:tc>
          <w:tcPr>
            <w:tcW w:w="1136" w:type="dxa"/>
            <w:tcBorders>
              <w:top w:val="nil"/>
              <w:left w:val="single" w:sz="8" w:space="0" w:color="auto"/>
              <w:bottom w:val="single" w:sz="4" w:space="0" w:color="auto"/>
              <w:right w:val="single" w:sz="4"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18</w:t>
            </w:r>
          </w:p>
        </w:tc>
      </w:tr>
      <w:tr>
        <w:tblPrEx>
          <w:tblW w:w="9054" w:type="dxa"/>
          <w:tblLook w:val="04A0"/>
        </w:tblPrEx>
        <w:trPr>
          <w:trHeight w:val="63"/>
        </w:trPr>
        <w:tc>
          <w:tcPr>
            <w:tcW w:w="4226" w:type="dxa"/>
            <w:tcBorders>
              <w:top w:val="nil"/>
              <w:left w:val="single" w:sz="4" w:space="0" w:color="auto"/>
              <w:bottom w:val="single" w:sz="4" w:space="0" w:color="auto"/>
              <w:right w:val="single" w:sz="8" w:space="0" w:color="auto"/>
            </w:tcBorders>
            <w:noWrap/>
            <w:textDirection w:val="lrTb"/>
            <w:vAlign w:val="bottom"/>
            <w:hideMark/>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ATZ</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3</w:t>
            </w:r>
          </w:p>
        </w:tc>
        <w:tc>
          <w:tcPr>
            <w:tcW w:w="1136" w:type="dxa"/>
            <w:tcBorders>
              <w:top w:val="nil"/>
              <w:left w:val="nil"/>
              <w:bottom w:val="single" w:sz="4" w:space="0" w:color="auto"/>
              <w:right w:val="nil"/>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136" w:type="dxa"/>
            <w:tcBorders>
              <w:top w:val="nil"/>
              <w:left w:val="single" w:sz="8" w:space="0" w:color="auto"/>
              <w:bottom w:val="single" w:sz="4" w:space="0" w:color="auto"/>
              <w:right w:val="single" w:sz="4"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5</w:t>
            </w:r>
          </w:p>
        </w:tc>
      </w:tr>
      <w:tr>
        <w:tblPrEx>
          <w:tblW w:w="9054" w:type="dxa"/>
          <w:tblLook w:val="04A0"/>
        </w:tblPrEx>
        <w:trPr>
          <w:trHeight w:val="63"/>
        </w:trPr>
        <w:tc>
          <w:tcPr>
            <w:tcW w:w="4226" w:type="dxa"/>
            <w:tcBorders>
              <w:top w:val="nil"/>
              <w:left w:val="single" w:sz="4" w:space="0" w:color="auto"/>
              <w:bottom w:val="single" w:sz="4" w:space="0" w:color="auto"/>
              <w:right w:val="single" w:sz="8" w:space="0" w:color="auto"/>
            </w:tcBorders>
            <w:noWrap/>
            <w:textDirection w:val="lrTb"/>
            <w:vAlign w:val="bottom"/>
            <w:hideMark/>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Zmluvné sily</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278" w:type="dxa"/>
            <w:tcBorders>
              <w:top w:val="nil"/>
              <w:left w:val="nil"/>
              <w:bottom w:val="single" w:sz="4" w:space="0" w:color="auto"/>
              <w:right w:val="single" w:sz="4" w:space="0" w:color="auto"/>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136" w:type="dxa"/>
            <w:tcBorders>
              <w:top w:val="nil"/>
              <w:left w:val="nil"/>
              <w:bottom w:val="single" w:sz="4" w:space="0" w:color="auto"/>
              <w:right w:val="nil"/>
            </w:tcBorders>
            <w:noWrap/>
            <w:textDirection w:val="lrTb"/>
            <w:vAlign w:val="center"/>
            <w:hideMark/>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136" w:type="dxa"/>
            <w:tcBorders>
              <w:top w:val="nil"/>
              <w:left w:val="single" w:sz="8" w:space="0" w:color="auto"/>
              <w:bottom w:val="single" w:sz="4" w:space="0" w:color="auto"/>
              <w:right w:val="single" w:sz="4" w:space="0" w:color="auto"/>
            </w:tcBorders>
            <w:shd w:val="clear" w:color="000000" w:fill="C5D9F1"/>
            <w:noWrap/>
            <w:textDirection w:val="lrTb"/>
            <w:vAlign w:val="center"/>
            <w:hideMark/>
          </w:tcPr>
          <w:p w:rsidR="00FC1B1E" w:rsidRPr="00A7575B" w:rsidP="00E35BD1">
            <w:pPr>
              <w:bidi w:val="0"/>
              <w:suppressOverlap/>
              <w:jc w:val="center"/>
              <w:rPr>
                <w:rFonts w:ascii="Times New Roman" w:hAnsi="Times New Roman"/>
                <w:b/>
                <w:bCs/>
                <w:color w:val="000000"/>
                <w:sz w:val="23"/>
                <w:szCs w:val="23"/>
              </w:rPr>
            </w:pPr>
            <w:r w:rsidRPr="00A7575B">
              <w:rPr>
                <w:rFonts w:ascii="Times New Roman" w:hAnsi="Times New Roman"/>
                <w:b/>
                <w:bCs/>
                <w:color w:val="000000"/>
                <w:sz w:val="23"/>
                <w:szCs w:val="23"/>
              </w:rPr>
              <w:t>7</w:t>
            </w:r>
          </w:p>
        </w:tc>
      </w:tr>
      <w:tr>
        <w:tblPrEx>
          <w:tblW w:w="9054" w:type="dxa"/>
          <w:tblLook w:val="04A0"/>
        </w:tblPrEx>
        <w:trPr>
          <w:trHeight w:val="63"/>
        </w:trPr>
        <w:tc>
          <w:tcPr>
            <w:tcW w:w="422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bottom"/>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SPOLU</w:t>
            </w:r>
          </w:p>
        </w:tc>
        <w:tc>
          <w:tcPr>
            <w:tcW w:w="1278"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FC1B1E" w:rsidRPr="00A7575B" w:rsidP="00E35BD1">
            <w:pPr>
              <w:bidi w:val="0"/>
              <w:suppressOverlap/>
              <w:jc w:val="center"/>
              <w:rPr>
                <w:rFonts w:ascii="Times New Roman" w:hAnsi="Times New Roman"/>
                <w:b/>
                <w:bCs/>
                <w:sz w:val="23"/>
                <w:szCs w:val="23"/>
              </w:rPr>
            </w:pPr>
            <w:r w:rsidRPr="00A7575B">
              <w:rPr>
                <w:rFonts w:ascii="Times New Roman" w:hAnsi="Times New Roman"/>
                <w:b/>
                <w:bCs/>
                <w:sz w:val="23"/>
                <w:szCs w:val="23"/>
              </w:rPr>
              <w:t>14</w:t>
            </w:r>
          </w:p>
        </w:tc>
        <w:tc>
          <w:tcPr>
            <w:tcW w:w="1278"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FC1B1E" w:rsidRPr="00A7575B" w:rsidP="00E35BD1">
            <w:pPr>
              <w:bidi w:val="0"/>
              <w:suppressOverlap/>
              <w:jc w:val="center"/>
              <w:rPr>
                <w:rFonts w:ascii="Times New Roman" w:hAnsi="Times New Roman"/>
                <w:b/>
                <w:bCs/>
                <w:sz w:val="23"/>
                <w:szCs w:val="23"/>
              </w:rPr>
            </w:pPr>
            <w:r w:rsidRPr="00A7575B">
              <w:rPr>
                <w:rFonts w:ascii="Times New Roman" w:hAnsi="Times New Roman"/>
                <w:b/>
                <w:bCs/>
                <w:sz w:val="23"/>
                <w:szCs w:val="23"/>
              </w:rPr>
              <w:t>51</w:t>
            </w:r>
          </w:p>
        </w:tc>
        <w:tc>
          <w:tcPr>
            <w:tcW w:w="113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FC1B1E" w:rsidRPr="00A7575B" w:rsidP="00E35BD1">
            <w:pPr>
              <w:bidi w:val="0"/>
              <w:suppressOverlap/>
              <w:jc w:val="center"/>
              <w:rPr>
                <w:rFonts w:ascii="Times New Roman" w:hAnsi="Times New Roman"/>
                <w:b/>
                <w:bCs/>
                <w:sz w:val="23"/>
                <w:szCs w:val="23"/>
              </w:rPr>
            </w:pPr>
            <w:r w:rsidRPr="00A7575B">
              <w:rPr>
                <w:rFonts w:ascii="Times New Roman" w:hAnsi="Times New Roman"/>
                <w:b/>
                <w:bCs/>
                <w:sz w:val="23"/>
                <w:szCs w:val="23"/>
              </w:rPr>
              <w:t>28</w:t>
            </w:r>
          </w:p>
        </w:tc>
        <w:tc>
          <w:tcPr>
            <w:tcW w:w="1136" w:type="dxa"/>
            <w:tcBorders>
              <w:top w:val="single" w:sz="4" w:space="0" w:color="auto"/>
              <w:left w:val="single" w:sz="4" w:space="0" w:color="auto"/>
              <w:bottom w:val="single" w:sz="4" w:space="0" w:color="auto"/>
              <w:right w:val="single" w:sz="4" w:space="0" w:color="auto"/>
            </w:tcBorders>
            <w:shd w:val="clear" w:color="auto" w:fill="C6D9F1"/>
            <w:noWrap/>
            <w:textDirection w:val="lrTb"/>
            <w:vAlign w:val="center"/>
          </w:tcPr>
          <w:p w:rsidR="00FC1B1E" w:rsidRPr="00A7575B" w:rsidP="00E35BD1">
            <w:pPr>
              <w:bidi w:val="0"/>
              <w:suppressOverlap/>
              <w:jc w:val="center"/>
              <w:rPr>
                <w:rFonts w:ascii="Times New Roman" w:hAnsi="Times New Roman"/>
                <w:b/>
                <w:bCs/>
                <w:sz w:val="23"/>
                <w:szCs w:val="23"/>
              </w:rPr>
            </w:pPr>
            <w:r w:rsidRPr="00A7575B">
              <w:rPr>
                <w:rFonts w:ascii="Times New Roman" w:hAnsi="Times New Roman"/>
                <w:b/>
                <w:bCs/>
                <w:sz w:val="23"/>
                <w:szCs w:val="23"/>
              </w:rPr>
              <w:t>93</w:t>
            </w:r>
          </w:p>
        </w:tc>
      </w:tr>
      <w:tr>
        <w:tblPrEx>
          <w:tblW w:w="9054" w:type="dxa"/>
          <w:tblLook w:val="04A0"/>
        </w:tblPrEx>
        <w:trPr>
          <w:trHeight w:val="63"/>
        </w:trPr>
        <w:tc>
          <w:tcPr>
            <w:tcW w:w="422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FC1B1E" w:rsidRPr="00A7575B" w:rsidP="00E35BD1">
            <w:pPr>
              <w:bidi w:val="0"/>
              <w:suppressOverlap/>
              <w:rPr>
                <w:rFonts w:ascii="Times New Roman" w:hAnsi="Times New Roman"/>
                <w:b/>
                <w:bCs/>
                <w:sz w:val="23"/>
                <w:szCs w:val="23"/>
              </w:rPr>
            </w:pPr>
            <w:r w:rsidRPr="00A7575B">
              <w:rPr>
                <w:rFonts w:ascii="Times New Roman" w:hAnsi="Times New Roman"/>
                <w:b/>
                <w:bCs/>
                <w:sz w:val="23"/>
                <w:szCs w:val="23"/>
              </w:rPr>
              <w:t>Stážisti</w:t>
            </w:r>
          </w:p>
        </w:tc>
        <w:tc>
          <w:tcPr>
            <w:tcW w:w="127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27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FC1B1E" w:rsidRPr="00A7575B" w:rsidP="00E35BD1">
            <w:pPr>
              <w:bidi w:val="0"/>
              <w:suppressOverlap/>
              <w:jc w:val="center"/>
              <w:rPr>
                <w:rFonts w:ascii="Times New Roman" w:hAnsi="Times New Roman"/>
                <w:color w:val="000000"/>
                <w:sz w:val="23"/>
                <w:szCs w:val="23"/>
              </w:rPr>
            </w:pPr>
            <w:r w:rsidRPr="00A7575B">
              <w:rPr>
                <w:rFonts w:ascii="Times New Roman" w:hAnsi="Times New Roman"/>
                <w:color w:val="000000"/>
                <w:sz w:val="23"/>
                <w:szCs w:val="23"/>
              </w:rPr>
              <w:t>30</w:t>
            </w:r>
          </w:p>
        </w:tc>
        <w:tc>
          <w:tcPr>
            <w:tcW w:w="1136"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FC1B1E" w:rsidRPr="00A7575B" w:rsidP="00E35BD1">
            <w:pPr>
              <w:bidi w:val="0"/>
              <w:suppressOverlap/>
              <w:jc w:val="center"/>
              <w:rPr>
                <w:rFonts w:ascii="Times New Roman" w:hAnsi="Times New Roman"/>
                <w:b/>
                <w:color w:val="000000"/>
                <w:sz w:val="23"/>
                <w:szCs w:val="23"/>
              </w:rPr>
            </w:pPr>
            <w:r w:rsidRPr="00A7575B">
              <w:rPr>
                <w:rFonts w:ascii="Times New Roman" w:hAnsi="Times New Roman"/>
                <w:b/>
                <w:bCs/>
                <w:color w:val="000000"/>
                <w:sz w:val="23"/>
                <w:szCs w:val="23"/>
              </w:rPr>
              <w:t>30</w:t>
            </w:r>
          </w:p>
        </w:tc>
      </w:tr>
    </w:tbl>
    <w:p w:rsidR="00FC1B1E" w:rsidP="00FC1B1E">
      <w:pPr>
        <w:bidi w:val="0"/>
        <w:jc w:val="both"/>
        <w:rPr>
          <w:rFonts w:ascii="Times New Roman" w:hAnsi="Times New Roman"/>
        </w:rPr>
      </w:pPr>
    </w:p>
    <w:p w:rsidR="00B839A0" w:rsidRPr="0063748E" w:rsidP="00B839A0">
      <w:pPr>
        <w:bidi w:val="0"/>
        <w:jc w:val="both"/>
        <w:rPr>
          <w:rFonts w:ascii="Times New Roman" w:hAnsi="Times New Roman"/>
        </w:rPr>
      </w:pPr>
      <w:r w:rsidRPr="0063748E">
        <w:rPr>
          <w:rFonts w:ascii="Times New Roman" w:hAnsi="Times New Roman"/>
        </w:rPr>
        <w:t>Po ukončení predsedníctva SR v Rade EÚ zamestnanci, ktorí posilnili SZ Brusel na obdobie prípravy a výkonu SK PRES, ukončia svoje pôsobenie. Ich odchod je naplánovaný postupne – v</w:t>
      </w:r>
      <w:r w:rsidR="00D04863">
        <w:rPr>
          <w:rFonts w:ascii="Times New Roman" w:hAnsi="Times New Roman"/>
        </w:rPr>
        <w:t> </w:t>
      </w:r>
      <w:r w:rsidRPr="0063748E">
        <w:rPr>
          <w:rFonts w:ascii="Times New Roman" w:hAnsi="Times New Roman"/>
        </w:rPr>
        <w:t>závislosti od splnenia povinností a úloh súvisiacich s SK PRES – a to v období od 31.12.2016 do 31.7.2017. S</w:t>
      </w:r>
      <w:r>
        <w:rPr>
          <w:rFonts w:ascii="Times New Roman" w:hAnsi="Times New Roman"/>
        </w:rPr>
        <w:t> odchodmi v </w:t>
      </w:r>
      <w:r w:rsidRPr="0063748E">
        <w:rPr>
          <w:rFonts w:ascii="Times New Roman" w:hAnsi="Times New Roman"/>
        </w:rPr>
        <w:t>júl</w:t>
      </w:r>
      <w:r>
        <w:rPr>
          <w:rFonts w:ascii="Times New Roman" w:hAnsi="Times New Roman"/>
        </w:rPr>
        <w:t>i</w:t>
      </w:r>
      <w:r w:rsidRPr="0063748E">
        <w:rPr>
          <w:rFonts w:ascii="Times New Roman" w:hAnsi="Times New Roman"/>
        </w:rPr>
        <w:t xml:space="preserve"> 2017 sa počíta predovšetkým pri zamestnancoch, ktorí budú spolupracovať pri výkone predsedníckych funkcií Malty počas jej predsedníctva v Rade EÚ.</w:t>
      </w:r>
    </w:p>
    <w:p w:rsidR="00B839A0" w:rsidRPr="0063748E" w:rsidP="00B839A0">
      <w:pPr>
        <w:bidi w:val="0"/>
        <w:jc w:val="both"/>
        <w:rPr>
          <w:rFonts w:ascii="Times New Roman" w:hAnsi="Times New Roman"/>
        </w:rPr>
      </w:pPr>
    </w:p>
    <w:p w:rsidR="00B839A0" w:rsidRPr="0063748E" w:rsidP="00B839A0">
      <w:pPr>
        <w:bidi w:val="0"/>
        <w:jc w:val="both"/>
        <w:rPr>
          <w:rFonts w:ascii="Times New Roman" w:hAnsi="Times New Roman"/>
        </w:rPr>
      </w:pPr>
      <w:r w:rsidRPr="0063748E">
        <w:rPr>
          <w:rFonts w:ascii="Times New Roman" w:hAnsi="Times New Roman"/>
        </w:rPr>
        <w:t>V súvislosti s nárastom agendy a tiež s výkonom koordinačných predsedníckych funkcií</w:t>
      </w:r>
      <w:r w:rsidR="00D04863">
        <w:rPr>
          <w:rFonts w:ascii="Times New Roman" w:hAnsi="Times New Roman"/>
        </w:rPr>
        <w:t xml:space="preserve"> </w:t>
      </w:r>
      <w:r w:rsidRPr="0063748E">
        <w:rPr>
          <w:rFonts w:ascii="Times New Roman" w:hAnsi="Times New Roman"/>
        </w:rPr>
        <w:t>boli v</w:t>
      </w:r>
      <w:r w:rsidR="00A87F6A">
        <w:rPr>
          <w:rFonts w:ascii="Times New Roman" w:hAnsi="Times New Roman"/>
        </w:rPr>
        <w:t> </w:t>
      </w:r>
      <w:r w:rsidRPr="0063748E">
        <w:rPr>
          <w:rFonts w:ascii="Times New Roman" w:hAnsi="Times New Roman"/>
        </w:rPr>
        <w:t xml:space="preserve">priebehu roka 2016 posilnené aj </w:t>
      </w:r>
      <w:r>
        <w:rPr>
          <w:rFonts w:ascii="Times New Roman" w:hAnsi="Times New Roman"/>
        </w:rPr>
        <w:t xml:space="preserve">zastupiteľstvá SR s dôrazom na </w:t>
      </w:r>
      <w:r w:rsidRPr="0063748E">
        <w:rPr>
          <w:rFonts w:ascii="Times New Roman" w:hAnsi="Times New Roman"/>
        </w:rPr>
        <w:t>stále misie</w:t>
      </w:r>
      <w:r>
        <w:rPr>
          <w:rFonts w:ascii="Times New Roman" w:hAnsi="Times New Roman"/>
        </w:rPr>
        <w:t>.</w:t>
      </w:r>
      <w:r w:rsidRPr="0063748E">
        <w:rPr>
          <w:rFonts w:ascii="Times New Roman" w:hAnsi="Times New Roman"/>
        </w:rPr>
        <w:t xml:space="preserve"> </w:t>
      </w:r>
    </w:p>
    <w:p w:rsidR="00B839A0" w:rsidRPr="0063748E" w:rsidP="00B839A0">
      <w:pPr>
        <w:bidi w:val="0"/>
        <w:jc w:val="both"/>
        <w:rPr>
          <w:rFonts w:ascii="Times New Roman" w:hAnsi="Times New Roman"/>
        </w:rPr>
      </w:pPr>
      <w:r w:rsidR="000659D7">
        <w:rPr>
          <w:rFonts w:ascii="Times New Roman" w:hAnsi="Times New Roman"/>
        </w:rPr>
        <w:br w:type="page"/>
      </w:r>
    </w:p>
    <w:tbl>
      <w:tblPr>
        <w:tblStyle w:val="TableNormal"/>
        <w:tblW w:w="8985" w:type="dxa"/>
        <w:jc w:val="center"/>
        <w:tblLook w:val="04A0"/>
      </w:tblPr>
      <w:tblGrid>
        <w:gridCol w:w="4493"/>
        <w:gridCol w:w="1571"/>
        <w:gridCol w:w="1417"/>
        <w:gridCol w:w="1515"/>
      </w:tblGrid>
      <w:tr>
        <w:tblPrEx>
          <w:tblW w:w="8985" w:type="dxa"/>
          <w:jc w:val="center"/>
          <w:tblLook w:val="04A0"/>
        </w:tblPrEx>
        <w:trPr>
          <w:trHeight w:val="330"/>
          <w:jc w:val="center"/>
        </w:trPr>
        <w:tc>
          <w:tcPr>
            <w:tcW w:w="4493" w:type="dxa"/>
            <w:tcBorders>
              <w:top w:val="single" w:sz="8" w:space="0" w:color="auto"/>
              <w:left w:val="single" w:sz="8" w:space="0" w:color="auto"/>
              <w:bottom w:val="single" w:sz="8" w:space="0" w:color="auto"/>
              <w:right w:val="single" w:sz="8" w:space="0" w:color="auto"/>
            </w:tcBorders>
            <w:shd w:val="clear" w:color="000000" w:fill="538DD5"/>
            <w:noWrap/>
            <w:textDirection w:val="lrTb"/>
            <w:vAlign w:val="center"/>
            <w:hideMark/>
          </w:tcPr>
          <w:p w:rsidR="00B839A0" w:rsidRPr="00A7575B" w:rsidP="00146035">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STÁLE MISIE</w:t>
            </w:r>
          </w:p>
        </w:tc>
        <w:tc>
          <w:tcPr>
            <w:tcW w:w="1560" w:type="dxa"/>
            <w:tcBorders>
              <w:top w:val="single" w:sz="8" w:space="0" w:color="auto"/>
              <w:left w:val="nil"/>
              <w:bottom w:val="single" w:sz="8" w:space="0" w:color="auto"/>
              <w:right w:val="single" w:sz="8" w:space="0" w:color="auto"/>
            </w:tcBorders>
            <w:shd w:val="clear" w:color="000000" w:fill="538DD5"/>
            <w:noWrap/>
            <w:textDirection w:val="lrTb"/>
            <w:vAlign w:val="center"/>
            <w:hideMark/>
          </w:tcPr>
          <w:p w:rsidR="00B839A0" w:rsidRPr="00A7575B" w:rsidP="00146035">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DIPLOMATI</w:t>
            </w:r>
          </w:p>
        </w:tc>
        <w:tc>
          <w:tcPr>
            <w:tcW w:w="1417" w:type="dxa"/>
            <w:tcBorders>
              <w:top w:val="single" w:sz="8" w:space="0" w:color="auto"/>
              <w:left w:val="nil"/>
              <w:bottom w:val="single" w:sz="8" w:space="0" w:color="auto"/>
              <w:right w:val="nil"/>
            </w:tcBorders>
            <w:shd w:val="clear" w:color="000000" w:fill="538DD5"/>
            <w:noWrap/>
            <w:textDirection w:val="lrTb"/>
            <w:vAlign w:val="center"/>
            <w:hideMark/>
          </w:tcPr>
          <w:p w:rsidR="00B839A0" w:rsidRPr="00A7575B" w:rsidP="00146035">
            <w:pPr>
              <w:bidi w:val="0"/>
              <w:jc w:val="center"/>
              <w:rPr>
                <w:rFonts w:ascii="Times New Roman" w:hAnsi="Times New Roman"/>
                <w:b/>
                <w:bCs/>
                <w:color w:val="000000"/>
                <w:sz w:val="23"/>
                <w:szCs w:val="23"/>
              </w:rPr>
            </w:pPr>
            <w:r w:rsidRPr="00A7575B">
              <w:rPr>
                <w:rFonts w:ascii="Times New Roman" w:hAnsi="Times New Roman"/>
                <w:b/>
                <w:bCs/>
                <w:color w:val="000000"/>
                <w:sz w:val="23"/>
                <w:szCs w:val="23"/>
              </w:rPr>
              <w:t>STÁŽISTI</w:t>
            </w:r>
          </w:p>
        </w:tc>
        <w:tc>
          <w:tcPr>
            <w:tcW w:w="1515" w:type="dxa"/>
            <w:tcBorders>
              <w:top w:val="single" w:sz="8" w:space="0" w:color="auto"/>
              <w:left w:val="single" w:sz="8" w:space="0" w:color="auto"/>
              <w:bottom w:val="single" w:sz="8" w:space="0" w:color="auto"/>
              <w:right w:val="single" w:sz="8" w:space="0" w:color="auto"/>
            </w:tcBorders>
            <w:shd w:val="clear" w:color="000000" w:fill="538DD5"/>
            <w:noWrap/>
            <w:textDirection w:val="lrTb"/>
            <w:vAlign w:val="center"/>
            <w:hideMark/>
          </w:tcPr>
          <w:p w:rsidR="00B839A0" w:rsidRPr="00A7575B" w:rsidP="00146035">
            <w:pPr>
              <w:bidi w:val="0"/>
              <w:jc w:val="center"/>
              <w:rPr>
                <w:rFonts w:ascii="Times New Roman" w:hAnsi="Times New Roman"/>
                <w:b/>
                <w:bCs/>
                <w:sz w:val="23"/>
                <w:szCs w:val="23"/>
              </w:rPr>
            </w:pPr>
            <w:r w:rsidRPr="00A7575B">
              <w:rPr>
                <w:rFonts w:ascii="Times New Roman" w:hAnsi="Times New Roman"/>
                <w:b/>
                <w:bCs/>
                <w:sz w:val="23"/>
                <w:szCs w:val="23"/>
              </w:rPr>
              <w:t>SPOLU</w:t>
            </w:r>
          </w:p>
        </w:tc>
      </w:tr>
      <w:tr>
        <w:tblPrEx>
          <w:tblW w:w="8985" w:type="dxa"/>
          <w:jc w:val="center"/>
          <w:tblLook w:val="04A0"/>
        </w:tblPrEx>
        <w:trPr>
          <w:trHeight w:val="53"/>
          <w:jc w:val="center"/>
        </w:trPr>
        <w:tc>
          <w:tcPr>
            <w:tcW w:w="4493"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SM OSN Ženeva</w:t>
            </w:r>
          </w:p>
        </w:tc>
        <w:tc>
          <w:tcPr>
            <w:tcW w:w="1560" w:type="dxa"/>
            <w:tcBorders>
              <w:top w:val="nil"/>
              <w:left w:val="nil"/>
              <w:bottom w:val="single" w:sz="4" w:space="0" w:color="auto"/>
              <w:right w:val="single" w:sz="4" w:space="0" w:color="auto"/>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3</w:t>
            </w:r>
          </w:p>
        </w:tc>
        <w:tc>
          <w:tcPr>
            <w:tcW w:w="1417" w:type="dxa"/>
            <w:tcBorders>
              <w:top w:val="nil"/>
              <w:left w:val="nil"/>
              <w:bottom w:val="single" w:sz="4" w:space="0" w:color="auto"/>
              <w:right w:val="nil"/>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5</w:t>
            </w:r>
          </w:p>
        </w:tc>
        <w:tc>
          <w:tcPr>
            <w:tcW w:w="1515" w:type="dxa"/>
            <w:tcBorders>
              <w:top w:val="nil"/>
              <w:left w:val="single" w:sz="8" w:space="0" w:color="auto"/>
              <w:bottom w:val="single" w:sz="4"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8</w:t>
            </w:r>
          </w:p>
        </w:tc>
      </w:tr>
      <w:tr>
        <w:tblPrEx>
          <w:tblW w:w="8985" w:type="dxa"/>
          <w:jc w:val="center"/>
          <w:tblLook w:val="04A0"/>
        </w:tblPrEx>
        <w:trPr>
          <w:trHeight w:val="63"/>
          <w:jc w:val="center"/>
        </w:trPr>
        <w:tc>
          <w:tcPr>
            <w:tcW w:w="4493" w:type="dxa"/>
            <w:tcBorders>
              <w:top w:val="nil"/>
              <w:left w:val="single" w:sz="8" w:space="0" w:color="auto"/>
              <w:bottom w:val="single" w:sz="4" w:space="0" w:color="auto"/>
              <w:right w:val="single" w:sz="8" w:space="0" w:color="auto"/>
            </w:tcBorders>
            <w:textDirection w:val="lrTb"/>
            <w:vAlign w:val="center"/>
            <w:hideMark/>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SM Viedeň</w:t>
            </w:r>
          </w:p>
        </w:tc>
        <w:tc>
          <w:tcPr>
            <w:tcW w:w="1560" w:type="dxa"/>
            <w:tcBorders>
              <w:top w:val="nil"/>
              <w:left w:val="nil"/>
              <w:bottom w:val="single" w:sz="4" w:space="0" w:color="auto"/>
              <w:right w:val="single" w:sz="4" w:space="0" w:color="auto"/>
            </w:tcBorders>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417" w:type="dxa"/>
            <w:tcBorders>
              <w:top w:val="nil"/>
              <w:left w:val="nil"/>
              <w:bottom w:val="single" w:sz="4" w:space="0" w:color="auto"/>
              <w:right w:val="nil"/>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515" w:type="dxa"/>
            <w:tcBorders>
              <w:top w:val="nil"/>
              <w:left w:val="single" w:sz="8" w:space="0" w:color="auto"/>
              <w:bottom w:val="single" w:sz="4"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r>
      <w:tr>
        <w:tblPrEx>
          <w:tblW w:w="8985" w:type="dxa"/>
          <w:jc w:val="center"/>
          <w:tblLook w:val="04A0"/>
        </w:tblPrEx>
        <w:trPr>
          <w:trHeight w:val="63"/>
          <w:jc w:val="center"/>
        </w:trPr>
        <w:tc>
          <w:tcPr>
            <w:tcW w:w="4493"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SM OSN New York</w:t>
            </w:r>
          </w:p>
        </w:tc>
        <w:tc>
          <w:tcPr>
            <w:tcW w:w="1560" w:type="dxa"/>
            <w:tcBorders>
              <w:top w:val="nil"/>
              <w:left w:val="nil"/>
              <w:bottom w:val="single" w:sz="4" w:space="0" w:color="auto"/>
              <w:right w:val="single" w:sz="4" w:space="0" w:color="auto"/>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2</w:t>
            </w:r>
          </w:p>
        </w:tc>
        <w:tc>
          <w:tcPr>
            <w:tcW w:w="1417" w:type="dxa"/>
            <w:tcBorders>
              <w:top w:val="nil"/>
              <w:left w:val="nil"/>
              <w:bottom w:val="single" w:sz="4" w:space="0" w:color="auto"/>
              <w:right w:val="nil"/>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515" w:type="dxa"/>
            <w:tcBorders>
              <w:top w:val="nil"/>
              <w:left w:val="single" w:sz="8" w:space="0" w:color="auto"/>
              <w:bottom w:val="single" w:sz="4"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3</w:t>
            </w:r>
          </w:p>
        </w:tc>
      </w:tr>
      <w:tr>
        <w:tblPrEx>
          <w:tblW w:w="8985" w:type="dxa"/>
          <w:jc w:val="center"/>
          <w:tblLook w:val="04A0"/>
        </w:tblPrEx>
        <w:trPr>
          <w:trHeight w:val="63"/>
          <w:jc w:val="center"/>
        </w:trPr>
        <w:tc>
          <w:tcPr>
            <w:tcW w:w="4493"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SM FAO Rím</w:t>
            </w:r>
          </w:p>
        </w:tc>
        <w:tc>
          <w:tcPr>
            <w:tcW w:w="1560" w:type="dxa"/>
            <w:tcBorders>
              <w:top w:val="nil"/>
              <w:left w:val="nil"/>
              <w:bottom w:val="single" w:sz="4" w:space="0" w:color="auto"/>
              <w:right w:val="single" w:sz="4" w:space="0" w:color="auto"/>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417" w:type="dxa"/>
            <w:tcBorders>
              <w:top w:val="nil"/>
              <w:left w:val="nil"/>
              <w:bottom w:val="single" w:sz="4" w:space="0" w:color="auto"/>
              <w:right w:val="nil"/>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515" w:type="dxa"/>
            <w:tcBorders>
              <w:top w:val="nil"/>
              <w:left w:val="single" w:sz="8" w:space="0" w:color="auto"/>
              <w:bottom w:val="single" w:sz="4"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8985" w:type="dxa"/>
          <w:jc w:val="center"/>
          <w:tblLook w:val="04A0"/>
        </w:tblPrEx>
        <w:trPr>
          <w:trHeight w:val="63"/>
          <w:jc w:val="center"/>
        </w:trPr>
        <w:tc>
          <w:tcPr>
            <w:tcW w:w="4493" w:type="dxa"/>
            <w:tcBorders>
              <w:top w:val="nil"/>
              <w:left w:val="single" w:sz="8" w:space="0" w:color="auto"/>
              <w:bottom w:val="single" w:sz="4" w:space="0" w:color="auto"/>
              <w:right w:val="single" w:sz="8" w:space="0" w:color="auto"/>
            </w:tcBorders>
            <w:noWrap/>
            <w:textDirection w:val="lrTb"/>
            <w:vAlign w:val="center"/>
            <w:hideMark/>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SD UNESCO Paríž</w:t>
            </w:r>
          </w:p>
        </w:tc>
        <w:tc>
          <w:tcPr>
            <w:tcW w:w="1560" w:type="dxa"/>
            <w:tcBorders>
              <w:top w:val="nil"/>
              <w:left w:val="nil"/>
              <w:bottom w:val="single" w:sz="4" w:space="0" w:color="auto"/>
              <w:right w:val="single" w:sz="4" w:space="0" w:color="auto"/>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417" w:type="dxa"/>
            <w:tcBorders>
              <w:top w:val="nil"/>
              <w:left w:val="nil"/>
              <w:bottom w:val="single" w:sz="4" w:space="0" w:color="auto"/>
              <w:right w:val="nil"/>
            </w:tcBorders>
            <w:noWrap/>
            <w:textDirection w:val="lrTb"/>
            <w:vAlign w:val="center"/>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515" w:type="dxa"/>
            <w:tcBorders>
              <w:top w:val="nil"/>
              <w:left w:val="single" w:sz="8" w:space="0" w:color="auto"/>
              <w:bottom w:val="single" w:sz="4"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8985" w:type="dxa"/>
          <w:jc w:val="center"/>
          <w:tblLook w:val="04A0"/>
        </w:tblPrEx>
        <w:trPr>
          <w:trHeight w:val="63"/>
          <w:jc w:val="center"/>
        </w:trPr>
        <w:tc>
          <w:tcPr>
            <w:tcW w:w="4493" w:type="dxa"/>
            <w:tcBorders>
              <w:top w:val="single" w:sz="4" w:space="0" w:color="auto"/>
              <w:left w:val="single" w:sz="4" w:space="0" w:color="auto"/>
              <w:bottom w:val="single" w:sz="4" w:space="0" w:color="auto"/>
              <w:right w:val="single" w:sz="4" w:space="0" w:color="auto"/>
            </w:tcBorders>
            <w:noWrap/>
            <w:textDirection w:val="lrTb"/>
            <w:vAlign w:val="center"/>
          </w:tcPr>
          <w:p w:rsidR="00B839A0" w:rsidRPr="00A7575B" w:rsidP="00146035">
            <w:pPr>
              <w:bidi w:val="0"/>
              <w:rPr>
                <w:rFonts w:ascii="Times New Roman" w:hAnsi="Times New Roman"/>
                <w:b/>
                <w:bCs/>
                <w:color w:val="000000"/>
                <w:sz w:val="23"/>
                <w:szCs w:val="23"/>
              </w:rPr>
            </w:pPr>
            <w:r w:rsidRPr="00A7575B">
              <w:rPr>
                <w:rFonts w:ascii="Times New Roman" w:hAnsi="Times New Roman"/>
                <w:b/>
                <w:bCs/>
                <w:color w:val="000000"/>
                <w:sz w:val="23"/>
                <w:szCs w:val="23"/>
              </w:rPr>
              <w:t xml:space="preserve">ZÚ Kuvajt </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0</w:t>
            </w:r>
          </w:p>
        </w:tc>
        <w:tc>
          <w:tcPr>
            <w:tcW w:w="1515" w:type="dxa"/>
            <w:tcBorders>
              <w:top w:val="single" w:sz="4" w:space="0" w:color="auto"/>
              <w:left w:val="single" w:sz="4" w:space="0" w:color="auto"/>
              <w:bottom w:val="single" w:sz="4" w:space="0" w:color="auto"/>
              <w:right w:val="single" w:sz="4" w:space="0" w:color="auto"/>
            </w:tcBorders>
            <w:shd w:val="clear" w:color="000000" w:fill="C5D9F1"/>
            <w:noWrap/>
            <w:textDirection w:val="lrTb"/>
            <w:vAlign w:val="bottom"/>
          </w:tcPr>
          <w:p w:rsidR="00B839A0" w:rsidRPr="00A7575B" w:rsidP="00146035">
            <w:pPr>
              <w:bidi w:val="0"/>
              <w:jc w:val="center"/>
              <w:rPr>
                <w:rFonts w:ascii="Times New Roman" w:hAnsi="Times New Roman"/>
                <w:color w:val="000000"/>
                <w:sz w:val="23"/>
                <w:szCs w:val="23"/>
              </w:rPr>
            </w:pPr>
            <w:r w:rsidRPr="00A7575B">
              <w:rPr>
                <w:rFonts w:ascii="Times New Roman" w:hAnsi="Times New Roman"/>
                <w:color w:val="000000"/>
                <w:sz w:val="23"/>
                <w:szCs w:val="23"/>
              </w:rPr>
              <w:t>1</w:t>
            </w:r>
          </w:p>
        </w:tc>
      </w:tr>
      <w:tr>
        <w:tblPrEx>
          <w:tblW w:w="8985" w:type="dxa"/>
          <w:jc w:val="center"/>
          <w:tblLook w:val="04A0"/>
        </w:tblPrEx>
        <w:trPr>
          <w:trHeight w:val="63"/>
          <w:jc w:val="center"/>
        </w:trPr>
        <w:tc>
          <w:tcPr>
            <w:tcW w:w="4493" w:type="dxa"/>
            <w:tcBorders>
              <w:top w:val="single" w:sz="4" w:space="0" w:color="auto"/>
              <w:left w:val="single" w:sz="8" w:space="0" w:color="auto"/>
              <w:bottom w:val="single" w:sz="8" w:space="0" w:color="auto"/>
              <w:right w:val="single" w:sz="8" w:space="0" w:color="auto"/>
            </w:tcBorders>
            <w:shd w:val="clear" w:color="000000" w:fill="C5D9F1"/>
            <w:noWrap/>
            <w:textDirection w:val="lrTb"/>
            <w:vAlign w:val="center"/>
            <w:hideMark/>
          </w:tcPr>
          <w:p w:rsidR="00B839A0" w:rsidRPr="00A7575B" w:rsidP="00146035">
            <w:pPr>
              <w:bidi w:val="0"/>
              <w:rPr>
                <w:rFonts w:ascii="Times New Roman" w:hAnsi="Times New Roman"/>
                <w:b/>
                <w:bCs/>
                <w:sz w:val="23"/>
                <w:szCs w:val="23"/>
              </w:rPr>
            </w:pPr>
            <w:r w:rsidRPr="00A7575B">
              <w:rPr>
                <w:rFonts w:ascii="Times New Roman" w:hAnsi="Times New Roman"/>
                <w:b/>
                <w:bCs/>
                <w:sz w:val="23"/>
                <w:szCs w:val="23"/>
              </w:rPr>
              <w:t>SPOLU</w:t>
            </w:r>
          </w:p>
        </w:tc>
        <w:tc>
          <w:tcPr>
            <w:tcW w:w="1560" w:type="dxa"/>
            <w:tcBorders>
              <w:top w:val="single" w:sz="4" w:space="0" w:color="auto"/>
              <w:left w:val="nil"/>
              <w:bottom w:val="single" w:sz="8" w:space="0" w:color="auto"/>
              <w:right w:val="single" w:sz="8" w:space="0" w:color="auto"/>
            </w:tcBorders>
            <w:shd w:val="clear" w:color="000000" w:fill="C5D9F1"/>
            <w:noWrap/>
            <w:textDirection w:val="lrTb"/>
            <w:vAlign w:val="center"/>
            <w:hideMark/>
          </w:tcPr>
          <w:p w:rsidR="00B839A0" w:rsidRPr="00A7575B" w:rsidP="00146035">
            <w:pPr>
              <w:bidi w:val="0"/>
              <w:jc w:val="center"/>
              <w:rPr>
                <w:rFonts w:ascii="Times New Roman" w:hAnsi="Times New Roman"/>
                <w:b/>
                <w:bCs/>
                <w:sz w:val="23"/>
                <w:szCs w:val="23"/>
              </w:rPr>
            </w:pPr>
            <w:r w:rsidRPr="00A7575B">
              <w:rPr>
                <w:rFonts w:ascii="Times New Roman" w:hAnsi="Times New Roman"/>
                <w:b/>
                <w:bCs/>
                <w:sz w:val="23"/>
                <w:szCs w:val="23"/>
              </w:rPr>
              <w:t>8</w:t>
            </w:r>
          </w:p>
        </w:tc>
        <w:tc>
          <w:tcPr>
            <w:tcW w:w="1417" w:type="dxa"/>
            <w:tcBorders>
              <w:top w:val="single" w:sz="4" w:space="0" w:color="auto"/>
              <w:left w:val="nil"/>
              <w:bottom w:val="single" w:sz="8" w:space="0" w:color="auto"/>
              <w:right w:val="nil"/>
            </w:tcBorders>
            <w:shd w:val="clear" w:color="000000" w:fill="C5D9F1"/>
            <w:noWrap/>
            <w:textDirection w:val="lrTb"/>
            <w:vAlign w:val="center"/>
            <w:hideMark/>
          </w:tcPr>
          <w:p w:rsidR="00B839A0" w:rsidRPr="00A7575B" w:rsidP="00146035">
            <w:pPr>
              <w:bidi w:val="0"/>
              <w:jc w:val="center"/>
              <w:rPr>
                <w:rFonts w:ascii="Times New Roman" w:hAnsi="Times New Roman"/>
                <w:b/>
                <w:bCs/>
                <w:sz w:val="23"/>
                <w:szCs w:val="23"/>
              </w:rPr>
            </w:pPr>
            <w:r w:rsidRPr="00A7575B">
              <w:rPr>
                <w:rFonts w:ascii="Times New Roman" w:hAnsi="Times New Roman"/>
                <w:b/>
                <w:bCs/>
                <w:sz w:val="23"/>
                <w:szCs w:val="23"/>
              </w:rPr>
              <w:t>8</w:t>
            </w:r>
          </w:p>
        </w:tc>
        <w:tc>
          <w:tcPr>
            <w:tcW w:w="1515" w:type="dxa"/>
            <w:tcBorders>
              <w:top w:val="single" w:sz="4" w:space="0" w:color="auto"/>
              <w:left w:val="single" w:sz="8" w:space="0" w:color="auto"/>
              <w:bottom w:val="single" w:sz="8" w:space="0" w:color="auto"/>
              <w:right w:val="single" w:sz="8" w:space="0" w:color="auto"/>
            </w:tcBorders>
            <w:shd w:val="clear" w:color="000000" w:fill="C5D9F1"/>
            <w:noWrap/>
            <w:textDirection w:val="lrTb"/>
            <w:vAlign w:val="bottom"/>
            <w:hideMark/>
          </w:tcPr>
          <w:p w:rsidR="00B839A0" w:rsidRPr="00A7575B" w:rsidP="00146035">
            <w:pPr>
              <w:bidi w:val="0"/>
              <w:jc w:val="center"/>
              <w:rPr>
                <w:rFonts w:ascii="Times New Roman" w:hAnsi="Times New Roman"/>
                <w:b/>
                <w:color w:val="000000"/>
                <w:sz w:val="23"/>
                <w:szCs w:val="23"/>
              </w:rPr>
            </w:pPr>
            <w:r w:rsidRPr="00A7575B">
              <w:rPr>
                <w:rFonts w:ascii="Times New Roman" w:hAnsi="Times New Roman"/>
                <w:b/>
                <w:color w:val="000000"/>
                <w:sz w:val="23"/>
                <w:szCs w:val="23"/>
              </w:rPr>
              <w:t>16</w:t>
            </w:r>
          </w:p>
        </w:tc>
      </w:tr>
    </w:tbl>
    <w:p w:rsidR="00B839A0" w:rsidP="00B839A0">
      <w:pPr>
        <w:bidi w:val="0"/>
        <w:rPr>
          <w:rFonts w:ascii="Times New Roman" w:hAnsi="Times New Roman"/>
        </w:rPr>
      </w:pPr>
    </w:p>
    <w:p w:rsidR="006E1093" w:rsidRPr="00232FB0" w:rsidP="006E1093">
      <w:pPr>
        <w:bidi w:val="0"/>
        <w:jc w:val="both"/>
        <w:rPr>
          <w:rFonts w:ascii="Times New Roman" w:hAnsi="Times New Roman"/>
          <w:bCs/>
        </w:rPr>
      </w:pPr>
      <w:r w:rsidRPr="00232FB0">
        <w:rPr>
          <w:rFonts w:ascii="Times New Roman" w:hAnsi="Times New Roman"/>
          <w:bCs/>
        </w:rPr>
        <w:t>V rámci programu krátkodobých študentských stáží umožnilo MZVaEZ SR mimoriadne 6-mesačné stážové pobyty na zastupiteľsk</w:t>
      </w:r>
      <w:r>
        <w:rPr>
          <w:rFonts w:ascii="Times New Roman" w:hAnsi="Times New Roman"/>
          <w:bCs/>
        </w:rPr>
        <w:t>ých</w:t>
      </w:r>
      <w:r w:rsidRPr="00232FB0">
        <w:rPr>
          <w:rFonts w:ascii="Times New Roman" w:hAnsi="Times New Roman"/>
          <w:bCs/>
        </w:rPr>
        <w:t xml:space="preserve"> úrad</w:t>
      </w:r>
      <w:r>
        <w:rPr>
          <w:rFonts w:ascii="Times New Roman" w:hAnsi="Times New Roman"/>
          <w:bCs/>
        </w:rPr>
        <w:t>och</w:t>
      </w:r>
      <w:r w:rsidRPr="00232FB0">
        <w:rPr>
          <w:rFonts w:ascii="Times New Roman" w:hAnsi="Times New Roman"/>
          <w:bCs/>
        </w:rPr>
        <w:t xml:space="preserve"> celkom 46 slovenským študentom.</w:t>
      </w:r>
    </w:p>
    <w:p w:rsidR="00C364CB" w:rsidP="00B839A0">
      <w:pPr>
        <w:bidi w:val="0"/>
        <w:jc w:val="both"/>
        <w:rPr>
          <w:rFonts w:ascii="Times New Roman" w:hAnsi="Times New Roman"/>
        </w:rPr>
      </w:pPr>
    </w:p>
    <w:p w:rsidR="00B839A0" w:rsidRPr="0063748E" w:rsidP="00B839A0">
      <w:pPr>
        <w:bidi w:val="0"/>
        <w:jc w:val="both"/>
        <w:rPr>
          <w:rFonts w:ascii="Times New Roman" w:hAnsi="Times New Roman"/>
        </w:rPr>
      </w:pPr>
      <w:r w:rsidRPr="0063748E">
        <w:rPr>
          <w:rFonts w:ascii="Times New Roman" w:hAnsi="Times New Roman"/>
        </w:rPr>
        <w:t>Podporu personálnemu obsadeniu ústredí štátnej správy ako aj Stálemu zastúpeniu SR pri EÚ v</w:t>
      </w:r>
      <w:r w:rsidR="00A87F6A">
        <w:rPr>
          <w:rFonts w:ascii="Times New Roman" w:hAnsi="Times New Roman"/>
        </w:rPr>
        <w:t> </w:t>
      </w:r>
      <w:r w:rsidRPr="0063748E">
        <w:rPr>
          <w:rFonts w:ascii="Times New Roman" w:hAnsi="Times New Roman"/>
        </w:rPr>
        <w:t>Bruseli doplnili sekondovaní diplomati z iných členských štátov EÚ, Nórska a európskych inštitúcií</w:t>
      </w:r>
      <w:r>
        <w:rPr>
          <w:rFonts w:ascii="Times New Roman" w:hAnsi="Times New Roman"/>
        </w:rPr>
        <w:t xml:space="preserve"> spolu v celkovom počte 33 (25 MZVaEZ </w:t>
      </w:r>
      <w:r w:rsidRPr="00733975">
        <w:rPr>
          <w:rFonts w:ascii="Times New Roman" w:hAnsi="Times New Roman"/>
        </w:rPr>
        <w:t xml:space="preserve">SR a 2 na každom </w:t>
      </w:r>
      <w:r>
        <w:rPr>
          <w:rFonts w:ascii="Times New Roman" w:hAnsi="Times New Roman"/>
        </w:rPr>
        <w:t xml:space="preserve">z </w:t>
      </w:r>
      <w:r w:rsidRPr="00733975">
        <w:rPr>
          <w:rFonts w:ascii="Times New Roman" w:hAnsi="Times New Roman"/>
        </w:rPr>
        <w:t>rezorto</w:t>
      </w:r>
      <w:r>
        <w:rPr>
          <w:rFonts w:ascii="Times New Roman" w:hAnsi="Times New Roman"/>
        </w:rPr>
        <w:t>ch</w:t>
      </w:r>
      <w:r w:rsidRPr="00733975">
        <w:rPr>
          <w:rFonts w:ascii="Times New Roman" w:hAnsi="Times New Roman"/>
        </w:rPr>
        <w:t xml:space="preserve"> </w:t>
      </w:r>
      <w:r>
        <w:rPr>
          <w:rFonts w:ascii="Times New Roman" w:hAnsi="Times New Roman"/>
        </w:rPr>
        <w:t>MO SR, MH SR, MF SR a</w:t>
      </w:r>
      <w:r w:rsidR="00A87F6A">
        <w:rPr>
          <w:rFonts w:ascii="Times New Roman" w:hAnsi="Times New Roman"/>
        </w:rPr>
        <w:t> </w:t>
      </w:r>
      <w:r>
        <w:rPr>
          <w:rFonts w:ascii="Times New Roman" w:hAnsi="Times New Roman"/>
        </w:rPr>
        <w:t xml:space="preserve">MŽP SR). </w:t>
      </w:r>
    </w:p>
    <w:p w:rsidR="00B839A0" w:rsidRPr="00621106" w:rsidP="00B839A0">
      <w:pPr>
        <w:bidi w:val="0"/>
        <w:jc w:val="both"/>
        <w:rPr>
          <w:rFonts w:ascii="Times New Roman" w:hAnsi="Times New Roman"/>
          <w:sz w:val="20"/>
          <w:szCs w:val="20"/>
        </w:rPr>
      </w:pPr>
    </w:p>
    <w:p w:rsidR="006E1093" w:rsidRPr="00232FB0" w:rsidP="006E1093">
      <w:pPr>
        <w:bidi w:val="0"/>
        <w:jc w:val="both"/>
        <w:rPr>
          <w:rFonts w:ascii="Times New Roman" w:hAnsi="Times New Roman"/>
          <w:lang w:val="x-none" w:eastAsia="x-none"/>
        </w:rPr>
      </w:pPr>
      <w:r w:rsidRPr="0063748E" w:rsidR="00B839A0">
        <w:rPr>
          <w:rFonts w:ascii="Times New Roman" w:hAnsi="Times New Roman"/>
          <w:lang w:val="x-none" w:eastAsia="x-none"/>
        </w:rPr>
        <w:t xml:space="preserve">Personálna výpomoc </w:t>
      </w:r>
      <w:r w:rsidRPr="0063748E" w:rsidR="00B839A0">
        <w:rPr>
          <w:rFonts w:ascii="Times New Roman" w:hAnsi="Times New Roman"/>
          <w:lang w:eastAsia="x-none"/>
        </w:rPr>
        <w:t>sa</w:t>
      </w:r>
      <w:r w:rsidRPr="0063748E" w:rsidR="00B839A0">
        <w:rPr>
          <w:rFonts w:ascii="Times New Roman" w:hAnsi="Times New Roman"/>
          <w:lang w:val="x-none" w:eastAsia="x-none"/>
        </w:rPr>
        <w:t xml:space="preserve"> realizova</w:t>
      </w:r>
      <w:r w:rsidRPr="0063748E" w:rsidR="00B839A0">
        <w:rPr>
          <w:rFonts w:ascii="Times New Roman" w:hAnsi="Times New Roman"/>
          <w:lang w:eastAsia="x-none"/>
        </w:rPr>
        <w:t>la</w:t>
      </w:r>
      <w:r w:rsidRPr="0063748E" w:rsidR="00B839A0">
        <w:rPr>
          <w:rFonts w:ascii="Times New Roman" w:hAnsi="Times New Roman"/>
          <w:lang w:val="x-none" w:eastAsia="x-none"/>
        </w:rPr>
        <w:t xml:space="preserve"> aj formou zabezpečenia zastupovania v pracovných skupinách a</w:t>
      </w:r>
      <w:r w:rsidR="00A87F6A">
        <w:rPr>
          <w:rFonts w:ascii="Times New Roman" w:hAnsi="Times New Roman"/>
          <w:lang w:eastAsia="x-none"/>
        </w:rPr>
        <w:t> </w:t>
      </w:r>
      <w:r w:rsidRPr="0063748E" w:rsidR="00B839A0">
        <w:rPr>
          <w:rFonts w:ascii="Times New Roman" w:hAnsi="Times New Roman"/>
          <w:lang w:val="x-none" w:eastAsia="x-none"/>
        </w:rPr>
        <w:t>výboroch Rady EÚ medzi partnermi Tria. Z pohľadu SK PRES bolo potrebné pokryť oblasti, v</w:t>
      </w:r>
      <w:r w:rsidR="00A87F6A">
        <w:rPr>
          <w:rFonts w:ascii="Times New Roman" w:hAnsi="Times New Roman"/>
          <w:lang w:eastAsia="x-none"/>
        </w:rPr>
        <w:t> </w:t>
      </w:r>
      <w:r w:rsidRPr="0063748E" w:rsidR="00B839A0">
        <w:rPr>
          <w:rFonts w:ascii="Times New Roman" w:hAnsi="Times New Roman"/>
          <w:lang w:val="x-none" w:eastAsia="x-none"/>
        </w:rPr>
        <w:t>ktorých Slovensko nemá z o</w:t>
      </w:r>
      <w:r w:rsidRPr="0063748E" w:rsidR="00B839A0">
        <w:rPr>
          <w:rFonts w:ascii="Times New Roman" w:hAnsi="Times New Roman"/>
          <w:lang w:eastAsia="x-none"/>
        </w:rPr>
        <w:t>bjektívnych</w:t>
      </w:r>
      <w:r w:rsidRPr="0063748E" w:rsidR="00B839A0">
        <w:rPr>
          <w:rFonts w:ascii="Times New Roman" w:hAnsi="Times New Roman"/>
          <w:lang w:val="x-none" w:eastAsia="x-none"/>
        </w:rPr>
        <w:t xml:space="preserve"> dôvodov dostatočné odborné kapacity. Zastrešenie</w:t>
      </w:r>
      <w:r w:rsidR="00D04863">
        <w:rPr>
          <w:rFonts w:ascii="Times New Roman" w:hAnsi="Times New Roman"/>
          <w:lang w:val="x-none" w:eastAsia="x-none"/>
        </w:rPr>
        <w:t xml:space="preserve"> </w:t>
      </w:r>
      <w:r w:rsidRPr="0063748E" w:rsidR="00B839A0">
        <w:rPr>
          <w:rFonts w:ascii="Times New Roman" w:hAnsi="Times New Roman"/>
          <w:lang w:val="x-none" w:eastAsia="x-none"/>
        </w:rPr>
        <w:t>námornej politiky, medzinárodných otázok životného prostredia a vnútornej a vonkajšej rybárskej politiky zo strany Holandského kráľovstva a Malt</w:t>
      </w:r>
      <w:r w:rsidR="00F2700D">
        <w:rPr>
          <w:rFonts w:ascii="Times New Roman" w:hAnsi="Times New Roman"/>
          <w:lang w:eastAsia="x-none"/>
        </w:rPr>
        <w:t>y</w:t>
      </w:r>
      <w:r w:rsidRPr="0063748E" w:rsidR="00B839A0">
        <w:rPr>
          <w:rFonts w:ascii="Times New Roman" w:hAnsi="Times New Roman"/>
          <w:lang w:val="x-none" w:eastAsia="x-none"/>
        </w:rPr>
        <w:t xml:space="preserve"> počas SK PRES bolo formálne potvrdené podpisom </w:t>
      </w:r>
      <w:r w:rsidRPr="001F1744" w:rsidR="00B839A0">
        <w:rPr>
          <w:rFonts w:ascii="Times New Roman" w:hAnsi="Times New Roman"/>
          <w:lang w:eastAsia="x-none"/>
        </w:rPr>
        <w:t xml:space="preserve">bilaterálnych dohôd medzi MZVaEZ SR, holandským ministerstvom zahraničných vecí </w:t>
      </w:r>
      <w:r w:rsidRPr="0063748E" w:rsidR="00B839A0">
        <w:rPr>
          <w:rFonts w:ascii="Times New Roman" w:hAnsi="Times New Roman"/>
          <w:lang w:val="x-none" w:eastAsia="x-none"/>
        </w:rPr>
        <w:t>a maltským ministerstvom pre európske záležitosti. Do tradičnej spolupráce Trio partnerov zameranej na zastupovanie v pracovných skupinách sa počas maltského predsedníctva v Rade EÚ</w:t>
      </w:r>
      <w:r w:rsidR="00B839A0">
        <w:rPr>
          <w:rFonts w:ascii="Times New Roman" w:hAnsi="Times New Roman"/>
          <w:lang w:eastAsia="x-none"/>
        </w:rPr>
        <w:t xml:space="preserve"> </w:t>
      </w:r>
      <w:r w:rsidRPr="0063748E" w:rsidR="00B839A0">
        <w:rPr>
          <w:rFonts w:ascii="Times New Roman" w:hAnsi="Times New Roman"/>
          <w:lang w:val="x-none" w:eastAsia="x-none"/>
        </w:rPr>
        <w:t xml:space="preserve">aktívne zapojí aj Slovensko poskytnutím odbornej výpomoci vo viacerých oblastiach </w:t>
      </w:r>
      <w:r w:rsidRPr="0063748E">
        <w:rPr>
          <w:rFonts w:ascii="Times New Roman" w:hAnsi="Times New Roman"/>
          <w:lang w:val="x-none" w:eastAsia="x-none"/>
        </w:rPr>
        <w:t>(lesné hospodárstvo, veterinárstvo, rastlinolekárstvo, právna ochrana odrôd rastlín, jadrové otázky a bezpečnosť,</w:t>
      </w:r>
      <w:r w:rsidR="00894D87">
        <w:rPr>
          <w:rFonts w:ascii="Times New Roman" w:hAnsi="Times New Roman"/>
          <w:lang w:val="x-none" w:eastAsia="x-none"/>
        </w:rPr>
        <w:t xml:space="preserve"> </w:t>
      </w:r>
      <w:r>
        <w:rPr>
          <w:rFonts w:ascii="Times New Roman" w:hAnsi="Times New Roman"/>
          <w:lang w:eastAsia="x-none"/>
        </w:rPr>
        <w:t>biodiverzita</w:t>
      </w:r>
      <w:r w:rsidRPr="0063748E">
        <w:rPr>
          <w:rFonts w:ascii="Times New Roman" w:hAnsi="Times New Roman"/>
          <w:lang w:val="x-none" w:eastAsia="x-none"/>
        </w:rPr>
        <w:t xml:space="preserve">, </w:t>
      </w:r>
      <w:r>
        <w:rPr>
          <w:rFonts w:ascii="Times New Roman" w:hAnsi="Times New Roman"/>
          <w:lang w:eastAsia="x-none"/>
        </w:rPr>
        <w:t xml:space="preserve">zmena klímy, </w:t>
      </w:r>
      <w:r w:rsidRPr="0063748E">
        <w:rPr>
          <w:rFonts w:ascii="Times New Roman" w:hAnsi="Times New Roman"/>
          <w:lang w:val="x-none" w:eastAsia="x-none"/>
        </w:rPr>
        <w:t>obl</w:t>
      </w:r>
      <w:r>
        <w:rPr>
          <w:rFonts w:ascii="Times New Roman" w:hAnsi="Times New Roman"/>
          <w:lang w:val="x-none" w:eastAsia="x-none"/>
        </w:rPr>
        <w:t>asť komodít, vývozných úverov a </w:t>
      </w:r>
      <w:r w:rsidRPr="0063748E">
        <w:rPr>
          <w:rFonts w:ascii="Times New Roman" w:hAnsi="Times New Roman"/>
          <w:lang w:val="x-none" w:eastAsia="x-none"/>
        </w:rPr>
        <w:t>vojenský výbor – osobitná skupina pre hlavný cieľ). Slovensko</w:t>
      </w:r>
      <w:r w:rsidR="00F2700D">
        <w:rPr>
          <w:rFonts w:ascii="Times New Roman" w:hAnsi="Times New Roman"/>
          <w:lang w:val="x-none" w:eastAsia="x-none"/>
        </w:rPr>
        <w:t xml:space="preserve"> na základe žiadosti Malty</w:t>
      </w:r>
      <w:r w:rsidRPr="0063748E">
        <w:rPr>
          <w:rFonts w:ascii="Times New Roman" w:hAnsi="Times New Roman"/>
          <w:lang w:val="x-none" w:eastAsia="x-none"/>
        </w:rPr>
        <w:t xml:space="preserve"> bude vykonávať predsednícke funkcie aj v rámci UNESCO v Paríži.</w:t>
      </w:r>
    </w:p>
    <w:p w:rsidR="00B839A0" w:rsidRPr="00F2700D" w:rsidP="00B839A0">
      <w:pPr>
        <w:bidi w:val="0"/>
        <w:jc w:val="both"/>
        <w:rPr>
          <w:rFonts w:ascii="Times New Roman" w:hAnsi="Times New Roman"/>
          <w:b/>
          <w:sz w:val="20"/>
          <w:szCs w:val="20"/>
        </w:rPr>
      </w:pPr>
    </w:p>
    <w:p w:rsidR="00B839A0" w:rsidRPr="0063748E" w:rsidP="00B839A0">
      <w:pPr>
        <w:bidi w:val="0"/>
        <w:jc w:val="both"/>
        <w:rPr>
          <w:rFonts w:ascii="Times New Roman" w:hAnsi="Times New Roman"/>
          <w:b/>
          <w:i/>
        </w:rPr>
      </w:pPr>
      <w:r w:rsidRPr="0063748E">
        <w:rPr>
          <w:rFonts w:ascii="Times New Roman" w:hAnsi="Times New Roman"/>
          <w:b/>
          <w:i/>
        </w:rPr>
        <w:t>Vzdelávanie – príprava na výkon SK PRES</w:t>
      </w:r>
    </w:p>
    <w:p w:rsidR="00B839A0" w:rsidRPr="00F2700D" w:rsidP="00B839A0">
      <w:pPr>
        <w:bidi w:val="0"/>
        <w:jc w:val="both"/>
        <w:rPr>
          <w:rFonts w:ascii="Times New Roman" w:hAnsi="Times New Roman"/>
        </w:rPr>
      </w:pPr>
      <w:r w:rsidRPr="0063748E">
        <w:rPr>
          <w:rFonts w:ascii="Times New Roman" w:hAnsi="Times New Roman"/>
        </w:rPr>
        <w:t>Kvalitné odborné</w:t>
      </w:r>
      <w:r w:rsidR="00D04863">
        <w:rPr>
          <w:rFonts w:ascii="Times New Roman" w:hAnsi="Times New Roman"/>
        </w:rPr>
        <w:t xml:space="preserve"> </w:t>
      </w:r>
      <w:r w:rsidRPr="0063748E">
        <w:rPr>
          <w:rFonts w:ascii="Times New Roman" w:hAnsi="Times New Roman"/>
        </w:rPr>
        <w:t>kapacity sú základom úspechu každej krajiny predsedajúcej Rade EÚ.</w:t>
      </w:r>
      <w:r w:rsidR="00D04863">
        <w:rPr>
          <w:rFonts w:ascii="Times New Roman" w:hAnsi="Times New Roman"/>
        </w:rPr>
        <w:t xml:space="preserve"> </w:t>
      </w:r>
      <w:r w:rsidRPr="0063748E">
        <w:rPr>
          <w:rFonts w:ascii="Times New Roman" w:hAnsi="Times New Roman"/>
        </w:rPr>
        <w:t>MZVaEZ SR ako hlavný koordinátor príprav preto venovalo príprave, vzdelávaniu a školeniu pracovníkov podieľajúcich sa na výkone SK PRES mimoriadnu pozornosť. Vzdelávanie v rámci národného projektu nazvaného „</w:t>
      </w:r>
      <w:r w:rsidRPr="0063748E">
        <w:rPr>
          <w:rFonts w:ascii="Times New Roman" w:hAnsi="Times New Roman"/>
          <w:i/>
        </w:rPr>
        <w:t>Zvýšenie kvality výkonu zamestnancov štátnej správy v oblasti agendy EÚ – príprava na predsedníctvo SR v rade EÚ</w:t>
      </w:r>
      <w:r w:rsidRPr="0063748E">
        <w:rPr>
          <w:rFonts w:ascii="Times New Roman" w:hAnsi="Times New Roman"/>
        </w:rPr>
        <w:t xml:space="preserve">“ absolvovalo v priebehu rokov 2014 a 2015 spolu 1092 osôb. Projekt bol súčasťou </w:t>
      </w:r>
      <w:r w:rsidRPr="0063748E">
        <w:rPr>
          <w:rFonts w:ascii="Times New Roman" w:hAnsi="Times New Roman"/>
          <w:i/>
        </w:rPr>
        <w:t>„Národného programu vzdelávania zamestnancov štátnej správy pre potreby SK PRES</w:t>
      </w:r>
      <w:r w:rsidRPr="0063748E">
        <w:rPr>
          <w:rFonts w:ascii="Times New Roman" w:hAnsi="Times New Roman"/>
        </w:rPr>
        <w:t xml:space="preserve">“ </w:t>
      </w:r>
      <w:r w:rsidRPr="00F2700D">
        <w:rPr>
          <w:rFonts w:ascii="Times New Roman" w:hAnsi="Times New Roman"/>
        </w:rPr>
        <w:t>schváleného</w:t>
      </w:r>
      <w:r w:rsidRPr="00F2700D">
        <w:rPr>
          <w:rFonts w:ascii="Times New Roman" w:hAnsi="Times New Roman"/>
          <w:i/>
        </w:rPr>
        <w:t xml:space="preserve"> </w:t>
      </w:r>
      <w:r w:rsidRPr="00F2700D">
        <w:rPr>
          <w:rFonts w:ascii="Times New Roman" w:hAnsi="Times New Roman"/>
        </w:rPr>
        <w:t>vládou SR 13.1.2013. Jeho rozpočet tvoril nenávratný finančný príspevok z Európskeho sociálneho fondu</w:t>
      </w:r>
      <w:r w:rsidRPr="00F2700D" w:rsidR="00E3718C">
        <w:rPr>
          <w:rFonts w:ascii="Times New Roman" w:hAnsi="Times New Roman"/>
        </w:rPr>
        <w:t xml:space="preserve">, vďaka čomu </w:t>
      </w:r>
      <w:r w:rsidRPr="00592770" w:rsidR="00E3718C">
        <w:rPr>
          <w:rFonts w:ascii="Times New Roman" w:hAnsi="Times New Roman"/>
        </w:rPr>
        <w:t xml:space="preserve">štátny rozpočet ušetril v príprave na SK PRES prostriedky vo výške </w:t>
      </w:r>
      <w:r w:rsidRPr="00592770" w:rsidR="00F2700D">
        <w:rPr>
          <w:rFonts w:ascii="Times New Roman" w:hAnsi="Times New Roman"/>
        </w:rPr>
        <w:t>1,</w:t>
      </w:r>
      <w:r w:rsidRPr="00592770" w:rsidR="00E3718C">
        <w:rPr>
          <w:rFonts w:ascii="Times New Roman" w:hAnsi="Times New Roman"/>
        </w:rPr>
        <w:t>2 mil. EUR.</w:t>
      </w:r>
      <w:r w:rsidRPr="00592770">
        <w:rPr>
          <w:rFonts w:ascii="Times New Roman" w:hAnsi="Times New Roman"/>
        </w:rPr>
        <w:t xml:space="preserve"> </w:t>
      </w:r>
      <w:r w:rsidRPr="00F2700D">
        <w:rPr>
          <w:rFonts w:ascii="Times New Roman" w:hAnsi="Times New Roman"/>
        </w:rPr>
        <w:t xml:space="preserve">Vzdelávanie bolo určené predovšetkým budúcim predsedom a podpredsedom pracovných skupín Rady EÚ, rezortným expertom a koordinátorom agendy politík EÚ na ministerstvách. </w:t>
      </w:r>
      <w:r w:rsidRPr="00F2700D" w:rsidR="00E3718C">
        <w:rPr>
          <w:rFonts w:ascii="Times New Roman" w:hAnsi="Times New Roman"/>
          <w:color w:val="000000"/>
        </w:rPr>
        <w:t xml:space="preserve">Projekt zabezpečovalo na tento účel špeciálne vytvorené oddelenie v rámci organizačnej štruktúry Odboru diplomatickej prípravy, vzdelávania a knižnica a sekcie Osobného úradu </w:t>
      </w:r>
      <w:r w:rsidRPr="00F2700D" w:rsidR="00F2700D">
        <w:rPr>
          <w:rFonts w:ascii="Times New Roman" w:hAnsi="Times New Roman"/>
          <w:color w:val="000000"/>
        </w:rPr>
        <w:t>MZVaEZ SR</w:t>
      </w:r>
      <w:r w:rsidRPr="00F2700D" w:rsidR="00E3718C">
        <w:rPr>
          <w:rFonts w:ascii="Times New Roman" w:hAnsi="Times New Roman"/>
          <w:color w:val="000000"/>
        </w:rPr>
        <w:t>.</w:t>
      </w:r>
    </w:p>
    <w:p w:rsidR="00B839A0" w:rsidRPr="00621106" w:rsidP="00B839A0">
      <w:pPr>
        <w:bidi w:val="0"/>
        <w:jc w:val="both"/>
        <w:rPr>
          <w:rFonts w:ascii="Times New Roman" w:hAnsi="Times New Roman"/>
          <w:sz w:val="20"/>
          <w:szCs w:val="20"/>
        </w:rPr>
      </w:pPr>
    </w:p>
    <w:p w:rsidR="00B839A0" w:rsidRPr="00F2700D" w:rsidP="00B839A0">
      <w:pPr>
        <w:bidi w:val="0"/>
        <w:jc w:val="both"/>
        <w:rPr>
          <w:rFonts w:ascii="Times New Roman" w:hAnsi="Times New Roman"/>
        </w:rPr>
      </w:pPr>
      <w:r w:rsidRPr="00F2700D">
        <w:rPr>
          <w:rFonts w:ascii="Times New Roman" w:hAnsi="Times New Roman"/>
        </w:rPr>
        <w:t xml:space="preserve">Medzi hlavné oblasti prípravy, ktorú pripravilo MZVaEZ SR v spolupráci s rezortmi, </w:t>
      </w:r>
      <w:r w:rsidRPr="00F2700D" w:rsidR="00F2700D">
        <w:rPr>
          <w:rFonts w:ascii="Times New Roman" w:hAnsi="Times New Roman"/>
        </w:rPr>
        <w:t xml:space="preserve">SZ Brusel a Generálnym sekretariátom Rady EÚ, </w:t>
      </w:r>
      <w:r w:rsidRPr="00F2700D">
        <w:rPr>
          <w:rFonts w:ascii="Times New Roman" w:hAnsi="Times New Roman"/>
        </w:rPr>
        <w:t>patrili:</w:t>
      </w:r>
    </w:p>
    <w:p w:rsidR="00B839A0" w:rsidRPr="00F2700D" w:rsidP="00B839A0">
      <w:pPr>
        <w:numPr>
          <w:numId w:val="19"/>
        </w:numPr>
        <w:bidi w:val="0"/>
        <w:jc w:val="both"/>
        <w:rPr>
          <w:rFonts w:ascii="Times New Roman" w:hAnsi="Times New Roman"/>
          <w:lang w:val="x-none"/>
        </w:rPr>
      </w:pPr>
      <w:r w:rsidRPr="00F2700D">
        <w:rPr>
          <w:rFonts w:ascii="Times New Roman" w:hAnsi="Times New Roman"/>
          <w:lang w:val="x-none"/>
        </w:rPr>
        <w:t xml:space="preserve">inštitucionálno-procedurálna príprava </w:t>
      </w:r>
    </w:p>
    <w:p w:rsidR="00B839A0" w:rsidRPr="00F2700D" w:rsidP="00B839A0">
      <w:pPr>
        <w:numPr>
          <w:numId w:val="19"/>
        </w:numPr>
        <w:bidi w:val="0"/>
        <w:jc w:val="both"/>
        <w:rPr>
          <w:rFonts w:ascii="Times New Roman" w:hAnsi="Times New Roman"/>
          <w:lang w:val="x-none"/>
        </w:rPr>
      </w:pPr>
      <w:r w:rsidRPr="00F2700D">
        <w:rPr>
          <w:rFonts w:ascii="Times New Roman" w:hAnsi="Times New Roman"/>
          <w:lang w:val="x-none"/>
        </w:rPr>
        <w:t xml:space="preserve">tréning komunikačných, prezentačných a negociačných zručností a schopností viesť rokovania v prostredí EÚ </w:t>
      </w:r>
    </w:p>
    <w:p w:rsidR="00B839A0" w:rsidRPr="00F2700D" w:rsidP="00B839A0">
      <w:pPr>
        <w:numPr>
          <w:numId w:val="19"/>
        </w:numPr>
        <w:bidi w:val="0"/>
        <w:jc w:val="both"/>
        <w:rPr>
          <w:rFonts w:ascii="Times New Roman" w:hAnsi="Times New Roman"/>
          <w:lang w:val="x-none"/>
        </w:rPr>
      </w:pPr>
      <w:r w:rsidRPr="00F2700D">
        <w:rPr>
          <w:rFonts w:ascii="Times New Roman" w:hAnsi="Times New Roman"/>
          <w:lang w:val="x-none"/>
        </w:rPr>
        <w:t xml:space="preserve">jazykové vzdelávanie </w:t>
      </w:r>
    </w:p>
    <w:p w:rsidR="00B839A0" w:rsidRPr="00F2700D" w:rsidP="00B839A0">
      <w:pPr>
        <w:numPr>
          <w:numId w:val="19"/>
        </w:numPr>
        <w:bidi w:val="0"/>
        <w:jc w:val="both"/>
        <w:rPr>
          <w:rFonts w:ascii="Times New Roman" w:hAnsi="Times New Roman"/>
          <w:lang w:val="x-none"/>
        </w:rPr>
      </w:pPr>
      <w:r w:rsidRPr="00F2700D">
        <w:rPr>
          <w:rFonts w:ascii="Times New Roman" w:hAnsi="Times New Roman"/>
          <w:lang w:val="x-none"/>
        </w:rPr>
        <w:t>odborné vzdelávacie stáže v Bruseli</w:t>
      </w:r>
    </w:p>
    <w:p w:rsidR="00B839A0" w:rsidRPr="00F2700D" w:rsidP="00B839A0">
      <w:pPr>
        <w:numPr>
          <w:numId w:val="19"/>
        </w:numPr>
        <w:bidi w:val="0"/>
        <w:jc w:val="both"/>
        <w:rPr>
          <w:rFonts w:ascii="Times New Roman" w:hAnsi="Times New Roman"/>
          <w:lang w:val="x-none"/>
        </w:rPr>
      </w:pPr>
      <w:r w:rsidRPr="00F2700D">
        <w:rPr>
          <w:rFonts w:ascii="Times New Roman" w:hAnsi="Times New Roman"/>
          <w:lang w:val="x-none"/>
        </w:rPr>
        <w:t xml:space="preserve">mediálny tréning </w:t>
      </w:r>
    </w:p>
    <w:p w:rsidR="00621106" w:rsidRPr="00621106" w:rsidP="00B839A0">
      <w:pPr>
        <w:bidi w:val="0"/>
        <w:jc w:val="both"/>
        <w:rPr>
          <w:rFonts w:ascii="Times New Roman" w:hAnsi="Times New Roman"/>
          <w:sz w:val="15"/>
          <w:szCs w:val="15"/>
        </w:rPr>
      </w:pPr>
    </w:p>
    <w:p w:rsidR="00B839A0" w:rsidRPr="00F2700D" w:rsidP="00B839A0">
      <w:pPr>
        <w:bidi w:val="0"/>
        <w:jc w:val="both"/>
        <w:rPr>
          <w:rFonts w:ascii="Times New Roman" w:hAnsi="Times New Roman"/>
        </w:rPr>
      </w:pPr>
      <w:r w:rsidRPr="00F2700D">
        <w:rPr>
          <w:rFonts w:ascii="Times New Roman" w:hAnsi="Times New Roman"/>
        </w:rPr>
        <w:t>V roku 2016 MZVaEZ SR nadviazalo na predchádzajúce vzdelávacie aktivity a prebehlo dodatočné vzdelávanie špecifických skupín zamestnancov, ktorí sa podieľali priamo na výkone SK PRES. Medzi cieľové skupiny patrili:</w:t>
      </w:r>
    </w:p>
    <w:p w:rsidR="00B839A0" w:rsidRPr="00F2700D" w:rsidP="00B839A0">
      <w:pPr>
        <w:numPr>
          <w:numId w:val="18"/>
        </w:numPr>
        <w:bidi w:val="0"/>
        <w:jc w:val="both"/>
        <w:rPr>
          <w:rFonts w:ascii="Times New Roman" w:hAnsi="Times New Roman"/>
          <w:lang w:val="x-none"/>
        </w:rPr>
      </w:pPr>
      <w:r w:rsidRPr="00F2700D">
        <w:rPr>
          <w:rFonts w:ascii="Times New Roman" w:hAnsi="Times New Roman"/>
          <w:lang w:val="x-none"/>
        </w:rPr>
        <w:t>členovia vlády SR</w:t>
      </w:r>
    </w:p>
    <w:p w:rsidR="00B839A0" w:rsidRPr="00F2700D" w:rsidP="00B839A0">
      <w:pPr>
        <w:numPr>
          <w:numId w:val="18"/>
        </w:numPr>
        <w:bidi w:val="0"/>
        <w:jc w:val="both"/>
        <w:rPr>
          <w:rFonts w:ascii="Times New Roman" w:hAnsi="Times New Roman"/>
          <w:lang w:val="x-none"/>
        </w:rPr>
      </w:pPr>
      <w:r w:rsidRPr="00F2700D">
        <w:rPr>
          <w:rFonts w:ascii="Times New Roman" w:hAnsi="Times New Roman"/>
          <w:lang w:val="x-none"/>
        </w:rPr>
        <w:t>hovorcovia a komunikační pracovníci ministerstiev</w:t>
      </w:r>
    </w:p>
    <w:p w:rsidR="00B839A0" w:rsidRPr="00F2700D" w:rsidP="00B839A0">
      <w:pPr>
        <w:numPr>
          <w:numId w:val="18"/>
        </w:numPr>
        <w:bidi w:val="0"/>
        <w:jc w:val="both"/>
        <w:rPr>
          <w:rFonts w:ascii="Times New Roman" w:hAnsi="Times New Roman"/>
          <w:lang w:val="x-none"/>
        </w:rPr>
      </w:pPr>
      <w:r w:rsidRPr="00F2700D">
        <w:rPr>
          <w:rFonts w:ascii="Times New Roman" w:hAnsi="Times New Roman"/>
          <w:lang w:val="x-none"/>
        </w:rPr>
        <w:t>styční dôstojníci („liaison officers</w:t>
      </w:r>
      <w:r w:rsidRPr="00F2700D">
        <w:rPr>
          <w:rFonts w:ascii="Times New Roman" w:hAnsi="Times New Roman"/>
          <w:i/>
          <w:lang w:val="x-none"/>
        </w:rPr>
        <w:t>“</w:t>
      </w:r>
      <w:r w:rsidRPr="00F2700D">
        <w:rPr>
          <w:rFonts w:ascii="Times New Roman" w:hAnsi="Times New Roman"/>
          <w:lang w:val="x-none"/>
        </w:rPr>
        <w:t>)</w:t>
      </w:r>
    </w:p>
    <w:p w:rsidR="00B839A0" w:rsidRPr="00F2700D" w:rsidP="00621106">
      <w:pPr>
        <w:widowControl w:val="0"/>
        <w:numPr>
          <w:numId w:val="18"/>
        </w:numPr>
        <w:bidi w:val="0"/>
        <w:jc w:val="both"/>
        <w:rPr>
          <w:rFonts w:ascii="Times New Roman" w:hAnsi="Times New Roman"/>
          <w:lang w:val="x-none"/>
        </w:rPr>
      </w:pPr>
      <w:r w:rsidRPr="00F2700D">
        <w:rPr>
          <w:rFonts w:ascii="Times New Roman" w:hAnsi="Times New Roman"/>
          <w:lang w:val="x-none"/>
        </w:rPr>
        <w:t>stážisti SZ SR pri EÚ v Bruseli a misie SR pri medzinárodných organizáciách</w:t>
      </w:r>
    </w:p>
    <w:p w:rsidR="00621106" w:rsidRPr="00621106" w:rsidP="00621106">
      <w:pPr>
        <w:widowControl w:val="0"/>
        <w:bidi w:val="0"/>
        <w:jc w:val="both"/>
        <w:rPr>
          <w:rFonts w:ascii="Times New Roman" w:hAnsi="Times New Roman"/>
          <w:sz w:val="15"/>
          <w:szCs w:val="15"/>
        </w:rPr>
      </w:pPr>
    </w:p>
    <w:p w:rsidR="00B839A0" w:rsidRPr="0063748E" w:rsidP="00621106">
      <w:pPr>
        <w:widowControl w:val="0"/>
        <w:bidi w:val="0"/>
        <w:jc w:val="both"/>
        <w:rPr>
          <w:rFonts w:ascii="Times New Roman" w:hAnsi="Times New Roman"/>
        </w:rPr>
      </w:pPr>
      <w:r w:rsidRPr="00F2700D">
        <w:rPr>
          <w:rFonts w:ascii="Times New Roman" w:hAnsi="Times New Roman"/>
        </w:rPr>
        <w:t xml:space="preserve">V rokoch 2014-2016 </w:t>
      </w:r>
      <w:r w:rsidRPr="00F2700D" w:rsidR="00F2700D">
        <w:rPr>
          <w:rFonts w:ascii="Times New Roman" w:hAnsi="Times New Roman"/>
        </w:rPr>
        <w:t>MZVaEZ SR vyškolilo spolu</w:t>
      </w:r>
      <w:r w:rsidRPr="00F2700D">
        <w:rPr>
          <w:rFonts w:ascii="Times New Roman" w:hAnsi="Times New Roman"/>
        </w:rPr>
        <w:t xml:space="preserve"> 1</w:t>
      </w:r>
      <w:r w:rsidRPr="00F2700D" w:rsidR="00F2700D">
        <w:rPr>
          <w:rFonts w:ascii="Times New Roman" w:hAnsi="Times New Roman"/>
        </w:rPr>
        <w:t> </w:t>
      </w:r>
      <w:r w:rsidRPr="00F2700D">
        <w:rPr>
          <w:rFonts w:ascii="Times New Roman" w:hAnsi="Times New Roman"/>
        </w:rPr>
        <w:t>249 pracovníkov zo všetkých rezortov, ktoré sa podieľali na príprave a výkone SK PRES. Rezorty od roku 2013 zintenzívnili procesy vlastného</w:t>
      </w:r>
      <w:r w:rsidRPr="0063748E">
        <w:rPr>
          <w:rFonts w:ascii="Times New Roman" w:hAnsi="Times New Roman"/>
        </w:rPr>
        <w:t xml:space="preserve"> vzdelávania, a to nielen v jazykovej oblasti a odbornej terminológii, ale aj v špecifickej odbornej problematike a európskych politikách.</w:t>
      </w:r>
    </w:p>
    <w:p w:rsidR="00C364CB" w:rsidRPr="0063748E" w:rsidP="00621106">
      <w:pPr>
        <w:widowControl w:val="0"/>
        <w:bidi w:val="0"/>
        <w:jc w:val="both"/>
        <w:rPr>
          <w:rFonts w:ascii="Times New Roman" w:hAnsi="Times New Roman"/>
          <w:lang w:val="x-none" w:eastAsia="x-none"/>
        </w:rPr>
      </w:pPr>
    </w:p>
    <w:p w:rsidR="00B839A0" w:rsidRPr="0063748E" w:rsidP="00894D87">
      <w:pPr>
        <w:pStyle w:val="SpravaSKPRESnadpis2"/>
        <w:bidi w:val="0"/>
        <w:rPr>
          <w:rFonts w:ascii="Times New Roman" w:hAnsi="Times New Roman"/>
        </w:rPr>
      </w:pPr>
      <w:bookmarkStart w:id="20" w:name="_Toc473045061"/>
      <w:bookmarkStart w:id="21" w:name="_Toc475948623"/>
      <w:r w:rsidRPr="0063748E">
        <w:rPr>
          <w:rFonts w:ascii="Times New Roman" w:hAnsi="Times New Roman"/>
        </w:rPr>
        <w:t>Komunikácia a prezentácia SK PRES</w:t>
      </w:r>
      <w:bookmarkEnd w:id="20"/>
      <w:bookmarkEnd w:id="21"/>
    </w:p>
    <w:p w:rsidR="00B839A0" w:rsidP="00B839A0">
      <w:pPr>
        <w:bidi w:val="0"/>
        <w:jc w:val="both"/>
        <w:rPr>
          <w:rFonts w:ascii="Times New Roman" w:hAnsi="Times New Roman"/>
          <w:b/>
        </w:rPr>
      </w:pPr>
    </w:p>
    <w:p w:rsidR="00B839A0" w:rsidRPr="00CA68D8" w:rsidP="00B839A0">
      <w:pPr>
        <w:bidi w:val="0"/>
        <w:jc w:val="both"/>
        <w:rPr>
          <w:rFonts w:ascii="Times New Roman" w:hAnsi="Times New Roman"/>
          <w:b/>
        </w:rPr>
      </w:pPr>
      <w:r w:rsidRPr="00CA68D8">
        <w:rPr>
          <w:rFonts w:ascii="Times New Roman" w:hAnsi="Times New Roman"/>
          <w:b/>
        </w:rPr>
        <w:t>Logo a vizuálna identita SK PRES</w:t>
      </w:r>
    </w:p>
    <w:p w:rsidR="00B839A0" w:rsidRPr="00CA68D8" w:rsidP="00B839A0">
      <w:pPr>
        <w:bidi w:val="0"/>
        <w:jc w:val="both"/>
        <w:rPr>
          <w:rFonts w:ascii="Times New Roman" w:hAnsi="Times New Roman"/>
        </w:rPr>
      </w:pPr>
      <w:r w:rsidRPr="00CA68D8">
        <w:rPr>
          <w:rFonts w:ascii="Times New Roman" w:hAnsi="Times New Roman"/>
        </w:rPr>
        <w:t xml:space="preserve">Logo slovenského predsedníctva v Rade EÚ bolo </w:t>
      </w:r>
      <w:r w:rsidRPr="00CA68D8">
        <w:rPr>
          <w:rFonts w:ascii="Times New Roman" w:hAnsi="Times New Roman"/>
          <w:b/>
        </w:rPr>
        <w:t>najviditeľnejš</w:t>
      </w:r>
      <w:r w:rsidR="00D92286">
        <w:rPr>
          <w:rFonts w:ascii="Times New Roman" w:hAnsi="Times New Roman"/>
          <w:b/>
        </w:rPr>
        <w:t xml:space="preserve">ím prvkom </w:t>
      </w:r>
      <w:r w:rsidRPr="00CA68D8">
        <w:rPr>
          <w:rFonts w:ascii="Times New Roman" w:hAnsi="Times New Roman"/>
          <w:b/>
        </w:rPr>
        <w:t>slovenského predsedníctva v Rade EÚ</w:t>
      </w:r>
      <w:r w:rsidRPr="00CA68D8">
        <w:rPr>
          <w:rFonts w:ascii="Times New Roman" w:hAnsi="Times New Roman"/>
        </w:rPr>
        <w:t>. Logo splnilo očakávané ciele, bolo príťažlivé, ľahko zapamätateľné a</w:t>
      </w:r>
      <w:r w:rsidR="00A7575B">
        <w:rPr>
          <w:rFonts w:ascii="Times New Roman" w:hAnsi="Times New Roman"/>
        </w:rPr>
        <w:t> </w:t>
      </w:r>
      <w:r w:rsidRPr="00CA68D8">
        <w:rPr>
          <w:rFonts w:ascii="Times New Roman" w:hAnsi="Times New Roman"/>
        </w:rPr>
        <w:t>zároveň nieslo pozitívnu emóciu. Logo SK PRES obsahovalo špecifické slovenské prvky</w:t>
      </w:r>
      <w:r w:rsidR="00A7575B">
        <w:rPr>
          <w:rFonts w:ascii="Times New Roman" w:hAnsi="Times New Roman"/>
        </w:rPr>
        <w:t> -</w:t>
      </w:r>
      <w:r w:rsidRPr="00CA68D8">
        <w:rPr>
          <w:rFonts w:ascii="Times New Roman" w:hAnsi="Times New Roman"/>
        </w:rPr>
        <w:t xml:space="preserve"> diakritické znamienka a farby slovenskej trikolóry. Hravým spôsobom približovalo Slovensko ako mladú a dynamickú krajinu. </w:t>
      </w:r>
    </w:p>
    <w:p w:rsidR="00B839A0" w:rsidRPr="00CA68D8" w:rsidP="00B839A0">
      <w:pPr>
        <w:bidi w:val="0"/>
        <w:jc w:val="both"/>
        <w:rPr>
          <w:rFonts w:ascii="Times New Roman" w:hAnsi="Times New Roman"/>
        </w:rPr>
      </w:pPr>
      <w:r w:rsidRPr="00CA68D8">
        <w:rPr>
          <w:rFonts w:ascii="Times New Roman" w:hAnsi="Times New Roman"/>
        </w:rPr>
        <w:t>V súlade so zaužívanou tradíciou figurovalo logo na dokumentoch, prezentačn</w:t>
      </w:r>
      <w:r w:rsidR="00D92286">
        <w:rPr>
          <w:rFonts w:ascii="Times New Roman" w:hAnsi="Times New Roman"/>
        </w:rPr>
        <w:t xml:space="preserve">ých </w:t>
      </w:r>
      <w:r w:rsidRPr="00CA68D8">
        <w:rPr>
          <w:rFonts w:ascii="Times New Roman" w:hAnsi="Times New Roman"/>
        </w:rPr>
        <w:t>predmetoch</w:t>
      </w:r>
      <w:r w:rsidR="00D92286">
        <w:rPr>
          <w:rFonts w:ascii="Times New Roman" w:hAnsi="Times New Roman"/>
        </w:rPr>
        <w:t>,</w:t>
      </w:r>
      <w:r w:rsidRPr="00CA68D8">
        <w:rPr>
          <w:rFonts w:ascii="Times New Roman" w:hAnsi="Times New Roman"/>
        </w:rPr>
        <w:t xml:space="preserve"> či brožúrach všetkých rezortov. Nachádzalo sa tiež na oficiálnych komunikačných platformách predsedníctva a všetkých predsedníckych podujatiach na Slovensku aj v zahraničí, ako aj na podujatiach s finančnou alebo nefinančnou podporou predsedníctva.</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Web</w:t>
      </w:r>
    </w:p>
    <w:p w:rsidR="00B839A0" w:rsidRPr="00CA68D8" w:rsidP="00B839A0">
      <w:pPr>
        <w:bidi w:val="0"/>
        <w:jc w:val="both"/>
        <w:rPr>
          <w:rFonts w:ascii="Times New Roman" w:hAnsi="Times New Roman"/>
        </w:rPr>
      </w:pPr>
      <w:r w:rsidRPr="00CA68D8">
        <w:rPr>
          <w:rFonts w:ascii="Times New Roman" w:hAnsi="Times New Roman"/>
        </w:rPr>
        <w:t xml:space="preserve">Webový portál SK PRES bol nadrezortným komunikačným kanálom predsedníckych aktivít, poskytoval </w:t>
      </w:r>
      <w:r w:rsidRPr="00CA68D8">
        <w:rPr>
          <w:rFonts w:ascii="Times New Roman" w:hAnsi="Times New Roman"/>
          <w:b/>
        </w:rPr>
        <w:t>prehľadnú prezentáciu komplexnej činnosti predsedníctva</w:t>
      </w:r>
      <w:r w:rsidRPr="00CA68D8">
        <w:rPr>
          <w:rFonts w:ascii="Times New Roman" w:hAnsi="Times New Roman"/>
        </w:rPr>
        <w:t xml:space="preserve"> a zároveň slúžil ako </w:t>
      </w:r>
      <w:r w:rsidRPr="00CA68D8">
        <w:rPr>
          <w:rFonts w:ascii="Times New Roman" w:hAnsi="Times New Roman"/>
          <w:b/>
        </w:rPr>
        <w:t>kľúčový nástroj vizuálnej identity SK PRES</w:t>
      </w:r>
      <w:r w:rsidRPr="00CA68D8">
        <w:rPr>
          <w:rFonts w:ascii="Times New Roman" w:hAnsi="Times New Roman"/>
        </w:rPr>
        <w:t>. Podporoval sociálne siete (Twitter, Facebook) a</w:t>
      </w:r>
      <w:r w:rsidR="00A87F6A">
        <w:rPr>
          <w:rFonts w:ascii="Times New Roman" w:hAnsi="Times New Roman"/>
        </w:rPr>
        <w:t> </w:t>
      </w:r>
      <w:r w:rsidRPr="00CA68D8">
        <w:rPr>
          <w:rFonts w:ascii="Times New Roman" w:hAnsi="Times New Roman"/>
        </w:rPr>
        <w:t>newsletter. Zámerom webového portálu bolo poskytovať aktuálne a presné informácie o</w:t>
      </w:r>
      <w:r w:rsidR="00A87F6A">
        <w:rPr>
          <w:rFonts w:ascii="Times New Roman" w:hAnsi="Times New Roman"/>
        </w:rPr>
        <w:t> </w:t>
      </w:r>
      <w:r w:rsidRPr="00CA68D8">
        <w:rPr>
          <w:rFonts w:ascii="Times New Roman" w:hAnsi="Times New Roman"/>
        </w:rPr>
        <w:t>aktivitách SK PRES a tiež budovať povedomie o slovenskom predsedníctve medzi slovenskou verejnosťou.</w:t>
      </w:r>
    </w:p>
    <w:p w:rsidR="00B839A0" w:rsidRPr="00CA68D8" w:rsidP="00B839A0">
      <w:pPr>
        <w:bidi w:val="0"/>
        <w:jc w:val="both"/>
        <w:rPr>
          <w:rFonts w:ascii="Times New Roman" w:hAnsi="Times New Roman"/>
        </w:rPr>
      </w:pPr>
      <w:r w:rsidRPr="00CA68D8">
        <w:rPr>
          <w:rFonts w:ascii="Times New Roman" w:hAnsi="Times New Roman"/>
        </w:rPr>
        <w:t xml:space="preserve">Návštevnosť webu dosiahla približne 180 </w:t>
      </w:r>
      <w:r w:rsidR="005401F8">
        <w:rPr>
          <w:rFonts w:ascii="Times New Roman" w:hAnsi="Times New Roman"/>
        </w:rPr>
        <w:t xml:space="preserve">tisíc </w:t>
      </w:r>
      <w:r w:rsidRPr="00CA68D8">
        <w:rPr>
          <w:rFonts w:ascii="Times New Roman" w:hAnsi="Times New Roman"/>
        </w:rPr>
        <w:t xml:space="preserve">unikátnych používateľov, stránka bola zobrazená približne 800 </w:t>
      </w:r>
      <w:r w:rsidR="005401F8">
        <w:rPr>
          <w:rFonts w:ascii="Times New Roman" w:hAnsi="Times New Roman"/>
        </w:rPr>
        <w:t>tisíc</w:t>
      </w:r>
      <w:r w:rsidRPr="00CA68D8">
        <w:rPr>
          <w:rFonts w:ascii="Times New Roman" w:hAnsi="Times New Roman"/>
        </w:rPr>
        <w:t xml:space="preserve"> krát. Najvyššiu percentuálnu návštevnosť zaznamenali slovenská a anglická jazyková mutácia stránky. </w:t>
      </w:r>
    </w:p>
    <w:p w:rsidR="00B839A0"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Sociálne siete</w:t>
      </w:r>
    </w:p>
    <w:p w:rsidR="00B839A0" w:rsidRPr="00CA68D8" w:rsidP="00B839A0">
      <w:pPr>
        <w:bidi w:val="0"/>
        <w:jc w:val="both"/>
        <w:rPr>
          <w:rFonts w:ascii="Times New Roman" w:hAnsi="Times New Roman"/>
        </w:rPr>
      </w:pPr>
      <w:r w:rsidRPr="00CA68D8">
        <w:rPr>
          <w:rFonts w:ascii="Times New Roman" w:hAnsi="Times New Roman"/>
        </w:rPr>
        <w:t xml:space="preserve">Slovenské predsedníctvo po vzore predchádzajúcich predsedníctiev komunikovalo na sieti </w:t>
      </w:r>
      <w:r w:rsidRPr="00CA68D8">
        <w:rPr>
          <w:rFonts w:ascii="Times New Roman" w:hAnsi="Times New Roman"/>
          <w:b/>
        </w:rPr>
        <w:t>Twitter</w:t>
      </w:r>
      <w:r w:rsidRPr="00CA68D8">
        <w:rPr>
          <w:rFonts w:ascii="Times New Roman" w:hAnsi="Times New Roman"/>
        </w:rPr>
        <w:t xml:space="preserve">, a to prostredníctvom dvoch oficiálne verifikovaných twitterových účtov: centrálneho účtu @eu2016sk a podporného účtu v slovenskom jazyku @skpres2016. Twitterové účty mali </w:t>
      </w:r>
      <w:r w:rsidR="00FC1B1E">
        <w:rPr>
          <w:rFonts w:ascii="Times New Roman" w:hAnsi="Times New Roman"/>
        </w:rPr>
        <w:t>spolu</w:t>
      </w:r>
      <w:r w:rsidRPr="00CA68D8">
        <w:rPr>
          <w:rFonts w:ascii="Times New Roman" w:hAnsi="Times New Roman"/>
        </w:rPr>
        <w:t xml:space="preserve"> cca 7000 followerov.</w:t>
      </w:r>
    </w:p>
    <w:p w:rsidR="00B839A0" w:rsidRPr="00CA68D8" w:rsidP="00B839A0">
      <w:pPr>
        <w:bidi w:val="0"/>
        <w:jc w:val="both"/>
        <w:rPr>
          <w:rFonts w:ascii="Times New Roman" w:hAnsi="Times New Roman"/>
        </w:rPr>
      </w:pPr>
      <w:r w:rsidRPr="00CA68D8">
        <w:rPr>
          <w:rFonts w:ascii="Times New Roman" w:hAnsi="Times New Roman"/>
        </w:rPr>
        <w:t xml:space="preserve">Ťažisko komunikácie na sociálnych sieťach smerom k domácej verejnosti bolo na sociálnej sieti </w:t>
      </w:r>
      <w:r w:rsidRPr="00CA68D8">
        <w:rPr>
          <w:rFonts w:ascii="Times New Roman" w:hAnsi="Times New Roman"/>
          <w:b/>
        </w:rPr>
        <w:t>Facebook</w:t>
      </w:r>
      <w:r w:rsidRPr="00CA68D8">
        <w:rPr>
          <w:rFonts w:ascii="Times New Roman" w:hAnsi="Times New Roman"/>
        </w:rPr>
        <w:t>. Stránka má vyše 4500 followerov bez využitia platenej kampane. Najpopulárnejšie boli príspevky z obdobia Bratislavského samitu v septembri 2016.</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Newsletter</w:t>
      </w:r>
    </w:p>
    <w:p w:rsidR="00B839A0" w:rsidRPr="00CA68D8" w:rsidP="00B839A0">
      <w:pPr>
        <w:bidi w:val="0"/>
        <w:jc w:val="both"/>
        <w:rPr>
          <w:rFonts w:ascii="Times New Roman" w:hAnsi="Times New Roman"/>
        </w:rPr>
      </w:pPr>
      <w:r w:rsidRPr="00CA68D8">
        <w:rPr>
          <w:rFonts w:ascii="Times New Roman" w:hAnsi="Times New Roman"/>
        </w:rPr>
        <w:t xml:space="preserve">Newsletter bol </w:t>
      </w:r>
      <w:r w:rsidRPr="00CA68D8">
        <w:rPr>
          <w:rFonts w:ascii="Times New Roman" w:hAnsi="Times New Roman"/>
          <w:b/>
        </w:rPr>
        <w:t>elektronickým informačným bulletinom</w:t>
      </w:r>
      <w:r w:rsidRPr="00CA68D8">
        <w:rPr>
          <w:rFonts w:ascii="Times New Roman" w:hAnsi="Times New Roman"/>
        </w:rPr>
        <w:t xml:space="preserve">, ktorý pravidelne prinášal aktuálne informácie o prípravách predsedníctva. Cieľovou skupinou boli médiá (celoštátne aj regionálne), poslanci, pracovníci európskych inštitúcií, samosprávne kraje, široká verejnosť, zastupiteľské úrady SR v zahraničí, zamestnanci MZVaEZ SR. Celkovo vyšlo 19 čísel a v mailing liste bolo približne 5000 odberateľov. </w:t>
      </w:r>
    </w:p>
    <w:p w:rsidR="00B839A0" w:rsidRPr="00CA68D8" w:rsidP="00B839A0">
      <w:pPr>
        <w:bidi w:val="0"/>
        <w:jc w:val="both"/>
        <w:rPr>
          <w:rFonts w:ascii="Times New Roman" w:hAnsi="Times New Roman"/>
          <w:b/>
        </w:rPr>
      </w:pPr>
    </w:p>
    <w:p w:rsidR="00B839A0" w:rsidRPr="00CA68D8" w:rsidP="00B839A0">
      <w:pPr>
        <w:bidi w:val="0"/>
        <w:jc w:val="both"/>
        <w:rPr>
          <w:rFonts w:ascii="Times New Roman" w:hAnsi="Times New Roman"/>
          <w:b/>
        </w:rPr>
      </w:pPr>
      <w:r w:rsidRPr="00CA68D8">
        <w:rPr>
          <w:rFonts w:ascii="Times New Roman" w:hAnsi="Times New Roman"/>
          <w:b/>
        </w:rPr>
        <w:t>Publikácie</w:t>
      </w:r>
    </w:p>
    <w:p w:rsidR="00B839A0" w:rsidRPr="00CA68D8" w:rsidP="00B839A0">
      <w:pPr>
        <w:bidi w:val="0"/>
        <w:jc w:val="both"/>
        <w:rPr>
          <w:rFonts w:ascii="Times New Roman" w:hAnsi="Times New Roman"/>
        </w:rPr>
      </w:pPr>
      <w:r w:rsidRPr="00CA68D8">
        <w:rPr>
          <w:rFonts w:ascii="Times New Roman" w:hAnsi="Times New Roman"/>
          <w:bCs/>
        </w:rPr>
        <w:t>Informačné publikácie </w:t>
      </w:r>
      <w:r w:rsidRPr="00CA68D8">
        <w:rPr>
          <w:rFonts w:ascii="Times New Roman" w:hAnsi="Times New Roman"/>
        </w:rPr>
        <w:t xml:space="preserve">s praktickými informáciami boli zverejnené na webovom portáli SK PRES. Publikácia </w:t>
      </w:r>
      <w:r w:rsidRPr="00CA68D8">
        <w:rPr>
          <w:rFonts w:ascii="Times New Roman" w:hAnsi="Times New Roman"/>
          <w:b/>
        </w:rPr>
        <w:t>„Kto je kto“</w:t>
      </w:r>
      <w:r w:rsidRPr="00CA68D8">
        <w:rPr>
          <w:rFonts w:ascii="Times New Roman" w:hAnsi="Times New Roman"/>
        </w:rPr>
        <w:t xml:space="preserve"> bola informatívnym zoznamom osôb, ktoré plnili najdôležitejšie úlohy v</w:t>
      </w:r>
      <w:r w:rsidR="00A87F6A">
        <w:rPr>
          <w:rFonts w:ascii="Times New Roman" w:hAnsi="Times New Roman"/>
        </w:rPr>
        <w:t> </w:t>
      </w:r>
      <w:r w:rsidRPr="00CA68D8">
        <w:rPr>
          <w:rFonts w:ascii="Times New Roman" w:hAnsi="Times New Roman"/>
        </w:rPr>
        <w:t xml:space="preserve">rámci predsedníctva. </w:t>
      </w:r>
      <w:r w:rsidRPr="00CA68D8">
        <w:rPr>
          <w:rFonts w:ascii="Times New Roman" w:hAnsi="Times New Roman"/>
          <w:b/>
        </w:rPr>
        <w:t xml:space="preserve">„Program slovenského predsedníctva“ </w:t>
      </w:r>
      <w:r w:rsidRPr="00CA68D8">
        <w:rPr>
          <w:rFonts w:ascii="Times New Roman" w:hAnsi="Times New Roman"/>
        </w:rPr>
        <w:t xml:space="preserve">bol kompletným textom programu a priorít SK PRES. Publikácia </w:t>
      </w:r>
      <w:r w:rsidRPr="00CA68D8">
        <w:rPr>
          <w:rFonts w:ascii="Times New Roman" w:hAnsi="Times New Roman"/>
          <w:b/>
        </w:rPr>
        <w:t>„Mediálny sprievodca“</w:t>
      </w:r>
      <w:r w:rsidRPr="00CA68D8">
        <w:rPr>
          <w:rFonts w:ascii="Times New Roman" w:hAnsi="Times New Roman"/>
        </w:rPr>
        <w:t xml:space="preserve"> obsahovala praktické informácie pre novinárov. </w:t>
      </w:r>
      <w:r w:rsidRPr="00CA68D8">
        <w:rPr>
          <w:rFonts w:ascii="Times New Roman" w:hAnsi="Times New Roman"/>
          <w:b/>
        </w:rPr>
        <w:t>„Kultúrny program“</w:t>
      </w:r>
      <w:r w:rsidRPr="00CA68D8">
        <w:rPr>
          <w:rFonts w:ascii="Times New Roman" w:hAnsi="Times New Roman"/>
        </w:rPr>
        <w:t xml:space="preserve"> bol publikáciou, ktorá sústreďovala komplexné informácie o</w:t>
      </w:r>
      <w:r w:rsidR="00A87F6A">
        <w:rPr>
          <w:rFonts w:ascii="Times New Roman" w:hAnsi="Times New Roman"/>
        </w:rPr>
        <w:t> </w:t>
      </w:r>
      <w:r w:rsidRPr="00CA68D8">
        <w:rPr>
          <w:rFonts w:ascii="Times New Roman" w:hAnsi="Times New Roman"/>
        </w:rPr>
        <w:t>kultúrno-spoločenských podujatiach realizovaných počas SK PRES.</w:t>
      </w:r>
    </w:p>
    <w:p w:rsidR="00B839A0" w:rsidRPr="00CA68D8" w:rsidP="00B839A0">
      <w:pPr>
        <w:bidi w:val="0"/>
        <w:jc w:val="both"/>
        <w:rPr>
          <w:rFonts w:ascii="Times New Roman" w:hAnsi="Times New Roman"/>
        </w:rPr>
      </w:pPr>
      <w:r w:rsidRPr="00CA68D8">
        <w:rPr>
          <w:rFonts w:ascii="Times New Roman" w:hAnsi="Times New Roman"/>
        </w:rPr>
        <w:t>Vyšli aj ďalšie publikácie o podujatiach jednotlivých rezortov a odborné publikácie k témam SK</w:t>
      </w:r>
      <w:r w:rsidR="00A7575B">
        <w:rPr>
          <w:rFonts w:ascii="Times New Roman" w:hAnsi="Times New Roman"/>
        </w:rPr>
        <w:t> </w:t>
      </w:r>
      <w:r w:rsidRPr="00CA68D8">
        <w:rPr>
          <w:rFonts w:ascii="Times New Roman" w:hAnsi="Times New Roman"/>
        </w:rPr>
        <w:t>PRES.</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Spoty a prezentačný film</w:t>
      </w:r>
    </w:p>
    <w:p w:rsidR="00B839A0" w:rsidRPr="00CA68D8" w:rsidP="00B839A0">
      <w:pPr>
        <w:bidi w:val="0"/>
        <w:jc w:val="both"/>
        <w:rPr>
          <w:rFonts w:ascii="Times New Roman" w:hAnsi="Times New Roman"/>
        </w:rPr>
      </w:pPr>
      <w:r w:rsidRPr="00CA68D8">
        <w:rPr>
          <w:rFonts w:ascii="Times New Roman" w:hAnsi="Times New Roman"/>
        </w:rPr>
        <w:t>TV spoty a prezentačný film priblížil SK PRES slovenskej a zahraničnej verejnosti. Séria štyroch TV spotov verejnosti predstavila, prečo je členstvo v EÚ pre SR prínosom a o čom je predsedníctvo v Rade EÚ. Prezentačný film bol vyhotovený v slovenskej a anglickej verzii. Ďalších desať TV spotov so slovenskými osobnosťami spoločenského, kultúrneho a športového života prezentovali témy, ktorými sa SK PRES zaoberalo. V prezentačnom filme sa dej plynulo posúval od tradičnej k</w:t>
      </w:r>
      <w:r w:rsidR="00A87F6A">
        <w:rPr>
          <w:rFonts w:ascii="Times New Roman" w:hAnsi="Times New Roman"/>
        </w:rPr>
        <w:t> </w:t>
      </w:r>
      <w:r w:rsidRPr="00CA68D8">
        <w:rPr>
          <w:rFonts w:ascii="Times New Roman" w:hAnsi="Times New Roman"/>
        </w:rPr>
        <w:t xml:space="preserve">modernej tvári Slovenska, divákom tiež komunikoval priority SK PRES. </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Dotačná schéma a záštita SK PRES</w:t>
      </w:r>
    </w:p>
    <w:p w:rsidR="00B839A0" w:rsidRPr="00CA68D8" w:rsidP="00B839A0">
      <w:pPr>
        <w:bidi w:val="0"/>
        <w:jc w:val="both"/>
        <w:rPr>
          <w:rFonts w:ascii="Times New Roman" w:hAnsi="Times New Roman"/>
        </w:rPr>
      </w:pPr>
      <w:r w:rsidRPr="00CA68D8">
        <w:rPr>
          <w:rFonts w:ascii="Times New Roman" w:hAnsi="Times New Roman"/>
        </w:rPr>
        <w:t>Dotačná schéma v oblasti medzinárodných vzťahov a zahraničnej politiky SR zameraná na SK</w:t>
      </w:r>
      <w:r w:rsidR="00A7575B">
        <w:rPr>
          <w:rFonts w:ascii="Times New Roman" w:hAnsi="Times New Roman"/>
        </w:rPr>
        <w:t> </w:t>
      </w:r>
      <w:r w:rsidRPr="00CA68D8">
        <w:rPr>
          <w:rFonts w:ascii="Times New Roman" w:hAnsi="Times New Roman"/>
        </w:rPr>
        <w:t>PRES bola nástrojom</w:t>
      </w:r>
      <w:r>
        <w:rPr>
          <w:rFonts w:ascii="Times New Roman" w:hAnsi="Times New Roman"/>
        </w:rPr>
        <w:t xml:space="preserve"> ako priniesť predsedníctvo do regiónov, miest a obcí Slovenska. Schéma a jej zameranie boli pripravené v úzkej spolupráci s regionálnymi a miestnymi samosprávami a projekty pripravili samosprávy v spolupráci</w:t>
      </w:r>
      <w:r w:rsidRPr="00CA68D8">
        <w:rPr>
          <w:rFonts w:ascii="Times New Roman" w:hAnsi="Times New Roman"/>
        </w:rPr>
        <w:t xml:space="preserve"> s </w:t>
      </w:r>
      <w:r>
        <w:rPr>
          <w:rFonts w:ascii="Times New Roman" w:hAnsi="Times New Roman"/>
          <w:b/>
        </w:rPr>
        <w:t xml:space="preserve">tretím sektorom a </w:t>
      </w:r>
      <w:r w:rsidRPr="00CA68D8">
        <w:rPr>
          <w:rFonts w:ascii="Times New Roman" w:hAnsi="Times New Roman"/>
          <w:b/>
        </w:rPr>
        <w:t>školami</w:t>
      </w:r>
      <w:r w:rsidRPr="00CA68D8">
        <w:rPr>
          <w:rFonts w:ascii="Times New Roman" w:hAnsi="Times New Roman"/>
        </w:rPr>
        <w:t xml:space="preserve">. Jej cieľom bolo zapojiť do predsedníctva širokú verejnosť a zvyšovať informovanosť o SK PRES. Prostredníctvom dotačnej schémy bolo finančne podporených </w:t>
      </w:r>
      <w:r w:rsidRPr="00CA68D8">
        <w:rPr>
          <w:rFonts w:ascii="Times New Roman" w:hAnsi="Times New Roman"/>
          <w:b/>
        </w:rPr>
        <w:t xml:space="preserve">27 projektov </w:t>
      </w:r>
      <w:r>
        <w:rPr>
          <w:rFonts w:ascii="Times New Roman" w:hAnsi="Times New Roman"/>
          <w:b/>
        </w:rPr>
        <w:t xml:space="preserve">v celkovej hodnote približne 300 tisíc EUR </w:t>
      </w:r>
      <w:r w:rsidRPr="00CA68D8">
        <w:rPr>
          <w:rFonts w:ascii="Times New Roman" w:hAnsi="Times New Roman"/>
        </w:rPr>
        <w:t>realizovaných v regiónoch. Išlo o rôznorodé aktivity od interaktívneho vzdelávania cez diskusie, výstavy a podujatia na podporu podnikania či popularizáciu vedy, až po odborné konferencie a</w:t>
      </w:r>
      <w:r w:rsidR="00A87F6A">
        <w:rPr>
          <w:rFonts w:ascii="Times New Roman" w:hAnsi="Times New Roman"/>
        </w:rPr>
        <w:t> </w:t>
      </w:r>
      <w:r w:rsidRPr="00CA68D8">
        <w:rPr>
          <w:rFonts w:ascii="Times New Roman" w:hAnsi="Times New Roman"/>
        </w:rPr>
        <w:t>verejno-vzdelávacie kultúrne podujatia.</w:t>
      </w:r>
    </w:p>
    <w:p w:rsidR="00B839A0" w:rsidRPr="00CA68D8" w:rsidP="00B839A0">
      <w:pPr>
        <w:bidi w:val="0"/>
        <w:jc w:val="both"/>
        <w:rPr>
          <w:rFonts w:ascii="Times New Roman" w:hAnsi="Times New Roman"/>
        </w:rPr>
      </w:pPr>
      <w:r w:rsidRPr="00CA68D8">
        <w:rPr>
          <w:rFonts w:ascii="Times New Roman" w:hAnsi="Times New Roman"/>
        </w:rPr>
        <w:t>Celkovo bola udelená záštita predsedníctva pre</w:t>
      </w:r>
      <w:r w:rsidR="00D04863">
        <w:rPr>
          <w:rFonts w:ascii="Times New Roman" w:hAnsi="Times New Roman"/>
        </w:rPr>
        <w:t xml:space="preserve"> </w:t>
      </w:r>
      <w:r w:rsidRPr="00CA68D8">
        <w:rPr>
          <w:rFonts w:ascii="Times New Roman" w:hAnsi="Times New Roman"/>
        </w:rPr>
        <w:t>213 kultúrnych, vzdelávacích, profesijných, športových, charitatívnych a ďalších podujatí na Slovensku aj v zahraničí.</w:t>
      </w:r>
    </w:p>
    <w:p w:rsidR="00B839A0" w:rsidRPr="00A7575B" w:rsidP="00B839A0">
      <w:pPr>
        <w:bidi w:val="0"/>
        <w:jc w:val="both"/>
        <w:rPr>
          <w:rFonts w:ascii="Times New Roman" w:hAnsi="Times New Roman"/>
          <w:sz w:val="20"/>
          <w:szCs w:val="20"/>
        </w:rPr>
      </w:pPr>
    </w:p>
    <w:p w:rsidR="00FC1B1E" w:rsidRPr="00CA68D8" w:rsidP="00FC1B1E">
      <w:pPr>
        <w:bidi w:val="0"/>
        <w:jc w:val="both"/>
        <w:rPr>
          <w:rFonts w:ascii="Times New Roman" w:hAnsi="Times New Roman"/>
          <w:b/>
        </w:rPr>
      </w:pPr>
      <w:r w:rsidRPr="00CA68D8">
        <w:rPr>
          <w:rFonts w:ascii="Times New Roman" w:hAnsi="Times New Roman"/>
          <w:b/>
        </w:rPr>
        <w:t>Propagačné a prezentačné predmety</w:t>
      </w:r>
    </w:p>
    <w:p w:rsidR="00FC1B1E" w:rsidRPr="00CA68D8" w:rsidP="00FC1B1E">
      <w:pPr>
        <w:bidi w:val="0"/>
        <w:jc w:val="both"/>
        <w:rPr>
          <w:rFonts w:ascii="Times New Roman" w:hAnsi="Times New Roman"/>
        </w:rPr>
      </w:pPr>
      <w:r w:rsidRPr="00CA68D8">
        <w:rPr>
          <w:rFonts w:ascii="Times New Roman" w:hAnsi="Times New Roman"/>
        </w:rPr>
        <w:t xml:space="preserve">Propagačné a prezentačné predmety mali kultúrno-propagačný charakter a prispeli k </w:t>
      </w:r>
      <w:r w:rsidRPr="00CA68D8">
        <w:rPr>
          <w:rFonts w:ascii="Times New Roman" w:hAnsi="Times New Roman"/>
          <w:b/>
        </w:rPr>
        <w:t>pozitívnej prezentácii SR v zahraničí</w:t>
      </w:r>
      <w:r w:rsidRPr="00CA68D8">
        <w:rPr>
          <w:rFonts w:ascii="Times New Roman" w:hAnsi="Times New Roman"/>
        </w:rPr>
        <w:t xml:space="preserve">. </w:t>
      </w:r>
      <w:r>
        <w:rPr>
          <w:rFonts w:ascii="Times New Roman" w:hAnsi="Times New Roman"/>
        </w:rPr>
        <w:t>Jedinečným spôsobom predstavili našu krajinu, d</w:t>
      </w:r>
      <w:r w:rsidRPr="00CA68D8">
        <w:rPr>
          <w:rFonts w:ascii="Times New Roman" w:hAnsi="Times New Roman"/>
        </w:rPr>
        <w:t>ali do pozornosti výnimočnosť a šikovnosť slovenských tvorcov</w:t>
      </w:r>
      <w:r>
        <w:rPr>
          <w:rFonts w:ascii="Times New Roman" w:hAnsi="Times New Roman"/>
        </w:rPr>
        <w:t>, zároveň bol</w:t>
      </w:r>
      <w:r w:rsidR="00B42BDE">
        <w:rPr>
          <w:rFonts w:ascii="Times New Roman" w:hAnsi="Times New Roman"/>
        </w:rPr>
        <w:t>i</w:t>
      </w:r>
      <w:r>
        <w:rPr>
          <w:rFonts w:ascii="Times New Roman" w:hAnsi="Times New Roman"/>
        </w:rPr>
        <w:t xml:space="preserve"> v súlade s komunikačnými posolstvami a jednotnou vizuálnou identitiou SK PRES</w:t>
      </w:r>
      <w:r w:rsidRPr="00CA68D8">
        <w:rPr>
          <w:rFonts w:ascii="Times New Roman" w:hAnsi="Times New Roman"/>
        </w:rPr>
        <w:t>.</w:t>
      </w:r>
    </w:p>
    <w:p w:rsidR="00FC1B1E" w:rsidRPr="00CA68D8" w:rsidP="00FC1B1E">
      <w:pPr>
        <w:bidi w:val="0"/>
        <w:jc w:val="both"/>
        <w:rPr>
          <w:rFonts w:ascii="Times New Roman" w:hAnsi="Times New Roman"/>
        </w:rPr>
      </w:pPr>
      <w:r w:rsidRPr="00CA68D8">
        <w:rPr>
          <w:rFonts w:ascii="Times New Roman" w:hAnsi="Times New Roman"/>
        </w:rPr>
        <w:t xml:space="preserve">Počas SK PRES bolo </w:t>
      </w:r>
      <w:r>
        <w:rPr>
          <w:rFonts w:ascii="Times New Roman" w:hAnsi="Times New Roman"/>
        </w:rPr>
        <w:t>celkovo</w:t>
      </w:r>
      <w:r w:rsidRPr="00CA68D8">
        <w:rPr>
          <w:rFonts w:ascii="Times New Roman" w:hAnsi="Times New Roman"/>
        </w:rPr>
        <w:t xml:space="preserve"> distribuovaných vyše pol milióna kusov propagačných a prezentačných predmetov a VIP darov. Distribuované boli súpravy brošní a manžetových gombíkov, balíčky </w:t>
      </w:r>
      <w:r>
        <w:rPr>
          <w:rFonts w:ascii="Times New Roman" w:hAnsi="Times New Roman"/>
        </w:rPr>
        <w:t>tradičných</w:t>
      </w:r>
      <w:r w:rsidRPr="00CA68D8">
        <w:rPr>
          <w:rFonts w:ascii="Times New Roman" w:hAnsi="Times New Roman"/>
        </w:rPr>
        <w:t xml:space="preserve"> slovenských potravín, predsednícke kravaty a šatky, pamätné poštové známky, pamätné dvojeurové mince,</w:t>
      </w:r>
      <w:r>
        <w:rPr>
          <w:rFonts w:ascii="Times New Roman" w:hAnsi="Times New Roman"/>
        </w:rPr>
        <w:t xml:space="preserve"> </w:t>
      </w:r>
      <w:r w:rsidRPr="00CA68D8">
        <w:rPr>
          <w:rFonts w:ascii="Times New Roman" w:hAnsi="Times New Roman"/>
        </w:rPr>
        <w:t>nabíjacie káble CulCharge pre mobilné telefóny iOS a</w:t>
      </w:r>
      <w:r w:rsidR="00A7575B">
        <w:rPr>
          <w:rFonts w:ascii="Times New Roman" w:hAnsi="Times New Roman"/>
        </w:rPr>
        <w:t> </w:t>
      </w:r>
      <w:r w:rsidRPr="00CA68D8">
        <w:rPr>
          <w:rFonts w:ascii="Times New Roman" w:hAnsi="Times New Roman"/>
        </w:rPr>
        <w:t>Android, CD boxy „Slovak Opera Stars – Beloved Songs“ so slovenskými opernými hviezdami a DVD nosiče Slovensko s multimediálnym projektom režiséra Pavla Barabáša „Esencia Slovenska“. Slovensko prezentovali prezentačno-informačné publikácie „Did you know? This is Slovakia“ a „Slovakia“, ako aj brožúry Bratislava Tourist Board „Spectacular Slovakia“ a mapa Bratislavy. Papiernické predmety pozostávali z pier, zápisníkov, obalov a tašiek.</w:t>
      </w:r>
    </w:p>
    <w:p w:rsidR="00FC1B1E" w:rsidRPr="00CA68D8" w:rsidP="00FC1B1E">
      <w:pPr>
        <w:bidi w:val="0"/>
        <w:jc w:val="both"/>
        <w:rPr>
          <w:rFonts w:ascii="Times New Roman" w:hAnsi="Times New Roman"/>
        </w:rPr>
      </w:pPr>
      <w:r w:rsidRPr="00CA68D8">
        <w:rPr>
          <w:rFonts w:ascii="Times New Roman" w:hAnsi="Times New Roman"/>
        </w:rPr>
        <w:t>Ďalšie propagačné a prezentačné predmety distribuovali aj jednotlivé rezorty.</w:t>
      </w:r>
    </w:p>
    <w:p w:rsidR="00B839A0" w:rsidRPr="00A7575B" w:rsidP="00B839A0">
      <w:pPr>
        <w:bidi w:val="0"/>
        <w:jc w:val="both"/>
        <w:rPr>
          <w:rFonts w:ascii="Times New Roman" w:hAnsi="Times New Roman"/>
          <w:sz w:val="20"/>
          <w:szCs w:val="20"/>
        </w:rPr>
      </w:pPr>
    </w:p>
    <w:p w:rsidR="00B839A0" w:rsidRPr="00CA68D8" w:rsidP="00B839A0">
      <w:pPr>
        <w:bidi w:val="0"/>
        <w:jc w:val="both"/>
        <w:rPr>
          <w:rFonts w:ascii="Times New Roman" w:hAnsi="Times New Roman"/>
          <w:b/>
        </w:rPr>
      </w:pPr>
      <w:r w:rsidRPr="00CA68D8">
        <w:rPr>
          <w:rFonts w:ascii="Times New Roman" w:hAnsi="Times New Roman"/>
          <w:b/>
        </w:rPr>
        <w:t>Kultúrna prezentácia</w:t>
      </w:r>
    </w:p>
    <w:p w:rsidR="00FC1B1E" w:rsidRPr="00CA68D8" w:rsidP="00FC1B1E">
      <w:pPr>
        <w:bidi w:val="0"/>
        <w:jc w:val="both"/>
        <w:rPr>
          <w:rFonts w:ascii="Times New Roman" w:hAnsi="Times New Roman"/>
        </w:rPr>
      </w:pPr>
      <w:r w:rsidRPr="00CA68D8">
        <w:rPr>
          <w:rFonts w:ascii="Times New Roman" w:hAnsi="Times New Roman"/>
        </w:rPr>
        <w:t>Predsedníctvo bolo jedinečnou príležitosťou na prezentáciu slovenskej kultúry. Kultúrna prezentácia vychádzala z Memoranda medzi MZVaEZ SR a MK SR o spolupráci pri príprave kultúrno-spoločenskej prezentácie počas SK PRES.</w:t>
      </w:r>
    </w:p>
    <w:p w:rsidR="00FC1B1E" w:rsidP="00FC1B1E">
      <w:pPr>
        <w:bidi w:val="0"/>
        <w:jc w:val="both"/>
        <w:rPr>
          <w:rFonts w:ascii="Times New Roman" w:hAnsi="Times New Roman"/>
        </w:rPr>
      </w:pPr>
      <w:r w:rsidRPr="00CA68D8">
        <w:rPr>
          <w:rFonts w:ascii="Times New Roman" w:hAnsi="Times New Roman"/>
        </w:rPr>
        <w:t>Prostredníctvom kultúrneho programu bola predstavená slovenská tvorba oceňovaná v zahraničí i</w:t>
      </w:r>
      <w:r>
        <w:rPr>
          <w:rFonts w:ascii="Times New Roman" w:hAnsi="Times New Roman"/>
        </w:rPr>
        <w:t> </w:t>
      </w:r>
      <w:r w:rsidRPr="00CA68D8">
        <w:rPr>
          <w:rFonts w:ascii="Times New Roman" w:hAnsi="Times New Roman"/>
        </w:rPr>
        <w:t>perspektívna umelecká tvorba z rôznych oblastí hudby, tanca, vizuálneho umenia i divadla. Predstavili sa známe historické osobnosti slovenskej vedy a techniky a</w:t>
      </w:r>
      <w:r w:rsidR="00B42BDE">
        <w:rPr>
          <w:rFonts w:ascii="Times New Roman" w:hAnsi="Times New Roman"/>
        </w:rPr>
        <w:t xml:space="preserve"> vytvoril </w:t>
      </w:r>
      <w:r w:rsidRPr="00CA68D8">
        <w:rPr>
          <w:rFonts w:ascii="Times New Roman" w:hAnsi="Times New Roman"/>
        </w:rPr>
        <w:t>priestor</w:t>
      </w:r>
      <w:r w:rsidR="00B42BDE">
        <w:rPr>
          <w:rFonts w:ascii="Times New Roman" w:hAnsi="Times New Roman"/>
        </w:rPr>
        <w:t xml:space="preserve"> pre</w:t>
      </w:r>
      <w:r w:rsidRPr="00CA68D8">
        <w:rPr>
          <w:rFonts w:ascii="Times New Roman" w:hAnsi="Times New Roman"/>
        </w:rPr>
        <w:t xml:space="preserve"> súčasný</w:t>
      </w:r>
      <w:r w:rsidR="00B42BDE">
        <w:rPr>
          <w:rFonts w:ascii="Times New Roman" w:hAnsi="Times New Roman"/>
        </w:rPr>
        <w:t>ch</w:t>
      </w:r>
      <w:r w:rsidRPr="00CA68D8">
        <w:rPr>
          <w:rFonts w:ascii="Times New Roman" w:hAnsi="Times New Roman"/>
        </w:rPr>
        <w:t xml:space="preserve"> umelco</w:t>
      </w:r>
      <w:r w:rsidR="00B42BDE">
        <w:rPr>
          <w:rFonts w:ascii="Times New Roman" w:hAnsi="Times New Roman"/>
        </w:rPr>
        <w:t>v</w:t>
      </w:r>
      <w:r w:rsidRPr="00CA68D8">
        <w:rPr>
          <w:rFonts w:ascii="Times New Roman" w:hAnsi="Times New Roman"/>
        </w:rPr>
        <w:t xml:space="preserve"> a mlad</w:t>
      </w:r>
      <w:r w:rsidR="00B42BDE">
        <w:rPr>
          <w:rFonts w:ascii="Times New Roman" w:hAnsi="Times New Roman"/>
        </w:rPr>
        <w:t>ú</w:t>
      </w:r>
      <w:r w:rsidRPr="00CA68D8">
        <w:rPr>
          <w:rFonts w:ascii="Times New Roman" w:hAnsi="Times New Roman"/>
        </w:rPr>
        <w:t xml:space="preserve"> generáci</w:t>
      </w:r>
      <w:r w:rsidR="00B42BDE">
        <w:rPr>
          <w:rFonts w:ascii="Times New Roman" w:hAnsi="Times New Roman"/>
        </w:rPr>
        <w:t>u</w:t>
      </w:r>
      <w:r w:rsidRPr="00CA68D8">
        <w:rPr>
          <w:rFonts w:ascii="Times New Roman" w:hAnsi="Times New Roman"/>
        </w:rPr>
        <w:t xml:space="preserve">. Kultúrny program zahŕňal </w:t>
      </w:r>
      <w:r>
        <w:rPr>
          <w:rFonts w:ascii="Times New Roman" w:hAnsi="Times New Roman"/>
        </w:rPr>
        <w:t xml:space="preserve">mnohé žánre </w:t>
      </w:r>
      <w:r w:rsidRPr="00CA68D8">
        <w:rPr>
          <w:rFonts w:ascii="Times New Roman" w:hAnsi="Times New Roman"/>
        </w:rPr>
        <w:t>napríklad interaktívny projekt Searching for Beauty mladých slovenských animátoriek z Ové Pictures, moderné jazzové úpravy slovenských ľudových piesní od Triango Petra Breinera, či vystúpenia slovenského folklórneho súboru Lúčnica. Počas SK PRES bolo v zahraničí uvedených 176 výstav, 110 prezentačných projektov, 68 koncertov a živých vystúpení.</w:t>
      </w:r>
    </w:p>
    <w:p w:rsidR="00FC1B1E" w:rsidRPr="00CA68D8" w:rsidP="00FC1B1E">
      <w:pPr>
        <w:bidi w:val="0"/>
        <w:jc w:val="both"/>
        <w:rPr>
          <w:rFonts w:ascii="Times New Roman" w:hAnsi="Times New Roman"/>
        </w:rPr>
      </w:pPr>
      <w:r>
        <w:rPr>
          <w:rFonts w:ascii="Times New Roman" w:hAnsi="Times New Roman"/>
        </w:rPr>
        <w:t>D</w:t>
      </w:r>
      <w:r w:rsidRPr="001A0D6D">
        <w:rPr>
          <w:rFonts w:ascii="Times New Roman" w:hAnsi="Times New Roman"/>
        </w:rPr>
        <w:t>elegáti neformálnych zasadnutí na ministerskej, expertnej aj pracovnej úrovni v</w:t>
      </w:r>
      <w:r>
        <w:rPr>
          <w:rFonts w:ascii="Times New Roman" w:hAnsi="Times New Roman"/>
        </w:rPr>
        <w:t> </w:t>
      </w:r>
      <w:r w:rsidRPr="001A0D6D">
        <w:rPr>
          <w:rFonts w:ascii="Times New Roman" w:hAnsi="Times New Roman"/>
        </w:rPr>
        <w:t>rámci sprievodného programu v</w:t>
      </w:r>
      <w:r w:rsidR="00B42BDE">
        <w:rPr>
          <w:rFonts w:ascii="Times New Roman" w:hAnsi="Times New Roman"/>
        </w:rPr>
        <w:t> </w:t>
      </w:r>
      <w:r w:rsidRPr="001A0D6D">
        <w:rPr>
          <w:rFonts w:ascii="Times New Roman" w:hAnsi="Times New Roman"/>
        </w:rPr>
        <w:t>Bratislave</w:t>
      </w:r>
      <w:r w:rsidR="00B42BDE">
        <w:rPr>
          <w:rFonts w:ascii="Times New Roman" w:hAnsi="Times New Roman"/>
        </w:rPr>
        <w:t xml:space="preserve"> a iných častiach SR</w:t>
      </w:r>
      <w:r w:rsidRPr="001A0D6D">
        <w:rPr>
          <w:rFonts w:ascii="Times New Roman" w:hAnsi="Times New Roman"/>
        </w:rPr>
        <w:t xml:space="preserve"> zoznámili so slovenskými umeleckými súbormi a</w:t>
      </w:r>
      <w:r>
        <w:rPr>
          <w:rFonts w:ascii="Times New Roman" w:hAnsi="Times New Roman"/>
        </w:rPr>
        <w:t> </w:t>
      </w:r>
      <w:r w:rsidRPr="001A0D6D">
        <w:rPr>
          <w:rFonts w:ascii="Times New Roman" w:hAnsi="Times New Roman"/>
        </w:rPr>
        <w:t>umelcami.</w:t>
      </w:r>
    </w:p>
    <w:p w:rsidR="00FC1B1E" w:rsidRPr="00CA68D8" w:rsidP="00FC1B1E">
      <w:pPr>
        <w:bidi w:val="0"/>
        <w:jc w:val="both"/>
        <w:rPr>
          <w:rFonts w:ascii="Times New Roman" w:hAnsi="Times New Roman"/>
        </w:rPr>
      </w:pPr>
      <w:r w:rsidRPr="00CA68D8">
        <w:rPr>
          <w:rFonts w:ascii="Times New Roman" w:hAnsi="Times New Roman"/>
        </w:rPr>
        <w:t xml:space="preserve">SK PRES otvorili </w:t>
      </w:r>
      <w:r>
        <w:rPr>
          <w:rFonts w:ascii="Times New Roman" w:hAnsi="Times New Roman"/>
        </w:rPr>
        <w:t xml:space="preserve">aj </w:t>
      </w:r>
      <w:r w:rsidRPr="00CA68D8">
        <w:rPr>
          <w:rFonts w:ascii="Times New Roman" w:hAnsi="Times New Roman"/>
        </w:rPr>
        <w:t xml:space="preserve">tri </w:t>
      </w:r>
      <w:r>
        <w:rPr>
          <w:rFonts w:ascii="Times New Roman" w:hAnsi="Times New Roman"/>
        </w:rPr>
        <w:t xml:space="preserve">slávnostné </w:t>
      </w:r>
      <w:r w:rsidRPr="00CA68D8">
        <w:rPr>
          <w:rFonts w:ascii="Times New Roman" w:hAnsi="Times New Roman"/>
        </w:rPr>
        <w:t>koncerty – slávnostný otvárací koncert pre VIP hostí (1.7.2016), koncert pre verejnosť „Viva Europa!“ (2.7.2016) a otvárací koncert slovenského predsedníctva v Bruseli (7.7.2016).</w:t>
      </w:r>
    </w:p>
    <w:p w:rsidR="00FC1B1E" w:rsidP="00FC1B1E">
      <w:pPr>
        <w:bidi w:val="0"/>
        <w:jc w:val="both"/>
        <w:rPr>
          <w:rFonts w:ascii="Times New Roman" w:hAnsi="Times New Roman"/>
        </w:rPr>
      </w:pPr>
      <w:r w:rsidRPr="00CA68D8">
        <w:rPr>
          <w:rFonts w:ascii="Times New Roman" w:hAnsi="Times New Roman"/>
        </w:rPr>
        <w:t>Výzdoba budovy Rady EÚ Justus Lipsius bola tradične vlajkovou loďou vizuálnej prezentácie predsedníckej krajiny. Slovenské predsedníctvo reprezentoval projekt Štyri elementy inovácie Slovenskej asociácie interiérových dizajnérov – SAID. Išlo o unikátne technológie, či vynálezy slovenských výrobcov: lietajúci automobil AeroMobil, ekologické prenosné bývanie Ekokapsula, prelomový plazmový systém vŕtania a úspešný model kajakov a kanoe.</w:t>
      </w:r>
    </w:p>
    <w:p w:rsidR="009D4D15" w:rsidRPr="00CA68D8" w:rsidP="00FC1B1E">
      <w:pPr>
        <w:bidi w:val="0"/>
        <w:jc w:val="both"/>
        <w:rPr>
          <w:rFonts w:ascii="Times New Roman" w:hAnsi="Times New Roman"/>
        </w:rPr>
      </w:pPr>
      <w:r w:rsidRPr="009D4D15">
        <w:rPr>
          <w:rFonts w:ascii="Times New Roman" w:hAnsi="Times New Roman"/>
        </w:rPr>
        <w:t>Verejnosť v Bruseli mimoriadne zaujala výstava o ochrane prírody a biodiverzity na Slovensku, ktorá propagovala národné parky, vzácne druhy či jaskyne Slovenska prostredníctvom fotografií a premietania dokumentu Divoké Slovensko z dielne Tomáša Hulíka.</w:t>
      </w:r>
    </w:p>
    <w:p w:rsidR="00B839A0" w:rsidRPr="009D4D15"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Spolupráca s veľvyslanectvom Holandského kráľovstva</w:t>
      </w:r>
    </w:p>
    <w:p w:rsidR="00B839A0" w:rsidRPr="00CA68D8" w:rsidP="00B839A0">
      <w:pPr>
        <w:shd w:val="clear" w:color="auto" w:fill="FFFFFF"/>
        <w:bidi w:val="0"/>
        <w:jc w:val="both"/>
        <w:rPr>
          <w:rFonts w:ascii="Times New Roman" w:hAnsi="Times New Roman"/>
        </w:rPr>
      </w:pPr>
      <w:r w:rsidRPr="00CA68D8">
        <w:rPr>
          <w:rFonts w:ascii="Times New Roman" w:hAnsi="Times New Roman"/>
        </w:rPr>
        <w:t>V rámci symbolického odovzdania predsedníctva medzi krajinami Tria Holandskom a Slovenskom sa uskutočnili viaceré podujatia – odhalenie kvetinového loga slovenského predsedníctva (29.6.2016), svetelná show na hradbách Bratislavského hradu (30.6.2016) a slávnostné otvorenie výstavy diel Joana Miróa a skupiny výtvarníkov CoBrA v Danubiane za účasti holandskej princeznej Beatrix (30.6.2016).</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Tlačové centrum</w:t>
      </w:r>
    </w:p>
    <w:p w:rsidR="00B839A0" w:rsidRPr="00CA68D8" w:rsidP="00B839A0">
      <w:pPr>
        <w:bidi w:val="0"/>
        <w:jc w:val="both"/>
        <w:rPr>
          <w:rFonts w:ascii="Times New Roman" w:hAnsi="Times New Roman"/>
        </w:rPr>
      </w:pPr>
      <w:r w:rsidRPr="00CA68D8">
        <w:rPr>
          <w:rFonts w:ascii="Times New Roman" w:hAnsi="Times New Roman"/>
        </w:rPr>
        <w:t>Tlačové centrum v Redute, hlavnom dejisku podujatí SK PRES, poskytovalo pracovné prostredie pre približne 200 novinárov. Neformálne podujatia na najvyššej úrovni mediálne pokrývalo viac ako 1500 novinárov. Z neformálnych zasadnutí boli novinármi najviac vyhľadávané návšteva kolégia Európskej komisie, zasadnutie ministrov EÚ pre hospodárske a finančné záležitosti (ECOFIN) a zasadnutie ministrov zahraničných vecí (Gymnich). Najvyššiu novinársku účasť sme zaznamenali na Bratislavskom samite – približne 850 novinárov, medzi ktorými nechýbali významné svetové média. Mnohí novinári pokrývali aj neformálne podujatia na expertnej a pracovnej úrovni.</w:t>
      </w:r>
    </w:p>
    <w:p w:rsidR="00B839A0" w:rsidRPr="00CA68D8"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Host broadcaster</w:t>
      </w:r>
    </w:p>
    <w:p w:rsidR="00B839A0" w:rsidRPr="00CA68D8" w:rsidP="00B839A0">
      <w:pPr>
        <w:bidi w:val="0"/>
        <w:jc w:val="both"/>
        <w:rPr>
          <w:rFonts w:ascii="Times New Roman" w:hAnsi="Times New Roman"/>
        </w:rPr>
      </w:pPr>
      <w:r w:rsidRPr="00CA68D8">
        <w:rPr>
          <w:rFonts w:ascii="Times New Roman" w:hAnsi="Times New Roman"/>
        </w:rPr>
        <w:t>Hostiteľským vysielateľom tzv. host broadcasterom pre slovenské predsedníctvo v Rade EÚ bola</w:t>
      </w:r>
      <w:r w:rsidR="00D04863">
        <w:rPr>
          <w:rFonts w:ascii="Times New Roman" w:hAnsi="Times New Roman"/>
        </w:rPr>
        <w:t xml:space="preserve"> </w:t>
      </w:r>
      <w:r w:rsidRPr="00CA68D8">
        <w:rPr>
          <w:rFonts w:ascii="Times New Roman" w:hAnsi="Times New Roman"/>
        </w:rPr>
        <w:t>verejnoprávna inštitúcia Rozhlas a televízia Slovenska (RTVS). RTVS zabezpečovala prvotriedny televízny prenos podujatí slovenského predsedníctva do celého sveta. RTVS uviedla živé prenosy otváracích koncertov, poskytovala web stream tlačových konferencií na webovej stránke SK PRES, spolupracovala pri vybavení tlačového centra v Redute a pravidelne informovala o SK PRES.</w:t>
      </w:r>
    </w:p>
    <w:p w:rsidR="00B839A0" w:rsidP="00B839A0">
      <w:pPr>
        <w:bidi w:val="0"/>
        <w:jc w:val="both"/>
        <w:rPr>
          <w:rFonts w:ascii="Times New Roman" w:hAnsi="Times New Roman"/>
        </w:rPr>
      </w:pPr>
    </w:p>
    <w:p w:rsidR="00B839A0" w:rsidRPr="00CA68D8" w:rsidP="00B839A0">
      <w:pPr>
        <w:bidi w:val="0"/>
        <w:jc w:val="both"/>
        <w:rPr>
          <w:rFonts w:ascii="Times New Roman" w:hAnsi="Times New Roman"/>
          <w:b/>
        </w:rPr>
      </w:pPr>
      <w:r w:rsidRPr="00CA68D8">
        <w:rPr>
          <w:rFonts w:ascii="Times New Roman" w:hAnsi="Times New Roman"/>
          <w:b/>
        </w:rPr>
        <w:t>Press trip</w:t>
      </w:r>
    </w:p>
    <w:p w:rsidR="00B839A0" w:rsidP="00B839A0">
      <w:pPr>
        <w:bidi w:val="0"/>
        <w:jc w:val="both"/>
        <w:rPr>
          <w:rFonts w:ascii="Times New Roman" w:hAnsi="Times New Roman"/>
        </w:rPr>
      </w:pPr>
      <w:r w:rsidRPr="00CA68D8">
        <w:rPr>
          <w:rFonts w:ascii="Times New Roman" w:hAnsi="Times New Roman"/>
        </w:rPr>
        <w:t>Tzv. press trip je tradičnou súčasťou predsedníctva v Rade EÚ. Počas press tripu na Slovensko v</w:t>
      </w:r>
      <w:r w:rsidR="00A87F6A">
        <w:rPr>
          <w:rFonts w:ascii="Times New Roman" w:hAnsi="Times New Roman"/>
        </w:rPr>
        <w:t> </w:t>
      </w:r>
      <w:r w:rsidRPr="00CA68D8">
        <w:rPr>
          <w:rFonts w:ascii="Times New Roman" w:hAnsi="Times New Roman"/>
        </w:rPr>
        <w:t>termíne 30.6.-3.7.2016 pricestovalo 59 zástupcov významných medzinárodných médií pôsobiacich v Bruseli. Umožnil nám mediálne upozorniť nielen na priority SK PRES, ale tiež predstaviť Slovensko v širších súvislo</w:t>
      </w:r>
      <w:r w:rsidR="00221D69">
        <w:rPr>
          <w:rFonts w:ascii="Times New Roman" w:hAnsi="Times New Roman"/>
        </w:rPr>
        <w:t>stiach a z rôznych perspektív.</w:t>
      </w:r>
    </w:p>
    <w:p w:rsidR="00221D69" w:rsidP="00B839A0">
      <w:pPr>
        <w:bidi w:val="0"/>
        <w:jc w:val="both"/>
        <w:rPr>
          <w:rFonts w:ascii="Times New Roman" w:hAnsi="Times New Roman"/>
        </w:rPr>
      </w:pPr>
    </w:p>
    <w:p w:rsidR="000659D7" w:rsidP="00B839A0">
      <w:pPr>
        <w:bidi w:val="0"/>
        <w:jc w:val="both"/>
        <w:rPr>
          <w:rFonts w:ascii="Times New Roman" w:hAnsi="Times New Roman"/>
        </w:rPr>
      </w:pPr>
    </w:p>
    <w:p w:rsidR="00221D69" w:rsidRPr="00221D69" w:rsidP="00B839A0">
      <w:pPr>
        <w:bidi w:val="0"/>
        <w:jc w:val="both"/>
        <w:rPr>
          <w:rFonts w:ascii="Times New Roman" w:hAnsi="Times New Roman"/>
        </w:rPr>
      </w:pPr>
    </w:p>
    <w:p w:rsidR="00221D69" w:rsidRPr="00221D69" w:rsidP="00221D69">
      <w:pPr>
        <w:pStyle w:val="SpravaSKPRESnadpis1"/>
        <w:numPr>
          <w:numId w:val="13"/>
        </w:numPr>
        <w:tabs>
          <w:tab w:val="clear" w:pos="567"/>
          <w:tab w:val="clear" w:pos="926"/>
        </w:tabs>
        <w:bidi w:val="0"/>
        <w:rPr>
          <w:rFonts w:ascii="Times New Roman" w:hAnsi="Times New Roman"/>
        </w:rPr>
      </w:pPr>
      <w:bookmarkStart w:id="22" w:name="_Toc475948624"/>
      <w:r w:rsidRPr="00221D69">
        <w:rPr>
          <w:rFonts w:ascii="Times New Roman" w:hAnsi="Times New Roman"/>
        </w:rPr>
        <w:t>Záver</w:t>
      </w:r>
      <w:bookmarkEnd w:id="22"/>
    </w:p>
    <w:p w:rsidR="00221D69" w:rsidP="00221D69">
      <w:pPr>
        <w:bidi w:val="0"/>
        <w:rPr>
          <w:rFonts w:ascii="Times New Roman" w:hAnsi="Times New Roman"/>
        </w:rPr>
      </w:pPr>
    </w:p>
    <w:p w:rsidR="003C1B47" w:rsidP="003C1B47">
      <w:pPr>
        <w:bidi w:val="0"/>
        <w:jc w:val="both"/>
        <w:rPr>
          <w:rFonts w:ascii="Times New Roman" w:hAnsi="Times New Roman"/>
        </w:rPr>
      </w:pPr>
      <w:r>
        <w:rPr>
          <w:rFonts w:ascii="Times New Roman" w:hAnsi="Times New Roman"/>
        </w:rPr>
        <w:t xml:space="preserve">Predsedníctvo v Rade Európskej únie je </w:t>
      </w:r>
      <w:r w:rsidRPr="00985FA2">
        <w:rPr>
          <w:rFonts w:ascii="Times New Roman" w:hAnsi="Times New Roman"/>
          <w:b/>
        </w:rPr>
        <w:t>jednou z najnáročnejších úloh, ktoré vyplývajú z členstva v Európskej únii</w:t>
      </w:r>
      <w:r>
        <w:rPr>
          <w:rFonts w:ascii="Times New Roman" w:hAnsi="Times New Roman"/>
        </w:rPr>
        <w:t>. Predsedajúca krajina je počas šesťmesačného obdobia „tvárou a hlasom“ členských štátov. Plní úlohu čestného sprostredkovateľa európskej diskusie s cieľom zabezpečiť kontinuitu vývoja európskej agendy. Pri dvadsiatich ôsm</w:t>
      </w:r>
      <w:r w:rsidR="00BE3303">
        <w:rPr>
          <w:rFonts w:ascii="Times New Roman" w:hAnsi="Times New Roman"/>
        </w:rPr>
        <w:t>i</w:t>
      </w:r>
      <w:r>
        <w:rPr>
          <w:rFonts w:ascii="Times New Roman" w:hAnsi="Times New Roman"/>
        </w:rPr>
        <w:t>ch členských štátoch nie je dosahovanie dohôd jednoduché, ale je jedinou cestou pre zabezpečenie plynulosti legislatívneho procesu na európskej úrovni.</w:t>
      </w:r>
    </w:p>
    <w:p w:rsidR="003C1B47" w:rsidP="003C1B47">
      <w:pPr>
        <w:bidi w:val="0"/>
        <w:jc w:val="both"/>
        <w:rPr>
          <w:rFonts w:ascii="Times New Roman" w:hAnsi="Times New Roman"/>
        </w:rPr>
      </w:pPr>
    </w:p>
    <w:p w:rsidR="003C1B47" w:rsidRPr="00CE578B" w:rsidP="003C1B47">
      <w:pPr>
        <w:bidi w:val="0"/>
        <w:jc w:val="both"/>
        <w:rPr>
          <w:rFonts w:ascii="Times New Roman" w:hAnsi="Times New Roman"/>
        </w:rPr>
      </w:pPr>
      <w:r>
        <w:rPr>
          <w:rFonts w:ascii="Times New Roman" w:hAnsi="Times New Roman"/>
        </w:rPr>
        <w:t>Na základe spätnej väzby nielen európskych partnerov bolo historicky prvé p</w:t>
      </w:r>
      <w:r w:rsidRPr="009F77AF">
        <w:rPr>
          <w:rFonts w:ascii="Times New Roman" w:hAnsi="Times New Roman"/>
        </w:rPr>
        <w:t>redsedníctvo Slovensk</w:t>
      </w:r>
      <w:r>
        <w:rPr>
          <w:rFonts w:ascii="Times New Roman" w:hAnsi="Times New Roman"/>
        </w:rPr>
        <w:t>ej republiky</w:t>
      </w:r>
      <w:r w:rsidRPr="009F77AF">
        <w:rPr>
          <w:rFonts w:ascii="Times New Roman" w:hAnsi="Times New Roman"/>
        </w:rPr>
        <w:t xml:space="preserve"> v Rade EÚ</w:t>
      </w:r>
      <w:r>
        <w:rPr>
          <w:rFonts w:ascii="Times New Roman" w:hAnsi="Times New Roman"/>
        </w:rPr>
        <w:t xml:space="preserve"> </w:t>
      </w:r>
      <w:r w:rsidRPr="009F77AF">
        <w:rPr>
          <w:rFonts w:ascii="Times New Roman" w:hAnsi="Times New Roman"/>
        </w:rPr>
        <w:t>prínos</w:t>
      </w:r>
      <w:r>
        <w:rPr>
          <w:rFonts w:ascii="Times New Roman" w:hAnsi="Times New Roman"/>
        </w:rPr>
        <w:t>om</w:t>
      </w:r>
      <w:r w:rsidRPr="009F77AF">
        <w:rPr>
          <w:rFonts w:ascii="Times New Roman" w:hAnsi="Times New Roman"/>
        </w:rPr>
        <w:t xml:space="preserve"> tak pre S</w:t>
      </w:r>
      <w:r>
        <w:rPr>
          <w:rFonts w:ascii="Times New Roman" w:hAnsi="Times New Roman"/>
        </w:rPr>
        <w:t>lovensko</w:t>
      </w:r>
      <w:r w:rsidR="00BE3303">
        <w:rPr>
          <w:rFonts w:ascii="Times New Roman" w:hAnsi="Times New Roman"/>
        </w:rPr>
        <w:t>,</w:t>
      </w:r>
      <w:r>
        <w:rPr>
          <w:rFonts w:ascii="Times New Roman" w:hAnsi="Times New Roman"/>
        </w:rPr>
        <w:t xml:space="preserve"> ako aj pre Úniu ako celok</w:t>
      </w:r>
      <w:r w:rsidRPr="009F77AF">
        <w:rPr>
          <w:rFonts w:ascii="Times New Roman" w:hAnsi="Times New Roman"/>
        </w:rPr>
        <w:t>.</w:t>
      </w:r>
      <w:r>
        <w:rPr>
          <w:rFonts w:ascii="Times New Roman" w:hAnsi="Times New Roman"/>
        </w:rPr>
        <w:t xml:space="preserve"> Hovoria za nás </w:t>
      </w:r>
      <w:r w:rsidRPr="00985FA2">
        <w:rPr>
          <w:rFonts w:ascii="Times New Roman" w:hAnsi="Times New Roman"/>
          <w:b/>
        </w:rPr>
        <w:t>konkrétne výsledky</w:t>
      </w:r>
      <w:r>
        <w:rPr>
          <w:rFonts w:ascii="Times New Roman" w:hAnsi="Times New Roman"/>
        </w:rPr>
        <w:t xml:space="preserve">, ktorých zoznam je dlhý. Počas výkonu predsedníctva sme si zvýšili dôveru a rešpekt partnerov. Podarilo sa nám naplniť zámer konštruktívne posúvať diskusiu o európskych témach dopredu a hľadať riešenia prospešné pre celú Úniu, čím ešte viac vzrástla medzinárodná </w:t>
      </w:r>
      <w:r w:rsidRPr="00F52F19">
        <w:rPr>
          <w:rFonts w:ascii="Times New Roman" w:hAnsi="Times New Roman"/>
          <w:b/>
        </w:rPr>
        <w:t>prestíž Slovenska</w:t>
      </w:r>
      <w:r>
        <w:rPr>
          <w:rFonts w:ascii="Times New Roman" w:hAnsi="Times New Roman"/>
        </w:rPr>
        <w:t xml:space="preserve">. </w:t>
      </w:r>
      <w:r w:rsidRPr="00CE578B">
        <w:rPr>
          <w:rFonts w:ascii="Times New Roman" w:hAnsi="Times New Roman"/>
        </w:rPr>
        <w:t>Vďaka včasnej</w:t>
      </w:r>
      <w:r>
        <w:rPr>
          <w:rFonts w:ascii="Times New Roman" w:hAnsi="Times New Roman"/>
        </w:rPr>
        <w:t>,</w:t>
      </w:r>
      <w:r w:rsidRPr="00CE578B">
        <w:rPr>
          <w:rFonts w:ascii="Times New Roman" w:hAnsi="Times New Roman"/>
        </w:rPr>
        <w:t> dôslednej</w:t>
      </w:r>
      <w:r>
        <w:rPr>
          <w:rFonts w:ascii="Times New Roman" w:hAnsi="Times New Roman"/>
        </w:rPr>
        <w:t xml:space="preserve"> a profesionálnej </w:t>
      </w:r>
      <w:r w:rsidRPr="00CE578B">
        <w:rPr>
          <w:rFonts w:ascii="Times New Roman" w:hAnsi="Times New Roman"/>
        </w:rPr>
        <w:t xml:space="preserve">príprave </w:t>
      </w:r>
      <w:r>
        <w:rPr>
          <w:rFonts w:ascii="Times New Roman" w:hAnsi="Times New Roman"/>
        </w:rPr>
        <w:t>sme</w:t>
      </w:r>
      <w:r w:rsidRPr="00CE578B">
        <w:rPr>
          <w:rFonts w:ascii="Times New Roman" w:hAnsi="Times New Roman"/>
        </w:rPr>
        <w:t xml:space="preserve"> predsedníctvo</w:t>
      </w:r>
      <w:r>
        <w:rPr>
          <w:rFonts w:ascii="Times New Roman" w:hAnsi="Times New Roman"/>
        </w:rPr>
        <w:t xml:space="preserve"> vo všetkých ohľadoch, vrátane </w:t>
      </w:r>
      <w:r w:rsidRPr="00CE578B">
        <w:rPr>
          <w:rFonts w:ascii="Times New Roman" w:hAnsi="Times New Roman"/>
        </w:rPr>
        <w:t>organizačnej a logistickej stránk</w:t>
      </w:r>
      <w:r>
        <w:rPr>
          <w:rFonts w:ascii="Times New Roman" w:hAnsi="Times New Roman"/>
        </w:rPr>
        <w:t>y, úspešne zvládli</w:t>
      </w:r>
      <w:r w:rsidRPr="00CE578B">
        <w:rPr>
          <w:rFonts w:ascii="Times New Roman" w:hAnsi="Times New Roman"/>
        </w:rPr>
        <w:t>.</w:t>
      </w:r>
    </w:p>
    <w:p w:rsidR="003C1B47" w:rsidP="003C1B47">
      <w:pPr>
        <w:bidi w:val="0"/>
        <w:jc w:val="both"/>
        <w:rPr>
          <w:rFonts w:ascii="Times New Roman" w:hAnsi="Times New Roman"/>
        </w:rPr>
      </w:pPr>
    </w:p>
    <w:p w:rsidR="003C1B47" w:rsidP="003C1B47">
      <w:pPr>
        <w:bidi w:val="0"/>
        <w:jc w:val="both"/>
        <w:rPr>
          <w:rFonts w:ascii="Times New Roman" w:hAnsi="Times New Roman"/>
        </w:rPr>
      </w:pPr>
      <w:r>
        <w:rPr>
          <w:rFonts w:ascii="Times New Roman" w:hAnsi="Times New Roman"/>
        </w:rPr>
        <w:t xml:space="preserve">Predsedníctvo v Rade Európskej únie bolo výnimočnou  politickou výzvou, zároveň však vytvorilo jedinečnú </w:t>
      </w:r>
      <w:r w:rsidRPr="00F52F19">
        <w:rPr>
          <w:rFonts w:ascii="Times New Roman" w:hAnsi="Times New Roman"/>
          <w:b/>
        </w:rPr>
        <w:t>príležitosť pre zviditeľnenie a prezentáciu krajiny</w:t>
      </w:r>
      <w:r>
        <w:rPr>
          <w:rFonts w:ascii="Times New Roman" w:hAnsi="Times New Roman"/>
        </w:rPr>
        <w:t xml:space="preserve">, ktorú sa nám podarilo využiť. Nešlo tu len o podujatia organizované v Bratislave a Bruseli, ale o komplexnú prezentáciu slovenského predsedníctva a Slovenska prostredníctvom zastupiteľských úradov, stálych misií a slovenských inštitútov po celom svete.  </w:t>
      </w:r>
    </w:p>
    <w:p w:rsidR="003C1B47" w:rsidP="003C1B47">
      <w:pPr>
        <w:bidi w:val="0"/>
        <w:jc w:val="both"/>
        <w:rPr>
          <w:rFonts w:ascii="Times New Roman" w:hAnsi="Times New Roman"/>
        </w:rPr>
      </w:pPr>
    </w:p>
    <w:p w:rsidR="003C1B47" w:rsidP="003C1B47">
      <w:pPr>
        <w:bidi w:val="0"/>
        <w:jc w:val="both"/>
        <w:rPr>
          <w:rFonts w:ascii="Times New Roman" w:hAnsi="Times New Roman"/>
        </w:rPr>
      </w:pPr>
      <w:r>
        <w:rPr>
          <w:rFonts w:ascii="Times New Roman" w:hAnsi="Times New Roman"/>
        </w:rPr>
        <w:t>P</w:t>
      </w:r>
      <w:r w:rsidRPr="000168A8">
        <w:rPr>
          <w:rFonts w:ascii="Times New Roman" w:hAnsi="Times New Roman"/>
        </w:rPr>
        <w:t>r</w:t>
      </w:r>
      <w:r>
        <w:rPr>
          <w:rFonts w:ascii="Times New Roman" w:hAnsi="Times New Roman"/>
        </w:rPr>
        <w:t>i príprave pr</w:t>
      </w:r>
      <w:r w:rsidRPr="000168A8">
        <w:rPr>
          <w:rFonts w:ascii="Times New Roman" w:hAnsi="Times New Roman"/>
        </w:rPr>
        <w:t>edsedníctv</w:t>
      </w:r>
      <w:r>
        <w:rPr>
          <w:rFonts w:ascii="Times New Roman" w:hAnsi="Times New Roman"/>
        </w:rPr>
        <w:t xml:space="preserve">a bolo jedným z cieľov Ministerstva zahraničných vecí a európskych záležitostí SR </w:t>
      </w:r>
      <w:r w:rsidRPr="00985FA2">
        <w:rPr>
          <w:rFonts w:ascii="Times New Roman" w:hAnsi="Times New Roman"/>
          <w:b/>
        </w:rPr>
        <w:t>vzbudenie celospoločenského záujmu</w:t>
      </w:r>
      <w:r>
        <w:rPr>
          <w:rFonts w:ascii="Times New Roman" w:hAnsi="Times New Roman"/>
          <w:b/>
        </w:rPr>
        <w:t xml:space="preserve"> o predsedníctvo</w:t>
      </w:r>
      <w:r>
        <w:rPr>
          <w:rFonts w:ascii="Times New Roman" w:hAnsi="Times New Roman"/>
        </w:rPr>
        <w:t>. Príležitosť stať sa priamymi aktérmi predsedníctva prostredníctvom mechanizmov nefinančnej aj finančnej podpory využili mnohé mimovládne organizácie, obce, mestá a regióny, školy, ale aj fyzické osoby. Záujem o záštitu SK PRES bol enormný a získalo ju viac ako 200 projektov a podujatí rôzneho charakteru, od náučno-vzdelávacích po športové či kultúrne. Celkovo sa do aktivít realizovaných pod záštito</w:t>
      </w:r>
      <w:r w:rsidR="005401F8">
        <w:rPr>
          <w:rFonts w:ascii="Times New Roman" w:hAnsi="Times New Roman"/>
        </w:rPr>
        <w:t xml:space="preserve">u SK PRES zapojilo viac ako 450 </w:t>
      </w:r>
      <w:r>
        <w:rPr>
          <w:rFonts w:ascii="Times New Roman" w:hAnsi="Times New Roman"/>
        </w:rPr>
        <w:t>tisíc občanov Slovenska.</w:t>
      </w:r>
      <w:r w:rsidRPr="005F40A6">
        <w:rPr>
          <w:rFonts w:ascii="Times New Roman" w:hAnsi="Times New Roman"/>
        </w:rPr>
        <w:t xml:space="preserve"> Prostredníctvom dotačnej schémy bolo finančne podporených 27 projektov v celkovej hodnote približne 300 tisíc EUR realizovaných v</w:t>
      </w:r>
      <w:r>
        <w:rPr>
          <w:rFonts w:ascii="Times New Roman" w:hAnsi="Times New Roman"/>
        </w:rPr>
        <w:t> </w:t>
      </w:r>
      <w:r w:rsidRPr="005F40A6">
        <w:rPr>
          <w:rFonts w:ascii="Times New Roman" w:hAnsi="Times New Roman"/>
        </w:rPr>
        <w:t>regiónoch.</w:t>
      </w:r>
    </w:p>
    <w:p w:rsidR="003C1B47" w:rsidP="003C1B47">
      <w:pPr>
        <w:bidi w:val="0"/>
        <w:jc w:val="both"/>
        <w:rPr>
          <w:rFonts w:ascii="Times New Roman" w:hAnsi="Times New Roman"/>
        </w:rPr>
      </w:pPr>
    </w:p>
    <w:p w:rsidR="003C1B47" w:rsidP="003C1B47">
      <w:pPr>
        <w:bidi w:val="0"/>
        <w:jc w:val="both"/>
        <w:rPr>
          <w:rFonts w:ascii="Times New Roman" w:hAnsi="Times New Roman"/>
        </w:rPr>
      </w:pPr>
      <w:r w:rsidRPr="00980B21">
        <w:rPr>
          <w:rFonts w:ascii="Times New Roman" w:hAnsi="Times New Roman"/>
        </w:rPr>
        <w:t xml:space="preserve">Predsedníctvo </w:t>
      </w:r>
      <w:r>
        <w:rPr>
          <w:rFonts w:ascii="Times New Roman" w:hAnsi="Times New Roman"/>
        </w:rPr>
        <w:t xml:space="preserve">je finančnou investíciou, ktorá sa však netýka len šesťmesačného obdobia samotného výkonu predsedníctva. Za úspešným priebehom predsedníctva sú predovšetkým </w:t>
      </w:r>
      <w:r w:rsidRPr="00985FA2">
        <w:rPr>
          <w:rFonts w:ascii="Times New Roman" w:hAnsi="Times New Roman"/>
          <w:b/>
        </w:rPr>
        <w:t>ľudia a investícia do ľudského kapitálu</w:t>
      </w:r>
      <w:r>
        <w:rPr>
          <w:rFonts w:ascii="Times New Roman" w:hAnsi="Times New Roman"/>
        </w:rPr>
        <w:t xml:space="preserve"> presahuje rámec šiestich mesiacov</w:t>
      </w:r>
      <w:r w:rsidRPr="00980B21">
        <w:rPr>
          <w:rFonts w:ascii="Times New Roman" w:hAnsi="Times New Roman"/>
        </w:rPr>
        <w:t xml:space="preserve">. Vďaka </w:t>
      </w:r>
      <w:r>
        <w:rPr>
          <w:rFonts w:ascii="Times New Roman" w:hAnsi="Times New Roman"/>
        </w:rPr>
        <w:t>predsedníctvu</w:t>
      </w:r>
      <w:r w:rsidRPr="00980B21">
        <w:rPr>
          <w:rFonts w:ascii="Times New Roman" w:hAnsi="Times New Roman"/>
        </w:rPr>
        <w:t xml:space="preserve"> </w:t>
      </w:r>
      <w:r>
        <w:rPr>
          <w:rFonts w:ascii="Times New Roman" w:hAnsi="Times New Roman"/>
        </w:rPr>
        <w:t xml:space="preserve">sa slovenská štátna správa posilnila o kvalitných a </w:t>
      </w:r>
      <w:r w:rsidRPr="00980B21">
        <w:rPr>
          <w:rFonts w:ascii="Times New Roman" w:hAnsi="Times New Roman"/>
        </w:rPr>
        <w:t>skúsen</w:t>
      </w:r>
      <w:r>
        <w:rPr>
          <w:rFonts w:ascii="Times New Roman" w:hAnsi="Times New Roman"/>
        </w:rPr>
        <w:t>ých</w:t>
      </w:r>
      <w:r w:rsidRPr="00980B21">
        <w:rPr>
          <w:rFonts w:ascii="Times New Roman" w:hAnsi="Times New Roman"/>
        </w:rPr>
        <w:t xml:space="preserve"> expertov</w:t>
      </w:r>
      <w:r>
        <w:rPr>
          <w:rFonts w:ascii="Times New Roman" w:hAnsi="Times New Roman"/>
        </w:rPr>
        <w:t xml:space="preserve"> pripravených presadzovať</w:t>
      </w:r>
      <w:r w:rsidRPr="004A6A56">
        <w:rPr>
          <w:rFonts w:ascii="Times New Roman" w:hAnsi="Times New Roman"/>
        </w:rPr>
        <w:t xml:space="preserve"> záujm</w:t>
      </w:r>
      <w:r>
        <w:rPr>
          <w:rFonts w:ascii="Times New Roman" w:hAnsi="Times New Roman"/>
        </w:rPr>
        <w:t>y</w:t>
      </w:r>
      <w:r w:rsidRPr="004A6A56">
        <w:rPr>
          <w:rFonts w:ascii="Times New Roman" w:hAnsi="Times New Roman"/>
        </w:rPr>
        <w:t xml:space="preserve"> </w:t>
      </w:r>
      <w:r>
        <w:rPr>
          <w:rFonts w:ascii="Times New Roman" w:hAnsi="Times New Roman"/>
        </w:rPr>
        <w:t>Slovenskej republiky</w:t>
      </w:r>
      <w:r w:rsidRPr="004A6A56">
        <w:rPr>
          <w:rFonts w:ascii="Times New Roman" w:hAnsi="Times New Roman"/>
        </w:rPr>
        <w:t xml:space="preserve"> v EÚ a vo svete.</w:t>
      </w:r>
    </w:p>
    <w:p w:rsidR="003C1B47" w:rsidP="003C1B47">
      <w:pPr>
        <w:bidi w:val="0"/>
        <w:jc w:val="both"/>
        <w:rPr>
          <w:rFonts w:ascii="Times New Roman" w:hAnsi="Times New Roman"/>
        </w:rPr>
      </w:pPr>
    </w:p>
    <w:p w:rsidR="003C1B47" w:rsidP="003C1B47">
      <w:pPr>
        <w:bidi w:val="0"/>
        <w:jc w:val="both"/>
        <w:rPr>
          <w:rFonts w:ascii="Times New Roman" w:hAnsi="Times New Roman"/>
        </w:rPr>
      </w:pPr>
      <w:r>
        <w:rPr>
          <w:rFonts w:ascii="Times New Roman" w:hAnsi="Times New Roman"/>
        </w:rPr>
        <w:t>V neposlednom rade bolo jednou z dôležitých predsedníckych výziev podnietiť</w:t>
      </w:r>
      <w:r w:rsidRPr="00980B21">
        <w:rPr>
          <w:rFonts w:ascii="Times New Roman" w:hAnsi="Times New Roman"/>
        </w:rPr>
        <w:t xml:space="preserve"> </w:t>
      </w:r>
      <w:r w:rsidRPr="007E46D3">
        <w:rPr>
          <w:rFonts w:ascii="Times New Roman" w:hAnsi="Times New Roman"/>
          <w:b/>
        </w:rPr>
        <w:t>záujem občanov o</w:t>
      </w:r>
      <w:r>
        <w:rPr>
          <w:rFonts w:ascii="Times New Roman" w:hAnsi="Times New Roman"/>
          <w:b/>
        </w:rPr>
        <w:t> </w:t>
      </w:r>
      <w:r w:rsidRPr="007E46D3">
        <w:rPr>
          <w:rFonts w:ascii="Times New Roman" w:hAnsi="Times New Roman"/>
          <w:b/>
        </w:rPr>
        <w:t>európske témy</w:t>
      </w:r>
      <w:r w:rsidRPr="00980B21">
        <w:rPr>
          <w:rFonts w:ascii="Times New Roman" w:hAnsi="Times New Roman"/>
        </w:rPr>
        <w:t>.</w:t>
      </w:r>
      <w:r>
        <w:rPr>
          <w:rFonts w:ascii="Times New Roman" w:hAnsi="Times New Roman"/>
        </w:rPr>
        <w:t xml:space="preserve"> Vysvetľovanie zmyslu a podstaty Ú</w:t>
      </w:r>
      <w:r w:rsidRPr="00980B21">
        <w:rPr>
          <w:rFonts w:ascii="Times New Roman" w:hAnsi="Times New Roman"/>
        </w:rPr>
        <w:t>nie a</w:t>
      </w:r>
      <w:r>
        <w:rPr>
          <w:rFonts w:ascii="Times New Roman" w:hAnsi="Times New Roman"/>
        </w:rPr>
        <w:t> zdôrazňovanie výsledkov, ktoré nám európske spoločenstvo prináša, považujeme za cestu a j</w:t>
      </w:r>
      <w:r w:rsidRPr="00980B21">
        <w:rPr>
          <w:rFonts w:ascii="Times New Roman" w:hAnsi="Times New Roman"/>
        </w:rPr>
        <w:t>edin</w:t>
      </w:r>
      <w:r>
        <w:rPr>
          <w:rFonts w:ascii="Times New Roman" w:hAnsi="Times New Roman"/>
        </w:rPr>
        <w:t>ú</w:t>
      </w:r>
      <w:r w:rsidRPr="00980B21">
        <w:rPr>
          <w:rFonts w:ascii="Times New Roman" w:hAnsi="Times New Roman"/>
        </w:rPr>
        <w:t xml:space="preserve"> možnosť ako </w:t>
      </w:r>
      <w:r>
        <w:rPr>
          <w:rFonts w:ascii="Times New Roman" w:hAnsi="Times New Roman"/>
        </w:rPr>
        <w:t>reagovať na</w:t>
      </w:r>
      <w:r w:rsidRPr="00980B21">
        <w:rPr>
          <w:rFonts w:ascii="Times New Roman" w:hAnsi="Times New Roman"/>
        </w:rPr>
        <w:t xml:space="preserve"> </w:t>
      </w:r>
      <w:r>
        <w:rPr>
          <w:rFonts w:ascii="Times New Roman" w:hAnsi="Times New Roman"/>
        </w:rPr>
        <w:t xml:space="preserve">rastúci </w:t>
      </w:r>
      <w:r w:rsidRPr="00980B21">
        <w:rPr>
          <w:rFonts w:ascii="Times New Roman" w:hAnsi="Times New Roman"/>
        </w:rPr>
        <w:t>euroskepticizmu</w:t>
      </w:r>
      <w:r>
        <w:rPr>
          <w:rFonts w:ascii="Times New Roman" w:hAnsi="Times New Roman"/>
        </w:rPr>
        <w:t xml:space="preserve">s. </w:t>
      </w:r>
    </w:p>
    <w:p w:rsidR="003C1B47" w:rsidP="003C1B47">
      <w:pPr>
        <w:bidi w:val="0"/>
        <w:jc w:val="both"/>
        <w:rPr>
          <w:rFonts w:ascii="Times New Roman" w:hAnsi="Times New Roman"/>
        </w:rPr>
      </w:pPr>
    </w:p>
    <w:p w:rsidR="00221D69" w:rsidP="003C1B47">
      <w:pPr>
        <w:bidi w:val="0"/>
        <w:jc w:val="both"/>
        <w:rPr>
          <w:rFonts w:ascii="Times New Roman" w:hAnsi="Times New Roman"/>
        </w:rPr>
      </w:pPr>
      <w:r w:rsidRPr="00F52F19" w:rsidR="003C1B47">
        <w:rPr>
          <w:rFonts w:ascii="Times New Roman" w:hAnsi="Times New Roman"/>
          <w:b/>
        </w:rPr>
        <w:t>Výzvou do nadchádzajúceho obdobia</w:t>
      </w:r>
      <w:r w:rsidR="003C1B47">
        <w:rPr>
          <w:rFonts w:ascii="Times New Roman" w:hAnsi="Times New Roman"/>
        </w:rPr>
        <w:t xml:space="preserve"> je predovšetkým udržať záujem spoločnosti o európske témy a zlepšovať spôsob komunikácie o EÚ tak na úrovni Slovenskej republiky, ako aj na úrovni EÚ a smerom k externým partnerom</w:t>
      </w:r>
    </w:p>
    <w:p w:rsidR="00894D87" w:rsidRPr="007C27FC" w:rsidP="00894D87">
      <w:pPr>
        <w:pStyle w:val="SpravaSKPRESnadpis1"/>
        <w:numPr>
          <w:numId w:val="13"/>
        </w:numPr>
        <w:tabs>
          <w:tab w:val="clear" w:pos="567"/>
          <w:tab w:val="clear" w:pos="926"/>
        </w:tabs>
        <w:bidi w:val="0"/>
        <w:rPr>
          <w:rFonts w:ascii="Times New Roman" w:hAnsi="Times New Roman"/>
          <w:color w:val="FFFFFF"/>
        </w:rPr>
      </w:pPr>
      <w:bookmarkStart w:id="23" w:name="_Toc475948625"/>
      <w:r w:rsidRPr="007C27FC">
        <w:rPr>
          <w:rFonts w:ascii="Times New Roman" w:hAnsi="Times New Roman"/>
          <w:color w:val="FFFFFF"/>
        </w:rPr>
        <w:t>Prílohy</w:t>
      </w:r>
      <w:bookmarkEnd w:id="23"/>
    </w:p>
    <w:p w:rsidR="00894D87" w:rsidRPr="007C27FC" w:rsidP="00221D69">
      <w:pPr>
        <w:pStyle w:val="SpravaSKPRESPrilohy"/>
        <w:keepNext w:val="0"/>
        <w:widowControl w:val="0"/>
        <w:bidi w:val="0"/>
        <w:rPr>
          <w:rFonts w:ascii="Times New Roman" w:hAnsi="Times New Roman"/>
          <w:color w:val="FFFFFF"/>
          <w:sz w:val="16"/>
          <w:szCs w:val="16"/>
        </w:rPr>
      </w:pPr>
      <w:bookmarkStart w:id="24" w:name="_Toc473045062"/>
      <w:bookmarkStart w:id="25" w:name="_Toc473529513"/>
      <w:bookmarkStart w:id="26" w:name="_Toc475948626"/>
      <w:r w:rsidRPr="007C27FC" w:rsidR="00A25609">
        <w:rPr>
          <w:rFonts w:ascii="Times New Roman" w:hAnsi="Times New Roman"/>
          <w:color w:val="FFFFFF"/>
          <w:sz w:val="16"/>
          <w:szCs w:val="16"/>
        </w:rPr>
        <w:t>Príloha č. 1 H</w:t>
      </w:r>
      <w:r w:rsidRPr="007C27FC">
        <w:rPr>
          <w:rFonts w:ascii="Times New Roman" w:hAnsi="Times New Roman"/>
          <w:color w:val="FFFFFF"/>
          <w:sz w:val="16"/>
          <w:szCs w:val="16"/>
        </w:rPr>
        <w:t>odnotenie SK PRES podľa zložení Rady</w:t>
      </w:r>
      <w:bookmarkEnd w:id="24"/>
      <w:bookmarkEnd w:id="25"/>
      <w:bookmarkEnd w:id="26"/>
    </w:p>
    <w:p w:rsidR="00894D87" w:rsidRPr="007C27FC" w:rsidP="00221D69">
      <w:pPr>
        <w:pStyle w:val="SpravaSKPRESPrilohy"/>
        <w:keepNext w:val="0"/>
        <w:widowControl w:val="0"/>
        <w:bidi w:val="0"/>
        <w:rPr>
          <w:rFonts w:ascii="Times New Roman" w:hAnsi="Times New Roman"/>
          <w:color w:val="FFFFFF"/>
          <w:sz w:val="16"/>
          <w:szCs w:val="16"/>
        </w:rPr>
      </w:pPr>
      <w:bookmarkStart w:id="27" w:name="_Toc473045063"/>
      <w:bookmarkStart w:id="28" w:name="_Toc473529514"/>
      <w:bookmarkStart w:id="29" w:name="_Toc475948627"/>
      <w:r w:rsidRPr="007C27FC">
        <w:rPr>
          <w:rFonts w:ascii="Times New Roman" w:hAnsi="Times New Roman"/>
          <w:color w:val="FFFFFF"/>
          <w:sz w:val="16"/>
          <w:szCs w:val="16"/>
        </w:rPr>
        <w:t>Príloha č. 2 Prehľad podujatí na Slovensku</w:t>
      </w:r>
      <w:bookmarkEnd w:id="27"/>
      <w:bookmarkEnd w:id="28"/>
      <w:bookmarkEnd w:id="29"/>
    </w:p>
    <w:sectPr w:rsidSect="000A60BA">
      <w:headerReference w:type="even" r:id="rId6"/>
      <w:headerReference w:type="default" r:id="rId7"/>
      <w:footerReference w:type="even" r:id="rId8"/>
      <w:footerReference w:type="default" r:id="rId9"/>
      <w:headerReference w:type="first" r:id="rId10"/>
      <w:footerReference w:type="first" r:id="rId11"/>
      <w:pgSz w:w="11907" w:h="16840" w:code="9"/>
      <w:pgMar w:top="1276" w:right="1134" w:bottom="1276" w:left="1134" w:header="680" w:footer="570"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Batang">
    <w:altName w:val="???A"/>
    <w:panose1 w:val="02030600000101010101"/>
    <w:charset w:val="81"/>
    <w:family w:val="roman"/>
    <w:pitch w:val="variable"/>
    <w:sig w:usb0="00000000" w:usb1="00000000" w:usb2="00000000" w:usb3="00000000" w:csb0="0008009F" w:csb1="00000000"/>
  </w:font>
  <w:font w:name="SimSun">
    <w:altName w:val="??ˇ§ˇě?"/>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atang">
    <w:panose1 w:val="00000000000000000000"/>
    <w:charset w:val="81"/>
    <w:family w:val="roman"/>
    <w:pitch w:val="variable"/>
    <w:sig w:usb0="00000000" w:usb1="00000000" w:usb2="00000000" w:usb3="00000000" w:csb0="0008009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rsidRPr="0028522D" w:rsidP="000A60BA">
    <w:pPr>
      <w:pStyle w:val="Footer"/>
      <w:bidi w:val="0"/>
      <w:jc w:val="right"/>
      <w:rPr>
        <w:rFonts w:ascii="Times New Roman" w:hAnsi="Times New Roman"/>
      </w:rPr>
    </w:pPr>
    <w:r w:rsidRPr="00957059">
      <w:rPr>
        <w:rFonts w:ascii="Times New Roman" w:hAnsi="Times New Roman"/>
        <w:sz w:val="22"/>
        <w:szCs w:val="22"/>
      </w:rPr>
      <w:fldChar w:fldCharType="begin"/>
    </w:r>
    <w:r w:rsidRPr="00957059">
      <w:rPr>
        <w:rFonts w:ascii="Times New Roman" w:hAnsi="Times New Roman"/>
        <w:sz w:val="22"/>
        <w:szCs w:val="22"/>
      </w:rPr>
      <w:instrText>PAGE   \* MERGEFORMAT</w:instrText>
    </w:r>
    <w:r w:rsidRPr="00957059">
      <w:rPr>
        <w:rFonts w:ascii="Times New Roman" w:hAnsi="Times New Roman"/>
        <w:sz w:val="22"/>
        <w:szCs w:val="22"/>
      </w:rPr>
      <w:fldChar w:fldCharType="separate"/>
    </w:r>
    <w:r w:rsidR="00B12020">
      <w:rPr>
        <w:rFonts w:ascii="Times New Roman" w:hAnsi="Times New Roman"/>
        <w:noProof/>
        <w:sz w:val="22"/>
        <w:szCs w:val="22"/>
      </w:rPr>
      <w:t>1</w:t>
    </w:r>
    <w:r w:rsidRPr="0095705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45B">
      <w:pPr>
        <w:bidi w:val="0"/>
        <w:rPr>
          <w:rFonts w:ascii="Times New Roman" w:hAnsi="Times New Roman"/>
        </w:rPr>
      </w:pPr>
      <w:r>
        <w:rPr>
          <w:rFonts w:ascii="Times New Roman" w:hAnsi="Times New Roman"/>
        </w:rPr>
        <w:separator/>
      </w:r>
    </w:p>
  </w:footnote>
  <w:footnote w:type="continuationSeparator" w:id="1">
    <w:p w:rsidR="0075745B">
      <w:pPr>
        <w:bidi w:val="0"/>
        <w:rPr>
          <w:rFonts w:ascii="Times New Roman" w:hAnsi="Times New Roman"/>
        </w:rPr>
      </w:pPr>
      <w:r>
        <w:rPr>
          <w:rFonts w:ascii="Times New Roman" w:hAnsi="Times New Roman"/>
        </w:rPr>
        <w:continuationSeparator/>
      </w:r>
    </w:p>
  </w:footnote>
  <w:footnote w:id="2">
    <w:p w:rsidP="00B01E00">
      <w:pPr>
        <w:pStyle w:val="FootnoteText"/>
        <w:bidi w:val="0"/>
        <w:ind w:left="284" w:hanging="284"/>
        <w:jc w:val="both"/>
        <w:rPr>
          <w:rFonts w:ascii="Times New Roman" w:hAnsi="Times New Roman"/>
        </w:rPr>
      </w:pPr>
      <w:r w:rsidRPr="0073134D" w:rsidR="008C68C2">
        <w:rPr>
          <w:rStyle w:val="FootnoteReference"/>
          <w:rFonts w:ascii="Times New Roman" w:hAnsi="Times New Roman"/>
          <w:sz w:val="20"/>
        </w:rPr>
        <w:footnoteRef/>
      </w:r>
      <w:r w:rsidRPr="0073134D" w:rsidR="008C68C2">
        <w:rPr>
          <w:rFonts w:ascii="Times New Roman" w:hAnsi="Times New Roman"/>
          <w:sz w:val="20"/>
        </w:rPr>
        <w:t xml:space="preserve"> </w:t>
        <w:tab/>
        <w:t>Otvorené kapitoly (Srbsko): 23 Súdnictvo a základné práva,  24 Spravodlivosť, sloboda a bezpečnosť, 5 Verejné obstarávanie, 25 Veda a výskum (zároveň bola predbežne uzavretá).</w:t>
      </w:r>
    </w:p>
  </w:footnote>
  <w:footnote w:id="3">
    <w:p w:rsidP="00B01E00">
      <w:pPr>
        <w:pStyle w:val="FootnoteText"/>
        <w:bidi w:val="0"/>
        <w:ind w:left="284" w:hanging="284"/>
        <w:jc w:val="both"/>
        <w:rPr>
          <w:rFonts w:ascii="Times New Roman" w:hAnsi="Times New Roman"/>
        </w:rPr>
      </w:pPr>
      <w:r w:rsidRPr="0073134D" w:rsidR="008C68C2">
        <w:rPr>
          <w:rStyle w:val="FootnoteReference"/>
          <w:rFonts w:ascii="Times New Roman" w:hAnsi="Times New Roman"/>
          <w:sz w:val="20"/>
        </w:rPr>
        <w:footnoteRef/>
      </w:r>
      <w:r w:rsidRPr="0073134D" w:rsidR="008C68C2">
        <w:rPr>
          <w:rFonts w:ascii="Times New Roman" w:hAnsi="Times New Roman"/>
          <w:sz w:val="20"/>
        </w:rPr>
        <w:t xml:space="preserve"> </w:t>
        <w:tab/>
        <w:t>Otvorené kapitoly (Čierna Hora): 11 Poľnohospodárstvo a rozvoj vidieka a 19 Sociálna politika a zamestnanosť.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rsidRPr="00AB33F0" w:rsidP="00AB33F0">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C2">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38978C"/>
    <w:lvl w:ilvl="0">
      <w:start w:val="1"/>
      <w:numFmt w:val="bullet"/>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Num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1745D56"/>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495604"/>
    <w:multiLevelType w:val="multilevel"/>
    <w:tmpl w:val="9F60CF46"/>
    <w:name w:val="Points"/>
    <w:lvl w:ilvl="0">
      <w:start w:val="1"/>
      <w:numFmt w:val="decimal"/>
      <w:pStyle w:val="Pointabc2"/>
      <w:lvlText w:val="%1."/>
      <w:lvlJc w:val="left"/>
      <w:pPr>
        <w:tabs>
          <w:tab w:val="num" w:pos="567"/>
        </w:tabs>
        <w:ind w:left="567" w:hanging="567"/>
      </w:pPr>
      <w:rPr>
        <w:rFonts w:cs="Times New Roman"/>
        <w:rtl w:val="0"/>
        <w:cs w:val="0"/>
      </w:rPr>
    </w:lvl>
    <w:lvl w:ilvl="1">
      <w:start w:val="1"/>
      <w:numFmt w:val="lowerLetter"/>
      <w:pStyle w:val="Pointabc"/>
      <w:lvlText w:val="%2)"/>
      <w:lvlJc w:val="left"/>
      <w:pPr>
        <w:tabs>
          <w:tab w:val="num" w:pos="567"/>
        </w:tabs>
        <w:ind w:left="567" w:hanging="567"/>
      </w:pPr>
      <w:rPr>
        <w:rFonts w:cs="Times New Roman"/>
        <w:rtl w:val="0"/>
        <w:cs w:val="0"/>
      </w:rPr>
    </w:lvl>
    <w:lvl w:ilvl="2">
      <w:start w:val="1"/>
      <w:numFmt w:val="decimal"/>
      <w:lvlText w:val="%3."/>
      <w:lvlJc w:val="left"/>
      <w:pPr>
        <w:tabs>
          <w:tab w:val="num" w:pos="1134"/>
        </w:tabs>
        <w:ind w:left="1134" w:hanging="567"/>
      </w:pPr>
      <w:rPr>
        <w:rFonts w:cs="Times New Roman"/>
        <w:rtl w:val="0"/>
        <w:cs w:val="0"/>
      </w:rPr>
    </w:lvl>
    <w:lvl w:ilvl="3">
      <w:start w:val="1"/>
      <w:numFmt w:val="lowerLetter"/>
      <w:pStyle w:val="Pointabc1"/>
      <w:lvlText w:val="%4)"/>
      <w:lvlJc w:val="left"/>
      <w:pPr>
        <w:tabs>
          <w:tab w:val="num" w:pos="1134"/>
        </w:tabs>
        <w:ind w:left="1134" w:hanging="567"/>
      </w:pPr>
      <w:rPr>
        <w:rFonts w:cs="Times New Roman"/>
        <w:rtl w:val="0"/>
        <w:cs w:val="0"/>
      </w:rPr>
    </w:lvl>
    <w:lvl w:ilvl="4">
      <w:start w:val="1"/>
      <w:numFmt w:val="decimal"/>
      <w:lvlText w:val="%5."/>
      <w:lvlJc w:val="left"/>
      <w:pPr>
        <w:tabs>
          <w:tab w:val="num" w:pos="1701"/>
        </w:tabs>
        <w:ind w:left="1701" w:hanging="567"/>
      </w:pPr>
      <w:rPr>
        <w:rFonts w:cs="Times New Roman"/>
        <w:rtl w:val="0"/>
        <w:cs w:val="0"/>
      </w:rPr>
    </w:lvl>
    <w:lvl w:ilvl="5">
      <w:start w:val="1"/>
      <w:numFmt w:val="lowerLetter"/>
      <w:lvlText w:val="%6)"/>
      <w:lvlJc w:val="left"/>
      <w:pPr>
        <w:tabs>
          <w:tab w:val="num" w:pos="1701"/>
        </w:tabs>
        <w:ind w:left="1701" w:hanging="567"/>
      </w:pPr>
      <w:rPr>
        <w:rFonts w:cs="Times New Roman"/>
        <w:rtl w:val="0"/>
        <w:cs w:val="0"/>
      </w:rPr>
    </w:lvl>
    <w:lvl w:ilvl="6">
      <w:start w:val="1"/>
      <w:numFmt w:val="decimal"/>
      <w:lvlText w:val="%7."/>
      <w:lvlJc w:val="left"/>
      <w:pPr>
        <w:tabs>
          <w:tab w:val="num" w:pos="2268"/>
        </w:tabs>
        <w:ind w:left="2268" w:hanging="567"/>
      </w:pPr>
      <w:rPr>
        <w:rFonts w:cs="Times New Roman"/>
        <w:rtl w:val="0"/>
        <w:cs w:val="0"/>
      </w:rPr>
    </w:lvl>
    <w:lvl w:ilvl="7">
      <w:start w:val="1"/>
      <w:numFmt w:val="lowerLetter"/>
      <w:lvlText w:val="%8)"/>
      <w:lvlJc w:val="left"/>
      <w:pPr>
        <w:tabs>
          <w:tab w:val="num" w:pos="2268"/>
        </w:tabs>
        <w:ind w:left="2268" w:hanging="567"/>
      </w:pPr>
      <w:rPr>
        <w:rFonts w:cs="Times New Roman"/>
        <w:rtl w:val="0"/>
        <w:cs w:val="0"/>
      </w:rPr>
    </w:lvl>
    <w:lvl w:ilvl="8">
      <w:start w:val="1"/>
      <w:numFmt w:val="lowerLetter"/>
      <w:lvlText w:val="%9)"/>
      <w:lvlJc w:val="left"/>
      <w:pPr>
        <w:tabs>
          <w:tab w:val="num" w:pos="2835"/>
        </w:tabs>
        <w:ind w:left="2835" w:hanging="567"/>
      </w:pPr>
      <w:rPr>
        <w:rFonts w:cs="Times New Roman"/>
        <w:rtl w:val="0"/>
        <w:cs w:val="0"/>
      </w:rPr>
    </w:lvl>
  </w:abstractNum>
  <w:abstractNum w:abstractNumId="4">
    <w:nsid w:val="0EEA6825"/>
    <w:multiLevelType w:val="singleLevel"/>
    <w:tmpl w:val="F14A3676"/>
    <w:name w:val="Tiret 0"/>
    <w:lvl w:ilvl="0">
      <w:start w:val="1"/>
      <w:numFmt w:val="bullet"/>
      <w:pStyle w:val="Tiret0"/>
      <w:lvlText w:val="–"/>
      <w:lvlJc w:val="left"/>
      <w:pPr>
        <w:tabs>
          <w:tab w:val="num" w:pos="850"/>
        </w:tabs>
        <w:ind w:left="850" w:hanging="850"/>
      </w:pPr>
    </w:lvl>
  </w:abstractNum>
  <w:abstractNum w:abstractNumId="5">
    <w:nsid w:val="102D4C5F"/>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12326F2"/>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F51FE0"/>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CF7C66"/>
    <w:multiLevelType w:val="hybridMultilevel"/>
    <w:tmpl w:val="E57C89B0"/>
    <w:lvl w:ilvl="0">
      <w:start w:val="1"/>
      <w:numFmt w:val="upperRoman"/>
      <w:lvlText w:val="%1."/>
      <w:lvlJc w:val="left"/>
      <w:pPr>
        <w:ind w:left="1080" w:hanging="72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934B61"/>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8442D4"/>
    <w:multiLevelType w:val="multilevel"/>
    <w:tmpl w:val="9AE01AF8"/>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1">
    <w:nsid w:val="1D767F72"/>
    <w:multiLevelType w:val="hybridMultilevel"/>
    <w:tmpl w:val="BEB0DD9C"/>
    <w:lvl w:ilvl="0">
      <w:start w:val="0"/>
      <w:numFmt w:val="bullet"/>
      <w:lvlText w:val="-"/>
      <w:lvlJc w:val="left"/>
      <w:pPr>
        <w:ind w:left="360" w:hanging="360"/>
      </w:pPr>
      <w:rPr>
        <w:rFonts w:ascii="Times New Roman" w:eastAsia="Times New Roman" w:hAnsi="Times New Roman" w:hint="default"/>
        <w:b w:val="0"/>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22346BA7"/>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53C316A"/>
    <w:multiLevelType w:val="multilevel"/>
    <w:tmpl w:val="A26EDDF0"/>
    <w:name w:val="Heading IVX"/>
    <w:lvl w:ilvl="0">
      <w:start w:val="1"/>
      <w:numFmt w:val="upperRoman"/>
      <w:pStyle w:val="HeadingIVX"/>
      <w:lvlText w:val="%1."/>
      <w:lvlJc w:val="left"/>
      <w:pPr>
        <w:tabs>
          <w:tab w:val="num" w:pos="567"/>
        </w:tabs>
        <w:ind w:left="567" w:hanging="567"/>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4">
    <w:nsid w:val="25F0346B"/>
    <w:multiLevelType w:val="hybridMultilevel"/>
    <w:tmpl w:val="1FCE755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7272C35"/>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B882BE5"/>
    <w:multiLevelType w:val="hybridMultilevel"/>
    <w:tmpl w:val="E8662F22"/>
    <w:lvl w:ilvl="0">
      <w:start w:val="1"/>
      <w:numFmt w:val="decimal"/>
      <w:lvlText w:val="%1."/>
      <w:lvlJc w:val="left"/>
      <w:pPr>
        <w:ind w:left="537" w:hanging="360"/>
      </w:pPr>
      <w:rPr>
        <w:rFonts w:cs="Times New Roman" w:hint="default"/>
        <w:rtl w:val="0"/>
        <w:cs w:val="0"/>
      </w:rPr>
    </w:lvl>
    <w:lvl w:ilvl="1">
      <w:start w:val="1"/>
      <w:numFmt w:val="lowerLetter"/>
      <w:lvlText w:val="%2."/>
      <w:lvlJc w:val="left"/>
      <w:pPr>
        <w:ind w:left="1257" w:hanging="360"/>
      </w:pPr>
      <w:rPr>
        <w:rFonts w:cs="Times New Roman"/>
        <w:rtl w:val="0"/>
        <w:cs w:val="0"/>
      </w:rPr>
    </w:lvl>
    <w:lvl w:ilvl="2">
      <w:start w:val="1"/>
      <w:numFmt w:val="lowerRoman"/>
      <w:lvlText w:val="%3."/>
      <w:lvlJc w:val="right"/>
      <w:pPr>
        <w:ind w:left="1977" w:hanging="180"/>
      </w:pPr>
      <w:rPr>
        <w:rFonts w:cs="Times New Roman"/>
        <w:rtl w:val="0"/>
        <w:cs w:val="0"/>
      </w:rPr>
    </w:lvl>
    <w:lvl w:ilvl="3">
      <w:start w:val="1"/>
      <w:numFmt w:val="decimal"/>
      <w:lvlText w:val="%4."/>
      <w:lvlJc w:val="left"/>
      <w:pPr>
        <w:ind w:left="2697" w:hanging="360"/>
      </w:pPr>
      <w:rPr>
        <w:rFonts w:cs="Times New Roman"/>
        <w:rtl w:val="0"/>
        <w:cs w:val="0"/>
      </w:rPr>
    </w:lvl>
    <w:lvl w:ilvl="4">
      <w:start w:val="1"/>
      <w:numFmt w:val="lowerLetter"/>
      <w:lvlText w:val="%5."/>
      <w:lvlJc w:val="left"/>
      <w:pPr>
        <w:ind w:left="3417" w:hanging="360"/>
      </w:pPr>
      <w:rPr>
        <w:rFonts w:cs="Times New Roman"/>
        <w:rtl w:val="0"/>
        <w:cs w:val="0"/>
      </w:rPr>
    </w:lvl>
    <w:lvl w:ilvl="5">
      <w:start w:val="1"/>
      <w:numFmt w:val="lowerRoman"/>
      <w:lvlText w:val="%6."/>
      <w:lvlJc w:val="right"/>
      <w:pPr>
        <w:ind w:left="4137" w:hanging="180"/>
      </w:pPr>
      <w:rPr>
        <w:rFonts w:cs="Times New Roman"/>
        <w:rtl w:val="0"/>
        <w:cs w:val="0"/>
      </w:rPr>
    </w:lvl>
    <w:lvl w:ilvl="6">
      <w:start w:val="1"/>
      <w:numFmt w:val="decimal"/>
      <w:lvlText w:val="%7."/>
      <w:lvlJc w:val="left"/>
      <w:pPr>
        <w:ind w:left="4857" w:hanging="360"/>
      </w:pPr>
      <w:rPr>
        <w:rFonts w:cs="Times New Roman"/>
        <w:rtl w:val="0"/>
        <w:cs w:val="0"/>
      </w:rPr>
    </w:lvl>
    <w:lvl w:ilvl="7">
      <w:start w:val="1"/>
      <w:numFmt w:val="lowerLetter"/>
      <w:lvlText w:val="%8."/>
      <w:lvlJc w:val="left"/>
      <w:pPr>
        <w:ind w:left="5577" w:hanging="360"/>
      </w:pPr>
      <w:rPr>
        <w:rFonts w:cs="Times New Roman"/>
        <w:rtl w:val="0"/>
        <w:cs w:val="0"/>
      </w:rPr>
    </w:lvl>
    <w:lvl w:ilvl="8">
      <w:start w:val="1"/>
      <w:numFmt w:val="lowerRoman"/>
      <w:lvlText w:val="%9."/>
      <w:lvlJc w:val="right"/>
      <w:pPr>
        <w:ind w:left="6297" w:hanging="180"/>
      </w:pPr>
      <w:rPr>
        <w:rFonts w:cs="Times New Roman"/>
        <w:rtl w:val="0"/>
        <w:cs w:val="0"/>
      </w:rPr>
    </w:lvl>
  </w:abstractNum>
  <w:abstractNum w:abstractNumId="17">
    <w:nsid w:val="2DCF1469"/>
    <w:multiLevelType w:val="singleLevel"/>
    <w:tmpl w:val="4458673C"/>
    <w:lvl w:ilvl="0">
      <w:start w:val="1"/>
      <w:numFmt w:val="upperLetter"/>
      <w:lvlText w:val="%1. "/>
      <w:legacy w:legacy="1" w:legacySpace="0" w:legacyIndent="283"/>
      <w:lvlJc w:val="left"/>
      <w:pPr>
        <w:ind w:left="709" w:hanging="283"/>
      </w:pPr>
      <w:rPr>
        <w:rFonts w:ascii="Times New Roman" w:hAnsi="Times New Roman" w:cs="Times New Roman" w:hint="default"/>
        <w:b/>
        <w:i w:val="0"/>
        <w:sz w:val="24"/>
        <w:szCs w:val="24"/>
        <w:rtl w:val="0"/>
        <w:cs w:val="0"/>
      </w:rPr>
    </w:lvl>
  </w:abstractNum>
  <w:abstractNum w:abstractNumId="18">
    <w:nsid w:val="357A545F"/>
    <w:multiLevelType w:val="hybridMultilevel"/>
    <w:tmpl w:val="D736C22C"/>
    <w:lvl w:ilvl="0">
      <w:start w:val="1"/>
      <w:numFmt w:val="decimal"/>
      <w:lvlText w:val="%1."/>
      <w:lvlJc w:val="left"/>
      <w:pPr>
        <w:ind w:left="720" w:hanging="360"/>
      </w:pPr>
      <w:rPr>
        <w:rFonts w:ascii="Calibri" w:eastAsia="Times New Roman" w:hAnsi="Calibri" w:cs="Calibri"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696996"/>
    <w:multiLevelType w:val="singleLevel"/>
    <w:tmpl w:val="EEDADC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tl w:val="0"/>
        <w:cs w:val="0"/>
      </w:rPr>
    </w:lvl>
  </w:abstractNum>
  <w:abstractNum w:abstractNumId="20">
    <w:nsid w:val="418E2CC5"/>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30F4EE1"/>
    <w:multiLevelType w:val="hybridMultilevel"/>
    <w:tmpl w:val="D03C0BF2"/>
    <w:lvl w:ilvl="0">
      <w:start w:val="0"/>
      <w:numFmt w:val="bullet"/>
      <w:lvlText w:val="-"/>
      <w:lvlJc w:val="left"/>
      <w:pPr>
        <w:ind w:left="360" w:hanging="360"/>
      </w:pPr>
      <w:rPr>
        <w:rFonts w:ascii="Calibri" w:eastAsia="Times New Roman" w:hAnsi="Calibr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47571431"/>
    <w:multiLevelType w:val="hybridMultilevel"/>
    <w:tmpl w:val="E82CA68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551921"/>
    <w:multiLevelType w:val="hybridMultilevel"/>
    <w:tmpl w:val="FF8C57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926A2A"/>
    <w:multiLevelType w:val="hybridMultilevel"/>
    <w:tmpl w:val="DF821B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6B3371F"/>
    <w:multiLevelType w:val="hybridMultilevel"/>
    <w:tmpl w:val="360612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E4E71E4"/>
    <w:multiLevelType w:val="singleLevel"/>
    <w:tmpl w:val="21145626"/>
    <w:lvl w:ilvl="0">
      <w:start w:val="1"/>
      <w:numFmt w:val="decimal"/>
      <w:pStyle w:val="Par-number1"/>
      <w:lvlText w:val="%1."/>
      <w:lvlJc w:val="left"/>
      <w:pPr>
        <w:tabs>
          <w:tab w:val="num" w:pos="567"/>
        </w:tabs>
        <w:ind w:left="567" w:hanging="567"/>
      </w:pPr>
      <w:rPr>
        <w:rFonts w:cs="Times New Roman"/>
        <w:rtl w:val="0"/>
        <w:cs w:val="0"/>
      </w:rPr>
    </w:lvl>
  </w:abstractNum>
  <w:abstractNum w:abstractNumId="27">
    <w:nsid w:val="75BB6B8C"/>
    <w:multiLevelType w:val="hybridMultilevel"/>
    <w:tmpl w:val="2FE85EF2"/>
    <w:lvl w:ilvl="0">
      <w:start w:val="1"/>
      <w:numFmt w:val="upperRoman"/>
      <w:lvlText w:val="%1."/>
      <w:lvlJc w:val="left"/>
      <w:pPr>
        <w:ind w:left="1430" w:hanging="72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8">
    <w:nsid w:val="79A1657C"/>
    <w:multiLevelType w:val="hybridMultilevel"/>
    <w:tmpl w:val="419A424C"/>
    <w:lvl w:ilvl="0">
      <w:start w:val="1"/>
      <w:numFmt w:val="decimal"/>
      <w:lvlText w:val="%1."/>
      <w:lvlJc w:val="left"/>
      <w:pPr>
        <w:ind w:left="720" w:hanging="360"/>
      </w:pPr>
      <w:rPr>
        <w:rFonts w:cs="Times New Roman"/>
        <w:rtl w:val="0"/>
        <w:cs w:val="0"/>
      </w:rPr>
    </w:lvl>
    <w:lvl w:ilvl="1">
      <w:start w:val="0"/>
      <w:numFmt w:val="bullet"/>
      <w:lvlText w:val="-"/>
      <w:lvlJc w:val="left"/>
      <w:pPr>
        <w:ind w:left="1800" w:hanging="720"/>
      </w:pPr>
      <w:rPr>
        <w:rFonts w:ascii="Calibri" w:eastAsia="Times New Roman" w:hAnsi="Calibri"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B3F63BD"/>
    <w:multiLevelType w:val="hybridMultilevel"/>
    <w:tmpl w:val="2ED615AE"/>
    <w:lvl w:ilvl="0">
      <w:start w:val="1"/>
      <w:numFmt w:val="bullet"/>
      <w:lvlText w:val="-"/>
      <w:lvlJc w:val="left"/>
      <w:pPr>
        <w:ind w:left="720" w:hanging="360"/>
      </w:pPr>
      <w:rPr>
        <w:rFonts w:ascii="Arial" w:hAnsi="Arial" w:hint="default"/>
        <w:b w:val="0"/>
        <w:i w:val="0"/>
        <w:color w:val="auto"/>
        <w:sz w:val="16"/>
      </w:rPr>
    </w:lvl>
    <w:lvl w:ilvl="1">
      <w:start w:val="1"/>
      <w:numFmt w:val="bullet"/>
      <w:lvlText w:val="-"/>
      <w:lvlJc w:val="left"/>
      <w:pPr>
        <w:ind w:left="1440" w:hanging="360"/>
      </w:pPr>
      <w:rPr>
        <w:rFonts w:ascii="Arial" w:hAnsi="Arial" w:hint="default"/>
        <w:b w:val="0"/>
        <w:i w:val="0"/>
        <w:color w:val="auto"/>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9"/>
  </w:num>
  <w:num w:numId="6">
    <w:abstractNumId w:val="17"/>
  </w:num>
  <w:num w:numId="7">
    <w:abstractNumId w:val="2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21"/>
  </w:num>
  <w:num w:numId="16">
    <w:abstractNumId w:val="1"/>
  </w:num>
  <w:num w:numId="17">
    <w:abstractNumId w:val="14"/>
  </w:num>
  <w:num w:numId="18">
    <w:abstractNumId w:val="24"/>
  </w:num>
  <w:num w:numId="19">
    <w:abstractNumId w:val="25"/>
  </w:num>
  <w:num w:numId="20">
    <w:abstractNumId w:val="28"/>
  </w:num>
  <w:num w:numId="21">
    <w:abstractNumId w:val="12"/>
  </w:num>
  <w:num w:numId="22">
    <w:abstractNumId w:val="20"/>
  </w:num>
  <w:num w:numId="23">
    <w:abstractNumId w:val="2"/>
  </w:num>
  <w:num w:numId="24">
    <w:abstractNumId w:val="5"/>
  </w:num>
  <w:num w:numId="25">
    <w:abstractNumId w:val="15"/>
  </w:num>
  <w:num w:numId="26">
    <w:abstractNumId w:val="6"/>
  </w:num>
  <w:num w:numId="27">
    <w:abstractNumId w:val="7"/>
  </w:num>
  <w:num w:numId="28">
    <w:abstractNumId w:val="23"/>
  </w:num>
  <w:num w:numId="29">
    <w:abstractNumId w:val="9"/>
  </w:num>
  <w:num w:numId="30">
    <w:abstractNumId w:val="18"/>
  </w:num>
  <w:num w:numId="31">
    <w:abstractNumId w:val="16"/>
  </w:num>
  <w:num w:numId="32">
    <w:abstractNumId w:val="29"/>
  </w:num>
  <w:num w:numId="33">
    <w:abstractNumId w:val="22"/>
  </w:num>
  <w:num w:numId="34">
    <w:abstractNumId w:val="11"/>
  </w:num>
  <w:num w:numId="35">
    <w:abstractNumId w:val="27"/>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doNotHyphenateCaps/>
  <w:characterSpacingControl w:val="doNotCompress"/>
  <w:footnotePr>
    <w:footnote w:id="0"/>
    <w:footnote w:id="1"/>
  </w:footnotePr>
  <w:compat>
    <w:doNotUseIndentAsNumberingTabStop/>
    <w:allowSpaceOfSameStyleInTable/>
    <w:splitPgBreakAndParaMark/>
    <w:useAnsiKerningPairs/>
  </w:compat>
  <w:rsids>
    <w:rsidRoot w:val="00A36856"/>
    <w:rsid w:val="000005BA"/>
    <w:rsid w:val="000027DE"/>
    <w:rsid w:val="00003165"/>
    <w:rsid w:val="000034C6"/>
    <w:rsid w:val="000043F4"/>
    <w:rsid w:val="000044A3"/>
    <w:rsid w:val="00005ACD"/>
    <w:rsid w:val="00006EB5"/>
    <w:rsid w:val="00006F8E"/>
    <w:rsid w:val="000104C1"/>
    <w:rsid w:val="0001142E"/>
    <w:rsid w:val="00011C4D"/>
    <w:rsid w:val="000129A9"/>
    <w:rsid w:val="000130B6"/>
    <w:rsid w:val="00013190"/>
    <w:rsid w:val="00013C13"/>
    <w:rsid w:val="00014066"/>
    <w:rsid w:val="000141C6"/>
    <w:rsid w:val="0001445B"/>
    <w:rsid w:val="00014D9B"/>
    <w:rsid w:val="00015174"/>
    <w:rsid w:val="00016147"/>
    <w:rsid w:val="000168A8"/>
    <w:rsid w:val="00016E8A"/>
    <w:rsid w:val="00016ECF"/>
    <w:rsid w:val="00020C07"/>
    <w:rsid w:val="000214E6"/>
    <w:rsid w:val="00021E86"/>
    <w:rsid w:val="00022192"/>
    <w:rsid w:val="0002351B"/>
    <w:rsid w:val="00023A79"/>
    <w:rsid w:val="0002466C"/>
    <w:rsid w:val="00026593"/>
    <w:rsid w:val="000266AA"/>
    <w:rsid w:val="00026773"/>
    <w:rsid w:val="00026E00"/>
    <w:rsid w:val="000275EB"/>
    <w:rsid w:val="0002790D"/>
    <w:rsid w:val="00030064"/>
    <w:rsid w:val="000310AE"/>
    <w:rsid w:val="00031CA1"/>
    <w:rsid w:val="00031DFD"/>
    <w:rsid w:val="0003233E"/>
    <w:rsid w:val="00032FF2"/>
    <w:rsid w:val="00035058"/>
    <w:rsid w:val="0003605D"/>
    <w:rsid w:val="000375A6"/>
    <w:rsid w:val="00040B15"/>
    <w:rsid w:val="00041010"/>
    <w:rsid w:val="00042A27"/>
    <w:rsid w:val="00043C1A"/>
    <w:rsid w:val="000451A3"/>
    <w:rsid w:val="000454CC"/>
    <w:rsid w:val="00046251"/>
    <w:rsid w:val="00046FCF"/>
    <w:rsid w:val="0005165C"/>
    <w:rsid w:val="00052D20"/>
    <w:rsid w:val="00054640"/>
    <w:rsid w:val="0005594E"/>
    <w:rsid w:val="00056CCE"/>
    <w:rsid w:val="00060CA8"/>
    <w:rsid w:val="0006149C"/>
    <w:rsid w:val="00061642"/>
    <w:rsid w:val="00061AC1"/>
    <w:rsid w:val="00062091"/>
    <w:rsid w:val="00063D76"/>
    <w:rsid w:val="00064325"/>
    <w:rsid w:val="00064F6E"/>
    <w:rsid w:val="00065299"/>
    <w:rsid w:val="000659D7"/>
    <w:rsid w:val="00065EE2"/>
    <w:rsid w:val="0006653F"/>
    <w:rsid w:val="0006759D"/>
    <w:rsid w:val="0007199A"/>
    <w:rsid w:val="0007356A"/>
    <w:rsid w:val="000738FA"/>
    <w:rsid w:val="00074EB7"/>
    <w:rsid w:val="000773AE"/>
    <w:rsid w:val="000777E7"/>
    <w:rsid w:val="00077884"/>
    <w:rsid w:val="000806C8"/>
    <w:rsid w:val="00080DF2"/>
    <w:rsid w:val="0008106D"/>
    <w:rsid w:val="00081C24"/>
    <w:rsid w:val="0008420B"/>
    <w:rsid w:val="0008666D"/>
    <w:rsid w:val="000870C9"/>
    <w:rsid w:val="0008791C"/>
    <w:rsid w:val="00087BFD"/>
    <w:rsid w:val="00090555"/>
    <w:rsid w:val="00091998"/>
    <w:rsid w:val="00091A2D"/>
    <w:rsid w:val="00091C77"/>
    <w:rsid w:val="0009315E"/>
    <w:rsid w:val="0009344C"/>
    <w:rsid w:val="00093740"/>
    <w:rsid w:val="000941C3"/>
    <w:rsid w:val="00094DE2"/>
    <w:rsid w:val="00095274"/>
    <w:rsid w:val="000958D6"/>
    <w:rsid w:val="000958FB"/>
    <w:rsid w:val="000A0D42"/>
    <w:rsid w:val="000A0E05"/>
    <w:rsid w:val="000A18F0"/>
    <w:rsid w:val="000A1A24"/>
    <w:rsid w:val="000A2F0B"/>
    <w:rsid w:val="000A319E"/>
    <w:rsid w:val="000A3E0C"/>
    <w:rsid w:val="000A421D"/>
    <w:rsid w:val="000A4224"/>
    <w:rsid w:val="000A551D"/>
    <w:rsid w:val="000A60BA"/>
    <w:rsid w:val="000A6EED"/>
    <w:rsid w:val="000B0C78"/>
    <w:rsid w:val="000B0EE2"/>
    <w:rsid w:val="000B2091"/>
    <w:rsid w:val="000B25EB"/>
    <w:rsid w:val="000B33AA"/>
    <w:rsid w:val="000B40B6"/>
    <w:rsid w:val="000B4200"/>
    <w:rsid w:val="000B502E"/>
    <w:rsid w:val="000B7AE1"/>
    <w:rsid w:val="000C40C7"/>
    <w:rsid w:val="000C4265"/>
    <w:rsid w:val="000C576B"/>
    <w:rsid w:val="000C59CC"/>
    <w:rsid w:val="000C6264"/>
    <w:rsid w:val="000C647B"/>
    <w:rsid w:val="000C6A38"/>
    <w:rsid w:val="000C7599"/>
    <w:rsid w:val="000C787F"/>
    <w:rsid w:val="000D133E"/>
    <w:rsid w:val="000D1F51"/>
    <w:rsid w:val="000D2D50"/>
    <w:rsid w:val="000D335F"/>
    <w:rsid w:val="000D3829"/>
    <w:rsid w:val="000D47C9"/>
    <w:rsid w:val="000D7D01"/>
    <w:rsid w:val="000D7D6A"/>
    <w:rsid w:val="000E188C"/>
    <w:rsid w:val="000E1B03"/>
    <w:rsid w:val="000E24AA"/>
    <w:rsid w:val="000E346C"/>
    <w:rsid w:val="000E4B21"/>
    <w:rsid w:val="000E5598"/>
    <w:rsid w:val="000E6C6E"/>
    <w:rsid w:val="000E7792"/>
    <w:rsid w:val="000E7FB9"/>
    <w:rsid w:val="000F03F9"/>
    <w:rsid w:val="000F139B"/>
    <w:rsid w:val="000F31DE"/>
    <w:rsid w:val="000F4F8E"/>
    <w:rsid w:val="000F5371"/>
    <w:rsid w:val="000F54F8"/>
    <w:rsid w:val="00100373"/>
    <w:rsid w:val="001021D4"/>
    <w:rsid w:val="00103E38"/>
    <w:rsid w:val="0010400B"/>
    <w:rsid w:val="00107E5F"/>
    <w:rsid w:val="00110718"/>
    <w:rsid w:val="00110FA0"/>
    <w:rsid w:val="00111FD5"/>
    <w:rsid w:val="0011228A"/>
    <w:rsid w:val="0011266B"/>
    <w:rsid w:val="00116413"/>
    <w:rsid w:val="001167CD"/>
    <w:rsid w:val="00116C2F"/>
    <w:rsid w:val="00120AD1"/>
    <w:rsid w:val="00121839"/>
    <w:rsid w:val="00123110"/>
    <w:rsid w:val="001239A6"/>
    <w:rsid w:val="00123C73"/>
    <w:rsid w:val="001246CA"/>
    <w:rsid w:val="00127336"/>
    <w:rsid w:val="00127D8D"/>
    <w:rsid w:val="001300E3"/>
    <w:rsid w:val="001319B5"/>
    <w:rsid w:val="00132033"/>
    <w:rsid w:val="001323C2"/>
    <w:rsid w:val="001334E3"/>
    <w:rsid w:val="0013399A"/>
    <w:rsid w:val="001349D7"/>
    <w:rsid w:val="00135F48"/>
    <w:rsid w:val="001360C9"/>
    <w:rsid w:val="001363A7"/>
    <w:rsid w:val="001416CE"/>
    <w:rsid w:val="00141F97"/>
    <w:rsid w:val="00142013"/>
    <w:rsid w:val="00142B76"/>
    <w:rsid w:val="00142F4F"/>
    <w:rsid w:val="001436C2"/>
    <w:rsid w:val="00144146"/>
    <w:rsid w:val="0014418A"/>
    <w:rsid w:val="001447C9"/>
    <w:rsid w:val="00144A1D"/>
    <w:rsid w:val="00146035"/>
    <w:rsid w:val="00146E22"/>
    <w:rsid w:val="001472AC"/>
    <w:rsid w:val="001515FB"/>
    <w:rsid w:val="001518E9"/>
    <w:rsid w:val="00152BF0"/>
    <w:rsid w:val="00152C65"/>
    <w:rsid w:val="00153196"/>
    <w:rsid w:val="00154E46"/>
    <w:rsid w:val="00155226"/>
    <w:rsid w:val="00157815"/>
    <w:rsid w:val="0016186A"/>
    <w:rsid w:val="001622D2"/>
    <w:rsid w:val="0016248D"/>
    <w:rsid w:val="0016449F"/>
    <w:rsid w:val="00164C22"/>
    <w:rsid w:val="001663BD"/>
    <w:rsid w:val="00167B51"/>
    <w:rsid w:val="001713CA"/>
    <w:rsid w:val="0017467E"/>
    <w:rsid w:val="00174AF5"/>
    <w:rsid w:val="00175682"/>
    <w:rsid w:val="00176E23"/>
    <w:rsid w:val="00177BD1"/>
    <w:rsid w:val="00177C42"/>
    <w:rsid w:val="00180ED4"/>
    <w:rsid w:val="00181815"/>
    <w:rsid w:val="001821F2"/>
    <w:rsid w:val="0018229C"/>
    <w:rsid w:val="001824BD"/>
    <w:rsid w:val="00183185"/>
    <w:rsid w:val="00184334"/>
    <w:rsid w:val="0018627E"/>
    <w:rsid w:val="001907F2"/>
    <w:rsid w:val="00190B99"/>
    <w:rsid w:val="00191DEA"/>
    <w:rsid w:val="00192557"/>
    <w:rsid w:val="00192743"/>
    <w:rsid w:val="001928B5"/>
    <w:rsid w:val="00192995"/>
    <w:rsid w:val="00192BBB"/>
    <w:rsid w:val="00193194"/>
    <w:rsid w:val="001935C3"/>
    <w:rsid w:val="00194538"/>
    <w:rsid w:val="0019462F"/>
    <w:rsid w:val="00194FFF"/>
    <w:rsid w:val="0019696D"/>
    <w:rsid w:val="001A045D"/>
    <w:rsid w:val="001A0D6D"/>
    <w:rsid w:val="001A1B5F"/>
    <w:rsid w:val="001A1EF2"/>
    <w:rsid w:val="001A3065"/>
    <w:rsid w:val="001A38A1"/>
    <w:rsid w:val="001A424D"/>
    <w:rsid w:val="001A462A"/>
    <w:rsid w:val="001A67CA"/>
    <w:rsid w:val="001B069A"/>
    <w:rsid w:val="001B09E9"/>
    <w:rsid w:val="001B22CE"/>
    <w:rsid w:val="001B3BD8"/>
    <w:rsid w:val="001B5F70"/>
    <w:rsid w:val="001C158C"/>
    <w:rsid w:val="001C2269"/>
    <w:rsid w:val="001C32F7"/>
    <w:rsid w:val="001C3550"/>
    <w:rsid w:val="001C3BBB"/>
    <w:rsid w:val="001C5065"/>
    <w:rsid w:val="001C51B5"/>
    <w:rsid w:val="001C527D"/>
    <w:rsid w:val="001C6DAE"/>
    <w:rsid w:val="001C7D2D"/>
    <w:rsid w:val="001C7EA7"/>
    <w:rsid w:val="001D1B4B"/>
    <w:rsid w:val="001D1F1D"/>
    <w:rsid w:val="001D36BB"/>
    <w:rsid w:val="001D3943"/>
    <w:rsid w:val="001D653D"/>
    <w:rsid w:val="001D6B42"/>
    <w:rsid w:val="001D7C71"/>
    <w:rsid w:val="001E056F"/>
    <w:rsid w:val="001E05FE"/>
    <w:rsid w:val="001E12F5"/>
    <w:rsid w:val="001E1485"/>
    <w:rsid w:val="001E15B3"/>
    <w:rsid w:val="001E1D22"/>
    <w:rsid w:val="001E1EF8"/>
    <w:rsid w:val="001E2848"/>
    <w:rsid w:val="001E43E0"/>
    <w:rsid w:val="001E6FBF"/>
    <w:rsid w:val="001F1744"/>
    <w:rsid w:val="001F2A46"/>
    <w:rsid w:val="001F43D2"/>
    <w:rsid w:val="001F478A"/>
    <w:rsid w:val="001F4E2B"/>
    <w:rsid w:val="001F581A"/>
    <w:rsid w:val="001F5EE8"/>
    <w:rsid w:val="001F6541"/>
    <w:rsid w:val="001F706F"/>
    <w:rsid w:val="002016F6"/>
    <w:rsid w:val="002023AE"/>
    <w:rsid w:val="0020249B"/>
    <w:rsid w:val="00202A3A"/>
    <w:rsid w:val="00202D44"/>
    <w:rsid w:val="00203039"/>
    <w:rsid w:val="0020458B"/>
    <w:rsid w:val="00204DB0"/>
    <w:rsid w:val="002067DE"/>
    <w:rsid w:val="00207F1E"/>
    <w:rsid w:val="00213ED1"/>
    <w:rsid w:val="002148C1"/>
    <w:rsid w:val="002158A6"/>
    <w:rsid w:val="00216000"/>
    <w:rsid w:val="0021687E"/>
    <w:rsid w:val="00216EE3"/>
    <w:rsid w:val="0022082B"/>
    <w:rsid w:val="00221D69"/>
    <w:rsid w:val="00222001"/>
    <w:rsid w:val="002255F7"/>
    <w:rsid w:val="002257EA"/>
    <w:rsid w:val="0022775B"/>
    <w:rsid w:val="00230F4D"/>
    <w:rsid w:val="0023102D"/>
    <w:rsid w:val="00231F81"/>
    <w:rsid w:val="00232386"/>
    <w:rsid w:val="00232B5C"/>
    <w:rsid w:val="00232FB0"/>
    <w:rsid w:val="00233340"/>
    <w:rsid w:val="00233D36"/>
    <w:rsid w:val="00234ED9"/>
    <w:rsid w:val="0023590A"/>
    <w:rsid w:val="00241974"/>
    <w:rsid w:val="0024353B"/>
    <w:rsid w:val="00244176"/>
    <w:rsid w:val="00244532"/>
    <w:rsid w:val="00244BF6"/>
    <w:rsid w:val="0024541D"/>
    <w:rsid w:val="002461B9"/>
    <w:rsid w:val="00246C44"/>
    <w:rsid w:val="00246E4E"/>
    <w:rsid w:val="0025076D"/>
    <w:rsid w:val="00250ADC"/>
    <w:rsid w:val="00250D2E"/>
    <w:rsid w:val="0025142D"/>
    <w:rsid w:val="00251CCB"/>
    <w:rsid w:val="002524E3"/>
    <w:rsid w:val="00254150"/>
    <w:rsid w:val="002547AB"/>
    <w:rsid w:val="00256450"/>
    <w:rsid w:val="00256B32"/>
    <w:rsid w:val="00260603"/>
    <w:rsid w:val="002624BA"/>
    <w:rsid w:val="00262996"/>
    <w:rsid w:val="00262A67"/>
    <w:rsid w:val="00262E70"/>
    <w:rsid w:val="00266A3A"/>
    <w:rsid w:val="0026799C"/>
    <w:rsid w:val="00276037"/>
    <w:rsid w:val="00276F81"/>
    <w:rsid w:val="00277786"/>
    <w:rsid w:val="00280555"/>
    <w:rsid w:val="00281D85"/>
    <w:rsid w:val="00282A2A"/>
    <w:rsid w:val="00282CFB"/>
    <w:rsid w:val="002834F6"/>
    <w:rsid w:val="0028443A"/>
    <w:rsid w:val="00284F64"/>
    <w:rsid w:val="0028522D"/>
    <w:rsid w:val="00285974"/>
    <w:rsid w:val="00286C90"/>
    <w:rsid w:val="00286D65"/>
    <w:rsid w:val="0029008D"/>
    <w:rsid w:val="002913C9"/>
    <w:rsid w:val="00291557"/>
    <w:rsid w:val="00291E51"/>
    <w:rsid w:val="00294867"/>
    <w:rsid w:val="00295C0C"/>
    <w:rsid w:val="00295EF8"/>
    <w:rsid w:val="00295F28"/>
    <w:rsid w:val="00296422"/>
    <w:rsid w:val="00296F4D"/>
    <w:rsid w:val="002A0017"/>
    <w:rsid w:val="002A1ABA"/>
    <w:rsid w:val="002A2939"/>
    <w:rsid w:val="002A2CED"/>
    <w:rsid w:val="002A32F3"/>
    <w:rsid w:val="002A4C5C"/>
    <w:rsid w:val="002A517B"/>
    <w:rsid w:val="002A58C8"/>
    <w:rsid w:val="002A5DFC"/>
    <w:rsid w:val="002A6019"/>
    <w:rsid w:val="002A6F7B"/>
    <w:rsid w:val="002A7598"/>
    <w:rsid w:val="002B1713"/>
    <w:rsid w:val="002B29A5"/>
    <w:rsid w:val="002B41F0"/>
    <w:rsid w:val="002B439A"/>
    <w:rsid w:val="002B7629"/>
    <w:rsid w:val="002B7DE9"/>
    <w:rsid w:val="002C1F02"/>
    <w:rsid w:val="002C2AA6"/>
    <w:rsid w:val="002C41E6"/>
    <w:rsid w:val="002C4A7D"/>
    <w:rsid w:val="002C4D4F"/>
    <w:rsid w:val="002C6913"/>
    <w:rsid w:val="002C6D1D"/>
    <w:rsid w:val="002C6E16"/>
    <w:rsid w:val="002C6E26"/>
    <w:rsid w:val="002D0C50"/>
    <w:rsid w:val="002D0F53"/>
    <w:rsid w:val="002D2B73"/>
    <w:rsid w:val="002D4125"/>
    <w:rsid w:val="002D482A"/>
    <w:rsid w:val="002D62A3"/>
    <w:rsid w:val="002D6E91"/>
    <w:rsid w:val="002D722A"/>
    <w:rsid w:val="002D7788"/>
    <w:rsid w:val="002D7975"/>
    <w:rsid w:val="002D7D80"/>
    <w:rsid w:val="002E1AA4"/>
    <w:rsid w:val="002E1D2F"/>
    <w:rsid w:val="002E24C2"/>
    <w:rsid w:val="002E305E"/>
    <w:rsid w:val="002E3AE1"/>
    <w:rsid w:val="002E3B61"/>
    <w:rsid w:val="002E45A3"/>
    <w:rsid w:val="002E4A7D"/>
    <w:rsid w:val="002E4BF3"/>
    <w:rsid w:val="002E572F"/>
    <w:rsid w:val="002E5F32"/>
    <w:rsid w:val="002E6856"/>
    <w:rsid w:val="002E739F"/>
    <w:rsid w:val="002E77F2"/>
    <w:rsid w:val="002F2111"/>
    <w:rsid w:val="002F221A"/>
    <w:rsid w:val="002F4BA7"/>
    <w:rsid w:val="002F56B0"/>
    <w:rsid w:val="002F77D1"/>
    <w:rsid w:val="00300993"/>
    <w:rsid w:val="00300D28"/>
    <w:rsid w:val="00301F68"/>
    <w:rsid w:val="0030234C"/>
    <w:rsid w:val="00302B7D"/>
    <w:rsid w:val="003038AF"/>
    <w:rsid w:val="00303C31"/>
    <w:rsid w:val="00304EA0"/>
    <w:rsid w:val="00304EF9"/>
    <w:rsid w:val="00305036"/>
    <w:rsid w:val="0030520D"/>
    <w:rsid w:val="003064FE"/>
    <w:rsid w:val="00307134"/>
    <w:rsid w:val="00307239"/>
    <w:rsid w:val="003114CF"/>
    <w:rsid w:val="0031215A"/>
    <w:rsid w:val="0031448E"/>
    <w:rsid w:val="003147A9"/>
    <w:rsid w:val="003150E6"/>
    <w:rsid w:val="003216EE"/>
    <w:rsid w:val="00322543"/>
    <w:rsid w:val="00324568"/>
    <w:rsid w:val="003250EC"/>
    <w:rsid w:val="00325154"/>
    <w:rsid w:val="00325713"/>
    <w:rsid w:val="00326B13"/>
    <w:rsid w:val="003274F9"/>
    <w:rsid w:val="00327CD0"/>
    <w:rsid w:val="0033459A"/>
    <w:rsid w:val="003347CD"/>
    <w:rsid w:val="00334C00"/>
    <w:rsid w:val="00334D63"/>
    <w:rsid w:val="003369FF"/>
    <w:rsid w:val="00336B05"/>
    <w:rsid w:val="0033738C"/>
    <w:rsid w:val="0033753B"/>
    <w:rsid w:val="00337722"/>
    <w:rsid w:val="00342012"/>
    <w:rsid w:val="00343575"/>
    <w:rsid w:val="0034443A"/>
    <w:rsid w:val="00344A4A"/>
    <w:rsid w:val="00345087"/>
    <w:rsid w:val="0034653D"/>
    <w:rsid w:val="00351CA1"/>
    <w:rsid w:val="003531FB"/>
    <w:rsid w:val="00353612"/>
    <w:rsid w:val="00353703"/>
    <w:rsid w:val="003550CC"/>
    <w:rsid w:val="0035532C"/>
    <w:rsid w:val="00355804"/>
    <w:rsid w:val="00355D15"/>
    <w:rsid w:val="00357036"/>
    <w:rsid w:val="003610F2"/>
    <w:rsid w:val="00362473"/>
    <w:rsid w:val="00363A83"/>
    <w:rsid w:val="00364E02"/>
    <w:rsid w:val="00365B16"/>
    <w:rsid w:val="00365B43"/>
    <w:rsid w:val="00365EF7"/>
    <w:rsid w:val="00367243"/>
    <w:rsid w:val="003674C5"/>
    <w:rsid w:val="0036796B"/>
    <w:rsid w:val="00367E5A"/>
    <w:rsid w:val="003719BF"/>
    <w:rsid w:val="0037307C"/>
    <w:rsid w:val="00373425"/>
    <w:rsid w:val="00373966"/>
    <w:rsid w:val="003739BF"/>
    <w:rsid w:val="0037417D"/>
    <w:rsid w:val="00374BD2"/>
    <w:rsid w:val="003753FE"/>
    <w:rsid w:val="003760C8"/>
    <w:rsid w:val="003763D8"/>
    <w:rsid w:val="00376778"/>
    <w:rsid w:val="00376C49"/>
    <w:rsid w:val="00377D4F"/>
    <w:rsid w:val="0038087C"/>
    <w:rsid w:val="00381758"/>
    <w:rsid w:val="00381EBA"/>
    <w:rsid w:val="00382178"/>
    <w:rsid w:val="00382199"/>
    <w:rsid w:val="00383C81"/>
    <w:rsid w:val="00384AD3"/>
    <w:rsid w:val="00385062"/>
    <w:rsid w:val="0038542F"/>
    <w:rsid w:val="00385A7C"/>
    <w:rsid w:val="00390526"/>
    <w:rsid w:val="003919B4"/>
    <w:rsid w:val="00391C7E"/>
    <w:rsid w:val="00391F9F"/>
    <w:rsid w:val="0039253E"/>
    <w:rsid w:val="00393EB7"/>
    <w:rsid w:val="00394608"/>
    <w:rsid w:val="003953CD"/>
    <w:rsid w:val="00396029"/>
    <w:rsid w:val="00396EE4"/>
    <w:rsid w:val="003973F4"/>
    <w:rsid w:val="003974C0"/>
    <w:rsid w:val="003A06CB"/>
    <w:rsid w:val="003A0ABD"/>
    <w:rsid w:val="003A1EF2"/>
    <w:rsid w:val="003A348F"/>
    <w:rsid w:val="003A40EC"/>
    <w:rsid w:val="003A4BC3"/>
    <w:rsid w:val="003B0E80"/>
    <w:rsid w:val="003B148D"/>
    <w:rsid w:val="003B3E02"/>
    <w:rsid w:val="003B3E6C"/>
    <w:rsid w:val="003B4528"/>
    <w:rsid w:val="003B56A1"/>
    <w:rsid w:val="003B6984"/>
    <w:rsid w:val="003B73A9"/>
    <w:rsid w:val="003B7675"/>
    <w:rsid w:val="003B7B6E"/>
    <w:rsid w:val="003C0123"/>
    <w:rsid w:val="003C0C9E"/>
    <w:rsid w:val="003C0F0E"/>
    <w:rsid w:val="003C1B47"/>
    <w:rsid w:val="003C2171"/>
    <w:rsid w:val="003C496E"/>
    <w:rsid w:val="003C53B2"/>
    <w:rsid w:val="003C6036"/>
    <w:rsid w:val="003D0AE1"/>
    <w:rsid w:val="003D1F2B"/>
    <w:rsid w:val="003D2CDE"/>
    <w:rsid w:val="003D5844"/>
    <w:rsid w:val="003D5BD2"/>
    <w:rsid w:val="003D6484"/>
    <w:rsid w:val="003D64F3"/>
    <w:rsid w:val="003D69B4"/>
    <w:rsid w:val="003E0B6A"/>
    <w:rsid w:val="003E0D02"/>
    <w:rsid w:val="003E11DC"/>
    <w:rsid w:val="003E1F24"/>
    <w:rsid w:val="003E2E9B"/>
    <w:rsid w:val="003E2F7D"/>
    <w:rsid w:val="003E343B"/>
    <w:rsid w:val="003E482D"/>
    <w:rsid w:val="003E65DE"/>
    <w:rsid w:val="003E6DB2"/>
    <w:rsid w:val="003E73FA"/>
    <w:rsid w:val="003E7ADE"/>
    <w:rsid w:val="003F053F"/>
    <w:rsid w:val="003F2DCB"/>
    <w:rsid w:val="003F2EF5"/>
    <w:rsid w:val="003F370A"/>
    <w:rsid w:val="003F3BE1"/>
    <w:rsid w:val="003F3D77"/>
    <w:rsid w:val="003F3F4A"/>
    <w:rsid w:val="003F4198"/>
    <w:rsid w:val="003F4BF4"/>
    <w:rsid w:val="003F5ABC"/>
    <w:rsid w:val="003F64A1"/>
    <w:rsid w:val="00400AF4"/>
    <w:rsid w:val="00401724"/>
    <w:rsid w:val="00405205"/>
    <w:rsid w:val="00406B64"/>
    <w:rsid w:val="00407EFF"/>
    <w:rsid w:val="0041188B"/>
    <w:rsid w:val="004135E8"/>
    <w:rsid w:val="0041433F"/>
    <w:rsid w:val="004154F5"/>
    <w:rsid w:val="00415AEC"/>
    <w:rsid w:val="00416354"/>
    <w:rsid w:val="00416866"/>
    <w:rsid w:val="004170FC"/>
    <w:rsid w:val="0041731C"/>
    <w:rsid w:val="00417FB2"/>
    <w:rsid w:val="004201CB"/>
    <w:rsid w:val="0042029F"/>
    <w:rsid w:val="00420588"/>
    <w:rsid w:val="00423B7A"/>
    <w:rsid w:val="004240FF"/>
    <w:rsid w:val="00425020"/>
    <w:rsid w:val="004254D8"/>
    <w:rsid w:val="00427F6B"/>
    <w:rsid w:val="00431163"/>
    <w:rsid w:val="00431DB2"/>
    <w:rsid w:val="004326C2"/>
    <w:rsid w:val="00433825"/>
    <w:rsid w:val="00434BC6"/>
    <w:rsid w:val="00434CBF"/>
    <w:rsid w:val="004352BF"/>
    <w:rsid w:val="00435629"/>
    <w:rsid w:val="0043591D"/>
    <w:rsid w:val="00437704"/>
    <w:rsid w:val="00440063"/>
    <w:rsid w:val="00440239"/>
    <w:rsid w:val="00440461"/>
    <w:rsid w:val="00441178"/>
    <w:rsid w:val="0044130E"/>
    <w:rsid w:val="00442D5C"/>
    <w:rsid w:val="0044374C"/>
    <w:rsid w:val="00443767"/>
    <w:rsid w:val="00444613"/>
    <w:rsid w:val="00444E26"/>
    <w:rsid w:val="00445B2D"/>
    <w:rsid w:val="00446C2B"/>
    <w:rsid w:val="00452D7E"/>
    <w:rsid w:val="00455318"/>
    <w:rsid w:val="00455C14"/>
    <w:rsid w:val="00457184"/>
    <w:rsid w:val="0046020B"/>
    <w:rsid w:val="00461827"/>
    <w:rsid w:val="004649D3"/>
    <w:rsid w:val="0046620D"/>
    <w:rsid w:val="00466759"/>
    <w:rsid w:val="00466C32"/>
    <w:rsid w:val="004673BE"/>
    <w:rsid w:val="0046760E"/>
    <w:rsid w:val="0047001D"/>
    <w:rsid w:val="0047020C"/>
    <w:rsid w:val="004727CB"/>
    <w:rsid w:val="00475A69"/>
    <w:rsid w:val="00476561"/>
    <w:rsid w:val="00476689"/>
    <w:rsid w:val="00477995"/>
    <w:rsid w:val="00480DF2"/>
    <w:rsid w:val="00481750"/>
    <w:rsid w:val="00482CA8"/>
    <w:rsid w:val="004834D8"/>
    <w:rsid w:val="004859C8"/>
    <w:rsid w:val="0049044B"/>
    <w:rsid w:val="004904C8"/>
    <w:rsid w:val="004904C9"/>
    <w:rsid w:val="00490BA1"/>
    <w:rsid w:val="00492C3E"/>
    <w:rsid w:val="0049335B"/>
    <w:rsid w:val="0049383C"/>
    <w:rsid w:val="00493C26"/>
    <w:rsid w:val="00493CF4"/>
    <w:rsid w:val="00494635"/>
    <w:rsid w:val="00495CD6"/>
    <w:rsid w:val="00496861"/>
    <w:rsid w:val="00497014"/>
    <w:rsid w:val="00497370"/>
    <w:rsid w:val="00497941"/>
    <w:rsid w:val="004A0A11"/>
    <w:rsid w:val="004A2DE3"/>
    <w:rsid w:val="004A33C7"/>
    <w:rsid w:val="004A3A29"/>
    <w:rsid w:val="004A46B4"/>
    <w:rsid w:val="004A49C4"/>
    <w:rsid w:val="004A4DCE"/>
    <w:rsid w:val="004A6A56"/>
    <w:rsid w:val="004A7027"/>
    <w:rsid w:val="004A75BC"/>
    <w:rsid w:val="004A7C9A"/>
    <w:rsid w:val="004B0442"/>
    <w:rsid w:val="004B0AB2"/>
    <w:rsid w:val="004B170D"/>
    <w:rsid w:val="004B1CB4"/>
    <w:rsid w:val="004B25B4"/>
    <w:rsid w:val="004B270B"/>
    <w:rsid w:val="004B30CD"/>
    <w:rsid w:val="004B3EC3"/>
    <w:rsid w:val="004B48D9"/>
    <w:rsid w:val="004B712B"/>
    <w:rsid w:val="004C0F92"/>
    <w:rsid w:val="004C21CD"/>
    <w:rsid w:val="004C3490"/>
    <w:rsid w:val="004C47DE"/>
    <w:rsid w:val="004C4BB6"/>
    <w:rsid w:val="004C7988"/>
    <w:rsid w:val="004C7B8F"/>
    <w:rsid w:val="004D02AA"/>
    <w:rsid w:val="004D1060"/>
    <w:rsid w:val="004D2ACB"/>
    <w:rsid w:val="004D49D6"/>
    <w:rsid w:val="004D4B5B"/>
    <w:rsid w:val="004D5011"/>
    <w:rsid w:val="004D66BA"/>
    <w:rsid w:val="004D767A"/>
    <w:rsid w:val="004E17C3"/>
    <w:rsid w:val="004E372B"/>
    <w:rsid w:val="004E4099"/>
    <w:rsid w:val="004E4BED"/>
    <w:rsid w:val="004E4E49"/>
    <w:rsid w:val="004E5093"/>
    <w:rsid w:val="004E63D9"/>
    <w:rsid w:val="004E7ED1"/>
    <w:rsid w:val="004F3332"/>
    <w:rsid w:val="004F48BF"/>
    <w:rsid w:val="004F4905"/>
    <w:rsid w:val="004F698F"/>
    <w:rsid w:val="004F702B"/>
    <w:rsid w:val="00500428"/>
    <w:rsid w:val="00500AE9"/>
    <w:rsid w:val="00501359"/>
    <w:rsid w:val="0050241E"/>
    <w:rsid w:val="0050286B"/>
    <w:rsid w:val="00502947"/>
    <w:rsid w:val="0050309A"/>
    <w:rsid w:val="00503814"/>
    <w:rsid w:val="005038AC"/>
    <w:rsid w:val="005059FC"/>
    <w:rsid w:val="0050683F"/>
    <w:rsid w:val="00507BCF"/>
    <w:rsid w:val="00507FF4"/>
    <w:rsid w:val="00511080"/>
    <w:rsid w:val="00511D5E"/>
    <w:rsid w:val="00513829"/>
    <w:rsid w:val="00513960"/>
    <w:rsid w:val="005168C2"/>
    <w:rsid w:val="005179F6"/>
    <w:rsid w:val="00517AF7"/>
    <w:rsid w:val="00517E84"/>
    <w:rsid w:val="005207F1"/>
    <w:rsid w:val="00520C50"/>
    <w:rsid w:val="005211EE"/>
    <w:rsid w:val="00521777"/>
    <w:rsid w:val="00521BB1"/>
    <w:rsid w:val="005233BD"/>
    <w:rsid w:val="00523593"/>
    <w:rsid w:val="00523A5F"/>
    <w:rsid w:val="00523B41"/>
    <w:rsid w:val="005253CD"/>
    <w:rsid w:val="00526C4F"/>
    <w:rsid w:val="005312A0"/>
    <w:rsid w:val="00534DF8"/>
    <w:rsid w:val="005356DD"/>
    <w:rsid w:val="005364CB"/>
    <w:rsid w:val="00537572"/>
    <w:rsid w:val="005401F8"/>
    <w:rsid w:val="00540436"/>
    <w:rsid w:val="00540680"/>
    <w:rsid w:val="00542430"/>
    <w:rsid w:val="00546C01"/>
    <w:rsid w:val="00547A3C"/>
    <w:rsid w:val="00547B66"/>
    <w:rsid w:val="00552CF8"/>
    <w:rsid w:val="00553C31"/>
    <w:rsid w:val="00553F1E"/>
    <w:rsid w:val="00554370"/>
    <w:rsid w:val="00555509"/>
    <w:rsid w:val="005566E0"/>
    <w:rsid w:val="00556894"/>
    <w:rsid w:val="00556C93"/>
    <w:rsid w:val="005600F1"/>
    <w:rsid w:val="0056356F"/>
    <w:rsid w:val="00564615"/>
    <w:rsid w:val="005646E0"/>
    <w:rsid w:val="00564A67"/>
    <w:rsid w:val="00566D13"/>
    <w:rsid w:val="00570E22"/>
    <w:rsid w:val="00572107"/>
    <w:rsid w:val="00572F66"/>
    <w:rsid w:val="00574D2C"/>
    <w:rsid w:val="005800D3"/>
    <w:rsid w:val="00583C08"/>
    <w:rsid w:val="005847A1"/>
    <w:rsid w:val="00584D74"/>
    <w:rsid w:val="00585627"/>
    <w:rsid w:val="00585ED2"/>
    <w:rsid w:val="00586E4B"/>
    <w:rsid w:val="00587EE0"/>
    <w:rsid w:val="00590D6D"/>
    <w:rsid w:val="00590ED1"/>
    <w:rsid w:val="00591638"/>
    <w:rsid w:val="00592119"/>
    <w:rsid w:val="0059261C"/>
    <w:rsid w:val="00592770"/>
    <w:rsid w:val="0059404A"/>
    <w:rsid w:val="00594663"/>
    <w:rsid w:val="00595ADB"/>
    <w:rsid w:val="00596214"/>
    <w:rsid w:val="0059687D"/>
    <w:rsid w:val="00597887"/>
    <w:rsid w:val="005A020D"/>
    <w:rsid w:val="005A13C3"/>
    <w:rsid w:val="005A2878"/>
    <w:rsid w:val="005A2B31"/>
    <w:rsid w:val="005A31CC"/>
    <w:rsid w:val="005A3DB5"/>
    <w:rsid w:val="005A3DF3"/>
    <w:rsid w:val="005A5791"/>
    <w:rsid w:val="005A6080"/>
    <w:rsid w:val="005A6E49"/>
    <w:rsid w:val="005A770D"/>
    <w:rsid w:val="005B01EC"/>
    <w:rsid w:val="005B02E3"/>
    <w:rsid w:val="005B1522"/>
    <w:rsid w:val="005B152D"/>
    <w:rsid w:val="005B25EA"/>
    <w:rsid w:val="005B3623"/>
    <w:rsid w:val="005B382F"/>
    <w:rsid w:val="005B3B50"/>
    <w:rsid w:val="005B3C5B"/>
    <w:rsid w:val="005B3D4C"/>
    <w:rsid w:val="005B47AD"/>
    <w:rsid w:val="005B5579"/>
    <w:rsid w:val="005B6D60"/>
    <w:rsid w:val="005B77EA"/>
    <w:rsid w:val="005B7A2D"/>
    <w:rsid w:val="005C06FC"/>
    <w:rsid w:val="005C36F7"/>
    <w:rsid w:val="005C3CDE"/>
    <w:rsid w:val="005C40D8"/>
    <w:rsid w:val="005C53FB"/>
    <w:rsid w:val="005C5C9C"/>
    <w:rsid w:val="005C5FDB"/>
    <w:rsid w:val="005C7F63"/>
    <w:rsid w:val="005D0049"/>
    <w:rsid w:val="005D0E54"/>
    <w:rsid w:val="005D15B6"/>
    <w:rsid w:val="005D17DC"/>
    <w:rsid w:val="005D3DE6"/>
    <w:rsid w:val="005D5675"/>
    <w:rsid w:val="005D5998"/>
    <w:rsid w:val="005D5A72"/>
    <w:rsid w:val="005D7D19"/>
    <w:rsid w:val="005E08A7"/>
    <w:rsid w:val="005E0D01"/>
    <w:rsid w:val="005E1E64"/>
    <w:rsid w:val="005E23F2"/>
    <w:rsid w:val="005E2FA5"/>
    <w:rsid w:val="005E51A7"/>
    <w:rsid w:val="005E69F3"/>
    <w:rsid w:val="005F01FE"/>
    <w:rsid w:val="005F025D"/>
    <w:rsid w:val="005F06D6"/>
    <w:rsid w:val="005F0B42"/>
    <w:rsid w:val="005F1663"/>
    <w:rsid w:val="005F1BBF"/>
    <w:rsid w:val="005F1C98"/>
    <w:rsid w:val="005F268A"/>
    <w:rsid w:val="005F2B8C"/>
    <w:rsid w:val="005F3437"/>
    <w:rsid w:val="005F383D"/>
    <w:rsid w:val="005F3B54"/>
    <w:rsid w:val="005F40A6"/>
    <w:rsid w:val="005F47F5"/>
    <w:rsid w:val="005F4FD7"/>
    <w:rsid w:val="005F6A2F"/>
    <w:rsid w:val="005F6CCE"/>
    <w:rsid w:val="005F73B6"/>
    <w:rsid w:val="005F7498"/>
    <w:rsid w:val="005F7966"/>
    <w:rsid w:val="005F79E9"/>
    <w:rsid w:val="005F7ADB"/>
    <w:rsid w:val="005F7D66"/>
    <w:rsid w:val="0060013D"/>
    <w:rsid w:val="0060019A"/>
    <w:rsid w:val="0060031F"/>
    <w:rsid w:val="006008B3"/>
    <w:rsid w:val="00600F97"/>
    <w:rsid w:val="0060116F"/>
    <w:rsid w:val="00603E8D"/>
    <w:rsid w:val="006057AD"/>
    <w:rsid w:val="006057C6"/>
    <w:rsid w:val="00606B5A"/>
    <w:rsid w:val="0060797E"/>
    <w:rsid w:val="00607BB8"/>
    <w:rsid w:val="0061063A"/>
    <w:rsid w:val="006113AC"/>
    <w:rsid w:val="00611AE0"/>
    <w:rsid w:val="006120E4"/>
    <w:rsid w:val="006160B2"/>
    <w:rsid w:val="00617BF4"/>
    <w:rsid w:val="0062106B"/>
    <w:rsid w:val="00621106"/>
    <w:rsid w:val="00621835"/>
    <w:rsid w:val="00622786"/>
    <w:rsid w:val="006228DB"/>
    <w:rsid w:val="006229E5"/>
    <w:rsid w:val="00622DE3"/>
    <w:rsid w:val="006240C8"/>
    <w:rsid w:val="00624C8D"/>
    <w:rsid w:val="00624F92"/>
    <w:rsid w:val="00625AD6"/>
    <w:rsid w:val="00626160"/>
    <w:rsid w:val="006265DA"/>
    <w:rsid w:val="00626D92"/>
    <w:rsid w:val="00626E8D"/>
    <w:rsid w:val="0062785B"/>
    <w:rsid w:val="00630636"/>
    <w:rsid w:val="00632052"/>
    <w:rsid w:val="0063211F"/>
    <w:rsid w:val="006334F3"/>
    <w:rsid w:val="006336DD"/>
    <w:rsid w:val="00634707"/>
    <w:rsid w:val="0063470C"/>
    <w:rsid w:val="0063582D"/>
    <w:rsid w:val="00635A93"/>
    <w:rsid w:val="00636301"/>
    <w:rsid w:val="00636490"/>
    <w:rsid w:val="00636759"/>
    <w:rsid w:val="00636897"/>
    <w:rsid w:val="0063746A"/>
    <w:rsid w:val="0063748E"/>
    <w:rsid w:val="00643B26"/>
    <w:rsid w:val="00645F25"/>
    <w:rsid w:val="00645F4F"/>
    <w:rsid w:val="00646139"/>
    <w:rsid w:val="0064656A"/>
    <w:rsid w:val="006465F0"/>
    <w:rsid w:val="00647477"/>
    <w:rsid w:val="006504BC"/>
    <w:rsid w:val="00651843"/>
    <w:rsid w:val="00651CB3"/>
    <w:rsid w:val="00652707"/>
    <w:rsid w:val="00652881"/>
    <w:rsid w:val="00652C59"/>
    <w:rsid w:val="00652C6B"/>
    <w:rsid w:val="00652F73"/>
    <w:rsid w:val="00653025"/>
    <w:rsid w:val="00653F3D"/>
    <w:rsid w:val="0065418B"/>
    <w:rsid w:val="006545BD"/>
    <w:rsid w:val="00654869"/>
    <w:rsid w:val="0065675F"/>
    <w:rsid w:val="00657BDD"/>
    <w:rsid w:val="00663BCD"/>
    <w:rsid w:val="00663F59"/>
    <w:rsid w:val="006643F4"/>
    <w:rsid w:val="00664AAC"/>
    <w:rsid w:val="00666806"/>
    <w:rsid w:val="006678CD"/>
    <w:rsid w:val="00667C57"/>
    <w:rsid w:val="00670836"/>
    <w:rsid w:val="00670D07"/>
    <w:rsid w:val="00671365"/>
    <w:rsid w:val="006720DF"/>
    <w:rsid w:val="00672A29"/>
    <w:rsid w:val="00672EC2"/>
    <w:rsid w:val="00673AE3"/>
    <w:rsid w:val="00674D4C"/>
    <w:rsid w:val="0067557C"/>
    <w:rsid w:val="00675C04"/>
    <w:rsid w:val="0067603B"/>
    <w:rsid w:val="00676504"/>
    <w:rsid w:val="00676E1A"/>
    <w:rsid w:val="00677DE5"/>
    <w:rsid w:val="00677EC3"/>
    <w:rsid w:val="006807DF"/>
    <w:rsid w:val="006808E5"/>
    <w:rsid w:val="00680D8F"/>
    <w:rsid w:val="006817FE"/>
    <w:rsid w:val="00682038"/>
    <w:rsid w:val="006826DB"/>
    <w:rsid w:val="006832D9"/>
    <w:rsid w:val="00683D5C"/>
    <w:rsid w:val="0068427B"/>
    <w:rsid w:val="00685642"/>
    <w:rsid w:val="00685D2E"/>
    <w:rsid w:val="00686A61"/>
    <w:rsid w:val="006905BE"/>
    <w:rsid w:val="006911C1"/>
    <w:rsid w:val="006912D4"/>
    <w:rsid w:val="00692B66"/>
    <w:rsid w:val="00693103"/>
    <w:rsid w:val="00693BAA"/>
    <w:rsid w:val="00696326"/>
    <w:rsid w:val="00697384"/>
    <w:rsid w:val="00697DA3"/>
    <w:rsid w:val="006A09AB"/>
    <w:rsid w:val="006A2F7F"/>
    <w:rsid w:val="006A568C"/>
    <w:rsid w:val="006A7046"/>
    <w:rsid w:val="006B05C7"/>
    <w:rsid w:val="006B07F6"/>
    <w:rsid w:val="006B22A6"/>
    <w:rsid w:val="006B5595"/>
    <w:rsid w:val="006B5723"/>
    <w:rsid w:val="006B7961"/>
    <w:rsid w:val="006C18A9"/>
    <w:rsid w:val="006C1EAA"/>
    <w:rsid w:val="006C2583"/>
    <w:rsid w:val="006C3EFF"/>
    <w:rsid w:val="006C538E"/>
    <w:rsid w:val="006C5C76"/>
    <w:rsid w:val="006C5D88"/>
    <w:rsid w:val="006C65FE"/>
    <w:rsid w:val="006C68AD"/>
    <w:rsid w:val="006C72BB"/>
    <w:rsid w:val="006C73C1"/>
    <w:rsid w:val="006C7499"/>
    <w:rsid w:val="006C7909"/>
    <w:rsid w:val="006D1822"/>
    <w:rsid w:val="006D2457"/>
    <w:rsid w:val="006D2590"/>
    <w:rsid w:val="006D41D7"/>
    <w:rsid w:val="006D5695"/>
    <w:rsid w:val="006D592E"/>
    <w:rsid w:val="006D6CDC"/>
    <w:rsid w:val="006D73D3"/>
    <w:rsid w:val="006D7783"/>
    <w:rsid w:val="006D7B24"/>
    <w:rsid w:val="006E1093"/>
    <w:rsid w:val="006E13E0"/>
    <w:rsid w:val="006E18BE"/>
    <w:rsid w:val="006E4078"/>
    <w:rsid w:val="006E4395"/>
    <w:rsid w:val="006E56EA"/>
    <w:rsid w:val="006E5F8C"/>
    <w:rsid w:val="006E65AD"/>
    <w:rsid w:val="006E67F0"/>
    <w:rsid w:val="006E6A25"/>
    <w:rsid w:val="006E6E6F"/>
    <w:rsid w:val="006E6F21"/>
    <w:rsid w:val="006F1321"/>
    <w:rsid w:val="006F20FE"/>
    <w:rsid w:val="006F465F"/>
    <w:rsid w:val="006F5943"/>
    <w:rsid w:val="00700CAF"/>
    <w:rsid w:val="00700DD2"/>
    <w:rsid w:val="0070194F"/>
    <w:rsid w:val="00702868"/>
    <w:rsid w:val="00704140"/>
    <w:rsid w:val="00706C96"/>
    <w:rsid w:val="00706D2A"/>
    <w:rsid w:val="00713F2A"/>
    <w:rsid w:val="00714305"/>
    <w:rsid w:val="00715098"/>
    <w:rsid w:val="00715C37"/>
    <w:rsid w:val="0071681B"/>
    <w:rsid w:val="00716E36"/>
    <w:rsid w:val="00720E94"/>
    <w:rsid w:val="0072142C"/>
    <w:rsid w:val="007222C1"/>
    <w:rsid w:val="00722667"/>
    <w:rsid w:val="00722F6A"/>
    <w:rsid w:val="007241E6"/>
    <w:rsid w:val="00724376"/>
    <w:rsid w:val="00724585"/>
    <w:rsid w:val="00724B6B"/>
    <w:rsid w:val="00725812"/>
    <w:rsid w:val="00725BCF"/>
    <w:rsid w:val="0072662E"/>
    <w:rsid w:val="00727A2E"/>
    <w:rsid w:val="00727E19"/>
    <w:rsid w:val="0073069A"/>
    <w:rsid w:val="00730BD4"/>
    <w:rsid w:val="0073134D"/>
    <w:rsid w:val="00731BE9"/>
    <w:rsid w:val="00732C1A"/>
    <w:rsid w:val="00733975"/>
    <w:rsid w:val="00735534"/>
    <w:rsid w:val="00736022"/>
    <w:rsid w:val="00736AE7"/>
    <w:rsid w:val="00737573"/>
    <w:rsid w:val="007379D6"/>
    <w:rsid w:val="00737FE9"/>
    <w:rsid w:val="00740D9D"/>
    <w:rsid w:val="0074319D"/>
    <w:rsid w:val="0074337A"/>
    <w:rsid w:val="00743508"/>
    <w:rsid w:val="007439CD"/>
    <w:rsid w:val="00744CFA"/>
    <w:rsid w:val="007523BC"/>
    <w:rsid w:val="00752733"/>
    <w:rsid w:val="0075431D"/>
    <w:rsid w:val="00754A07"/>
    <w:rsid w:val="007558A8"/>
    <w:rsid w:val="00755DB8"/>
    <w:rsid w:val="0075708B"/>
    <w:rsid w:val="0075745B"/>
    <w:rsid w:val="00760831"/>
    <w:rsid w:val="00760FC2"/>
    <w:rsid w:val="007615D0"/>
    <w:rsid w:val="00761C1E"/>
    <w:rsid w:val="00763882"/>
    <w:rsid w:val="00767269"/>
    <w:rsid w:val="0077150D"/>
    <w:rsid w:val="00771DD1"/>
    <w:rsid w:val="007725F0"/>
    <w:rsid w:val="00773091"/>
    <w:rsid w:val="00774AA2"/>
    <w:rsid w:val="00775A50"/>
    <w:rsid w:val="007767A9"/>
    <w:rsid w:val="00780FAC"/>
    <w:rsid w:val="007810F5"/>
    <w:rsid w:val="007814D1"/>
    <w:rsid w:val="00781576"/>
    <w:rsid w:val="00781F13"/>
    <w:rsid w:val="007822DB"/>
    <w:rsid w:val="00782362"/>
    <w:rsid w:val="007825F4"/>
    <w:rsid w:val="00783794"/>
    <w:rsid w:val="00783A70"/>
    <w:rsid w:val="007844B6"/>
    <w:rsid w:val="007856C4"/>
    <w:rsid w:val="00785894"/>
    <w:rsid w:val="00785B70"/>
    <w:rsid w:val="007866E4"/>
    <w:rsid w:val="0078734F"/>
    <w:rsid w:val="00787899"/>
    <w:rsid w:val="00787BD3"/>
    <w:rsid w:val="00790FFB"/>
    <w:rsid w:val="007916CB"/>
    <w:rsid w:val="00791E26"/>
    <w:rsid w:val="00795518"/>
    <w:rsid w:val="00795762"/>
    <w:rsid w:val="00796D79"/>
    <w:rsid w:val="00797112"/>
    <w:rsid w:val="007A0B4F"/>
    <w:rsid w:val="007B0039"/>
    <w:rsid w:val="007B083F"/>
    <w:rsid w:val="007B0B86"/>
    <w:rsid w:val="007B15DF"/>
    <w:rsid w:val="007B1702"/>
    <w:rsid w:val="007B1E13"/>
    <w:rsid w:val="007B1F62"/>
    <w:rsid w:val="007B20B3"/>
    <w:rsid w:val="007B7217"/>
    <w:rsid w:val="007B7ED5"/>
    <w:rsid w:val="007C0517"/>
    <w:rsid w:val="007C1548"/>
    <w:rsid w:val="007C26F0"/>
    <w:rsid w:val="007C27FC"/>
    <w:rsid w:val="007C30ED"/>
    <w:rsid w:val="007C3839"/>
    <w:rsid w:val="007C5699"/>
    <w:rsid w:val="007C5717"/>
    <w:rsid w:val="007C5800"/>
    <w:rsid w:val="007C646B"/>
    <w:rsid w:val="007C738A"/>
    <w:rsid w:val="007D10E8"/>
    <w:rsid w:val="007D2DB3"/>
    <w:rsid w:val="007D4468"/>
    <w:rsid w:val="007D4673"/>
    <w:rsid w:val="007D4B6A"/>
    <w:rsid w:val="007D595B"/>
    <w:rsid w:val="007D6E82"/>
    <w:rsid w:val="007D6FED"/>
    <w:rsid w:val="007D7578"/>
    <w:rsid w:val="007E066D"/>
    <w:rsid w:val="007E0894"/>
    <w:rsid w:val="007E1A87"/>
    <w:rsid w:val="007E3C9E"/>
    <w:rsid w:val="007E46D3"/>
    <w:rsid w:val="007E5054"/>
    <w:rsid w:val="007E5CC6"/>
    <w:rsid w:val="007E62FE"/>
    <w:rsid w:val="007F017C"/>
    <w:rsid w:val="007F0BB7"/>
    <w:rsid w:val="007F35B5"/>
    <w:rsid w:val="007F3784"/>
    <w:rsid w:val="007F388A"/>
    <w:rsid w:val="007F470F"/>
    <w:rsid w:val="007F4E0E"/>
    <w:rsid w:val="007F5C13"/>
    <w:rsid w:val="007F5E06"/>
    <w:rsid w:val="007F623E"/>
    <w:rsid w:val="007F6A24"/>
    <w:rsid w:val="007F6EC2"/>
    <w:rsid w:val="00800961"/>
    <w:rsid w:val="00800E30"/>
    <w:rsid w:val="00801BED"/>
    <w:rsid w:val="008028B1"/>
    <w:rsid w:val="00804A9B"/>
    <w:rsid w:val="00805D39"/>
    <w:rsid w:val="008071BD"/>
    <w:rsid w:val="008109F4"/>
    <w:rsid w:val="00810D68"/>
    <w:rsid w:val="00811659"/>
    <w:rsid w:val="00813D2D"/>
    <w:rsid w:val="00815467"/>
    <w:rsid w:val="00815A9D"/>
    <w:rsid w:val="0081652C"/>
    <w:rsid w:val="008226D0"/>
    <w:rsid w:val="00822DE2"/>
    <w:rsid w:val="008248C4"/>
    <w:rsid w:val="00827BA8"/>
    <w:rsid w:val="008309ED"/>
    <w:rsid w:val="00830AB7"/>
    <w:rsid w:val="008314EF"/>
    <w:rsid w:val="00831A24"/>
    <w:rsid w:val="0083204F"/>
    <w:rsid w:val="00833338"/>
    <w:rsid w:val="00834076"/>
    <w:rsid w:val="00834C7C"/>
    <w:rsid w:val="00835331"/>
    <w:rsid w:val="0083624B"/>
    <w:rsid w:val="0083691C"/>
    <w:rsid w:val="00836F6F"/>
    <w:rsid w:val="00837AA4"/>
    <w:rsid w:val="00840CFD"/>
    <w:rsid w:val="00841917"/>
    <w:rsid w:val="00841E8A"/>
    <w:rsid w:val="00841F68"/>
    <w:rsid w:val="00842611"/>
    <w:rsid w:val="008429F2"/>
    <w:rsid w:val="008439AA"/>
    <w:rsid w:val="00843BDF"/>
    <w:rsid w:val="00844AE1"/>
    <w:rsid w:val="008459A0"/>
    <w:rsid w:val="00846BBA"/>
    <w:rsid w:val="00846ECE"/>
    <w:rsid w:val="00847039"/>
    <w:rsid w:val="00850325"/>
    <w:rsid w:val="00851835"/>
    <w:rsid w:val="00852233"/>
    <w:rsid w:val="0085380C"/>
    <w:rsid w:val="00853BB9"/>
    <w:rsid w:val="00854DDC"/>
    <w:rsid w:val="00855823"/>
    <w:rsid w:val="008558A9"/>
    <w:rsid w:val="00855B2F"/>
    <w:rsid w:val="0085640B"/>
    <w:rsid w:val="00861BDC"/>
    <w:rsid w:val="00862C9B"/>
    <w:rsid w:val="00862D80"/>
    <w:rsid w:val="008636A7"/>
    <w:rsid w:val="008637B6"/>
    <w:rsid w:val="00864B18"/>
    <w:rsid w:val="00865000"/>
    <w:rsid w:val="00865733"/>
    <w:rsid w:val="008658D6"/>
    <w:rsid w:val="0087040C"/>
    <w:rsid w:val="00870991"/>
    <w:rsid w:val="00873F3E"/>
    <w:rsid w:val="00876277"/>
    <w:rsid w:val="0087667E"/>
    <w:rsid w:val="00876F93"/>
    <w:rsid w:val="00877085"/>
    <w:rsid w:val="00880529"/>
    <w:rsid w:val="00880E0B"/>
    <w:rsid w:val="00881E49"/>
    <w:rsid w:val="0088229F"/>
    <w:rsid w:val="0088441D"/>
    <w:rsid w:val="0088521E"/>
    <w:rsid w:val="008874E8"/>
    <w:rsid w:val="00891668"/>
    <w:rsid w:val="00892038"/>
    <w:rsid w:val="00892D96"/>
    <w:rsid w:val="008931B5"/>
    <w:rsid w:val="00893311"/>
    <w:rsid w:val="0089345D"/>
    <w:rsid w:val="00894D87"/>
    <w:rsid w:val="008952F2"/>
    <w:rsid w:val="00895CDE"/>
    <w:rsid w:val="0089633B"/>
    <w:rsid w:val="00897B6C"/>
    <w:rsid w:val="008A1CC0"/>
    <w:rsid w:val="008A1F3D"/>
    <w:rsid w:val="008A218B"/>
    <w:rsid w:val="008A34CF"/>
    <w:rsid w:val="008A3843"/>
    <w:rsid w:val="008A499E"/>
    <w:rsid w:val="008A4A79"/>
    <w:rsid w:val="008A51DB"/>
    <w:rsid w:val="008A5808"/>
    <w:rsid w:val="008A7114"/>
    <w:rsid w:val="008B0C89"/>
    <w:rsid w:val="008B2738"/>
    <w:rsid w:val="008B3DF5"/>
    <w:rsid w:val="008B3E21"/>
    <w:rsid w:val="008B51FD"/>
    <w:rsid w:val="008C00C0"/>
    <w:rsid w:val="008C0645"/>
    <w:rsid w:val="008C0B50"/>
    <w:rsid w:val="008C0CB5"/>
    <w:rsid w:val="008C1A56"/>
    <w:rsid w:val="008C2D1E"/>
    <w:rsid w:val="008C2DB6"/>
    <w:rsid w:val="008C3479"/>
    <w:rsid w:val="008C4CA0"/>
    <w:rsid w:val="008C68C2"/>
    <w:rsid w:val="008C70FF"/>
    <w:rsid w:val="008C72C0"/>
    <w:rsid w:val="008D20B5"/>
    <w:rsid w:val="008D217B"/>
    <w:rsid w:val="008D3D7E"/>
    <w:rsid w:val="008D52FA"/>
    <w:rsid w:val="008D71EB"/>
    <w:rsid w:val="008D76AB"/>
    <w:rsid w:val="008E1B03"/>
    <w:rsid w:val="008E252B"/>
    <w:rsid w:val="008E27A0"/>
    <w:rsid w:val="008E2BB3"/>
    <w:rsid w:val="008E342B"/>
    <w:rsid w:val="008E3537"/>
    <w:rsid w:val="008E3C63"/>
    <w:rsid w:val="008E3CFB"/>
    <w:rsid w:val="008E5BE0"/>
    <w:rsid w:val="008E617D"/>
    <w:rsid w:val="008E6291"/>
    <w:rsid w:val="008E68CF"/>
    <w:rsid w:val="008E6B0F"/>
    <w:rsid w:val="008E7761"/>
    <w:rsid w:val="008F0409"/>
    <w:rsid w:val="008F0924"/>
    <w:rsid w:val="008F0BEC"/>
    <w:rsid w:val="008F0ED6"/>
    <w:rsid w:val="008F1C8A"/>
    <w:rsid w:val="008F25ED"/>
    <w:rsid w:val="008F38A3"/>
    <w:rsid w:val="008F3CE4"/>
    <w:rsid w:val="008F41DA"/>
    <w:rsid w:val="008F49C7"/>
    <w:rsid w:val="008F52A1"/>
    <w:rsid w:val="008F5B1C"/>
    <w:rsid w:val="008F5D3F"/>
    <w:rsid w:val="008F5D84"/>
    <w:rsid w:val="008F6E1F"/>
    <w:rsid w:val="009014E3"/>
    <w:rsid w:val="00901B04"/>
    <w:rsid w:val="00901E3C"/>
    <w:rsid w:val="00901EB7"/>
    <w:rsid w:val="0090242D"/>
    <w:rsid w:val="00902F9E"/>
    <w:rsid w:val="00903B22"/>
    <w:rsid w:val="00903EB4"/>
    <w:rsid w:val="00907B67"/>
    <w:rsid w:val="00911AC2"/>
    <w:rsid w:val="00912C0B"/>
    <w:rsid w:val="0091478A"/>
    <w:rsid w:val="009171BD"/>
    <w:rsid w:val="00917677"/>
    <w:rsid w:val="00917891"/>
    <w:rsid w:val="009179CC"/>
    <w:rsid w:val="009202DF"/>
    <w:rsid w:val="00920378"/>
    <w:rsid w:val="00921B88"/>
    <w:rsid w:val="009222D6"/>
    <w:rsid w:val="00924081"/>
    <w:rsid w:val="00924535"/>
    <w:rsid w:val="009249BE"/>
    <w:rsid w:val="00925928"/>
    <w:rsid w:val="00925A5F"/>
    <w:rsid w:val="00925A9D"/>
    <w:rsid w:val="009263BC"/>
    <w:rsid w:val="00926C62"/>
    <w:rsid w:val="0092715B"/>
    <w:rsid w:val="00927D8F"/>
    <w:rsid w:val="00927E7F"/>
    <w:rsid w:val="00927EF7"/>
    <w:rsid w:val="009301E5"/>
    <w:rsid w:val="00930386"/>
    <w:rsid w:val="00930962"/>
    <w:rsid w:val="00932CD3"/>
    <w:rsid w:val="00933963"/>
    <w:rsid w:val="009344CD"/>
    <w:rsid w:val="00935774"/>
    <w:rsid w:val="00936E66"/>
    <w:rsid w:val="00937099"/>
    <w:rsid w:val="009374B0"/>
    <w:rsid w:val="00937531"/>
    <w:rsid w:val="0094002F"/>
    <w:rsid w:val="009404B4"/>
    <w:rsid w:val="009415EF"/>
    <w:rsid w:val="0094167E"/>
    <w:rsid w:val="009422B7"/>
    <w:rsid w:val="00942625"/>
    <w:rsid w:val="009436AA"/>
    <w:rsid w:val="00943F3A"/>
    <w:rsid w:val="009446B9"/>
    <w:rsid w:val="009450C1"/>
    <w:rsid w:val="0094552D"/>
    <w:rsid w:val="00945E32"/>
    <w:rsid w:val="00950097"/>
    <w:rsid w:val="00950355"/>
    <w:rsid w:val="009503FA"/>
    <w:rsid w:val="00950EA3"/>
    <w:rsid w:val="00950FFD"/>
    <w:rsid w:val="00952340"/>
    <w:rsid w:val="009529CF"/>
    <w:rsid w:val="009531ED"/>
    <w:rsid w:val="00954639"/>
    <w:rsid w:val="00955307"/>
    <w:rsid w:val="00955FBF"/>
    <w:rsid w:val="009560A8"/>
    <w:rsid w:val="00957059"/>
    <w:rsid w:val="0095765E"/>
    <w:rsid w:val="0096028F"/>
    <w:rsid w:val="00960E5C"/>
    <w:rsid w:val="00960F4E"/>
    <w:rsid w:val="00961F1C"/>
    <w:rsid w:val="00963841"/>
    <w:rsid w:val="00964810"/>
    <w:rsid w:val="009662A9"/>
    <w:rsid w:val="009708D4"/>
    <w:rsid w:val="009712B4"/>
    <w:rsid w:val="00975127"/>
    <w:rsid w:val="00975B10"/>
    <w:rsid w:val="00976575"/>
    <w:rsid w:val="0098055C"/>
    <w:rsid w:val="00980B21"/>
    <w:rsid w:val="00980D8A"/>
    <w:rsid w:val="0098140F"/>
    <w:rsid w:val="009825AA"/>
    <w:rsid w:val="00982B33"/>
    <w:rsid w:val="00982BC6"/>
    <w:rsid w:val="009836EB"/>
    <w:rsid w:val="00983843"/>
    <w:rsid w:val="00984E99"/>
    <w:rsid w:val="009859C6"/>
    <w:rsid w:val="00985FA2"/>
    <w:rsid w:val="0098707A"/>
    <w:rsid w:val="00987B83"/>
    <w:rsid w:val="0099047B"/>
    <w:rsid w:val="009907D1"/>
    <w:rsid w:val="00990D06"/>
    <w:rsid w:val="00990F3D"/>
    <w:rsid w:val="009928F6"/>
    <w:rsid w:val="00992CF9"/>
    <w:rsid w:val="00993071"/>
    <w:rsid w:val="0099316B"/>
    <w:rsid w:val="009934E2"/>
    <w:rsid w:val="0099472A"/>
    <w:rsid w:val="00994CD2"/>
    <w:rsid w:val="00994E77"/>
    <w:rsid w:val="00996341"/>
    <w:rsid w:val="00996AAB"/>
    <w:rsid w:val="009970B0"/>
    <w:rsid w:val="009A01E1"/>
    <w:rsid w:val="009A364C"/>
    <w:rsid w:val="009A49F1"/>
    <w:rsid w:val="009A6029"/>
    <w:rsid w:val="009A6661"/>
    <w:rsid w:val="009A7EDB"/>
    <w:rsid w:val="009B07BC"/>
    <w:rsid w:val="009B0D6D"/>
    <w:rsid w:val="009B3B6B"/>
    <w:rsid w:val="009B50D0"/>
    <w:rsid w:val="009B54F0"/>
    <w:rsid w:val="009B56DA"/>
    <w:rsid w:val="009B6B3A"/>
    <w:rsid w:val="009B71C5"/>
    <w:rsid w:val="009B7600"/>
    <w:rsid w:val="009B7BFF"/>
    <w:rsid w:val="009C36D3"/>
    <w:rsid w:val="009C3AB0"/>
    <w:rsid w:val="009C4DA3"/>
    <w:rsid w:val="009C4F6B"/>
    <w:rsid w:val="009C529E"/>
    <w:rsid w:val="009C59C5"/>
    <w:rsid w:val="009C61A1"/>
    <w:rsid w:val="009C66EA"/>
    <w:rsid w:val="009D043E"/>
    <w:rsid w:val="009D0E9A"/>
    <w:rsid w:val="009D14B9"/>
    <w:rsid w:val="009D32B5"/>
    <w:rsid w:val="009D4D15"/>
    <w:rsid w:val="009D5143"/>
    <w:rsid w:val="009D5A93"/>
    <w:rsid w:val="009E02F4"/>
    <w:rsid w:val="009E085B"/>
    <w:rsid w:val="009E1700"/>
    <w:rsid w:val="009E1768"/>
    <w:rsid w:val="009E2661"/>
    <w:rsid w:val="009E351F"/>
    <w:rsid w:val="009E37E5"/>
    <w:rsid w:val="009E47D0"/>
    <w:rsid w:val="009E4C1A"/>
    <w:rsid w:val="009E6675"/>
    <w:rsid w:val="009F0B2B"/>
    <w:rsid w:val="009F22D5"/>
    <w:rsid w:val="009F2755"/>
    <w:rsid w:val="009F29AD"/>
    <w:rsid w:val="009F3D0E"/>
    <w:rsid w:val="009F431D"/>
    <w:rsid w:val="009F52F2"/>
    <w:rsid w:val="009F693A"/>
    <w:rsid w:val="009F6BC9"/>
    <w:rsid w:val="009F7356"/>
    <w:rsid w:val="009F77AF"/>
    <w:rsid w:val="00A011C0"/>
    <w:rsid w:val="00A01518"/>
    <w:rsid w:val="00A01E5F"/>
    <w:rsid w:val="00A0234B"/>
    <w:rsid w:val="00A02B2C"/>
    <w:rsid w:val="00A035A4"/>
    <w:rsid w:val="00A04AB8"/>
    <w:rsid w:val="00A057FF"/>
    <w:rsid w:val="00A05B65"/>
    <w:rsid w:val="00A06051"/>
    <w:rsid w:val="00A06AC2"/>
    <w:rsid w:val="00A11916"/>
    <w:rsid w:val="00A11D6F"/>
    <w:rsid w:val="00A1227B"/>
    <w:rsid w:val="00A12504"/>
    <w:rsid w:val="00A12915"/>
    <w:rsid w:val="00A1435D"/>
    <w:rsid w:val="00A144E7"/>
    <w:rsid w:val="00A17A8D"/>
    <w:rsid w:val="00A17F71"/>
    <w:rsid w:val="00A20AB3"/>
    <w:rsid w:val="00A2124D"/>
    <w:rsid w:val="00A21EA7"/>
    <w:rsid w:val="00A22B7E"/>
    <w:rsid w:val="00A23204"/>
    <w:rsid w:val="00A23948"/>
    <w:rsid w:val="00A23FE5"/>
    <w:rsid w:val="00A25469"/>
    <w:rsid w:val="00A25609"/>
    <w:rsid w:val="00A257E7"/>
    <w:rsid w:val="00A27D28"/>
    <w:rsid w:val="00A30C50"/>
    <w:rsid w:val="00A317B2"/>
    <w:rsid w:val="00A31A40"/>
    <w:rsid w:val="00A339A5"/>
    <w:rsid w:val="00A33E79"/>
    <w:rsid w:val="00A34148"/>
    <w:rsid w:val="00A36856"/>
    <w:rsid w:val="00A36ED5"/>
    <w:rsid w:val="00A3717B"/>
    <w:rsid w:val="00A4055C"/>
    <w:rsid w:val="00A4071A"/>
    <w:rsid w:val="00A41204"/>
    <w:rsid w:val="00A42ACD"/>
    <w:rsid w:val="00A458A0"/>
    <w:rsid w:val="00A45D2C"/>
    <w:rsid w:val="00A47171"/>
    <w:rsid w:val="00A47DC1"/>
    <w:rsid w:val="00A50D0F"/>
    <w:rsid w:val="00A50E32"/>
    <w:rsid w:val="00A53EC4"/>
    <w:rsid w:val="00A54299"/>
    <w:rsid w:val="00A55659"/>
    <w:rsid w:val="00A55C9A"/>
    <w:rsid w:val="00A570DA"/>
    <w:rsid w:val="00A57257"/>
    <w:rsid w:val="00A57672"/>
    <w:rsid w:val="00A608BF"/>
    <w:rsid w:val="00A60A21"/>
    <w:rsid w:val="00A60E5D"/>
    <w:rsid w:val="00A61345"/>
    <w:rsid w:val="00A61CCE"/>
    <w:rsid w:val="00A61E3E"/>
    <w:rsid w:val="00A6299E"/>
    <w:rsid w:val="00A66066"/>
    <w:rsid w:val="00A66C6F"/>
    <w:rsid w:val="00A706D8"/>
    <w:rsid w:val="00A70778"/>
    <w:rsid w:val="00A70C96"/>
    <w:rsid w:val="00A73097"/>
    <w:rsid w:val="00A73F73"/>
    <w:rsid w:val="00A7483B"/>
    <w:rsid w:val="00A7575B"/>
    <w:rsid w:val="00A7584F"/>
    <w:rsid w:val="00A81527"/>
    <w:rsid w:val="00A81EE6"/>
    <w:rsid w:val="00A828F5"/>
    <w:rsid w:val="00A83124"/>
    <w:rsid w:val="00A840A7"/>
    <w:rsid w:val="00A8457C"/>
    <w:rsid w:val="00A84A8F"/>
    <w:rsid w:val="00A87F6A"/>
    <w:rsid w:val="00A90550"/>
    <w:rsid w:val="00A91085"/>
    <w:rsid w:val="00A9163E"/>
    <w:rsid w:val="00A917D9"/>
    <w:rsid w:val="00A92DD2"/>
    <w:rsid w:val="00A92EB9"/>
    <w:rsid w:val="00A93ED6"/>
    <w:rsid w:val="00A93F37"/>
    <w:rsid w:val="00A95093"/>
    <w:rsid w:val="00A953F8"/>
    <w:rsid w:val="00A96D87"/>
    <w:rsid w:val="00A97D1E"/>
    <w:rsid w:val="00AA0DEE"/>
    <w:rsid w:val="00AA12CF"/>
    <w:rsid w:val="00AA28F5"/>
    <w:rsid w:val="00AA2AFF"/>
    <w:rsid w:val="00AA39F3"/>
    <w:rsid w:val="00AA526C"/>
    <w:rsid w:val="00AA6174"/>
    <w:rsid w:val="00AA6E02"/>
    <w:rsid w:val="00AB0034"/>
    <w:rsid w:val="00AB004E"/>
    <w:rsid w:val="00AB07ED"/>
    <w:rsid w:val="00AB16B9"/>
    <w:rsid w:val="00AB1A3F"/>
    <w:rsid w:val="00AB1DB8"/>
    <w:rsid w:val="00AB33F0"/>
    <w:rsid w:val="00AB59B6"/>
    <w:rsid w:val="00AB6497"/>
    <w:rsid w:val="00AB6D30"/>
    <w:rsid w:val="00AB73FF"/>
    <w:rsid w:val="00AC12DA"/>
    <w:rsid w:val="00AC16B9"/>
    <w:rsid w:val="00AC19D1"/>
    <w:rsid w:val="00AC1D71"/>
    <w:rsid w:val="00AC2C6A"/>
    <w:rsid w:val="00AC34CE"/>
    <w:rsid w:val="00AC41BC"/>
    <w:rsid w:val="00AC4781"/>
    <w:rsid w:val="00AC64CE"/>
    <w:rsid w:val="00AC6AD7"/>
    <w:rsid w:val="00AC7330"/>
    <w:rsid w:val="00AC7BFB"/>
    <w:rsid w:val="00AD156E"/>
    <w:rsid w:val="00AD16EF"/>
    <w:rsid w:val="00AD1727"/>
    <w:rsid w:val="00AD4A14"/>
    <w:rsid w:val="00AD4C79"/>
    <w:rsid w:val="00AD5D37"/>
    <w:rsid w:val="00AD6800"/>
    <w:rsid w:val="00AD768B"/>
    <w:rsid w:val="00AE0295"/>
    <w:rsid w:val="00AE13E4"/>
    <w:rsid w:val="00AE1981"/>
    <w:rsid w:val="00AE2CC3"/>
    <w:rsid w:val="00AE334F"/>
    <w:rsid w:val="00AE6530"/>
    <w:rsid w:val="00AE6E2F"/>
    <w:rsid w:val="00AF1021"/>
    <w:rsid w:val="00AF185E"/>
    <w:rsid w:val="00AF2D56"/>
    <w:rsid w:val="00AF3842"/>
    <w:rsid w:val="00AF3BCB"/>
    <w:rsid w:val="00AF42BC"/>
    <w:rsid w:val="00B004A9"/>
    <w:rsid w:val="00B01174"/>
    <w:rsid w:val="00B011D7"/>
    <w:rsid w:val="00B01E00"/>
    <w:rsid w:val="00B025F4"/>
    <w:rsid w:val="00B02973"/>
    <w:rsid w:val="00B04911"/>
    <w:rsid w:val="00B04F8A"/>
    <w:rsid w:val="00B05746"/>
    <w:rsid w:val="00B05887"/>
    <w:rsid w:val="00B06020"/>
    <w:rsid w:val="00B07254"/>
    <w:rsid w:val="00B07C97"/>
    <w:rsid w:val="00B10124"/>
    <w:rsid w:val="00B105F6"/>
    <w:rsid w:val="00B110FF"/>
    <w:rsid w:val="00B111F6"/>
    <w:rsid w:val="00B12020"/>
    <w:rsid w:val="00B1206D"/>
    <w:rsid w:val="00B12440"/>
    <w:rsid w:val="00B12ADF"/>
    <w:rsid w:val="00B1759D"/>
    <w:rsid w:val="00B17AFF"/>
    <w:rsid w:val="00B17F7E"/>
    <w:rsid w:val="00B20E9E"/>
    <w:rsid w:val="00B2172C"/>
    <w:rsid w:val="00B22B0A"/>
    <w:rsid w:val="00B240D3"/>
    <w:rsid w:val="00B2462C"/>
    <w:rsid w:val="00B253A0"/>
    <w:rsid w:val="00B257B9"/>
    <w:rsid w:val="00B26120"/>
    <w:rsid w:val="00B26D95"/>
    <w:rsid w:val="00B26F81"/>
    <w:rsid w:val="00B30625"/>
    <w:rsid w:val="00B30CA2"/>
    <w:rsid w:val="00B3422C"/>
    <w:rsid w:val="00B3448E"/>
    <w:rsid w:val="00B34AA0"/>
    <w:rsid w:val="00B34D21"/>
    <w:rsid w:val="00B352E2"/>
    <w:rsid w:val="00B357D3"/>
    <w:rsid w:val="00B3723D"/>
    <w:rsid w:val="00B37DD4"/>
    <w:rsid w:val="00B40E99"/>
    <w:rsid w:val="00B412BD"/>
    <w:rsid w:val="00B413D2"/>
    <w:rsid w:val="00B41879"/>
    <w:rsid w:val="00B42BDE"/>
    <w:rsid w:val="00B43985"/>
    <w:rsid w:val="00B447F6"/>
    <w:rsid w:val="00B4514D"/>
    <w:rsid w:val="00B46CE6"/>
    <w:rsid w:val="00B4713D"/>
    <w:rsid w:val="00B4771B"/>
    <w:rsid w:val="00B50951"/>
    <w:rsid w:val="00B511EB"/>
    <w:rsid w:val="00B51DC4"/>
    <w:rsid w:val="00B52578"/>
    <w:rsid w:val="00B53811"/>
    <w:rsid w:val="00B53DF7"/>
    <w:rsid w:val="00B55866"/>
    <w:rsid w:val="00B55A44"/>
    <w:rsid w:val="00B563FB"/>
    <w:rsid w:val="00B56C03"/>
    <w:rsid w:val="00B5748B"/>
    <w:rsid w:val="00B57A5A"/>
    <w:rsid w:val="00B612FD"/>
    <w:rsid w:val="00B61884"/>
    <w:rsid w:val="00B625E1"/>
    <w:rsid w:val="00B62C7D"/>
    <w:rsid w:val="00B65889"/>
    <w:rsid w:val="00B65E69"/>
    <w:rsid w:val="00B67400"/>
    <w:rsid w:val="00B719D2"/>
    <w:rsid w:val="00B71AA2"/>
    <w:rsid w:val="00B71E3E"/>
    <w:rsid w:val="00B7327A"/>
    <w:rsid w:val="00B73D4C"/>
    <w:rsid w:val="00B754BD"/>
    <w:rsid w:val="00B76008"/>
    <w:rsid w:val="00B769EE"/>
    <w:rsid w:val="00B80D8E"/>
    <w:rsid w:val="00B81C33"/>
    <w:rsid w:val="00B82345"/>
    <w:rsid w:val="00B839A0"/>
    <w:rsid w:val="00B84688"/>
    <w:rsid w:val="00B84831"/>
    <w:rsid w:val="00B85EE3"/>
    <w:rsid w:val="00B86A6F"/>
    <w:rsid w:val="00B87105"/>
    <w:rsid w:val="00B92E9D"/>
    <w:rsid w:val="00B9624C"/>
    <w:rsid w:val="00B964D8"/>
    <w:rsid w:val="00B97657"/>
    <w:rsid w:val="00BA4D15"/>
    <w:rsid w:val="00BA6273"/>
    <w:rsid w:val="00BA6315"/>
    <w:rsid w:val="00BB06FF"/>
    <w:rsid w:val="00BB241F"/>
    <w:rsid w:val="00BB5753"/>
    <w:rsid w:val="00BB58F3"/>
    <w:rsid w:val="00BB5BDF"/>
    <w:rsid w:val="00BB5C0B"/>
    <w:rsid w:val="00BB6A2F"/>
    <w:rsid w:val="00BB757A"/>
    <w:rsid w:val="00BB79D9"/>
    <w:rsid w:val="00BC26A0"/>
    <w:rsid w:val="00BC2A5C"/>
    <w:rsid w:val="00BC2EE3"/>
    <w:rsid w:val="00BC3405"/>
    <w:rsid w:val="00BC3C64"/>
    <w:rsid w:val="00BC50ED"/>
    <w:rsid w:val="00BC56CC"/>
    <w:rsid w:val="00BC69E9"/>
    <w:rsid w:val="00BC70FA"/>
    <w:rsid w:val="00BC779A"/>
    <w:rsid w:val="00BD1460"/>
    <w:rsid w:val="00BD51F5"/>
    <w:rsid w:val="00BD5C01"/>
    <w:rsid w:val="00BD6060"/>
    <w:rsid w:val="00BD7CF6"/>
    <w:rsid w:val="00BE1794"/>
    <w:rsid w:val="00BE2654"/>
    <w:rsid w:val="00BE2F3F"/>
    <w:rsid w:val="00BE3303"/>
    <w:rsid w:val="00BE3529"/>
    <w:rsid w:val="00BE4805"/>
    <w:rsid w:val="00BE5127"/>
    <w:rsid w:val="00BE735F"/>
    <w:rsid w:val="00BE74A2"/>
    <w:rsid w:val="00BE7FE7"/>
    <w:rsid w:val="00BF07AC"/>
    <w:rsid w:val="00BF0EF1"/>
    <w:rsid w:val="00BF1BBC"/>
    <w:rsid w:val="00BF3C61"/>
    <w:rsid w:val="00BF41CE"/>
    <w:rsid w:val="00BF458C"/>
    <w:rsid w:val="00BF4891"/>
    <w:rsid w:val="00BF49A8"/>
    <w:rsid w:val="00BF7E17"/>
    <w:rsid w:val="00BF7FC7"/>
    <w:rsid w:val="00C0114A"/>
    <w:rsid w:val="00C01779"/>
    <w:rsid w:val="00C03381"/>
    <w:rsid w:val="00C03EC5"/>
    <w:rsid w:val="00C0472C"/>
    <w:rsid w:val="00C048F3"/>
    <w:rsid w:val="00C06A93"/>
    <w:rsid w:val="00C10E1E"/>
    <w:rsid w:val="00C11CF2"/>
    <w:rsid w:val="00C12750"/>
    <w:rsid w:val="00C12FE7"/>
    <w:rsid w:val="00C1416F"/>
    <w:rsid w:val="00C16301"/>
    <w:rsid w:val="00C16D31"/>
    <w:rsid w:val="00C17FA4"/>
    <w:rsid w:val="00C2004C"/>
    <w:rsid w:val="00C20C3C"/>
    <w:rsid w:val="00C2155D"/>
    <w:rsid w:val="00C21985"/>
    <w:rsid w:val="00C22678"/>
    <w:rsid w:val="00C22904"/>
    <w:rsid w:val="00C23A0B"/>
    <w:rsid w:val="00C23E28"/>
    <w:rsid w:val="00C245C5"/>
    <w:rsid w:val="00C25AB9"/>
    <w:rsid w:val="00C25C04"/>
    <w:rsid w:val="00C260AE"/>
    <w:rsid w:val="00C26BB7"/>
    <w:rsid w:val="00C27DFE"/>
    <w:rsid w:val="00C32332"/>
    <w:rsid w:val="00C32DC7"/>
    <w:rsid w:val="00C36104"/>
    <w:rsid w:val="00C364CB"/>
    <w:rsid w:val="00C3650E"/>
    <w:rsid w:val="00C3689D"/>
    <w:rsid w:val="00C37509"/>
    <w:rsid w:val="00C4090F"/>
    <w:rsid w:val="00C42836"/>
    <w:rsid w:val="00C44E01"/>
    <w:rsid w:val="00C44F9D"/>
    <w:rsid w:val="00C458E5"/>
    <w:rsid w:val="00C466FA"/>
    <w:rsid w:val="00C5045C"/>
    <w:rsid w:val="00C50763"/>
    <w:rsid w:val="00C50D06"/>
    <w:rsid w:val="00C519FE"/>
    <w:rsid w:val="00C5257F"/>
    <w:rsid w:val="00C5427F"/>
    <w:rsid w:val="00C557FD"/>
    <w:rsid w:val="00C569C6"/>
    <w:rsid w:val="00C60450"/>
    <w:rsid w:val="00C60A82"/>
    <w:rsid w:val="00C6137D"/>
    <w:rsid w:val="00C613C0"/>
    <w:rsid w:val="00C624C8"/>
    <w:rsid w:val="00C64975"/>
    <w:rsid w:val="00C649C2"/>
    <w:rsid w:val="00C64F22"/>
    <w:rsid w:val="00C657B6"/>
    <w:rsid w:val="00C65D90"/>
    <w:rsid w:val="00C660DC"/>
    <w:rsid w:val="00C67934"/>
    <w:rsid w:val="00C711F3"/>
    <w:rsid w:val="00C7191A"/>
    <w:rsid w:val="00C72B4F"/>
    <w:rsid w:val="00C72CC8"/>
    <w:rsid w:val="00C744A9"/>
    <w:rsid w:val="00C74EAC"/>
    <w:rsid w:val="00C74FCB"/>
    <w:rsid w:val="00C7618B"/>
    <w:rsid w:val="00C80726"/>
    <w:rsid w:val="00C8255E"/>
    <w:rsid w:val="00C83191"/>
    <w:rsid w:val="00C836A5"/>
    <w:rsid w:val="00C837B4"/>
    <w:rsid w:val="00C8425F"/>
    <w:rsid w:val="00C8430B"/>
    <w:rsid w:val="00C856C0"/>
    <w:rsid w:val="00C85C08"/>
    <w:rsid w:val="00C85D44"/>
    <w:rsid w:val="00C8688C"/>
    <w:rsid w:val="00C86A1C"/>
    <w:rsid w:val="00C87DE6"/>
    <w:rsid w:val="00C90259"/>
    <w:rsid w:val="00C9051D"/>
    <w:rsid w:val="00C907E3"/>
    <w:rsid w:val="00C90EBE"/>
    <w:rsid w:val="00C916A8"/>
    <w:rsid w:val="00C92130"/>
    <w:rsid w:val="00C92222"/>
    <w:rsid w:val="00C9229A"/>
    <w:rsid w:val="00C936D0"/>
    <w:rsid w:val="00C938EC"/>
    <w:rsid w:val="00C94184"/>
    <w:rsid w:val="00C94465"/>
    <w:rsid w:val="00C96D40"/>
    <w:rsid w:val="00C976DA"/>
    <w:rsid w:val="00CA12FE"/>
    <w:rsid w:val="00CA1441"/>
    <w:rsid w:val="00CA2B95"/>
    <w:rsid w:val="00CA3AFA"/>
    <w:rsid w:val="00CA44CF"/>
    <w:rsid w:val="00CA4CD4"/>
    <w:rsid w:val="00CA591E"/>
    <w:rsid w:val="00CA6178"/>
    <w:rsid w:val="00CA62FD"/>
    <w:rsid w:val="00CA68D8"/>
    <w:rsid w:val="00CA7B85"/>
    <w:rsid w:val="00CB1985"/>
    <w:rsid w:val="00CB2A3F"/>
    <w:rsid w:val="00CB34BE"/>
    <w:rsid w:val="00CB372F"/>
    <w:rsid w:val="00CB3C08"/>
    <w:rsid w:val="00CB5A0B"/>
    <w:rsid w:val="00CB66C1"/>
    <w:rsid w:val="00CB73E0"/>
    <w:rsid w:val="00CC1688"/>
    <w:rsid w:val="00CC195D"/>
    <w:rsid w:val="00CC1C07"/>
    <w:rsid w:val="00CC1DEE"/>
    <w:rsid w:val="00CC2116"/>
    <w:rsid w:val="00CC3577"/>
    <w:rsid w:val="00CC3626"/>
    <w:rsid w:val="00CC466D"/>
    <w:rsid w:val="00CC6F1D"/>
    <w:rsid w:val="00CC7378"/>
    <w:rsid w:val="00CC7614"/>
    <w:rsid w:val="00CD0111"/>
    <w:rsid w:val="00CD01F2"/>
    <w:rsid w:val="00CD0521"/>
    <w:rsid w:val="00CD15C3"/>
    <w:rsid w:val="00CD227F"/>
    <w:rsid w:val="00CD2312"/>
    <w:rsid w:val="00CD2B33"/>
    <w:rsid w:val="00CD3CDA"/>
    <w:rsid w:val="00CD3DFD"/>
    <w:rsid w:val="00CD53CF"/>
    <w:rsid w:val="00CD6906"/>
    <w:rsid w:val="00CE16F2"/>
    <w:rsid w:val="00CE429B"/>
    <w:rsid w:val="00CE4A55"/>
    <w:rsid w:val="00CE578B"/>
    <w:rsid w:val="00CE6695"/>
    <w:rsid w:val="00CE6D4E"/>
    <w:rsid w:val="00CE7159"/>
    <w:rsid w:val="00CE7166"/>
    <w:rsid w:val="00CF0984"/>
    <w:rsid w:val="00CF0F92"/>
    <w:rsid w:val="00CF25F6"/>
    <w:rsid w:val="00CF263F"/>
    <w:rsid w:val="00CF26C6"/>
    <w:rsid w:val="00CF3888"/>
    <w:rsid w:val="00CF4215"/>
    <w:rsid w:val="00CF4537"/>
    <w:rsid w:val="00CF5C24"/>
    <w:rsid w:val="00D01EEF"/>
    <w:rsid w:val="00D02631"/>
    <w:rsid w:val="00D033D4"/>
    <w:rsid w:val="00D03567"/>
    <w:rsid w:val="00D0420A"/>
    <w:rsid w:val="00D04863"/>
    <w:rsid w:val="00D0594F"/>
    <w:rsid w:val="00D06166"/>
    <w:rsid w:val="00D0651E"/>
    <w:rsid w:val="00D100A2"/>
    <w:rsid w:val="00D10E33"/>
    <w:rsid w:val="00D14388"/>
    <w:rsid w:val="00D14F1D"/>
    <w:rsid w:val="00D157B3"/>
    <w:rsid w:val="00D157C8"/>
    <w:rsid w:val="00D163D0"/>
    <w:rsid w:val="00D16FFE"/>
    <w:rsid w:val="00D204A7"/>
    <w:rsid w:val="00D20A89"/>
    <w:rsid w:val="00D2173B"/>
    <w:rsid w:val="00D21ED5"/>
    <w:rsid w:val="00D24F1C"/>
    <w:rsid w:val="00D25E2A"/>
    <w:rsid w:val="00D26E8A"/>
    <w:rsid w:val="00D27483"/>
    <w:rsid w:val="00D31906"/>
    <w:rsid w:val="00D32C5E"/>
    <w:rsid w:val="00D3352E"/>
    <w:rsid w:val="00D33CBA"/>
    <w:rsid w:val="00D34BA2"/>
    <w:rsid w:val="00D359C1"/>
    <w:rsid w:val="00D35FE8"/>
    <w:rsid w:val="00D36EE7"/>
    <w:rsid w:val="00D3722F"/>
    <w:rsid w:val="00D37B2B"/>
    <w:rsid w:val="00D37B53"/>
    <w:rsid w:val="00D37EE7"/>
    <w:rsid w:val="00D404BF"/>
    <w:rsid w:val="00D41D62"/>
    <w:rsid w:val="00D42F44"/>
    <w:rsid w:val="00D467FE"/>
    <w:rsid w:val="00D46C77"/>
    <w:rsid w:val="00D50E7C"/>
    <w:rsid w:val="00D53641"/>
    <w:rsid w:val="00D55436"/>
    <w:rsid w:val="00D55664"/>
    <w:rsid w:val="00D55AEA"/>
    <w:rsid w:val="00D567E5"/>
    <w:rsid w:val="00D56A46"/>
    <w:rsid w:val="00D61100"/>
    <w:rsid w:val="00D61317"/>
    <w:rsid w:val="00D61D58"/>
    <w:rsid w:val="00D61FCD"/>
    <w:rsid w:val="00D62AEC"/>
    <w:rsid w:val="00D632E8"/>
    <w:rsid w:val="00D65AC4"/>
    <w:rsid w:val="00D672FB"/>
    <w:rsid w:val="00D7258C"/>
    <w:rsid w:val="00D74F2A"/>
    <w:rsid w:val="00D7514C"/>
    <w:rsid w:val="00D76964"/>
    <w:rsid w:val="00D7720A"/>
    <w:rsid w:val="00D77696"/>
    <w:rsid w:val="00D8033F"/>
    <w:rsid w:val="00D8058C"/>
    <w:rsid w:val="00D80A28"/>
    <w:rsid w:val="00D80C72"/>
    <w:rsid w:val="00D818FD"/>
    <w:rsid w:val="00D8385D"/>
    <w:rsid w:val="00D83EBC"/>
    <w:rsid w:val="00D852A7"/>
    <w:rsid w:val="00D858C3"/>
    <w:rsid w:val="00D8602E"/>
    <w:rsid w:val="00D86EDB"/>
    <w:rsid w:val="00D90161"/>
    <w:rsid w:val="00D915A0"/>
    <w:rsid w:val="00D92286"/>
    <w:rsid w:val="00D94F00"/>
    <w:rsid w:val="00D9733D"/>
    <w:rsid w:val="00D97471"/>
    <w:rsid w:val="00D9750B"/>
    <w:rsid w:val="00DA09E8"/>
    <w:rsid w:val="00DA0DC7"/>
    <w:rsid w:val="00DA11FC"/>
    <w:rsid w:val="00DA1E5B"/>
    <w:rsid w:val="00DA2499"/>
    <w:rsid w:val="00DA2E1B"/>
    <w:rsid w:val="00DA360B"/>
    <w:rsid w:val="00DA4602"/>
    <w:rsid w:val="00DA4F98"/>
    <w:rsid w:val="00DA62C6"/>
    <w:rsid w:val="00DA64DE"/>
    <w:rsid w:val="00DA6D12"/>
    <w:rsid w:val="00DA7828"/>
    <w:rsid w:val="00DB013D"/>
    <w:rsid w:val="00DB07C5"/>
    <w:rsid w:val="00DB122B"/>
    <w:rsid w:val="00DB1835"/>
    <w:rsid w:val="00DB2901"/>
    <w:rsid w:val="00DB299D"/>
    <w:rsid w:val="00DB2A45"/>
    <w:rsid w:val="00DB2A61"/>
    <w:rsid w:val="00DB2B30"/>
    <w:rsid w:val="00DB31A4"/>
    <w:rsid w:val="00DB4EA4"/>
    <w:rsid w:val="00DB5872"/>
    <w:rsid w:val="00DB5A1D"/>
    <w:rsid w:val="00DB6021"/>
    <w:rsid w:val="00DB68D2"/>
    <w:rsid w:val="00DB7EF9"/>
    <w:rsid w:val="00DC0B4F"/>
    <w:rsid w:val="00DC10E5"/>
    <w:rsid w:val="00DC2C7D"/>
    <w:rsid w:val="00DC2D42"/>
    <w:rsid w:val="00DC3400"/>
    <w:rsid w:val="00DC35EC"/>
    <w:rsid w:val="00DC56AF"/>
    <w:rsid w:val="00DC5C07"/>
    <w:rsid w:val="00DC699E"/>
    <w:rsid w:val="00DC6A3D"/>
    <w:rsid w:val="00DD0E9C"/>
    <w:rsid w:val="00DD107C"/>
    <w:rsid w:val="00DD2A5A"/>
    <w:rsid w:val="00DD3443"/>
    <w:rsid w:val="00DE06EB"/>
    <w:rsid w:val="00DE1755"/>
    <w:rsid w:val="00DE27E5"/>
    <w:rsid w:val="00DE2D74"/>
    <w:rsid w:val="00DE511F"/>
    <w:rsid w:val="00DE7F60"/>
    <w:rsid w:val="00DF05DD"/>
    <w:rsid w:val="00DF24DA"/>
    <w:rsid w:val="00DF2A50"/>
    <w:rsid w:val="00DF2BE2"/>
    <w:rsid w:val="00DF30DF"/>
    <w:rsid w:val="00DF5A53"/>
    <w:rsid w:val="00DF61A6"/>
    <w:rsid w:val="00DF65AC"/>
    <w:rsid w:val="00DF66CB"/>
    <w:rsid w:val="00E02048"/>
    <w:rsid w:val="00E02F17"/>
    <w:rsid w:val="00E03B08"/>
    <w:rsid w:val="00E03C14"/>
    <w:rsid w:val="00E04728"/>
    <w:rsid w:val="00E062DC"/>
    <w:rsid w:val="00E06A02"/>
    <w:rsid w:val="00E107CB"/>
    <w:rsid w:val="00E1085E"/>
    <w:rsid w:val="00E11009"/>
    <w:rsid w:val="00E112E6"/>
    <w:rsid w:val="00E1168E"/>
    <w:rsid w:val="00E13431"/>
    <w:rsid w:val="00E14104"/>
    <w:rsid w:val="00E154CB"/>
    <w:rsid w:val="00E16391"/>
    <w:rsid w:val="00E175EB"/>
    <w:rsid w:val="00E17B70"/>
    <w:rsid w:val="00E2198D"/>
    <w:rsid w:val="00E219CF"/>
    <w:rsid w:val="00E21EE8"/>
    <w:rsid w:val="00E24D9C"/>
    <w:rsid w:val="00E26C57"/>
    <w:rsid w:val="00E2710A"/>
    <w:rsid w:val="00E310B4"/>
    <w:rsid w:val="00E3126B"/>
    <w:rsid w:val="00E31635"/>
    <w:rsid w:val="00E31AE4"/>
    <w:rsid w:val="00E3289C"/>
    <w:rsid w:val="00E33523"/>
    <w:rsid w:val="00E33E44"/>
    <w:rsid w:val="00E35BD1"/>
    <w:rsid w:val="00E3718C"/>
    <w:rsid w:val="00E40069"/>
    <w:rsid w:val="00E404B8"/>
    <w:rsid w:val="00E41069"/>
    <w:rsid w:val="00E41D54"/>
    <w:rsid w:val="00E41F96"/>
    <w:rsid w:val="00E44709"/>
    <w:rsid w:val="00E4521F"/>
    <w:rsid w:val="00E46A3C"/>
    <w:rsid w:val="00E500AE"/>
    <w:rsid w:val="00E5017D"/>
    <w:rsid w:val="00E50425"/>
    <w:rsid w:val="00E50894"/>
    <w:rsid w:val="00E5089D"/>
    <w:rsid w:val="00E53713"/>
    <w:rsid w:val="00E54080"/>
    <w:rsid w:val="00E54291"/>
    <w:rsid w:val="00E54752"/>
    <w:rsid w:val="00E54D3D"/>
    <w:rsid w:val="00E54E32"/>
    <w:rsid w:val="00E564D4"/>
    <w:rsid w:val="00E56A40"/>
    <w:rsid w:val="00E56F9D"/>
    <w:rsid w:val="00E60A26"/>
    <w:rsid w:val="00E626B5"/>
    <w:rsid w:val="00E63263"/>
    <w:rsid w:val="00E6352C"/>
    <w:rsid w:val="00E63D54"/>
    <w:rsid w:val="00E63DBB"/>
    <w:rsid w:val="00E649D3"/>
    <w:rsid w:val="00E64E78"/>
    <w:rsid w:val="00E66515"/>
    <w:rsid w:val="00E67C5F"/>
    <w:rsid w:val="00E7041E"/>
    <w:rsid w:val="00E738C0"/>
    <w:rsid w:val="00E73AE0"/>
    <w:rsid w:val="00E73F7C"/>
    <w:rsid w:val="00E74419"/>
    <w:rsid w:val="00E75504"/>
    <w:rsid w:val="00E7569C"/>
    <w:rsid w:val="00E7623B"/>
    <w:rsid w:val="00E76629"/>
    <w:rsid w:val="00E778E7"/>
    <w:rsid w:val="00E77B47"/>
    <w:rsid w:val="00E80085"/>
    <w:rsid w:val="00E8022D"/>
    <w:rsid w:val="00E80B16"/>
    <w:rsid w:val="00E81463"/>
    <w:rsid w:val="00E81C79"/>
    <w:rsid w:val="00E82B53"/>
    <w:rsid w:val="00E8339E"/>
    <w:rsid w:val="00E87F60"/>
    <w:rsid w:val="00E90C22"/>
    <w:rsid w:val="00E93111"/>
    <w:rsid w:val="00E9340D"/>
    <w:rsid w:val="00E935B0"/>
    <w:rsid w:val="00E93853"/>
    <w:rsid w:val="00E967F0"/>
    <w:rsid w:val="00E9763A"/>
    <w:rsid w:val="00E9783A"/>
    <w:rsid w:val="00EA2C51"/>
    <w:rsid w:val="00EA35A7"/>
    <w:rsid w:val="00EA40E6"/>
    <w:rsid w:val="00EA48C0"/>
    <w:rsid w:val="00EA67C4"/>
    <w:rsid w:val="00EA6834"/>
    <w:rsid w:val="00EA715E"/>
    <w:rsid w:val="00EA76F2"/>
    <w:rsid w:val="00EA7ED8"/>
    <w:rsid w:val="00EB0D69"/>
    <w:rsid w:val="00EB116D"/>
    <w:rsid w:val="00EB1FB2"/>
    <w:rsid w:val="00EB2D2E"/>
    <w:rsid w:val="00EB4E81"/>
    <w:rsid w:val="00EB7576"/>
    <w:rsid w:val="00EB79B5"/>
    <w:rsid w:val="00EC0418"/>
    <w:rsid w:val="00EC0BE8"/>
    <w:rsid w:val="00EC2285"/>
    <w:rsid w:val="00EC2CF2"/>
    <w:rsid w:val="00EC2F30"/>
    <w:rsid w:val="00EC32EF"/>
    <w:rsid w:val="00EC42D7"/>
    <w:rsid w:val="00EC440C"/>
    <w:rsid w:val="00EC4722"/>
    <w:rsid w:val="00EC5879"/>
    <w:rsid w:val="00EC61A0"/>
    <w:rsid w:val="00EC65B0"/>
    <w:rsid w:val="00EC6F30"/>
    <w:rsid w:val="00EC6F92"/>
    <w:rsid w:val="00EC7620"/>
    <w:rsid w:val="00ED01A0"/>
    <w:rsid w:val="00ED1172"/>
    <w:rsid w:val="00ED3319"/>
    <w:rsid w:val="00ED3C59"/>
    <w:rsid w:val="00ED42E7"/>
    <w:rsid w:val="00ED43B1"/>
    <w:rsid w:val="00ED448F"/>
    <w:rsid w:val="00ED45B1"/>
    <w:rsid w:val="00EE0BF3"/>
    <w:rsid w:val="00EE1B35"/>
    <w:rsid w:val="00EE2288"/>
    <w:rsid w:val="00EE26C3"/>
    <w:rsid w:val="00EE381B"/>
    <w:rsid w:val="00EE3859"/>
    <w:rsid w:val="00EE3F91"/>
    <w:rsid w:val="00EE4848"/>
    <w:rsid w:val="00EE4EC6"/>
    <w:rsid w:val="00EE75B8"/>
    <w:rsid w:val="00EF1631"/>
    <w:rsid w:val="00EF40C3"/>
    <w:rsid w:val="00EF4BDB"/>
    <w:rsid w:val="00EF5548"/>
    <w:rsid w:val="00EF5BA1"/>
    <w:rsid w:val="00F0154F"/>
    <w:rsid w:val="00F03085"/>
    <w:rsid w:val="00F03224"/>
    <w:rsid w:val="00F033A9"/>
    <w:rsid w:val="00F03DA1"/>
    <w:rsid w:val="00F03EA9"/>
    <w:rsid w:val="00F03F7C"/>
    <w:rsid w:val="00F04C68"/>
    <w:rsid w:val="00F06CEB"/>
    <w:rsid w:val="00F07CC6"/>
    <w:rsid w:val="00F10931"/>
    <w:rsid w:val="00F1131B"/>
    <w:rsid w:val="00F11FC0"/>
    <w:rsid w:val="00F1211E"/>
    <w:rsid w:val="00F14B3A"/>
    <w:rsid w:val="00F15297"/>
    <w:rsid w:val="00F15CFC"/>
    <w:rsid w:val="00F15D77"/>
    <w:rsid w:val="00F17DEB"/>
    <w:rsid w:val="00F20145"/>
    <w:rsid w:val="00F2040E"/>
    <w:rsid w:val="00F20895"/>
    <w:rsid w:val="00F21ACF"/>
    <w:rsid w:val="00F241F2"/>
    <w:rsid w:val="00F25A31"/>
    <w:rsid w:val="00F2606B"/>
    <w:rsid w:val="00F26164"/>
    <w:rsid w:val="00F26479"/>
    <w:rsid w:val="00F2700D"/>
    <w:rsid w:val="00F33BAB"/>
    <w:rsid w:val="00F34442"/>
    <w:rsid w:val="00F34E0A"/>
    <w:rsid w:val="00F3515A"/>
    <w:rsid w:val="00F357C1"/>
    <w:rsid w:val="00F359DA"/>
    <w:rsid w:val="00F35C88"/>
    <w:rsid w:val="00F363D4"/>
    <w:rsid w:val="00F36408"/>
    <w:rsid w:val="00F36CA4"/>
    <w:rsid w:val="00F36D01"/>
    <w:rsid w:val="00F37433"/>
    <w:rsid w:val="00F3779D"/>
    <w:rsid w:val="00F40993"/>
    <w:rsid w:val="00F40BA0"/>
    <w:rsid w:val="00F42056"/>
    <w:rsid w:val="00F42434"/>
    <w:rsid w:val="00F424B3"/>
    <w:rsid w:val="00F435EB"/>
    <w:rsid w:val="00F437FA"/>
    <w:rsid w:val="00F43F84"/>
    <w:rsid w:val="00F45A3E"/>
    <w:rsid w:val="00F50E9E"/>
    <w:rsid w:val="00F5221E"/>
    <w:rsid w:val="00F525E9"/>
    <w:rsid w:val="00F5295D"/>
    <w:rsid w:val="00F52F19"/>
    <w:rsid w:val="00F547A1"/>
    <w:rsid w:val="00F54A87"/>
    <w:rsid w:val="00F54ECF"/>
    <w:rsid w:val="00F54EF2"/>
    <w:rsid w:val="00F550EA"/>
    <w:rsid w:val="00F55D1C"/>
    <w:rsid w:val="00F55DE5"/>
    <w:rsid w:val="00F56078"/>
    <w:rsid w:val="00F5689B"/>
    <w:rsid w:val="00F57A19"/>
    <w:rsid w:val="00F60519"/>
    <w:rsid w:val="00F60E99"/>
    <w:rsid w:val="00F60FA3"/>
    <w:rsid w:val="00F60FCE"/>
    <w:rsid w:val="00F61005"/>
    <w:rsid w:val="00F61808"/>
    <w:rsid w:val="00F61919"/>
    <w:rsid w:val="00F61A6E"/>
    <w:rsid w:val="00F61C81"/>
    <w:rsid w:val="00F61DC2"/>
    <w:rsid w:val="00F623A5"/>
    <w:rsid w:val="00F634A3"/>
    <w:rsid w:val="00F63C25"/>
    <w:rsid w:val="00F64A75"/>
    <w:rsid w:val="00F656EA"/>
    <w:rsid w:val="00F6779B"/>
    <w:rsid w:val="00F709B8"/>
    <w:rsid w:val="00F70AF4"/>
    <w:rsid w:val="00F70D03"/>
    <w:rsid w:val="00F71173"/>
    <w:rsid w:val="00F71843"/>
    <w:rsid w:val="00F72DFC"/>
    <w:rsid w:val="00F73D7C"/>
    <w:rsid w:val="00F73FF8"/>
    <w:rsid w:val="00F76227"/>
    <w:rsid w:val="00F771EA"/>
    <w:rsid w:val="00F773E3"/>
    <w:rsid w:val="00F77BF8"/>
    <w:rsid w:val="00F77C8D"/>
    <w:rsid w:val="00F84BCF"/>
    <w:rsid w:val="00F84C79"/>
    <w:rsid w:val="00F8596E"/>
    <w:rsid w:val="00F86112"/>
    <w:rsid w:val="00F86446"/>
    <w:rsid w:val="00F867A7"/>
    <w:rsid w:val="00F8726A"/>
    <w:rsid w:val="00F87B12"/>
    <w:rsid w:val="00F87F05"/>
    <w:rsid w:val="00F94A4A"/>
    <w:rsid w:val="00F97102"/>
    <w:rsid w:val="00FA0236"/>
    <w:rsid w:val="00FA0590"/>
    <w:rsid w:val="00FA0C73"/>
    <w:rsid w:val="00FA0F38"/>
    <w:rsid w:val="00FA1F32"/>
    <w:rsid w:val="00FA3701"/>
    <w:rsid w:val="00FA3F8A"/>
    <w:rsid w:val="00FA461A"/>
    <w:rsid w:val="00FA488D"/>
    <w:rsid w:val="00FA5A40"/>
    <w:rsid w:val="00FA5CAA"/>
    <w:rsid w:val="00FA5E30"/>
    <w:rsid w:val="00FA794E"/>
    <w:rsid w:val="00FA7F00"/>
    <w:rsid w:val="00FA7F90"/>
    <w:rsid w:val="00FB3895"/>
    <w:rsid w:val="00FB4B3B"/>
    <w:rsid w:val="00FB4C51"/>
    <w:rsid w:val="00FB523B"/>
    <w:rsid w:val="00FB5E3F"/>
    <w:rsid w:val="00FB6882"/>
    <w:rsid w:val="00FB6CA2"/>
    <w:rsid w:val="00FB6CD7"/>
    <w:rsid w:val="00FB7013"/>
    <w:rsid w:val="00FB7524"/>
    <w:rsid w:val="00FB76DC"/>
    <w:rsid w:val="00FB78E7"/>
    <w:rsid w:val="00FC0729"/>
    <w:rsid w:val="00FC1B1E"/>
    <w:rsid w:val="00FC34F5"/>
    <w:rsid w:val="00FC3FDC"/>
    <w:rsid w:val="00FC40CA"/>
    <w:rsid w:val="00FC4C6C"/>
    <w:rsid w:val="00FC5857"/>
    <w:rsid w:val="00FC668E"/>
    <w:rsid w:val="00FD34DC"/>
    <w:rsid w:val="00FD405E"/>
    <w:rsid w:val="00FD45B8"/>
    <w:rsid w:val="00FD47FC"/>
    <w:rsid w:val="00FD5C39"/>
    <w:rsid w:val="00FD608A"/>
    <w:rsid w:val="00FD6610"/>
    <w:rsid w:val="00FD66FA"/>
    <w:rsid w:val="00FD75AA"/>
    <w:rsid w:val="00FD76E5"/>
    <w:rsid w:val="00FD7A89"/>
    <w:rsid w:val="00FD7EBC"/>
    <w:rsid w:val="00FE38C3"/>
    <w:rsid w:val="00FE3E07"/>
    <w:rsid w:val="00FE4561"/>
    <w:rsid w:val="00FE4D57"/>
    <w:rsid w:val="00FE660B"/>
    <w:rsid w:val="00FE7C3D"/>
    <w:rsid w:val="00FF0BA0"/>
    <w:rsid w:val="00FF1DD9"/>
    <w:rsid w:val="00FF2E54"/>
    <w:rsid w:val="00FF34AD"/>
    <w:rsid w:val="00FF3A62"/>
    <w:rsid w:val="00FF4060"/>
    <w:rsid w:val="00FF4F8B"/>
    <w:rsid w:val="00FF5D1E"/>
    <w:rsid w:val="00FF5FF0"/>
    <w:rsid w:val="00FF6363"/>
    <w:rsid w:val="00FF668C"/>
    <w:rsid w:val="00FF7A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7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Eo robí (eas),Eo robí (easť),Heading 1 Char Char,Heading 1 Char Char Char,Zig1,Èo robí (èas),Čo robí (časť)"/>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jc w:val="left"/>
      <w:outlineLvl w:val="1"/>
    </w:pPr>
    <w:rPr>
      <w:b/>
      <w:bCs/>
    </w:rPr>
  </w:style>
  <w:style w:type="paragraph" w:styleId="Heading3">
    <w:name w:val="heading 3"/>
    <w:basedOn w:val="Normal"/>
    <w:next w:val="Normal"/>
    <w:link w:val="Nadpis3Char"/>
    <w:uiPriority w:val="9"/>
    <w:qFormat/>
    <w:pPr>
      <w:keepNext/>
      <w:overflowPunct w:val="0"/>
      <w:autoSpaceDE w:val="0"/>
      <w:autoSpaceDN w:val="0"/>
      <w:adjustRightInd w:val="0"/>
      <w:jc w:val="both"/>
      <w:textAlignment w:val="baseline"/>
      <w:outlineLvl w:val="2"/>
    </w:pPr>
    <w:rPr>
      <w:b/>
      <w:bCs/>
      <w:lang w:eastAsia="en-US"/>
    </w:rPr>
  </w:style>
  <w:style w:type="paragraph" w:styleId="Heading4">
    <w:name w:val="heading 4"/>
    <w:basedOn w:val="Normal"/>
    <w:next w:val="Normal"/>
    <w:link w:val="Nadpis4Char"/>
    <w:uiPriority w:val="9"/>
    <w:qFormat/>
    <w:pPr>
      <w:keepNext/>
      <w:jc w:val="both"/>
      <w:outlineLvl w:val="3"/>
    </w:pPr>
    <w:rPr>
      <w:b/>
      <w:bCs/>
    </w:rPr>
  </w:style>
  <w:style w:type="paragraph" w:styleId="Heading5">
    <w:name w:val="heading 5"/>
    <w:basedOn w:val="Normal"/>
    <w:next w:val="Normal"/>
    <w:link w:val="Nadpis5Char"/>
    <w:uiPriority w:val="99"/>
    <w:qFormat/>
    <w:pPr>
      <w:keepNext/>
      <w:jc w:val="both"/>
      <w:outlineLvl w:val="4"/>
    </w:pPr>
    <w:rPr>
      <w:u w:val="single"/>
    </w:rPr>
  </w:style>
  <w:style w:type="paragraph" w:styleId="Heading6">
    <w:name w:val="heading 6"/>
    <w:basedOn w:val="Normal"/>
    <w:next w:val="Normal"/>
    <w:link w:val="Nadpis6Char"/>
    <w:uiPriority w:val="99"/>
    <w:qFormat/>
    <w:pPr>
      <w:keepNext/>
      <w:jc w:val="both"/>
      <w:outlineLvl w:val="5"/>
    </w:pPr>
    <w:rPr>
      <w:b/>
      <w:bCs/>
      <w:u w:val="single"/>
    </w:rPr>
  </w:style>
  <w:style w:type="paragraph" w:styleId="Heading7">
    <w:name w:val="heading 7"/>
    <w:basedOn w:val="Normal"/>
    <w:next w:val="Normal"/>
    <w:link w:val="Nadpis7Char"/>
    <w:uiPriority w:val="99"/>
    <w:qFormat/>
    <w:rsid w:val="00DF2A50"/>
    <w:pPr>
      <w:spacing w:before="240" w:after="60"/>
      <w:jc w:val="left"/>
      <w:outlineLvl w:val="6"/>
    </w:pPr>
    <w:rPr>
      <w:rFonts w:ascii="Calibri" w:hAnsi="Calibri"/>
    </w:rPr>
  </w:style>
  <w:style w:type="paragraph" w:styleId="Heading8">
    <w:name w:val="heading 8"/>
    <w:basedOn w:val="Normal"/>
    <w:next w:val="Normal"/>
    <w:link w:val="Nadpis8Char"/>
    <w:uiPriority w:val="99"/>
    <w:qFormat/>
    <w:rsid w:val="0016449F"/>
    <w:pPr>
      <w:tabs>
        <w:tab w:val="num" w:pos="5400"/>
      </w:tabs>
      <w:autoSpaceDE w:val="0"/>
      <w:autoSpaceDN w:val="0"/>
      <w:spacing w:before="240" w:after="60"/>
      <w:ind w:left="5040"/>
      <w:jc w:val="left"/>
      <w:outlineLvl w:val="7"/>
    </w:pPr>
    <w:rPr>
      <w:i/>
      <w:iCs/>
      <w:sz w:val="20"/>
      <w:szCs w:val="20"/>
      <w:lang w:eastAsia="en-US"/>
    </w:rPr>
  </w:style>
  <w:style w:type="paragraph" w:styleId="Heading9">
    <w:name w:val="heading 9"/>
    <w:basedOn w:val="Normal"/>
    <w:next w:val="Normal"/>
    <w:link w:val="Nadpis9Char"/>
    <w:uiPriority w:val="99"/>
    <w:qFormat/>
    <w:rsid w:val="0016449F"/>
    <w:pPr>
      <w:tabs>
        <w:tab w:val="num" w:pos="6120"/>
      </w:tabs>
      <w:autoSpaceDE w:val="0"/>
      <w:autoSpaceDN w:val="0"/>
      <w:spacing w:before="240" w:after="60"/>
      <w:ind w:left="5760"/>
      <w:jc w:val="lef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Eo robí (eas) Char,Eo robí (easť) Char,Heading 1 Char Char Char Char,Heading 1 Char Char Char1,Zig1 Char,Èo robí (èas) Char,Čo robí (časť) Char"/>
    <w:basedOn w:val="DefaultParagraphFont"/>
    <w:link w:val="Heading1"/>
    <w:uiPriority w:val="9"/>
    <w:locked/>
    <w:rsid w:val="00282A2A"/>
    <w:rPr>
      <w:rFonts w:cs="Times New Roman"/>
      <w:b/>
      <w:sz w:val="24"/>
      <w:rtl w:val="0"/>
      <w:cs w:val="0"/>
    </w:rPr>
  </w:style>
  <w:style w:type="character" w:customStyle="1" w:styleId="Nadpis2Char">
    <w:name w:val="Nadpis 2 Char"/>
    <w:basedOn w:val="DefaultParagraphFont"/>
    <w:link w:val="Heading2"/>
    <w:uiPriority w:val="9"/>
    <w:locked/>
    <w:rsid w:val="00FF4060"/>
    <w:rPr>
      <w:rFonts w:cs="Times New Roman"/>
      <w:b/>
      <w:sz w:val="24"/>
      <w:rtl w:val="0"/>
      <w:cs w:val="0"/>
    </w:rPr>
  </w:style>
  <w:style w:type="character" w:customStyle="1" w:styleId="Nadpis3Char">
    <w:name w:val="Nadpis 3 Char"/>
    <w:basedOn w:val="DefaultParagraphFont"/>
    <w:link w:val="Heading3"/>
    <w:uiPriority w:val="9"/>
    <w:locked/>
    <w:rsid w:val="00282A2A"/>
    <w:rPr>
      <w:rFonts w:cs="Times New Roman"/>
      <w:b/>
      <w:sz w:val="24"/>
      <w:rtl w:val="0"/>
      <w:cs w:val="0"/>
      <w:lang w:val="x-none" w:eastAsia="en-US"/>
    </w:rPr>
  </w:style>
  <w:style w:type="character" w:customStyle="1" w:styleId="Nadpis4Char">
    <w:name w:val="Nadpis 4 Char"/>
    <w:basedOn w:val="DefaultParagraphFont"/>
    <w:link w:val="Heading4"/>
    <w:uiPriority w:val="9"/>
    <w:locked/>
    <w:rsid w:val="001A38A1"/>
    <w:rPr>
      <w:rFonts w:cs="Times New Roman"/>
      <w:b/>
      <w:sz w:val="24"/>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sid w:val="00DF2A50"/>
    <w:rPr>
      <w:rFonts w:ascii="Calibri" w:hAnsi="Calibri" w:cs="Times New Roman"/>
      <w:sz w:val="24"/>
      <w:rtl w:val="0"/>
      <w:cs w:val="0"/>
    </w:rPr>
  </w:style>
  <w:style w:type="character" w:customStyle="1" w:styleId="Nadpis8Char">
    <w:name w:val="Nadpis 8 Char"/>
    <w:basedOn w:val="DefaultParagraphFont"/>
    <w:link w:val="Heading8"/>
    <w:uiPriority w:val="99"/>
    <w:locked/>
    <w:rsid w:val="0016449F"/>
    <w:rPr>
      <w:rFonts w:cs="Times New Roman"/>
      <w:i/>
      <w:rtl w:val="0"/>
      <w:cs w:val="0"/>
      <w:lang w:val="x-none" w:eastAsia="en-US"/>
    </w:rPr>
  </w:style>
  <w:style w:type="character" w:customStyle="1" w:styleId="Nadpis9Char">
    <w:name w:val="Nadpis 9 Char"/>
    <w:basedOn w:val="DefaultParagraphFont"/>
    <w:link w:val="Heading9"/>
    <w:uiPriority w:val="99"/>
    <w:locked/>
    <w:rsid w:val="0016449F"/>
    <w:rPr>
      <w:rFonts w:ascii="Arial" w:hAnsi="Arial" w:cs="Times New Roman"/>
      <w:sz w:val="22"/>
      <w:rtl w:val="0"/>
      <w:cs w:val="0"/>
      <w:lang w:val="x-none" w:eastAsia="en-US"/>
    </w:rPr>
  </w:style>
  <w:style w:type="paragraph" w:customStyle="1" w:styleId="uzn">
    <w:name w:val="uzn"/>
    <w:basedOn w:val="Normal"/>
    <w:pPr>
      <w:autoSpaceDE w:val="0"/>
      <w:autoSpaceDN w:val="0"/>
      <w:adjustRightInd w:val="0"/>
      <w:ind w:left="908" w:hanging="454"/>
      <w:jc w:val="both"/>
    </w:pPr>
    <w:rPr>
      <w:sz w:val="23"/>
      <w:szCs w:val="23"/>
      <w:lang w:eastAsia="cs-CZ"/>
    </w:rPr>
  </w:style>
  <w:style w:type="paragraph" w:styleId="Title">
    <w:name w:val="Title"/>
    <w:basedOn w:val="Normal"/>
    <w:link w:val="NzovChar"/>
    <w:uiPriority w:val="10"/>
    <w:qFormat/>
    <w:pPr>
      <w:autoSpaceDE w:val="0"/>
      <w:autoSpaceDN w:val="0"/>
      <w:adjustRightInd w:val="0"/>
      <w:jc w:val="center"/>
    </w:pPr>
    <w:rPr>
      <w:u w:val="single"/>
      <w:lang w:eastAsia="cs-CZ"/>
    </w:rPr>
  </w:style>
  <w:style w:type="character" w:customStyle="1" w:styleId="NzovChar">
    <w:name w:val="Názov Char"/>
    <w:basedOn w:val="DefaultParagraphFont"/>
    <w:link w:val="Title"/>
    <w:uiPriority w:val="10"/>
    <w:locked/>
    <w:rsid w:val="008A4A79"/>
    <w:rPr>
      <w:rFonts w:cs="Times New Roman"/>
      <w:sz w:val="24"/>
      <w:u w:val="single"/>
      <w:rtl w:val="0"/>
      <w:cs w:val="0"/>
      <w:lang w:val="x-none" w:eastAsia="cs-CZ"/>
    </w:rPr>
  </w:style>
  <w:style w:type="paragraph" w:styleId="BodyTextIndent">
    <w:name w:val="Body Text Indent"/>
    <w:basedOn w:val="Normal"/>
    <w:link w:val="ZarkazkladnhotextuChar"/>
    <w:uiPriority w:val="99"/>
    <w:semiHidden/>
    <w:pPr>
      <w:tabs>
        <w:tab w:val="left" w:pos="1701"/>
      </w:tabs>
      <w:overflowPunct w:val="0"/>
      <w:autoSpaceDE w:val="0"/>
      <w:autoSpaceDN w:val="0"/>
      <w:adjustRightInd w:val="0"/>
      <w:ind w:left="567" w:hanging="567"/>
      <w:jc w:val="both"/>
      <w:textAlignment w:val="baseline"/>
    </w:pPr>
    <w:rPr>
      <w:lang w:eastAsia="en-US"/>
    </w:rPr>
  </w:style>
  <w:style w:type="character" w:customStyle="1" w:styleId="ZarkazkladnhotextuChar">
    <w:name w:val="Zarážka základného textu Char"/>
    <w:basedOn w:val="DefaultParagraphFont"/>
    <w:link w:val="BodyTextIndent"/>
    <w:uiPriority w:val="99"/>
    <w:semiHidden/>
    <w:locked/>
    <w:rsid w:val="00DF2A50"/>
    <w:rPr>
      <w:rFonts w:cs="Times New Roman"/>
      <w:sz w:val="24"/>
      <w:rtl w:val="0"/>
      <w:cs w:val="0"/>
      <w:lang w:val="x-none" w:eastAsia="en-US"/>
    </w:rPr>
  </w:style>
  <w:style w:type="paragraph" w:customStyle="1" w:styleId="Vlada">
    <w:name w:val="Vlada"/>
    <w:basedOn w:val="Normal"/>
    <w:uiPriority w:val="99"/>
    <w:pPr>
      <w:autoSpaceDE w:val="0"/>
      <w:autoSpaceDN w:val="0"/>
      <w:adjustRightInd w:val="0"/>
      <w:spacing w:before="480" w:after="120"/>
      <w:jc w:val="left"/>
    </w:pPr>
    <w:rPr>
      <w:b/>
      <w:bCs/>
      <w:sz w:val="32"/>
      <w:szCs w:val="32"/>
      <w:lang w:eastAsia="cs-CZ"/>
    </w:rPr>
  </w:style>
  <w:style w:type="character" w:customStyle="1" w:styleId="PlaceholderText1">
    <w:name w:val="Placeholder Text1"/>
    <w:rPr>
      <w:rFonts w:ascii="Times New Roman" w:hAnsi="Times New Roman" w:cs="Times New Roman"/>
      <w:color w:val="808080"/>
    </w:rPr>
  </w:style>
  <w:style w:type="character" w:customStyle="1" w:styleId="spanr">
    <w:name w:val="span_r"/>
    <w:basedOn w:val="DefaultParagraphFont"/>
    <w:rPr>
      <w:rFonts w:cs="Times New Roman"/>
      <w:rtl w:val="0"/>
      <w:cs w:val="0"/>
    </w:rPr>
  </w:style>
  <w:style w:type="paragraph" w:customStyle="1" w:styleId="Zakladnystyl">
    <w:name w:val="Zakladny sty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odyText">
    <w:name w:val="Body Text"/>
    <w:aliases w:val="?????1,Body,Body Text - Level 2,Body Text1,Oaeno1,Standard paragraph,Základní text Char,Základní text Char1 Char Char C,Základní text Char1 Char Char Char,Základný text1,b,bt,heading3,uvlaka 2,uvlaka 3,Òåêñò1,Číslovaný seznam (i),Текст1"/>
    <w:basedOn w:val="Normal"/>
    <w:link w:val="ZkladntextChar0"/>
    <w:uiPriority w:val="99"/>
    <w:semiHidden/>
    <w:pPr>
      <w:jc w:val="center"/>
    </w:pPr>
    <w:rPr>
      <w:b/>
      <w:bCs/>
      <w:noProof/>
    </w:rPr>
  </w:style>
  <w:style w:type="character" w:customStyle="1" w:styleId="ZkladntextChar0">
    <w:name w:val="Základný text Char"/>
    <w:aliases w:val="?????1 Char,Body Char,Body Text - Level 2 Char,Body Text1 Char,Oaeno1 Char,Standard paragraph Char,Základní text Char Char,b Char,bt Char,heading3 Char,uvlaka 2 Char,uvlaka 3 Char,Òåêñò1 Char,Číslovaný seznam (i) Char,Текст1 Char"/>
    <w:basedOn w:val="DefaultParagraphFont"/>
    <w:link w:val="BodyText"/>
    <w:uiPriority w:val="99"/>
    <w:semiHidden/>
    <w:locked/>
    <w:rsid w:val="00FF4060"/>
    <w:rPr>
      <w:rFonts w:cs="Times New Roman"/>
      <w:b/>
      <w:noProof/>
      <w:sz w:val="24"/>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locked/>
    <w:rsid w:val="00FA0236"/>
    <w:rPr>
      <w:rFonts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sid w:val="005F1C98"/>
    <w:rPr>
      <w:rFonts w:cs="Times New Roman"/>
      <w:sz w:val="24"/>
      <w:rtl w:val="0"/>
      <w:cs w:val="0"/>
    </w:rPr>
  </w:style>
  <w:style w:type="paragraph" w:styleId="BodyText2">
    <w:name w:val="Body Text 2"/>
    <w:basedOn w:val="Normal"/>
    <w:link w:val="Zkladntext2Char"/>
    <w:uiPriority w:val="99"/>
    <w:semiHidden/>
    <w:pPr>
      <w:jc w:val="both"/>
    </w:pPr>
    <w:rPr>
      <w:lang w:val="en-GB"/>
    </w:rPr>
  </w:style>
  <w:style w:type="character" w:customStyle="1" w:styleId="Zkladntext2Char">
    <w:name w:val="Základný text 2 Char"/>
    <w:basedOn w:val="DefaultParagraphFont"/>
    <w:link w:val="BodyText2"/>
    <w:uiPriority w:val="99"/>
    <w:semiHidden/>
    <w:locked/>
    <w:rsid w:val="00DF2A50"/>
    <w:rPr>
      <w:rFonts w:cs="Times New Roman"/>
      <w:sz w:val="24"/>
      <w:rtl w:val="0"/>
      <w:cs w:val="0"/>
      <w:lang w:val="en-GB" w:eastAsia="x-none"/>
    </w:rPr>
  </w:style>
  <w:style w:type="paragraph" w:customStyle="1" w:styleId="BodyText21">
    <w:name w:val="Body Text 21"/>
    <w:basedOn w:val="Normal"/>
    <w:pPr>
      <w:widowControl w:val="0"/>
      <w:overflowPunct w:val="0"/>
      <w:autoSpaceDE w:val="0"/>
      <w:autoSpaceDN w:val="0"/>
      <w:adjustRightInd w:val="0"/>
      <w:ind w:firstLine="708"/>
      <w:jc w:val="both"/>
    </w:pPr>
    <w:rPr>
      <w:noProof/>
      <w:szCs w:val="20"/>
      <w:lang w:val="en-US" w:eastAsia="cs-CZ"/>
    </w:rPr>
  </w:style>
  <w:style w:type="paragraph" w:styleId="BodyTextIndent3">
    <w:name w:val="Body Text Indent 3"/>
    <w:basedOn w:val="Normal"/>
    <w:link w:val="Zarkazkladnhotextu3Char"/>
    <w:uiPriority w:val="99"/>
    <w:semiHidden/>
    <w:pPr>
      <w:tabs>
        <w:tab w:val="left" w:pos="0"/>
      </w:tabs>
      <w:ind w:firstLine="708"/>
      <w:jc w:val="left"/>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Indent2">
    <w:name w:val="Body Text Indent 2"/>
    <w:basedOn w:val="Normal"/>
    <w:link w:val="Zarkazkladnhotextu2Char"/>
    <w:uiPriority w:val="99"/>
    <w:semiHidden/>
    <w:pPr>
      <w:ind w:firstLine="709"/>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EntLogo">
    <w:name w:val="EntLogo"/>
    <w:basedOn w:val="Normal"/>
    <w:next w:val="EntInstit"/>
    <w:pPr>
      <w:widowControl w:val="0"/>
      <w:spacing w:line="360" w:lineRule="auto"/>
      <w:jc w:val="left"/>
    </w:pPr>
    <w:rPr>
      <w:b/>
      <w:szCs w:val="20"/>
      <w:lang w:eastAsia="fr-BE"/>
    </w:rPr>
  </w:style>
  <w:style w:type="paragraph" w:customStyle="1" w:styleId="EntInstit">
    <w:name w:val="EntInstit"/>
    <w:basedOn w:val="Normal"/>
    <w:pPr>
      <w:widowControl w:val="0"/>
      <w:jc w:val="right"/>
    </w:pPr>
    <w:rPr>
      <w:b/>
      <w:szCs w:val="20"/>
      <w:lang w:eastAsia="fr-BE"/>
    </w:rPr>
  </w:style>
  <w:style w:type="paragraph" w:customStyle="1" w:styleId="EntRefer">
    <w:name w:val="EntRefer"/>
    <w:basedOn w:val="Normal"/>
    <w:pPr>
      <w:widowControl w:val="0"/>
      <w:jc w:val="left"/>
    </w:pPr>
    <w:rPr>
      <w:b/>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jc w:val="left"/>
    </w:pPr>
    <w:rPr>
      <w:szCs w:val="20"/>
      <w:lang w:eastAsia="fr-BE"/>
    </w:rPr>
  </w:style>
  <w:style w:type="paragraph" w:customStyle="1" w:styleId="Par-number1">
    <w:name w:val="Par-number 1."/>
    <w:basedOn w:val="Normal"/>
    <w:next w:val="Normal"/>
    <w:pPr>
      <w:widowControl w:val="0"/>
      <w:numPr>
        <w:numId w:val="7"/>
      </w:numPr>
      <w:tabs>
        <w:tab w:val="num" w:pos="360"/>
      </w:tabs>
      <w:spacing w:line="360" w:lineRule="auto"/>
      <w:jc w:val="left"/>
    </w:pPr>
    <w:rPr>
      <w:szCs w:val="20"/>
      <w:lang w:eastAsia="fr-BE"/>
    </w:rPr>
  </w:style>
  <w:style w:type="paragraph" w:customStyle="1" w:styleId="Par-numberI">
    <w:name w:val="Par-number I."/>
    <w:basedOn w:val="Normal"/>
    <w:next w:val="Normal"/>
    <w:pPr>
      <w:widowControl w:val="0"/>
      <w:tabs>
        <w:tab w:val="num" w:pos="360"/>
      </w:tabs>
      <w:spacing w:line="360" w:lineRule="auto"/>
      <w:jc w:val="left"/>
    </w:pPr>
    <w:rPr>
      <w:szCs w:val="20"/>
      <w:lang w:eastAsia="fr-BE"/>
    </w:rPr>
  </w:style>
  <w:style w:type="character" w:styleId="FootnoteReference">
    <w:name w:val="footnote reference"/>
    <w:basedOn w:val="DefaultParagraphFont"/>
    <w:uiPriority w:val="99"/>
    <w:rPr>
      <w:rFonts w:cs="Times New Roman"/>
      <w:b/>
      <w:vertAlign w:val="superscript"/>
      <w:rtl w:val="0"/>
      <w:cs w:val="0"/>
    </w:rPr>
  </w:style>
  <w:style w:type="paragraph" w:customStyle="1" w:styleId="Par-dash">
    <w:name w:val="Par-dash"/>
    <w:basedOn w:val="Normal"/>
    <w:next w:val="Normal"/>
    <w:pPr>
      <w:widowControl w:val="0"/>
      <w:tabs>
        <w:tab w:val="num" w:pos="360"/>
      </w:tabs>
      <w:spacing w:line="360" w:lineRule="auto"/>
      <w:jc w:val="left"/>
    </w:pPr>
    <w:rPr>
      <w:szCs w:val="20"/>
      <w:lang w:eastAsia="fr-BE"/>
    </w:rPr>
  </w:style>
  <w:style w:type="character" w:styleId="Strong">
    <w:name w:val="Strong"/>
    <w:basedOn w:val="DefaultParagraphFont"/>
    <w:uiPriority w:val="22"/>
    <w:qFormat/>
    <w:rPr>
      <w:rFonts w:cs="Times New Roman"/>
      <w:b/>
      <w:rtl w:val="0"/>
      <w:cs w:val="0"/>
    </w:rPr>
  </w:style>
  <w:style w:type="paragraph" w:customStyle="1" w:styleId="ListParagraph1">
    <w:name w:val="List Paragraph1"/>
    <w:basedOn w:val="Normal"/>
    <w:pPr>
      <w:ind w:left="720"/>
      <w:jc w:val="left"/>
    </w:pPr>
    <w:rPr>
      <w:rFonts w:ascii="Calibri" w:hAnsi="Calibri"/>
      <w:sz w:val="22"/>
      <w:szCs w:val="22"/>
      <w:lang w:val="en-GB" w:eastAsia="fr-BE"/>
    </w:rPr>
  </w:style>
  <w:style w:type="paragraph" w:styleId="FootnoteText">
    <w:name w:val="footnote text"/>
    <w:basedOn w:val="Normal"/>
    <w:link w:val="TextpoznmkypodiarouChar"/>
    <w:uiPriority w:val="99"/>
    <w:pPr>
      <w:widowControl w:val="0"/>
      <w:tabs>
        <w:tab w:val="left" w:pos="567"/>
      </w:tabs>
      <w:ind w:left="567" w:hanging="567"/>
      <w:jc w:val="left"/>
    </w:pPr>
    <w:rPr>
      <w:szCs w:val="20"/>
      <w:lang w:eastAsia="fr-BE"/>
    </w:rPr>
  </w:style>
  <w:style w:type="character" w:customStyle="1" w:styleId="TextpoznmkypodiarouChar">
    <w:name w:val="Text poznámky pod čiarou Char"/>
    <w:basedOn w:val="DefaultParagraphFont"/>
    <w:link w:val="FootnoteText"/>
    <w:uiPriority w:val="99"/>
    <w:locked/>
    <w:rsid w:val="0030234C"/>
    <w:rPr>
      <w:rFonts w:cs="Times New Roman"/>
      <w:sz w:val="24"/>
      <w:rtl w:val="0"/>
      <w:cs w:val="0"/>
      <w:lang w:val="x-none" w:eastAsia="fr-BE"/>
    </w:rPr>
  </w:style>
  <w:style w:type="character" w:styleId="PageNumber">
    <w:name w:val="page number"/>
    <w:basedOn w:val="DefaultParagraphFont"/>
    <w:uiPriority w:val="99"/>
    <w:semiHidden/>
    <w:rPr>
      <w:rFonts w:cs="Times New Roman"/>
      <w:rtl w:val="0"/>
      <w:cs w:val="0"/>
    </w:rPr>
  </w:style>
  <w:style w:type="character" w:customStyle="1" w:styleId="apple-style-span">
    <w:name w:val="apple-style-span"/>
    <w:basedOn w:val="DefaultParagraphFont"/>
    <w:rPr>
      <w:rFonts w:cs="Times New Roman"/>
      <w:rtl w:val="0"/>
      <w:cs w:val="0"/>
    </w:rPr>
  </w:style>
  <w:style w:type="paragraph" w:customStyle="1" w:styleId="Normlny2">
    <w:name w:val="Normálny2"/>
    <w:pPr>
      <w:framePr w:wrap="auto"/>
      <w:widowControl w:val="0"/>
      <w:autoSpaceDE w:val="0"/>
      <w:autoSpaceDN w:val="0"/>
      <w:adjustRightInd/>
      <w:ind w:left="0" w:right="0"/>
      <w:jc w:val="both"/>
      <w:textAlignment w:val="auto"/>
    </w:pPr>
    <w:rPr>
      <w:rFonts w:cs="Times New Roman"/>
      <w:sz w:val="24"/>
      <w:szCs w:val="20"/>
      <w:rtl w:val="0"/>
      <w:cs w:val="0"/>
      <w:lang w:val="en-US" w:eastAsia="sk-SK" w:bidi="ar-SA"/>
    </w:rPr>
  </w:style>
  <w:style w:type="paragraph" w:styleId="BalloonText">
    <w:name w:val="Balloon Text"/>
    <w:basedOn w:val="Normal"/>
    <w:link w:val="TextbublinyChar"/>
    <w:uiPriority w:val="99"/>
    <w:semiHidden/>
    <w:unhideWhenUsed/>
    <w:rsid w:val="00376778"/>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376778"/>
    <w:rPr>
      <w:rFonts w:ascii="Tahoma" w:hAnsi="Tahoma" w:cs="Times New Roman"/>
      <w:sz w:val="16"/>
      <w:rtl w:val="0"/>
      <w:cs w:val="0"/>
    </w:rPr>
  </w:style>
  <w:style w:type="character" w:styleId="CommentReference">
    <w:name w:val="annotation reference"/>
    <w:basedOn w:val="DefaultParagraphFont"/>
    <w:uiPriority w:val="99"/>
    <w:semiHidden/>
    <w:unhideWhenUsed/>
    <w:rsid w:val="0049383C"/>
    <w:rPr>
      <w:rFonts w:cs="Times New Roman"/>
      <w:sz w:val="16"/>
      <w:rtl w:val="0"/>
      <w:cs w:val="0"/>
    </w:rPr>
  </w:style>
  <w:style w:type="paragraph" w:styleId="CommentText">
    <w:name w:val="annotation text"/>
    <w:basedOn w:val="Normal"/>
    <w:link w:val="TextkomentraChar"/>
    <w:uiPriority w:val="99"/>
    <w:semiHidden/>
    <w:unhideWhenUsed/>
    <w:rsid w:val="0049383C"/>
    <w:pPr>
      <w:jc w:val="left"/>
    </w:pPr>
    <w:rPr>
      <w:sz w:val="20"/>
      <w:szCs w:val="20"/>
    </w:rPr>
  </w:style>
  <w:style w:type="character" w:customStyle="1" w:styleId="TextkomentraChar">
    <w:name w:val="Text komentára Char"/>
    <w:basedOn w:val="DefaultParagraphFont"/>
    <w:link w:val="CommentText"/>
    <w:uiPriority w:val="99"/>
    <w:semiHidden/>
    <w:locked/>
    <w:rsid w:val="0049383C"/>
    <w:rPr>
      <w:rFonts w:cs="Times New Roman"/>
      <w:rtl w:val="0"/>
      <w:cs w:val="0"/>
    </w:rPr>
  </w:style>
  <w:style w:type="paragraph" w:styleId="CommentSubject">
    <w:name w:val="annotation subject"/>
    <w:basedOn w:val="CommentText"/>
    <w:next w:val="CommentText"/>
    <w:link w:val="PredmetkomentraChar"/>
    <w:uiPriority w:val="99"/>
    <w:semiHidden/>
    <w:unhideWhenUsed/>
    <w:rsid w:val="0049383C"/>
    <w:pPr>
      <w:jc w:val="left"/>
    </w:pPr>
    <w:rPr>
      <w:b/>
      <w:bCs/>
    </w:rPr>
  </w:style>
  <w:style w:type="character" w:customStyle="1" w:styleId="PredmetkomentraChar">
    <w:name w:val="Predmet komentára Char"/>
    <w:basedOn w:val="TextkomentraChar"/>
    <w:link w:val="CommentSubject"/>
    <w:uiPriority w:val="99"/>
    <w:semiHidden/>
    <w:locked/>
    <w:rsid w:val="0049383C"/>
    <w:rPr>
      <w:b/>
    </w:rPr>
  </w:style>
  <w:style w:type="paragraph" w:customStyle="1" w:styleId="CarcterCarcterCharCarcterCarcterCharCarcterCarcterCharCharCarcterCarcter">
    <w:name w:val="Carácter Carácter Char Carácter Carácter Char Carácter Carácter Char Char Carácter Carácter"/>
    <w:basedOn w:val="Normal"/>
    <w:rsid w:val="0060013D"/>
    <w:pPr>
      <w:jc w:val="left"/>
    </w:pPr>
    <w:rPr>
      <w:lang w:val="pl-PL" w:eastAsia="pl-PL"/>
    </w:rPr>
  </w:style>
  <w:style w:type="character" w:customStyle="1" w:styleId="apple-converted-space">
    <w:name w:val="apple-converted-space"/>
    <w:basedOn w:val="DefaultParagraphFont"/>
    <w:rsid w:val="00C557FD"/>
    <w:rPr>
      <w:rFonts w:cs="Times New Roman"/>
      <w:rtl w:val="0"/>
      <w:cs w:val="0"/>
    </w:rPr>
  </w:style>
  <w:style w:type="character" w:styleId="Hyperlink">
    <w:name w:val="Hyperlink"/>
    <w:basedOn w:val="DefaultParagraphFont"/>
    <w:uiPriority w:val="99"/>
    <w:rsid w:val="00C557FD"/>
    <w:rPr>
      <w:rFonts w:cs="Times New Roman"/>
      <w:color w:val="0000FF"/>
      <w:u w:val="single"/>
      <w:rtl w:val="0"/>
      <w:cs w:val="0"/>
    </w:rPr>
  </w:style>
  <w:style w:type="paragraph" w:customStyle="1" w:styleId="Par-numbera">
    <w:name w:val="Par-number (a)"/>
    <w:basedOn w:val="Normal"/>
    <w:next w:val="Normal"/>
    <w:rsid w:val="00651CB3"/>
    <w:pPr>
      <w:widowControl w:val="0"/>
      <w:tabs>
        <w:tab w:val="num" w:pos="360"/>
      </w:tabs>
      <w:spacing w:line="360" w:lineRule="auto"/>
      <w:jc w:val="left"/>
    </w:pPr>
    <w:rPr>
      <w:szCs w:val="20"/>
      <w:lang w:eastAsia="fr-BE"/>
    </w:rPr>
  </w:style>
  <w:style w:type="paragraph" w:styleId="NormalWeb">
    <w:name w:val="Normal (Web)"/>
    <w:aliases w:val="Normálny (WWW),webb"/>
    <w:basedOn w:val="Normal"/>
    <w:link w:val="NormlnywebovChar"/>
    <w:uiPriority w:val="99"/>
    <w:unhideWhenUsed/>
    <w:qFormat/>
    <w:rsid w:val="00DF2A50"/>
    <w:pPr>
      <w:spacing w:before="100" w:beforeAutospacing="1" w:after="100" w:afterAutospacing="1"/>
      <w:jc w:val="left"/>
    </w:pPr>
  </w:style>
  <w:style w:type="paragraph" w:styleId="ListParagraph">
    <w:name w:val="List Paragraph"/>
    <w:aliases w:val="3,Bullet 1,Bullet Points,Dot pt,Indicator Text,LISTA,List Paragraph Char Char Char,List Paragraph à moi,Listaszerű bekezdés1,Listaszerű bekezdés2,Listaszerű bekezdés3,MAIN CONTENT,No Spacing1,Numbered Para 1,Odsek,Odsek zoznamu4"/>
    <w:basedOn w:val="Normal"/>
    <w:link w:val="OdsekzoznamuChar"/>
    <w:uiPriority w:val="34"/>
    <w:qFormat/>
    <w:rsid w:val="00C20C3C"/>
    <w:pPr>
      <w:ind w:left="708"/>
      <w:jc w:val="left"/>
    </w:pPr>
  </w:style>
  <w:style w:type="character" w:customStyle="1" w:styleId="OdsekzoznamuChar">
    <w:name w:val="Odsek zoznamu Char"/>
    <w:aliases w:val="3 Char,Bullet 1 Char,Dot pt Char,Indicator Text Char,LISTA Char,List Paragraph Char Char Char Char,List Paragraph à moi Char,Listaszerű bekezdés2 Char,Listaszerű bekezdés3 Char,No Spacing1 Char,Numbered Para 1 Char,Odsek zoznamu4 Char"/>
    <w:link w:val="ListParagraph"/>
    <w:uiPriority w:val="34"/>
    <w:qFormat/>
    <w:locked/>
    <w:rsid w:val="007814D1"/>
    <w:rPr>
      <w:sz w:val="24"/>
    </w:rPr>
  </w:style>
  <w:style w:type="character" w:styleId="Emphasis">
    <w:name w:val="Emphasis"/>
    <w:basedOn w:val="DefaultParagraphFont"/>
    <w:uiPriority w:val="20"/>
    <w:qFormat/>
    <w:rsid w:val="009436AA"/>
    <w:rPr>
      <w:rFonts w:cs="Times New Roman"/>
      <w:i/>
      <w:rtl w:val="0"/>
      <w:cs w:val="0"/>
    </w:rPr>
  </w:style>
  <w:style w:type="character" w:customStyle="1" w:styleId="hps">
    <w:name w:val="hps"/>
    <w:rsid w:val="0087040C"/>
  </w:style>
  <w:style w:type="paragraph" w:customStyle="1" w:styleId="xmsonormal">
    <w:name w:val="x_msonormal"/>
    <w:basedOn w:val="Normal"/>
    <w:rsid w:val="008071BD"/>
    <w:pPr>
      <w:spacing w:before="100" w:beforeAutospacing="1" w:after="100" w:afterAutospacing="1"/>
      <w:jc w:val="left"/>
    </w:pPr>
  </w:style>
  <w:style w:type="paragraph" w:customStyle="1" w:styleId="CharChar">
    <w:name w:val="Char Char"/>
    <w:basedOn w:val="Normal"/>
    <w:rsid w:val="00353703"/>
    <w:pPr>
      <w:jc w:val="left"/>
    </w:pPr>
    <w:rPr>
      <w:lang w:val="pl-PL" w:eastAsia="pl-PL"/>
    </w:rPr>
  </w:style>
  <w:style w:type="paragraph" w:styleId="NoSpacing">
    <w:name w:val="No Spacing"/>
    <w:uiPriority w:val="1"/>
    <w:qFormat/>
    <w:rsid w:val="00F77C8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HeadingIVX">
    <w:name w:val="Heading IVX"/>
    <w:basedOn w:val="Normal"/>
    <w:next w:val="Normal"/>
    <w:rsid w:val="006720DF"/>
    <w:pPr>
      <w:numPr>
        <w:numId w:val="8"/>
      </w:numPr>
      <w:tabs>
        <w:tab w:val="num" w:pos="567"/>
      </w:tabs>
      <w:spacing w:before="360" w:after="120" w:line="360" w:lineRule="auto"/>
      <w:ind w:left="567" w:hanging="567"/>
      <w:jc w:val="left"/>
      <w:outlineLvl w:val="0"/>
    </w:pPr>
    <w:rPr>
      <w:b/>
      <w:caps/>
      <w:u w:val="single"/>
      <w:lang w:val="en-GB" w:eastAsia="en-US"/>
    </w:rPr>
  </w:style>
  <w:style w:type="paragraph" w:customStyle="1" w:styleId="Standard">
    <w:name w:val="Standard"/>
    <w:rsid w:val="007814D1"/>
    <w:pPr>
      <w:framePr w:wrap="auto"/>
      <w:widowControl w:val="0"/>
      <w:suppressAutoHyphens/>
      <w:autoSpaceDE/>
      <w:autoSpaceDN w:val="0"/>
      <w:adjustRightInd/>
      <w:ind w:left="0" w:right="0"/>
      <w:jc w:val="left"/>
      <w:textAlignment w:val="baseline"/>
    </w:pPr>
    <w:rPr>
      <w:rFonts w:cs="Tahoma"/>
      <w:kern w:val="3"/>
      <w:sz w:val="24"/>
      <w:szCs w:val="24"/>
      <w:rtl w:val="0"/>
      <w:cs w:val="0"/>
      <w:lang w:val="de-DE" w:eastAsia="ja-JP" w:bidi="fa-IR"/>
    </w:rPr>
  </w:style>
  <w:style w:type="paragraph" w:customStyle="1" w:styleId="Default">
    <w:name w:val="Default"/>
    <w:rsid w:val="007814D1"/>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Vykonaj">
    <w:name w:val="Vykonajú"/>
    <w:basedOn w:val="Normal"/>
    <w:next w:val="Normal"/>
    <w:uiPriority w:val="99"/>
    <w:rsid w:val="006240C8"/>
    <w:pPr>
      <w:keepNext/>
      <w:spacing w:before="360"/>
      <w:jc w:val="left"/>
    </w:pPr>
    <w:rPr>
      <w:b/>
      <w:bCs/>
    </w:rPr>
  </w:style>
  <w:style w:type="paragraph" w:customStyle="1" w:styleId="Navedomie">
    <w:name w:val="Na vedomie"/>
    <w:basedOn w:val="Normal"/>
    <w:next w:val="Normal"/>
    <w:uiPriority w:val="99"/>
    <w:rsid w:val="006240C8"/>
    <w:pPr>
      <w:spacing w:before="360"/>
      <w:jc w:val="left"/>
    </w:pPr>
    <w:rPr>
      <w:b/>
      <w:bCs/>
    </w:rPr>
  </w:style>
  <w:style w:type="paragraph" w:customStyle="1" w:styleId="Nosite">
    <w:name w:val="Nositeľ"/>
    <w:basedOn w:val="Zakladnystyl"/>
    <w:next w:val="Heading2"/>
    <w:uiPriority w:val="99"/>
    <w:rsid w:val="006240C8"/>
    <w:pPr>
      <w:spacing w:before="240" w:after="120"/>
      <w:ind w:left="567"/>
      <w:jc w:val="left"/>
    </w:pPr>
    <w:rPr>
      <w:b/>
      <w:bCs/>
    </w:rPr>
  </w:style>
  <w:style w:type="paragraph" w:customStyle="1" w:styleId="NormalCentered">
    <w:name w:val="Normal Centered"/>
    <w:basedOn w:val="Normal"/>
    <w:rsid w:val="0030234C"/>
    <w:pPr>
      <w:spacing w:before="200" w:after="120" w:line="360" w:lineRule="auto"/>
      <w:jc w:val="center"/>
    </w:pPr>
    <w:rPr>
      <w:lang w:eastAsia="en-US"/>
    </w:rPr>
  </w:style>
  <w:style w:type="paragraph" w:customStyle="1" w:styleId="HeaderCouncil">
    <w:name w:val="Header Council"/>
    <w:basedOn w:val="Normal"/>
    <w:rsid w:val="0030234C"/>
    <w:pPr>
      <w:jc w:val="left"/>
    </w:pPr>
    <w:rPr>
      <w:sz w:val="2"/>
      <w:lang w:eastAsia="en-US"/>
    </w:rPr>
  </w:style>
  <w:style w:type="paragraph" w:customStyle="1" w:styleId="FooterCouncil">
    <w:name w:val="Footer Council"/>
    <w:basedOn w:val="Normal"/>
    <w:rsid w:val="0030234C"/>
    <w:pPr>
      <w:jc w:val="left"/>
    </w:pPr>
    <w:rPr>
      <w:sz w:val="2"/>
      <w:lang w:eastAsia="en-US"/>
    </w:rPr>
  </w:style>
  <w:style w:type="paragraph" w:customStyle="1" w:styleId="TechnicalBlock">
    <w:name w:val="Technical Block"/>
    <w:basedOn w:val="Normal"/>
    <w:next w:val="Normal"/>
    <w:link w:val="TechnicalBlockChar"/>
    <w:rsid w:val="0030234C"/>
    <w:pPr>
      <w:spacing w:after="240"/>
      <w:jc w:val="center"/>
    </w:pPr>
    <w:rPr>
      <w:lang w:eastAsia="en-US"/>
    </w:rPr>
  </w:style>
  <w:style w:type="character" w:customStyle="1" w:styleId="TechnicalBlockChar">
    <w:name w:val="Technical Block Char"/>
    <w:link w:val="TechnicalBlock"/>
    <w:locked/>
    <w:rsid w:val="0030234C"/>
    <w:rPr>
      <w:sz w:val="24"/>
      <w:lang w:val="x-none" w:eastAsia="en-US"/>
    </w:rPr>
  </w:style>
  <w:style w:type="paragraph" w:customStyle="1" w:styleId="FinalLine">
    <w:name w:val="Final Line"/>
    <w:basedOn w:val="Normal"/>
    <w:next w:val="Normal"/>
    <w:rsid w:val="0030234C"/>
    <w:pPr>
      <w:pBdr>
        <w:bottom w:val="single" w:sz="4" w:space="0" w:color="000000"/>
      </w:pBdr>
      <w:spacing w:before="360" w:after="120" w:line="360" w:lineRule="auto"/>
      <w:ind w:left="3400" w:right="3400"/>
      <w:jc w:val="center"/>
    </w:pPr>
    <w:rPr>
      <w:b/>
      <w:lang w:eastAsia="en-US"/>
    </w:rPr>
  </w:style>
  <w:style w:type="paragraph" w:customStyle="1" w:styleId="Text1">
    <w:name w:val="Text 1"/>
    <w:basedOn w:val="Normal"/>
    <w:rsid w:val="0030234C"/>
    <w:pPr>
      <w:spacing w:before="120" w:after="120" w:line="360" w:lineRule="auto"/>
      <w:ind w:left="567"/>
      <w:jc w:val="left"/>
      <w:outlineLvl w:val="0"/>
    </w:pPr>
    <w:rPr>
      <w:lang w:eastAsia="en-US"/>
    </w:rPr>
  </w:style>
  <w:style w:type="paragraph" w:customStyle="1" w:styleId="Text2">
    <w:name w:val="Text 2"/>
    <w:basedOn w:val="Normal"/>
    <w:rsid w:val="0030234C"/>
    <w:pPr>
      <w:spacing w:before="120" w:after="120" w:line="360" w:lineRule="auto"/>
      <w:ind w:left="1134"/>
      <w:jc w:val="left"/>
      <w:outlineLvl w:val="1"/>
    </w:pPr>
    <w:rPr>
      <w:lang w:eastAsia="en-US"/>
    </w:rPr>
  </w:style>
  <w:style w:type="paragraph" w:customStyle="1" w:styleId="Annex">
    <w:name w:val="Annex"/>
    <w:basedOn w:val="Normal"/>
    <w:next w:val="Normal"/>
    <w:rsid w:val="0030234C"/>
    <w:pPr>
      <w:spacing w:before="120" w:after="120" w:line="360" w:lineRule="auto"/>
      <w:jc w:val="right"/>
    </w:pPr>
    <w:rPr>
      <w:b/>
      <w:u w:val="single"/>
      <w:lang w:eastAsia="en-US"/>
    </w:rPr>
  </w:style>
  <w:style w:type="paragraph" w:customStyle="1" w:styleId="HeaderCouncilLarge">
    <w:name w:val="Header Council Large"/>
    <w:basedOn w:val="Normal"/>
    <w:link w:val="HeaderCouncilLargeChar"/>
    <w:rsid w:val="0030234C"/>
    <w:pPr>
      <w:spacing w:after="440" w:line="360" w:lineRule="auto"/>
      <w:ind w:left="-1134" w:right="-1134"/>
      <w:jc w:val="left"/>
    </w:pPr>
    <w:rPr>
      <w:sz w:val="2"/>
      <w:lang w:val="en-GB" w:eastAsia="en-US"/>
    </w:rPr>
  </w:style>
  <w:style w:type="character" w:customStyle="1" w:styleId="HeaderCouncilLargeChar">
    <w:name w:val="Header Council Large Char"/>
    <w:link w:val="HeaderCouncilLarge"/>
    <w:locked/>
    <w:rsid w:val="0030234C"/>
    <w:rPr>
      <w:sz w:val="24"/>
      <w:lang w:val="en-GB" w:eastAsia="en-US"/>
    </w:rPr>
  </w:style>
  <w:style w:type="paragraph" w:customStyle="1" w:styleId="FooterText">
    <w:name w:val="Footer Text"/>
    <w:basedOn w:val="Normal"/>
    <w:rsid w:val="0030234C"/>
    <w:pPr>
      <w:jc w:val="left"/>
    </w:pPr>
    <w:rPr>
      <w:lang w:eastAsia="en-US"/>
    </w:rPr>
  </w:style>
  <w:style w:type="paragraph" w:customStyle="1" w:styleId="HeaderMeetingDate">
    <w:name w:val="HeaderMeetingDate"/>
    <w:basedOn w:val="Normal"/>
    <w:rsid w:val="0030234C"/>
    <w:pPr>
      <w:jc w:val="center"/>
    </w:pPr>
    <w:rPr>
      <w:i/>
      <w:iCs/>
      <w:lang w:eastAsia="en-US"/>
    </w:rPr>
  </w:style>
  <w:style w:type="paragraph" w:customStyle="1" w:styleId="Point1">
    <w:name w:val="Point 1"/>
    <w:basedOn w:val="Normal"/>
    <w:rsid w:val="0030234C"/>
    <w:pPr>
      <w:spacing w:before="120" w:after="120" w:line="360" w:lineRule="auto"/>
      <w:ind w:left="1417" w:hanging="567"/>
      <w:jc w:val="left"/>
      <w:outlineLvl w:val="0"/>
    </w:pPr>
    <w:rPr>
      <w:lang w:eastAsia="en-US"/>
    </w:rPr>
  </w:style>
  <w:style w:type="paragraph" w:customStyle="1" w:styleId="Tiret0">
    <w:name w:val="Tiret 0"/>
    <w:basedOn w:val="Normal"/>
    <w:rsid w:val="0030234C"/>
    <w:pPr>
      <w:numPr>
        <w:numId w:val="9"/>
      </w:numPr>
      <w:tabs>
        <w:tab w:val="num" w:pos="850"/>
      </w:tabs>
      <w:spacing w:before="120" w:after="120" w:line="360" w:lineRule="auto"/>
      <w:ind w:left="850" w:hanging="850"/>
      <w:jc w:val="left"/>
    </w:pPr>
    <w:rPr>
      <w:lang w:eastAsia="en-US"/>
    </w:rPr>
  </w:style>
  <w:style w:type="paragraph" w:customStyle="1" w:styleId="ManualNumPar1">
    <w:name w:val="Manual NumPar 1"/>
    <w:basedOn w:val="Normal"/>
    <w:next w:val="Text1"/>
    <w:rsid w:val="0030234C"/>
    <w:pPr>
      <w:spacing w:before="120" w:after="120" w:line="360" w:lineRule="auto"/>
      <w:ind w:left="850" w:hanging="850"/>
      <w:jc w:val="left"/>
      <w:outlineLvl w:val="0"/>
    </w:pPr>
    <w:rPr>
      <w:lang w:eastAsia="en-US"/>
    </w:rPr>
  </w:style>
  <w:style w:type="paragraph" w:customStyle="1" w:styleId="Formuledadoption">
    <w:name w:val="Formule d'adoption"/>
    <w:basedOn w:val="Normal"/>
    <w:next w:val="Normal"/>
    <w:rsid w:val="0030234C"/>
    <w:pPr>
      <w:keepNext/>
      <w:spacing w:before="120" w:after="120" w:line="360" w:lineRule="auto"/>
      <w:jc w:val="left"/>
    </w:pPr>
    <w:rPr>
      <w:lang w:eastAsia="en-US"/>
    </w:rPr>
  </w:style>
  <w:style w:type="paragraph" w:customStyle="1" w:styleId="Fait">
    <w:name w:val="Fait à"/>
    <w:basedOn w:val="Normal"/>
    <w:next w:val="Institutionquisigne"/>
    <w:rsid w:val="0030234C"/>
    <w:pPr>
      <w:keepNext/>
      <w:spacing w:before="120" w:line="360" w:lineRule="auto"/>
      <w:jc w:val="left"/>
    </w:pPr>
    <w:rPr>
      <w:lang w:eastAsia="en-US"/>
    </w:rPr>
  </w:style>
  <w:style w:type="paragraph" w:customStyle="1" w:styleId="Institutionquisigne">
    <w:name w:val="Institution qui signe"/>
    <w:basedOn w:val="Normal"/>
    <w:next w:val="Personnequisigne"/>
    <w:rsid w:val="0030234C"/>
    <w:pPr>
      <w:keepNext/>
      <w:tabs>
        <w:tab w:val="left" w:pos="5669"/>
      </w:tabs>
      <w:spacing w:before="720" w:line="360" w:lineRule="auto"/>
      <w:jc w:val="left"/>
    </w:pPr>
    <w:rPr>
      <w:i/>
      <w:lang w:eastAsia="en-US"/>
    </w:rPr>
  </w:style>
  <w:style w:type="paragraph" w:customStyle="1" w:styleId="Personnequisigne">
    <w:name w:val="Personne qui signe"/>
    <w:basedOn w:val="Normal"/>
    <w:next w:val="Institutionquisigne"/>
    <w:rsid w:val="0030234C"/>
    <w:pPr>
      <w:tabs>
        <w:tab w:val="left" w:pos="5669"/>
      </w:tabs>
      <w:spacing w:line="360" w:lineRule="auto"/>
      <w:jc w:val="left"/>
    </w:pPr>
    <w:rPr>
      <w:i/>
      <w:lang w:eastAsia="en-US"/>
    </w:rPr>
  </w:style>
  <w:style w:type="paragraph" w:customStyle="1" w:styleId="Institutionquiagit">
    <w:name w:val="Institution qui agit"/>
    <w:basedOn w:val="Normal"/>
    <w:next w:val="Normal"/>
    <w:rsid w:val="0030234C"/>
    <w:pPr>
      <w:keepNext/>
      <w:spacing w:before="600" w:after="120" w:line="360" w:lineRule="auto"/>
      <w:jc w:val="left"/>
    </w:pPr>
    <w:rPr>
      <w:lang w:eastAsia="en-US"/>
    </w:rPr>
  </w:style>
  <w:style w:type="paragraph" w:customStyle="1" w:styleId="ManualConsidrant">
    <w:name w:val="Manual Considérant"/>
    <w:basedOn w:val="Normal"/>
    <w:rsid w:val="0030234C"/>
    <w:pPr>
      <w:spacing w:before="120" w:after="120" w:line="360" w:lineRule="auto"/>
      <w:ind w:left="850" w:hanging="850"/>
      <w:jc w:val="left"/>
    </w:pPr>
    <w:rPr>
      <w:lang w:eastAsia="en-US"/>
    </w:rPr>
  </w:style>
  <w:style w:type="paragraph" w:customStyle="1" w:styleId="Titrearticle">
    <w:name w:val="Titre article"/>
    <w:basedOn w:val="Normal"/>
    <w:next w:val="Normal"/>
    <w:rsid w:val="0030234C"/>
    <w:pPr>
      <w:keepNext/>
      <w:spacing w:before="360" w:after="120" w:line="360" w:lineRule="auto"/>
      <w:jc w:val="center"/>
    </w:pPr>
    <w:rPr>
      <w:i/>
      <w:lang w:eastAsia="en-US"/>
    </w:rPr>
  </w:style>
  <w:style w:type="paragraph" w:styleId="ListBullet3">
    <w:name w:val="List Bullet 3"/>
    <w:basedOn w:val="Normal"/>
    <w:uiPriority w:val="99"/>
    <w:semiHidden/>
    <w:unhideWhenUsed/>
    <w:rsid w:val="004D4B5B"/>
    <w:pPr>
      <w:numPr>
        <w:numId w:val="7"/>
      </w:numPr>
      <w:tabs>
        <w:tab w:val="num" w:pos="567"/>
        <w:tab w:val="num" w:pos="850"/>
        <w:tab w:val="num" w:pos="926"/>
      </w:tabs>
      <w:spacing w:before="120" w:after="120" w:line="360" w:lineRule="auto"/>
      <w:ind w:left="926" w:hanging="360"/>
      <w:contextualSpacing/>
      <w:jc w:val="left"/>
    </w:pPr>
    <w:rPr>
      <w:lang w:eastAsia="en-US"/>
    </w:rPr>
  </w:style>
  <w:style w:type="paragraph" w:customStyle="1" w:styleId="Pointabc">
    <w:name w:val="Point abc"/>
    <w:basedOn w:val="Normal"/>
    <w:uiPriority w:val="99"/>
    <w:rsid w:val="00FA0236"/>
    <w:pPr>
      <w:numPr>
        <w:ilvl w:val="1"/>
        <w:numId w:val="11"/>
      </w:numPr>
      <w:spacing w:before="120" w:after="120" w:line="360" w:lineRule="auto"/>
      <w:ind w:left="1440" w:hanging="360"/>
      <w:jc w:val="left"/>
    </w:pPr>
    <w:rPr>
      <w:szCs w:val="22"/>
      <w:lang w:eastAsia="en-US"/>
    </w:rPr>
  </w:style>
  <w:style w:type="paragraph" w:customStyle="1" w:styleId="Pointabc1">
    <w:name w:val="Point abc (1)"/>
    <w:basedOn w:val="Normal"/>
    <w:uiPriority w:val="99"/>
    <w:rsid w:val="00FA0236"/>
    <w:pPr>
      <w:numPr>
        <w:ilvl w:val="3"/>
        <w:numId w:val="11"/>
      </w:numPr>
      <w:spacing w:before="120" w:after="120" w:line="360" w:lineRule="auto"/>
      <w:ind w:left="2880" w:hanging="360"/>
      <w:jc w:val="left"/>
    </w:pPr>
    <w:rPr>
      <w:szCs w:val="22"/>
      <w:lang w:eastAsia="en-US"/>
    </w:rPr>
  </w:style>
  <w:style w:type="paragraph" w:customStyle="1" w:styleId="Pointabc2">
    <w:name w:val="Point abc (2)"/>
    <w:basedOn w:val="Normal"/>
    <w:uiPriority w:val="99"/>
    <w:rsid w:val="00FA0236"/>
    <w:pPr>
      <w:numPr>
        <w:ilvl w:val="5"/>
        <w:numId w:val="11"/>
      </w:numPr>
      <w:spacing w:before="120" w:after="120" w:line="360" w:lineRule="auto"/>
      <w:ind w:left="4320" w:hanging="360"/>
      <w:jc w:val="left"/>
    </w:pPr>
    <w:rPr>
      <w:szCs w:val="22"/>
      <w:lang w:eastAsia="en-US"/>
    </w:rPr>
  </w:style>
  <w:style w:type="paragraph" w:customStyle="1" w:styleId="Pointabc3">
    <w:name w:val="Point abc (3)"/>
    <w:basedOn w:val="Normal"/>
    <w:uiPriority w:val="99"/>
    <w:rsid w:val="00FA0236"/>
    <w:pPr>
      <w:spacing w:before="120" w:after="120" w:line="360" w:lineRule="auto"/>
      <w:ind w:left="5760" w:hanging="360"/>
      <w:jc w:val="left"/>
    </w:pPr>
    <w:rPr>
      <w:szCs w:val="22"/>
      <w:lang w:eastAsia="en-US"/>
    </w:rPr>
  </w:style>
  <w:style w:type="paragraph" w:customStyle="1" w:styleId="Pointabc4">
    <w:name w:val="Point abc (4)"/>
    <w:basedOn w:val="Normal"/>
    <w:uiPriority w:val="99"/>
    <w:rsid w:val="00FA0236"/>
    <w:pPr>
      <w:spacing w:before="120" w:after="120" w:line="360" w:lineRule="auto"/>
      <w:ind w:left="6480" w:hanging="360"/>
      <w:jc w:val="left"/>
    </w:pPr>
    <w:rPr>
      <w:szCs w:val="22"/>
      <w:lang w:eastAsia="en-US"/>
    </w:rPr>
  </w:style>
  <w:style w:type="paragraph" w:customStyle="1" w:styleId="Point123">
    <w:name w:val="Point 123"/>
    <w:basedOn w:val="Normal"/>
    <w:uiPriority w:val="99"/>
    <w:rsid w:val="00FA0236"/>
    <w:pPr>
      <w:spacing w:before="120" w:after="120" w:line="360" w:lineRule="auto"/>
      <w:ind w:left="720" w:hanging="360"/>
      <w:jc w:val="left"/>
    </w:pPr>
    <w:rPr>
      <w:szCs w:val="22"/>
      <w:lang w:eastAsia="en-US"/>
    </w:rPr>
  </w:style>
  <w:style w:type="paragraph" w:customStyle="1" w:styleId="Point1231">
    <w:name w:val="Point 123 (1)"/>
    <w:basedOn w:val="Normal"/>
    <w:uiPriority w:val="99"/>
    <w:rsid w:val="00FA0236"/>
    <w:pPr>
      <w:spacing w:before="120" w:after="120" w:line="360" w:lineRule="auto"/>
      <w:ind w:left="2160" w:hanging="360"/>
      <w:jc w:val="left"/>
    </w:pPr>
    <w:rPr>
      <w:szCs w:val="22"/>
      <w:lang w:eastAsia="en-US"/>
    </w:rPr>
  </w:style>
  <w:style w:type="paragraph" w:customStyle="1" w:styleId="Point1232">
    <w:name w:val="Point 123 (2)"/>
    <w:basedOn w:val="Normal"/>
    <w:uiPriority w:val="99"/>
    <w:rsid w:val="00FA0236"/>
    <w:pPr>
      <w:spacing w:before="120" w:after="120" w:line="360" w:lineRule="auto"/>
      <w:ind w:left="3600" w:hanging="360"/>
      <w:jc w:val="left"/>
    </w:pPr>
    <w:rPr>
      <w:szCs w:val="22"/>
      <w:lang w:eastAsia="en-US"/>
    </w:rPr>
  </w:style>
  <w:style w:type="paragraph" w:customStyle="1" w:styleId="Point1233">
    <w:name w:val="Point 123 (3)"/>
    <w:basedOn w:val="Normal"/>
    <w:uiPriority w:val="99"/>
    <w:rsid w:val="00FA0236"/>
    <w:pPr>
      <w:spacing w:before="120" w:after="120" w:line="360" w:lineRule="auto"/>
      <w:ind w:left="5040" w:hanging="360"/>
      <w:jc w:val="left"/>
    </w:pPr>
    <w:rPr>
      <w:szCs w:val="22"/>
      <w:lang w:eastAsia="en-US"/>
    </w:rPr>
  </w:style>
  <w:style w:type="character" w:customStyle="1" w:styleId="Marker">
    <w:name w:val="Marker"/>
    <w:rsid w:val="00FA0236"/>
    <w:rPr>
      <w:color w:val="0000FF"/>
      <w:shd w:val="clear" w:color="auto" w:fill="auto"/>
    </w:rPr>
  </w:style>
  <w:style w:type="paragraph" w:customStyle="1" w:styleId="Heading1orobas">
    <w:name w:val="Heading 1.Čo robí (časť)"/>
    <w:basedOn w:val="Normal"/>
    <w:next w:val="Normal"/>
    <w:uiPriority w:val="99"/>
    <w:rsid w:val="0016449F"/>
    <w:pPr>
      <w:keepNext/>
      <w:autoSpaceDE w:val="0"/>
      <w:autoSpaceDN w:val="0"/>
      <w:spacing w:before="360"/>
      <w:ind w:left="283" w:hanging="283"/>
      <w:jc w:val="left"/>
    </w:pPr>
    <w:rPr>
      <w:b/>
      <w:bCs/>
      <w:kern w:val="32"/>
      <w:sz w:val="28"/>
      <w:szCs w:val="28"/>
      <w:lang w:eastAsia="en-US"/>
    </w:rPr>
  </w:style>
  <w:style w:type="paragraph" w:customStyle="1" w:styleId="Heading2loha">
    <w:name w:val="Heading 2.Úloha"/>
    <w:basedOn w:val="Normal"/>
    <w:uiPriority w:val="99"/>
    <w:rsid w:val="0016449F"/>
    <w:pPr>
      <w:autoSpaceDE w:val="0"/>
      <w:autoSpaceDN w:val="0"/>
      <w:spacing w:before="120"/>
      <w:ind w:left="283" w:hanging="283"/>
      <w:jc w:val="both"/>
    </w:pPr>
    <w:rPr>
      <w:sz w:val="20"/>
      <w:szCs w:val="20"/>
      <w:lang w:eastAsia="en-US"/>
    </w:rPr>
  </w:style>
  <w:style w:type="paragraph" w:customStyle="1" w:styleId="Heading3Podloha">
    <w:name w:val="Heading 3.Podúloha"/>
    <w:basedOn w:val="Normal"/>
    <w:uiPriority w:val="99"/>
    <w:rsid w:val="0016449F"/>
    <w:pPr>
      <w:keepNext/>
      <w:autoSpaceDE w:val="0"/>
      <w:autoSpaceDN w:val="0"/>
      <w:spacing w:before="120"/>
      <w:ind w:left="2269" w:hanging="283"/>
      <w:jc w:val="left"/>
    </w:pPr>
    <w:rPr>
      <w:sz w:val="20"/>
      <w:szCs w:val="20"/>
      <w:lang w:eastAsia="en-US"/>
    </w:rPr>
  </w:style>
  <w:style w:type="paragraph" w:customStyle="1" w:styleId="Heading4Termn">
    <w:name w:val="Heading 4.Termín"/>
    <w:basedOn w:val="Normal"/>
    <w:next w:val="Heading2loha"/>
    <w:uiPriority w:val="99"/>
    <w:rsid w:val="0016449F"/>
    <w:pPr>
      <w:autoSpaceDE w:val="0"/>
      <w:autoSpaceDN w:val="0"/>
      <w:spacing w:before="120" w:after="120"/>
      <w:ind w:left="283" w:hanging="283"/>
      <w:jc w:val="left"/>
    </w:pPr>
    <w:rPr>
      <w:i/>
      <w:iCs/>
      <w:sz w:val="20"/>
      <w:szCs w:val="20"/>
      <w:lang w:eastAsia="en-US"/>
    </w:rPr>
  </w:style>
  <w:style w:type="paragraph" w:customStyle="1" w:styleId="Vykonajzoznam">
    <w:name w:val="Vykonajú_zoznam"/>
    <w:basedOn w:val="Normal"/>
    <w:uiPriority w:val="99"/>
    <w:rsid w:val="0016449F"/>
    <w:pPr>
      <w:autoSpaceDE w:val="0"/>
      <w:autoSpaceDN w:val="0"/>
      <w:ind w:left="1418"/>
      <w:jc w:val="left"/>
    </w:pPr>
    <w:rPr>
      <w:sz w:val="20"/>
      <w:szCs w:val="20"/>
      <w:lang w:eastAsia="en-US"/>
    </w:rPr>
  </w:style>
  <w:style w:type="table" w:styleId="TableGrid">
    <w:name w:val="Table Grid"/>
    <w:basedOn w:val="TableNormal"/>
    <w:uiPriority w:val="59"/>
    <w:unhideWhenUsed/>
    <w:rsid w:val="0016449F"/>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SpravaSKPRESzaveryvedenia">
    <w:name w:val="0 Sprava SK PRES zavery vedenia"/>
    <w:basedOn w:val="Heading4"/>
    <w:link w:val="0SpravaSKPRESzaveryvedeniaChar"/>
    <w:qFormat/>
    <w:rsid w:val="001A38A1"/>
    <w:pPr>
      <w:spacing w:line="276" w:lineRule="auto"/>
      <w:jc w:val="center"/>
    </w:pPr>
    <w:rPr>
      <w:bCs w:val="0"/>
      <w:lang w:eastAsia="en-US"/>
    </w:rPr>
  </w:style>
  <w:style w:type="character" w:customStyle="1" w:styleId="0SpravaSKPRESzaveryvedeniaChar">
    <w:name w:val="0 Sprava SK PRES zavery vedenia Char"/>
    <w:link w:val="0SpravaSKPRESzaveryvedenia"/>
    <w:locked/>
    <w:rsid w:val="001A38A1"/>
    <w:rPr>
      <w:rFonts w:eastAsia="Times New Roman"/>
      <w:b/>
      <w:sz w:val="24"/>
      <w:lang w:val="x-none" w:eastAsia="en-US"/>
    </w:rPr>
  </w:style>
  <w:style w:type="paragraph" w:customStyle="1" w:styleId="0SpravaSKPRESVPLYVY">
    <w:name w:val="0 Sprava SK PRES VPLYVY"/>
    <w:basedOn w:val="Heading3"/>
    <w:link w:val="0SpravaSKPRESVPLYVYChar"/>
    <w:qFormat/>
    <w:rsid w:val="001A38A1"/>
    <w:pPr>
      <w:tabs>
        <w:tab w:val="left" w:pos="3310"/>
      </w:tabs>
      <w:contextualSpacing/>
      <w:jc w:val="center"/>
    </w:pPr>
    <w:rPr>
      <w:caps/>
    </w:rPr>
  </w:style>
  <w:style w:type="character" w:customStyle="1" w:styleId="0SpravaSKPRESVPLYVYChar">
    <w:name w:val="0 Sprava SK PRES VPLYVY Char"/>
    <w:link w:val="0SpravaSKPRESVPLYVY"/>
    <w:locked/>
    <w:rsid w:val="001A38A1"/>
    <w:rPr>
      <w:b/>
      <w:caps/>
      <w:sz w:val="24"/>
      <w:lang w:val="x-none" w:eastAsia="en-US"/>
    </w:rPr>
  </w:style>
  <w:style w:type="paragraph" w:styleId="EndnoteText">
    <w:name w:val="endnote text"/>
    <w:basedOn w:val="Normal"/>
    <w:link w:val="TextvysvetlivkyChar"/>
    <w:uiPriority w:val="99"/>
    <w:semiHidden/>
    <w:unhideWhenUsed/>
    <w:rsid w:val="00C94184"/>
    <w:pPr>
      <w:jc w:val="left"/>
    </w:pPr>
    <w:rPr>
      <w:sz w:val="20"/>
      <w:szCs w:val="20"/>
    </w:rPr>
  </w:style>
  <w:style w:type="character" w:customStyle="1" w:styleId="TextvysvetlivkyChar">
    <w:name w:val="Text vysvetlivky Char"/>
    <w:basedOn w:val="DefaultParagraphFont"/>
    <w:link w:val="EndnoteText"/>
    <w:uiPriority w:val="99"/>
    <w:semiHidden/>
    <w:locked/>
    <w:rsid w:val="00C94184"/>
    <w:rPr>
      <w:rFonts w:cs="Times New Roman"/>
      <w:rtl w:val="0"/>
      <w:cs w:val="0"/>
    </w:rPr>
  </w:style>
  <w:style w:type="character" w:styleId="EndnoteReference">
    <w:name w:val="endnote reference"/>
    <w:basedOn w:val="DefaultParagraphFont"/>
    <w:uiPriority w:val="99"/>
    <w:semiHidden/>
    <w:unhideWhenUsed/>
    <w:rsid w:val="00C94184"/>
    <w:rPr>
      <w:rFonts w:cs="Times New Roman"/>
      <w:vertAlign w:val="superscript"/>
      <w:rtl w:val="0"/>
      <w:cs w:val="0"/>
    </w:rPr>
  </w:style>
  <w:style w:type="character" w:styleId="FollowedHyperlink">
    <w:name w:val="FollowedHyperlink"/>
    <w:basedOn w:val="DefaultParagraphFont"/>
    <w:uiPriority w:val="99"/>
    <w:semiHidden/>
    <w:unhideWhenUsed/>
    <w:rsid w:val="008B2738"/>
    <w:rPr>
      <w:rFonts w:cs="Times New Roman"/>
      <w:color w:val="954F72"/>
      <w:u w:val="single"/>
      <w:rtl w:val="0"/>
      <w:cs w:val="0"/>
    </w:rPr>
  </w:style>
  <w:style w:type="paragraph" w:styleId="PlainText">
    <w:name w:val="Plain Text"/>
    <w:basedOn w:val="Normal"/>
    <w:link w:val="ObyajntextChar"/>
    <w:uiPriority w:val="99"/>
    <w:unhideWhenUsed/>
    <w:rsid w:val="003C0123"/>
    <w:pPr>
      <w:jc w:val="left"/>
    </w:pPr>
    <w:rPr>
      <w:rFonts w:ascii="Calibri" w:hAnsi="Calibri"/>
      <w:sz w:val="22"/>
      <w:szCs w:val="21"/>
      <w:lang w:eastAsia="en-US"/>
    </w:rPr>
  </w:style>
  <w:style w:type="character" w:customStyle="1" w:styleId="ObyajntextChar">
    <w:name w:val="Obyčajný text Char"/>
    <w:basedOn w:val="DefaultParagraphFont"/>
    <w:link w:val="PlainText"/>
    <w:uiPriority w:val="99"/>
    <w:locked/>
    <w:rsid w:val="003C0123"/>
    <w:rPr>
      <w:rFonts w:ascii="Calibri" w:hAnsi="Calibri" w:cs="Times New Roman"/>
      <w:sz w:val="21"/>
      <w:rtl w:val="0"/>
      <w:cs w:val="0"/>
      <w:lang w:val="x-none" w:eastAsia="en-US"/>
    </w:rPr>
  </w:style>
  <w:style w:type="paragraph" w:customStyle="1" w:styleId="ParaAttribute1">
    <w:name w:val="ParaAttribute1"/>
    <w:rsid w:val="003C0123"/>
    <w:pPr>
      <w:framePr w:wrap="auto"/>
      <w:widowControl/>
      <w:autoSpaceDE/>
      <w:autoSpaceDN/>
      <w:adjustRightInd/>
      <w:spacing w:after="200"/>
      <w:ind w:left="0" w:right="0"/>
      <w:jc w:val="both"/>
      <w:textAlignment w:val="auto"/>
    </w:pPr>
    <w:rPr>
      <w:rFonts w:ascii="Times New Roman" w:eastAsia="Batang" w:hAnsi="Times New Roman" w:cs="Times New Roman"/>
      <w:sz w:val="20"/>
      <w:szCs w:val="20"/>
      <w:rtl w:val="0"/>
      <w:cs w:val="0"/>
      <w:lang w:val="sk-SK" w:eastAsia="sk-SK" w:bidi="ar-SA"/>
    </w:rPr>
  </w:style>
  <w:style w:type="character" w:customStyle="1" w:styleId="CharAttribute3">
    <w:name w:val="CharAttribute3"/>
    <w:rsid w:val="003C0123"/>
    <w:rPr>
      <w:rFonts w:ascii="Times New Roman" w:eastAsia="Times New Roman"/>
      <w:sz w:val="24"/>
    </w:rPr>
  </w:style>
  <w:style w:type="character" w:customStyle="1" w:styleId="CharAttribute4">
    <w:name w:val="CharAttribute4"/>
    <w:rsid w:val="003C0123"/>
    <w:rPr>
      <w:rFonts w:ascii="Times New Roman" w:eastAsia="Times New Roman"/>
      <w:b/>
      <w:sz w:val="24"/>
    </w:rPr>
  </w:style>
  <w:style w:type="character" w:customStyle="1" w:styleId="CharAttribute16">
    <w:name w:val="CharAttribute16"/>
    <w:rsid w:val="003C0123"/>
    <w:rPr>
      <w:rFonts w:ascii="Times New Roman" w:eastAsia="Times New Roman"/>
      <w:color w:val="0070C0"/>
      <w:sz w:val="24"/>
    </w:rPr>
  </w:style>
  <w:style w:type="character" w:customStyle="1" w:styleId="NormlnywebovChar">
    <w:name w:val="Normálny (webový) Char"/>
    <w:aliases w:val="Normálny (WWW) Char,webb Char"/>
    <w:link w:val="NormalWeb"/>
    <w:locked/>
    <w:rsid w:val="003C0123"/>
    <w:rPr>
      <w:sz w:val="24"/>
    </w:rPr>
  </w:style>
  <w:style w:type="paragraph" w:customStyle="1" w:styleId="Odsekzoznamu1">
    <w:name w:val="Odsek zoznamu1"/>
    <w:basedOn w:val="Normal"/>
    <w:rsid w:val="003C0123"/>
    <w:pPr>
      <w:suppressAutoHyphens/>
      <w:spacing w:after="200" w:line="276" w:lineRule="auto"/>
      <w:ind w:left="720"/>
      <w:contextualSpacing/>
      <w:jc w:val="left"/>
    </w:pPr>
    <w:rPr>
      <w:rFonts w:ascii="Calibri" w:eastAsia="SimSun" w:hAnsi="Calibri" w:cs="Calibri"/>
      <w:kern w:val="1"/>
      <w:sz w:val="22"/>
      <w:szCs w:val="22"/>
      <w:lang w:eastAsia="en-US"/>
    </w:rPr>
  </w:style>
  <w:style w:type="paragraph" w:customStyle="1" w:styleId="Odsekzoznamu2">
    <w:name w:val="Odsek zoznamu2"/>
    <w:basedOn w:val="Normal"/>
    <w:rsid w:val="003C0123"/>
    <w:pPr>
      <w:suppressAutoHyphens/>
      <w:spacing w:after="200" w:line="276" w:lineRule="auto"/>
      <w:ind w:left="720"/>
      <w:contextualSpacing/>
      <w:jc w:val="left"/>
    </w:pPr>
    <w:rPr>
      <w:rFonts w:ascii="Calibri" w:eastAsia="SimSun" w:hAnsi="Calibri" w:cs="Calibri"/>
      <w:kern w:val="1"/>
      <w:sz w:val="22"/>
      <w:szCs w:val="22"/>
      <w:lang w:eastAsia="en-US"/>
    </w:rPr>
  </w:style>
  <w:style w:type="character" w:customStyle="1" w:styleId="st1">
    <w:name w:val="st1"/>
    <w:rsid w:val="003C0123"/>
  </w:style>
  <w:style w:type="paragraph" w:styleId="NormalIndent">
    <w:name w:val="Normal Indent"/>
    <w:basedOn w:val="Normal"/>
    <w:uiPriority w:val="99"/>
    <w:unhideWhenUsed/>
    <w:rsid w:val="003C0123"/>
    <w:pPr>
      <w:spacing w:after="200" w:line="276" w:lineRule="auto"/>
      <w:ind w:left="708"/>
      <w:jc w:val="left"/>
    </w:pPr>
    <w:rPr>
      <w:rFonts w:ascii="Calibri" w:hAnsi="Calibri"/>
      <w:sz w:val="22"/>
      <w:szCs w:val="22"/>
      <w:lang w:eastAsia="en-US"/>
    </w:rPr>
  </w:style>
  <w:style w:type="paragraph" w:customStyle="1" w:styleId="PointManual">
    <w:name w:val="Point Manual"/>
    <w:basedOn w:val="Normal"/>
    <w:rsid w:val="003C0123"/>
    <w:pPr>
      <w:spacing w:before="200"/>
      <w:ind w:left="567" w:hanging="567"/>
      <w:jc w:val="left"/>
    </w:pPr>
    <w:rPr>
      <w:lang w:eastAsia="en-US"/>
    </w:rPr>
  </w:style>
  <w:style w:type="paragraph" w:customStyle="1" w:styleId="SpravaSKPRESnadpis1">
    <w:name w:val="Sprava SK PRES nadpis1"/>
    <w:basedOn w:val="Normal"/>
    <w:next w:val="Heading1"/>
    <w:link w:val="SpravaSKPRESnadpis1Char"/>
    <w:qFormat/>
    <w:rsid w:val="00894D87"/>
    <w:pPr>
      <w:numPr>
        <w:numId w:val="10"/>
      </w:numPr>
      <w:tabs>
        <w:tab w:val="num" w:pos="567"/>
        <w:tab w:val="num" w:pos="926"/>
      </w:tabs>
      <w:ind w:left="1430" w:hanging="720"/>
      <w:jc w:val="both"/>
    </w:pPr>
    <w:rPr>
      <w:b/>
      <w:sz w:val="28"/>
      <w:szCs w:val="28"/>
    </w:rPr>
  </w:style>
  <w:style w:type="paragraph" w:customStyle="1" w:styleId="SpravaSKPRESnadpis2">
    <w:name w:val="Sprava SK PRES nadpis2"/>
    <w:basedOn w:val="Heading2"/>
    <w:link w:val="SpravaSKPRESnadpis2Char"/>
    <w:qFormat/>
    <w:rsid w:val="00894D87"/>
    <w:pPr>
      <w:jc w:val="left"/>
    </w:pPr>
    <w:rPr>
      <w:u w:val="single"/>
    </w:rPr>
  </w:style>
  <w:style w:type="character" w:customStyle="1" w:styleId="SpravaSKPRESnadpis1Char">
    <w:name w:val="Sprava SK PRES nadpis1 Char"/>
    <w:link w:val="SpravaSKPRESnadpis1"/>
    <w:locked/>
    <w:rsid w:val="00894D87"/>
    <w:rPr>
      <w:b/>
      <w:sz w:val="28"/>
    </w:rPr>
  </w:style>
  <w:style w:type="paragraph" w:customStyle="1" w:styleId="SpravaSKPRESPrilohy">
    <w:name w:val="Sprava SK PRES Prilohy"/>
    <w:basedOn w:val="SpravaSKPRESnadpis2"/>
    <w:next w:val="Heading3"/>
    <w:link w:val="SpravaSKPRESPrilohyChar"/>
    <w:qFormat/>
    <w:rsid w:val="00894D87"/>
    <w:pPr>
      <w:jc w:val="left"/>
    </w:pPr>
    <w:rPr>
      <w:b w:val="0"/>
      <w:u w:val="none"/>
    </w:rPr>
  </w:style>
  <w:style w:type="character" w:customStyle="1" w:styleId="SpravaSKPRESnadpis2Char">
    <w:name w:val="Sprava SK PRES nadpis2 Char"/>
    <w:link w:val="SpravaSKPRESnadpis2"/>
    <w:locked/>
    <w:rsid w:val="00894D87"/>
    <w:rPr>
      <w:b/>
      <w:sz w:val="24"/>
      <w:u w:val="single"/>
    </w:rPr>
  </w:style>
  <w:style w:type="paragraph" w:styleId="TOC2">
    <w:name w:val="toc 2"/>
    <w:basedOn w:val="Normal"/>
    <w:next w:val="Normal"/>
    <w:autoRedefine/>
    <w:uiPriority w:val="39"/>
    <w:unhideWhenUsed/>
    <w:rsid w:val="007C30ED"/>
    <w:pPr>
      <w:tabs>
        <w:tab w:val="right" w:leader="dot" w:pos="9629"/>
      </w:tabs>
      <w:ind w:left="709"/>
      <w:jc w:val="left"/>
    </w:pPr>
  </w:style>
  <w:style w:type="character" w:customStyle="1" w:styleId="SpravaSKPRESPrilohyChar">
    <w:name w:val="Sprava SK PRES Prilohy Char"/>
    <w:link w:val="SpravaSKPRESPrilohy"/>
    <w:locked/>
    <w:rsid w:val="00894D87"/>
    <w:rPr>
      <w:sz w:val="24"/>
      <w:u w:val="single"/>
    </w:rPr>
  </w:style>
  <w:style w:type="paragraph" w:styleId="TOC1">
    <w:name w:val="toc 1"/>
    <w:basedOn w:val="Normal"/>
    <w:next w:val="Normal"/>
    <w:autoRedefine/>
    <w:uiPriority w:val="39"/>
    <w:unhideWhenUsed/>
    <w:rsid w:val="00894D87"/>
    <w:pPr>
      <w:tabs>
        <w:tab w:val="left" w:pos="660"/>
        <w:tab w:val="right" w:leader="dot" w:pos="9629"/>
      </w:tabs>
      <w:spacing w:before="140" w:after="140"/>
      <w:jc w:val="left"/>
    </w:pPr>
    <w:rPr>
      <w:smallCaps/>
      <w:noProof/>
    </w:rPr>
  </w:style>
  <w:style w:type="paragraph" w:styleId="TOC3">
    <w:name w:val="toc 3"/>
    <w:basedOn w:val="Normal"/>
    <w:next w:val="Normal"/>
    <w:autoRedefine/>
    <w:uiPriority w:val="39"/>
    <w:unhideWhenUsed/>
    <w:rsid w:val="00894D87"/>
    <w:pPr>
      <w:ind w:left="48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5836-DC6D-4F51-BB81-35A9C010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70</TotalTime>
  <Pages>23</Pages>
  <Words>10933</Words>
  <Characters>62319</Characters>
  <Application>Microsoft Office Word</Application>
  <DocSecurity>0</DocSecurity>
  <Lines>0</Lines>
  <Paragraphs>0</Paragraphs>
  <ScaleCrop>false</ScaleCrop>
  <Company>MZV SR</Company>
  <LinksUpToDate>false</LinksUpToDate>
  <CharactersWithSpaces>73106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zahraničných vecí Slovenskej republiky</dc:title>
  <dc:creator>user</dc:creator>
  <cp:lastModifiedBy>Gabriela Sabelová</cp:lastModifiedBy>
  <cp:revision>8</cp:revision>
  <cp:lastPrinted>2017-03-08T10:24:00Z</cp:lastPrinted>
  <dcterms:created xsi:type="dcterms:W3CDTF">2017-02-15T16:32:00Z</dcterms:created>
  <dcterms:modified xsi:type="dcterms:W3CDTF">2017-03-08T10:58:00Z</dcterms:modified>
</cp:coreProperties>
</file>