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B2032E">
      <w:pPr>
        <w:bidi w:val="0"/>
        <w:spacing w:after="0" w:line="240" w:lineRule="auto"/>
        <w:jc w:val="center"/>
        <w:rPr>
          <w:rFonts w:ascii="Times New Roman" w:hAnsi="Times New Roman"/>
          <w:b/>
          <w:bCs/>
          <w:caps/>
          <w:spacing w:val="30"/>
          <w:sz w:val="24"/>
          <w:szCs w:val="24"/>
          <w:lang w:val="sk-SK"/>
        </w:rPr>
      </w:pPr>
      <w:r w:rsidRPr="00B2032E">
        <w:rPr>
          <w:rFonts w:ascii="Times New Roman" w:hAnsi="Times New Roman"/>
          <w:b/>
          <w:bCs/>
          <w:caps/>
          <w:spacing w:val="30"/>
          <w:sz w:val="24"/>
          <w:szCs w:val="24"/>
          <w:lang w:val="sk-SK"/>
        </w:rPr>
        <w:t>Doložka zlučiteľnosti</w:t>
      </w:r>
    </w:p>
    <w:p w:rsidR="00961DDB" w:rsidRPr="00B2032E">
      <w:pPr>
        <w:bidi w:val="0"/>
        <w:spacing w:after="0" w:line="240" w:lineRule="auto"/>
        <w:jc w:val="center"/>
        <w:rPr>
          <w:rFonts w:ascii="Times New Roman" w:hAnsi="Times New Roman" w:cs="Verdana"/>
          <w:b/>
          <w:bCs/>
          <w:sz w:val="24"/>
          <w:szCs w:val="24"/>
          <w:lang w:val="sk-SK"/>
        </w:rPr>
      </w:pPr>
      <w:r w:rsidRPr="00B2032E" w:rsidR="00113283">
        <w:rPr>
          <w:rFonts w:ascii="Times New Roman" w:hAnsi="Times New Roman"/>
          <w:b/>
          <w:bCs/>
          <w:sz w:val="24"/>
          <w:szCs w:val="24"/>
          <w:lang w:val="sk-SK"/>
        </w:rPr>
        <w:t>právneho predpisu s právom Európskej únie</w:t>
      </w:r>
      <w:r w:rsidRPr="00B2032E">
        <w:rPr>
          <w:rFonts w:ascii="Times New Roman" w:hAnsi="Times New Roman" w:cs="Verdana"/>
          <w:b/>
          <w:bCs/>
          <w:sz w:val="24"/>
          <w:szCs w:val="24"/>
          <w:lang w:val="sk-SK"/>
        </w:rPr>
        <w:t> </w:t>
      </w:r>
    </w:p>
    <w:p w:rsidR="00961DDB" w:rsidRPr="00B2032E">
      <w:pPr>
        <w:bidi w:val="0"/>
        <w:spacing w:after="0" w:line="240" w:lineRule="auto"/>
        <w:rPr>
          <w:rFonts w:ascii="Times New Roman" w:hAnsi="Times New Roman" w:cs="Verdana"/>
          <w:sz w:val="24"/>
          <w:szCs w:val="24"/>
          <w:lang w:val="sk-SK"/>
        </w:rPr>
      </w:pPr>
    </w:p>
    <w:p w:rsidR="00961DDB" w:rsidRPr="00B2032E">
      <w:pPr>
        <w:bidi w:val="0"/>
        <w:spacing w:after="0" w:line="240" w:lineRule="auto"/>
        <w:rPr>
          <w:rFonts w:ascii="Times New Roman" w:hAnsi="Times New Roman" w:cs="Verdana"/>
          <w:sz w:val="24"/>
          <w:szCs w:val="24"/>
          <w:lang w:val="sk-SK"/>
        </w:rPr>
      </w:pPr>
    </w:p>
    <w:p w:rsidR="00961DDB" w:rsidRPr="00B2032E" w:rsidP="004C0961">
      <w:pPr>
        <w:bidi w:val="0"/>
        <w:spacing w:after="0" w:line="240" w:lineRule="auto"/>
        <w:ind w:left="360" w:hanging="360"/>
        <w:rPr>
          <w:rFonts w:ascii="Times New Roman" w:hAnsi="Times New Roman"/>
          <w:sz w:val="24"/>
          <w:szCs w:val="24"/>
          <w:lang w:val="sk-SK"/>
        </w:rPr>
      </w:pPr>
      <w:r w:rsidRPr="00B2032E">
        <w:rPr>
          <w:rFonts w:ascii="Times New Roman" w:hAnsi="Times New Roman"/>
          <w:b/>
          <w:bCs/>
          <w:sz w:val="24"/>
          <w:szCs w:val="24"/>
          <w:lang w:val="sk-SK"/>
        </w:rPr>
        <w:t>1.</w:t>
        <w:tab/>
        <w:t>Predkladateľ právneho predpisu:</w:t>
      </w:r>
      <w:r w:rsidRPr="00B2032E">
        <w:rPr>
          <w:rFonts w:ascii="Times New Roman" w:hAnsi="Times New Roman"/>
          <w:sz w:val="24"/>
          <w:szCs w:val="24"/>
          <w:lang w:val="sk-SK"/>
        </w:rPr>
        <w:t xml:space="preserve"> </w:t>
      </w:r>
      <w:r w:rsidR="00253892">
        <w:rPr>
          <w:rFonts w:ascii="Times New Roman" w:hAnsi="Times New Roman"/>
          <w:sz w:val="24"/>
          <w:szCs w:val="24"/>
          <w:lang w:val="sk-SK"/>
        </w:rPr>
        <w:t>poslan</w:t>
      </w:r>
      <w:r w:rsidR="0007626B">
        <w:rPr>
          <w:rFonts w:ascii="Times New Roman" w:hAnsi="Times New Roman"/>
          <w:sz w:val="24"/>
          <w:szCs w:val="24"/>
          <w:lang w:val="sk-SK"/>
        </w:rPr>
        <w:t>ci</w:t>
      </w:r>
      <w:r w:rsidRPr="00B2032E" w:rsidR="00BD61B2">
        <w:rPr>
          <w:rFonts w:ascii="Times New Roman" w:hAnsi="Times New Roman"/>
          <w:sz w:val="24"/>
          <w:szCs w:val="24"/>
          <w:lang w:val="sk-SK"/>
        </w:rPr>
        <w:t xml:space="preserve"> </w:t>
      </w:r>
      <w:r w:rsidR="004C0961">
        <w:rPr>
          <w:rFonts w:ascii="Times New Roman" w:hAnsi="Times New Roman"/>
          <w:sz w:val="24"/>
          <w:szCs w:val="24"/>
          <w:lang w:val="sk-SK"/>
        </w:rPr>
        <w:t xml:space="preserve">NR SR </w:t>
      </w:r>
      <w:r w:rsidR="0007626B">
        <w:rPr>
          <w:rFonts w:ascii="Times New Roman" w:hAnsi="Times New Roman"/>
          <w:sz w:val="24"/>
          <w:szCs w:val="24"/>
          <w:lang w:val="sk-SK"/>
        </w:rPr>
        <w:t>Natália Blahová a Ondrej Dostál</w:t>
      </w:r>
    </w:p>
    <w:p w:rsidR="00253892" w:rsidP="00253892">
      <w:pPr>
        <w:pStyle w:val="titulok"/>
        <w:bidi w:val="0"/>
        <w:jc w:val="left"/>
        <w:rPr>
          <w:rFonts w:ascii="Times New Roman" w:hAnsi="Times New Roman"/>
          <w:b w:val="0"/>
          <w:bCs w:val="0"/>
        </w:rPr>
      </w:pPr>
      <w:r w:rsidRPr="00855C29" w:rsidR="00961DDB">
        <w:rPr>
          <w:rFonts w:ascii="Times New Roman" w:hAnsi="Times New Roman"/>
          <w:bCs w:val="0"/>
          <w:color w:val="auto"/>
        </w:rPr>
        <w:t>2.</w:t>
      </w:r>
      <w:r w:rsidRPr="00855C29" w:rsidR="00DC5240">
        <w:rPr>
          <w:rFonts w:ascii="Times New Roman" w:hAnsi="Times New Roman"/>
          <w:bCs w:val="0"/>
          <w:color w:val="auto"/>
        </w:rPr>
        <w:t xml:space="preserve">   </w:t>
      </w:r>
      <w:r w:rsidRPr="00855C29" w:rsidR="00961DDB">
        <w:rPr>
          <w:rFonts w:ascii="Times New Roman" w:hAnsi="Times New Roman"/>
          <w:bCs w:val="0"/>
          <w:color w:val="auto"/>
        </w:rPr>
        <w:t>Názov návrhu právneho predpisu:</w:t>
      </w:r>
      <w:r w:rsidRPr="00855C29" w:rsidR="00961DDB">
        <w:rPr>
          <w:rFonts w:ascii="Times New Roman" w:hAnsi="Times New Roman"/>
        </w:rPr>
        <w:t xml:space="preserve"> </w:t>
      </w:r>
      <w:r w:rsidRPr="0007626B" w:rsidR="0007626B">
        <w:rPr>
          <w:rFonts w:ascii="Times New Roman" w:hAnsi="Times New Roman" w:cs="Times New Roman"/>
          <w:b w:val="0"/>
          <w:bCs w:val="0"/>
          <w:color w:val="auto"/>
          <w:lang w:eastAsia="en-US"/>
        </w:rPr>
        <w:t>Návrh na vydanie zákona, ktorým sa dopĺňa zákon č. 161/2015 Z. z. Civilný mimosporový poriadok a o zmene a doplnení niektorých zákonov</w:t>
      </w:r>
    </w:p>
    <w:p w:rsidR="00961DDB" w:rsidRPr="00253892" w:rsidP="00253892">
      <w:pPr>
        <w:pStyle w:val="titulok"/>
        <w:bidi w:val="0"/>
        <w:jc w:val="left"/>
        <w:rPr>
          <w:rFonts w:ascii="Times New Roman" w:hAnsi="Times New Roman" w:cs="Times New Roman"/>
          <w:color w:val="auto"/>
          <w:lang w:eastAsia="en-US"/>
        </w:rPr>
      </w:pPr>
      <w:r w:rsidR="00253892">
        <w:rPr>
          <w:rFonts w:ascii="Times New Roman" w:hAnsi="Times New Roman" w:cs="Times New Roman"/>
          <w:color w:val="auto"/>
          <w:lang w:eastAsia="en-US"/>
        </w:rPr>
        <w:t xml:space="preserve">3.  </w:t>
      </w:r>
      <w:r w:rsidRPr="00253892">
        <w:rPr>
          <w:rFonts w:ascii="Times New Roman" w:hAnsi="Times New Roman" w:cs="Times New Roman"/>
          <w:color w:val="auto"/>
          <w:lang w:eastAsia="en-US"/>
        </w:rPr>
        <w:t>Problematika návrhu právneho predpisu:</w:t>
      </w:r>
    </w:p>
    <w:p w:rsidR="00961DDB" w:rsidRPr="00B2032E">
      <w:pPr>
        <w:bidi w:val="0"/>
        <w:spacing w:after="0" w:line="240" w:lineRule="auto"/>
        <w:ind w:firstLine="360"/>
        <w:rPr>
          <w:rFonts w:ascii="Times New Roman" w:hAnsi="Times New Roman"/>
          <w:sz w:val="24"/>
          <w:szCs w:val="24"/>
          <w:lang w:val="sk-SK"/>
        </w:rPr>
      </w:pPr>
    </w:p>
    <w:p w:rsidR="00961DDB" w:rsidRPr="00B2032E" w:rsidP="00E5752D">
      <w:pPr>
        <w:bidi w:val="0"/>
        <w:spacing w:after="0" w:line="240" w:lineRule="auto"/>
        <w:ind w:left="709" w:hanging="349"/>
        <w:rPr>
          <w:rFonts w:ascii="Times New Roman" w:hAnsi="Times New Roman" w:cs="Verdana"/>
          <w:sz w:val="24"/>
          <w:szCs w:val="24"/>
          <w:lang w:val="sk-SK"/>
        </w:rPr>
      </w:pPr>
      <w:r w:rsidRPr="00B2032E">
        <w:rPr>
          <w:rFonts w:ascii="Times New Roman" w:hAnsi="Times New Roman"/>
          <w:sz w:val="24"/>
          <w:szCs w:val="24"/>
          <w:lang w:val="sk-SK"/>
        </w:rPr>
        <w:t>a)</w:t>
        <w:tab/>
      </w:r>
      <w:r w:rsidRPr="00B2032E" w:rsidR="00E5752D">
        <w:rPr>
          <w:rFonts w:ascii="Times New Roman" w:hAnsi="Times New Roman"/>
          <w:sz w:val="24"/>
          <w:szCs w:val="24"/>
          <w:lang w:val="sk-SK"/>
        </w:rPr>
        <w:t xml:space="preserve">nie </w:t>
      </w:r>
      <w:r w:rsidRPr="00B2032E">
        <w:rPr>
          <w:rFonts w:ascii="Times New Roman" w:hAnsi="Times New Roman"/>
          <w:sz w:val="24"/>
          <w:szCs w:val="24"/>
          <w:lang w:val="sk-SK"/>
        </w:rPr>
        <w:t>je upravená v práve Európskej únie</w:t>
      </w:r>
    </w:p>
    <w:p w:rsidR="00961DDB" w:rsidRPr="00B2032E">
      <w:pPr>
        <w:bidi w:val="0"/>
        <w:spacing w:after="0" w:line="240" w:lineRule="auto"/>
        <w:ind w:firstLine="360"/>
        <w:rPr>
          <w:rFonts w:ascii="Times New Roman" w:hAnsi="Times New Roman"/>
          <w:sz w:val="24"/>
          <w:szCs w:val="24"/>
          <w:lang w:val="sk-SK"/>
        </w:rPr>
      </w:pPr>
    </w:p>
    <w:p w:rsidR="00961DDB" w:rsidRPr="00B2032E" w:rsidP="00961DDB">
      <w:pPr>
        <w:bidi w:val="0"/>
        <w:spacing w:after="0" w:line="240" w:lineRule="auto"/>
        <w:ind w:left="709" w:hanging="349"/>
        <w:rPr>
          <w:rFonts w:ascii="Times New Roman" w:hAnsi="Times New Roman"/>
          <w:sz w:val="24"/>
          <w:szCs w:val="24"/>
          <w:lang w:val="sk-SK"/>
        </w:rPr>
      </w:pPr>
      <w:r w:rsidRPr="00B2032E">
        <w:rPr>
          <w:rFonts w:ascii="Times New Roman" w:hAnsi="Times New Roman"/>
          <w:sz w:val="24"/>
          <w:szCs w:val="24"/>
          <w:lang w:val="sk-SK"/>
        </w:rPr>
        <w:t>b)</w:t>
        <w:tab/>
      </w:r>
      <w:r w:rsidRPr="00B2032E" w:rsidR="00E5752D">
        <w:rPr>
          <w:rFonts w:ascii="Times New Roman" w:hAnsi="Times New Roman"/>
          <w:sz w:val="24"/>
          <w:szCs w:val="24"/>
          <w:lang w:val="sk-SK"/>
        </w:rPr>
        <w:t xml:space="preserve">nie </w:t>
      </w:r>
      <w:r w:rsidRPr="00B2032E">
        <w:rPr>
          <w:rFonts w:ascii="Times New Roman" w:hAnsi="Times New Roman"/>
          <w:sz w:val="24"/>
          <w:szCs w:val="24"/>
          <w:lang w:val="sk-SK"/>
        </w:rPr>
        <w:t>je obsiahnutá v judikatúre Súdneho dvora Európskej únie.</w:t>
      </w:r>
    </w:p>
    <w:p w:rsidR="00961DDB" w:rsidRPr="00B2032E" w:rsidP="00961DDB">
      <w:pPr>
        <w:bidi w:val="0"/>
        <w:spacing w:after="0" w:line="240" w:lineRule="auto"/>
        <w:ind w:left="709" w:hanging="349"/>
        <w:rPr>
          <w:rFonts w:ascii="Times New Roman" w:hAnsi="Times New Roman" w:cs="Verdana"/>
          <w:sz w:val="24"/>
          <w:szCs w:val="24"/>
          <w:lang w:val="sk-SK"/>
        </w:rPr>
      </w:pPr>
    </w:p>
    <w:p w:rsidR="00961DDB" w:rsidRPr="00B2032E" w:rsidP="00961DDB">
      <w:pPr>
        <w:bidi w:val="0"/>
        <w:spacing w:after="0" w:line="240" w:lineRule="auto"/>
        <w:ind w:left="360" w:hanging="360"/>
        <w:rPr>
          <w:rFonts w:ascii="Times New Roman" w:hAnsi="Times New Roman"/>
          <w:b/>
          <w:bCs/>
          <w:sz w:val="24"/>
          <w:szCs w:val="24"/>
          <w:lang w:val="sk-SK"/>
        </w:rPr>
      </w:pPr>
      <w:r w:rsidRPr="00B2032E">
        <w:rPr>
          <w:rFonts w:ascii="Times New Roman" w:hAnsi="Times New Roman"/>
          <w:b/>
          <w:bCs/>
          <w:sz w:val="24"/>
          <w:szCs w:val="24"/>
          <w:lang w:val="sk-SK"/>
        </w:rPr>
        <w:t>4.</w:t>
        <w:tab/>
        <w:t xml:space="preserve">Záväzky Slovenskej republiky vo vzťahu k Európskej únii: </w:t>
      </w:r>
    </w:p>
    <w:p w:rsidR="00961DDB" w:rsidRPr="00B2032E" w:rsidP="00E5752D">
      <w:pPr>
        <w:bidi w:val="0"/>
        <w:spacing w:after="0" w:line="240" w:lineRule="auto"/>
        <w:rPr>
          <w:rFonts w:ascii="Times New Roman" w:hAnsi="Times New Roman" w:cs="Verdana"/>
          <w:sz w:val="24"/>
          <w:szCs w:val="24"/>
          <w:lang w:val="sk-SK"/>
        </w:rPr>
      </w:pPr>
    </w:p>
    <w:p w:rsidR="00961DDB" w:rsidRPr="00B2032E" w:rsidP="000D01BA">
      <w:pPr>
        <w:bidi w:val="0"/>
        <w:spacing w:after="0" w:line="240" w:lineRule="auto"/>
        <w:rPr>
          <w:rFonts w:ascii="Times New Roman" w:hAnsi="Times New Roman"/>
          <w:sz w:val="24"/>
          <w:szCs w:val="24"/>
          <w:lang w:val="sk-SK"/>
        </w:rPr>
      </w:pPr>
      <w:r w:rsidRPr="00B2032E" w:rsidR="000D01BA">
        <w:rPr>
          <w:rFonts w:ascii="Times New Roman" w:hAnsi="Times New Roman"/>
          <w:sz w:val="24"/>
          <w:szCs w:val="24"/>
          <w:lang w:val="sk-SK"/>
        </w:rPr>
        <w:t xml:space="preserve">      B</w:t>
      </w:r>
      <w:r w:rsidRPr="00B2032E">
        <w:rPr>
          <w:rFonts w:ascii="Times New Roman" w:hAnsi="Times New Roman"/>
          <w:sz w:val="24"/>
          <w:szCs w:val="24"/>
          <w:lang w:val="sk-SK"/>
        </w:rPr>
        <w:t>ezpredmetné </w:t>
      </w:r>
    </w:p>
    <w:p w:rsidR="00961DDB" w:rsidRPr="00B2032E">
      <w:pPr>
        <w:bidi w:val="0"/>
        <w:spacing w:after="0" w:line="240" w:lineRule="auto"/>
        <w:ind w:firstLine="708"/>
        <w:rPr>
          <w:rFonts w:ascii="Times New Roman" w:hAnsi="Times New Roman"/>
          <w:sz w:val="24"/>
          <w:szCs w:val="24"/>
          <w:lang w:val="sk-SK"/>
        </w:rPr>
      </w:pPr>
    </w:p>
    <w:p w:rsidR="00961DDB" w:rsidRPr="00B2032E" w:rsidP="00961DDB">
      <w:pPr>
        <w:bidi w:val="0"/>
        <w:spacing w:after="0" w:line="240" w:lineRule="auto"/>
        <w:ind w:left="360" w:hanging="360"/>
        <w:rPr>
          <w:rFonts w:ascii="Times New Roman" w:hAnsi="Times New Roman"/>
          <w:b/>
          <w:bCs/>
          <w:sz w:val="24"/>
          <w:szCs w:val="24"/>
          <w:lang w:val="sk-SK"/>
        </w:rPr>
      </w:pPr>
      <w:r w:rsidRPr="00B2032E">
        <w:rPr>
          <w:rFonts w:ascii="Times New Roman" w:hAnsi="Times New Roman"/>
          <w:b/>
          <w:bCs/>
          <w:sz w:val="24"/>
          <w:szCs w:val="24"/>
          <w:lang w:val="sk-SK"/>
        </w:rPr>
        <w:t>5.</w:t>
        <w:tab/>
        <w:t>Stupeň zlučiteľnosti návrhu právneho predpisu s právom Európskej únie:</w:t>
      </w:r>
    </w:p>
    <w:p w:rsidR="00961DDB" w:rsidRPr="00B2032E">
      <w:pPr>
        <w:bidi w:val="0"/>
        <w:spacing w:after="0" w:line="240" w:lineRule="auto"/>
        <w:rPr>
          <w:rFonts w:ascii="Times New Roman" w:hAnsi="Times New Roman" w:cs="Verdana"/>
          <w:sz w:val="24"/>
          <w:szCs w:val="24"/>
          <w:lang w:val="sk-SK"/>
        </w:rPr>
      </w:pPr>
    </w:p>
    <w:p w:rsidR="00961DDB" w:rsidRPr="00B2032E">
      <w:pPr>
        <w:bidi w:val="0"/>
        <w:spacing w:after="0" w:line="240" w:lineRule="auto"/>
        <w:ind w:firstLine="360"/>
        <w:rPr>
          <w:rFonts w:ascii="Times New Roman" w:hAnsi="Times New Roman"/>
          <w:sz w:val="24"/>
          <w:szCs w:val="24"/>
          <w:lang w:val="sk-SK"/>
        </w:rPr>
      </w:pPr>
      <w:r w:rsidRPr="00B2032E">
        <w:rPr>
          <w:rFonts w:ascii="Times New Roman" w:hAnsi="Times New Roman"/>
          <w:sz w:val="24"/>
          <w:szCs w:val="24"/>
          <w:lang w:val="sk-SK"/>
        </w:rPr>
        <w:t>Stupeň zlučiteľnosti - úplný </w:t>
      </w:r>
    </w:p>
    <w:p w:rsidR="00551D2C" w:rsidRPr="00B2032E">
      <w:pPr>
        <w:bidi w:val="0"/>
        <w:spacing w:after="0" w:line="240" w:lineRule="auto"/>
        <w:ind w:firstLine="360"/>
        <w:rPr>
          <w:rFonts w:ascii="Times New Roman" w:hAnsi="Times New Roman"/>
          <w:sz w:val="24"/>
          <w:szCs w:val="24"/>
          <w:lang w:val="sk-SK"/>
        </w:rPr>
      </w:pPr>
    </w:p>
    <w:p w:rsidR="00551D2C"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RPr="00B2032E">
      <w:pPr>
        <w:bidi w:val="0"/>
        <w:spacing w:after="0" w:line="240" w:lineRule="auto"/>
        <w:ind w:firstLine="360"/>
        <w:rPr>
          <w:rFonts w:ascii="Times New Roman" w:hAnsi="Times New Roman"/>
          <w:sz w:val="24"/>
          <w:szCs w:val="24"/>
          <w:lang w:val="sk-SK"/>
        </w:rPr>
      </w:pPr>
    </w:p>
    <w:p w:rsidR="000153CB" w:rsidP="00AA471A">
      <w:pPr>
        <w:pStyle w:val="NormalWeb"/>
        <w:bidi w:val="0"/>
        <w:spacing w:before="0" w:beforeAutospacing="0" w:after="0" w:afterAutospacing="0"/>
        <w:rPr>
          <w:rFonts w:ascii="Times New Roman" w:hAnsi="Times New Roman"/>
          <w:lang w:eastAsia="en-US"/>
        </w:rPr>
      </w:pPr>
    </w:p>
    <w:p w:rsidR="00AA471A" w:rsidP="00AA471A">
      <w:pPr>
        <w:pStyle w:val="NormalWeb"/>
        <w:bidi w:val="0"/>
        <w:spacing w:before="0" w:beforeAutospacing="0" w:after="0" w:afterAutospacing="0"/>
        <w:rPr>
          <w:rFonts w:ascii="Times New Roman" w:hAnsi="Times New Roman"/>
          <w:lang w:eastAsia="en-US"/>
        </w:rPr>
      </w:pPr>
    </w:p>
    <w:p w:rsidR="00AA471A" w:rsidP="00AA471A">
      <w:pPr>
        <w:pStyle w:val="NormalWeb"/>
        <w:bidi w:val="0"/>
        <w:spacing w:before="0" w:beforeAutospacing="0" w:after="0" w:afterAutospacing="0"/>
        <w:rPr>
          <w:rFonts w:ascii="Times New Roman" w:hAnsi="Times New Roman"/>
          <w:b/>
          <w:bCs/>
          <w:sz w:val="28"/>
          <w:szCs w:val="28"/>
        </w:rPr>
      </w:pPr>
    </w:p>
    <w:p w:rsidR="0007626B" w:rsidP="00AA471A">
      <w:pPr>
        <w:pStyle w:val="NormalWeb"/>
        <w:bidi w:val="0"/>
        <w:spacing w:before="0" w:beforeAutospacing="0" w:after="0" w:afterAutospacing="0"/>
        <w:rPr>
          <w:rFonts w:ascii="Times New Roman" w:hAnsi="Times New Roman"/>
          <w:b/>
          <w:bCs/>
          <w:sz w:val="28"/>
          <w:szCs w:val="28"/>
        </w:rPr>
      </w:pPr>
    </w:p>
    <w:p w:rsidR="00F378AD" w:rsidRPr="00B2032E" w:rsidP="00AA471A">
      <w:pPr>
        <w:pStyle w:val="NormalWeb"/>
        <w:bidi w:val="0"/>
        <w:spacing w:before="0" w:beforeAutospacing="0" w:after="0" w:afterAutospacing="0"/>
        <w:rPr>
          <w:rFonts w:ascii="Times New Roman" w:hAnsi="Times New Roman"/>
          <w:b/>
          <w:bCs/>
          <w:sz w:val="28"/>
          <w:szCs w:val="28"/>
        </w:rPr>
      </w:pPr>
    </w:p>
    <w:p w:rsidR="0047737C" w:rsidRPr="00B2032E" w:rsidP="00551D2C">
      <w:pPr>
        <w:pStyle w:val="NormalWeb"/>
        <w:bidi w:val="0"/>
        <w:spacing w:before="0" w:beforeAutospacing="0" w:after="0" w:afterAutospacing="0"/>
        <w:jc w:val="center"/>
        <w:rPr>
          <w:rFonts w:ascii="Times New Roman" w:hAnsi="Times New Roman"/>
          <w:b/>
          <w:bCs/>
          <w:sz w:val="28"/>
          <w:szCs w:val="28"/>
        </w:rPr>
      </w:pPr>
    </w:p>
    <w:p w:rsidR="00551D2C" w:rsidRPr="00B2032E" w:rsidP="00551D2C">
      <w:pPr>
        <w:pStyle w:val="NormalWeb"/>
        <w:bidi w:val="0"/>
        <w:spacing w:before="0" w:beforeAutospacing="0" w:after="0" w:afterAutospacing="0"/>
        <w:jc w:val="center"/>
        <w:rPr>
          <w:rFonts w:ascii="Times New Roman" w:hAnsi="Times New Roman"/>
          <w:b/>
          <w:bCs/>
          <w:sz w:val="28"/>
          <w:szCs w:val="28"/>
        </w:rPr>
      </w:pPr>
      <w:r w:rsidRPr="00B2032E">
        <w:rPr>
          <w:rFonts w:ascii="Times New Roman" w:hAnsi="Times New Roman"/>
          <w:b/>
          <w:bCs/>
          <w:sz w:val="28"/>
          <w:szCs w:val="28"/>
        </w:rPr>
        <w:t>Doložka vybraných vplyvov</w:t>
      </w:r>
    </w:p>
    <w:p w:rsidR="00551D2C" w:rsidRPr="00B2032E" w:rsidP="00551D2C">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51"/>
        <w:gridCol w:w="1875"/>
        <w:gridCol w:w="1875"/>
        <w:gridCol w:w="187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1.  Základné údaje</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Názov materiálu</w:t>
            </w:r>
          </w:p>
        </w:tc>
      </w:tr>
      <w:tr>
        <w:tblPrEx>
          <w:tblW w:w="5000" w:type="pct"/>
          <w:jc w:val="center"/>
          <w:tblCellMar>
            <w:left w:w="0" w:type="dxa"/>
            <w:right w:w="0" w:type="dxa"/>
          </w:tblCellMar>
          <w:tblLook w:val="04A0"/>
        </w:tblPrEx>
        <w:trPr>
          <w:trHeight w:val="3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855C29" w:rsidP="0007626B">
            <w:pPr>
              <w:pStyle w:val="titulok"/>
              <w:bidi w:val="0"/>
              <w:jc w:val="left"/>
              <w:rPr>
                <w:rFonts w:ascii="Times New Roman" w:hAnsi="Times New Roman" w:cs="Times New Roman"/>
                <w:b w:val="0"/>
                <w:color w:val="auto"/>
                <w:sz w:val="20"/>
                <w:szCs w:val="20"/>
              </w:rPr>
            </w:pPr>
            <w:r w:rsidRPr="0007626B" w:rsidR="0007626B">
              <w:rPr>
                <w:rFonts w:ascii="Times" w:hAnsi="Times" w:cs="Times"/>
                <w:b w:val="0"/>
                <w:bCs w:val="0"/>
                <w:color w:val="auto"/>
                <w:sz w:val="20"/>
                <w:szCs w:val="20"/>
                <w:lang w:eastAsia="en-US"/>
              </w:rPr>
              <w:t>Návrh na vydanie zákona, ktorým sa dopĺňa zákon č. 161/2015 Z. z. Civilný mimosporový poriadok a o zmene a doplnení niektorých zákonov</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294A7D">
            <w:pPr>
              <w:bidi w:val="0"/>
              <w:rPr>
                <w:rFonts w:ascii="Times" w:hAnsi="Times" w:cs="Times"/>
                <w:sz w:val="20"/>
                <w:szCs w:val="20"/>
                <w:lang w:val="sk-SK"/>
              </w:rPr>
            </w:pPr>
            <w:r w:rsidRPr="00B2032E">
              <w:rPr>
                <w:rFonts w:ascii="Times" w:hAnsi="Times" w:cs="Times"/>
                <w:sz w:val="20"/>
                <w:szCs w:val="20"/>
                <w:lang w:val="sk-SK"/>
              </w:rPr>
              <w:t>Poslan</w:t>
            </w:r>
            <w:r w:rsidR="00294A7D">
              <w:rPr>
                <w:rFonts w:ascii="Times" w:hAnsi="Times" w:cs="Times"/>
                <w:sz w:val="20"/>
                <w:szCs w:val="20"/>
                <w:lang w:val="sk-SK"/>
              </w:rPr>
              <w:t>ci</w:t>
            </w:r>
            <w:r w:rsidR="00253892">
              <w:rPr>
                <w:rFonts w:ascii="Times" w:hAnsi="Times" w:cs="Times"/>
                <w:sz w:val="20"/>
                <w:szCs w:val="20"/>
                <w:lang w:val="sk-SK"/>
              </w:rPr>
              <w:t xml:space="preserve"> </w:t>
            </w:r>
            <w:r w:rsidRPr="00B2032E">
              <w:rPr>
                <w:rFonts w:ascii="Times" w:hAnsi="Times" w:cs="Times"/>
                <w:sz w:val="20"/>
                <w:szCs w:val="20"/>
                <w:lang w:val="sk-SK"/>
              </w:rPr>
              <w:t>Národnej rady Slovenskej republiky</w:t>
            </w:r>
            <w:r w:rsidR="004C0961">
              <w:rPr>
                <w:rFonts w:ascii="Times" w:hAnsi="Times" w:cs="Times"/>
                <w:sz w:val="20"/>
                <w:szCs w:val="20"/>
                <w:lang w:val="sk-SK"/>
              </w:rPr>
              <w:t xml:space="preserve"> </w:t>
            </w:r>
            <w:r w:rsidR="00294A7D">
              <w:rPr>
                <w:rFonts w:ascii="Times" w:hAnsi="Times" w:cs="Times"/>
                <w:sz w:val="20"/>
                <w:szCs w:val="20"/>
                <w:lang w:val="sk-SK"/>
              </w:rPr>
              <w:t>Natália Blahová a Ondrej Dostál</w:t>
            </w:r>
          </w:p>
        </w:tc>
      </w:tr>
      <w:tr>
        <w:tblPrEx>
          <w:tblW w:w="5000" w:type="pct"/>
          <w:jc w:val="center"/>
          <w:tblCellMar>
            <w:left w:w="0" w:type="dxa"/>
            <w:right w:w="0" w:type="dxa"/>
          </w:tblCellMar>
          <w:tblLook w:val="04A0"/>
        </w:tblPrEx>
        <w:trPr>
          <w:trHeight w:val="255"/>
          <w:jc w:val="center"/>
        </w:trPr>
        <w:tc>
          <w:tcPr>
            <w:tcW w:w="3000" w:type="pct"/>
            <w:gridSpan w:val="2"/>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jc w:val="center"/>
              <w:rPr>
                <w:rFonts w:ascii="Times" w:hAnsi="Times" w:cs="Times"/>
                <w:b/>
                <w:bCs/>
                <w:sz w:val="20"/>
                <w:szCs w:val="20"/>
                <w:lang w:val="sk-SK"/>
              </w:rPr>
            </w:pPr>
            <w:r w:rsidRPr="00B2032E">
              <w:rPr>
                <w:rFonts w:ascii="Times" w:hAnsi="Times" w:cs="Times"/>
                <w:b/>
                <w:bCs/>
                <w:sz w:val="20"/>
                <w:szCs w:val="20"/>
                <w:lang w:val="sk-SK"/>
              </w:rPr>
              <w:t>Charakter predkladaného materiálu</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Pr="00B2032E">
              <w:rPr>
                <w:rFonts w:ascii="Wingdings 2" w:hAnsi="Wingdings 2" w:cs="Times"/>
                <w:sz w:val="20"/>
                <w:szCs w:val="20"/>
                <w:lang w:val="sk-SK"/>
              </w:rPr>
              <w:t>*</w:t>
            </w:r>
            <w:r w:rsidRPr="00B2032E">
              <w:rPr>
                <w:rFonts w:ascii="Times" w:hAnsi="Times" w:cs="Times"/>
                <w:sz w:val="20"/>
                <w:szCs w:val="20"/>
                <w:lang w:val="sk-SK"/>
              </w:rPr>
              <w:t>  Materiál nelegislatívnej povahy</w:t>
            </w:r>
          </w:p>
        </w:tc>
      </w:tr>
      <w:tr>
        <w:tblPrEx>
          <w:tblW w:w="5000" w:type="pct"/>
          <w:jc w:val="center"/>
          <w:tblCellMar>
            <w:left w:w="0" w:type="dxa"/>
            <w:right w:w="0" w:type="dxa"/>
          </w:tblCellMar>
          <w:tblLook w:val="04A0"/>
        </w:tblPrEx>
        <w:trPr>
          <w:trHeight w:val="25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Pr="00B2032E">
              <w:rPr>
                <w:rFonts w:ascii="Wingdings 2" w:hAnsi="Wingdings 2" w:cs="Times"/>
                <w:sz w:val="20"/>
                <w:szCs w:val="20"/>
                <w:lang w:val="sk-SK"/>
              </w:rPr>
              <w:t>S</w:t>
            </w:r>
            <w:r w:rsidRPr="00B2032E">
              <w:rPr>
                <w:rFonts w:ascii="Times" w:hAnsi="Times" w:cs="Times"/>
                <w:sz w:val="20"/>
                <w:szCs w:val="20"/>
                <w:lang w:val="sk-SK"/>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Pr="00B2032E">
              <w:rPr>
                <w:rFonts w:ascii="Wingdings 2" w:hAnsi="Wingdings 2" w:cs="Times"/>
                <w:sz w:val="20"/>
                <w:szCs w:val="20"/>
                <w:lang w:val="sk-SK"/>
              </w:rPr>
              <w:t>*</w:t>
            </w:r>
            <w:r w:rsidRPr="00B2032E">
              <w:rPr>
                <w:rFonts w:ascii="Times" w:hAnsi="Times" w:cs="Times"/>
                <w:sz w:val="20"/>
                <w:szCs w:val="20"/>
                <w:lang w:val="sk-SK"/>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sz w:val="20"/>
                <w:szCs w:val="20"/>
                <w:lang w:val="sk-SK"/>
              </w:rPr>
            </w:pPr>
          </w:p>
        </w:tc>
      </w:tr>
      <w:tr>
        <w:tblPrEx>
          <w:tblW w:w="5000" w:type="pct"/>
          <w:jc w:val="center"/>
          <w:tblCellMar>
            <w:left w:w="0" w:type="dxa"/>
            <w:right w:w="0" w:type="dxa"/>
          </w:tblCellMar>
          <w:tblLook w:val="04A0"/>
        </w:tblPrEx>
        <w:trPr>
          <w:trHeight w:val="275"/>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Termín začiatku a ukončenia PPK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New Roman" w:hAnsi="Times New Roman"/>
                <w:sz w:val="20"/>
                <w:szCs w:val="20"/>
                <w:lang w:val="sk-SK"/>
              </w:rPr>
            </w:pPr>
            <w:r w:rsidRPr="00B2032E">
              <w:rPr>
                <w:rFonts w:ascii="Times New Roman" w:hAnsi="Times New Roman"/>
                <w:bCs/>
                <w:sz w:val="20"/>
                <w:szCs w:val="20"/>
                <w:lang w:val="sk-SK"/>
              </w:rPr>
              <w:t>Materiál nebol predmetom PPK</w:t>
            </w:r>
          </w:p>
        </w:tc>
      </w:tr>
      <w:tr>
        <w:tblPrEx>
          <w:tblW w:w="5000" w:type="pct"/>
          <w:jc w:val="center"/>
          <w:tblCellMar>
            <w:left w:w="0" w:type="dxa"/>
            <w:right w:w="0" w:type="dxa"/>
          </w:tblCellMar>
          <w:tblLook w:val="04A0"/>
        </w:tblPrEx>
        <w:trPr>
          <w:trHeight w:val="450"/>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Predpokladaný termín predloženia na MPK*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New Roman" w:hAnsi="Times New Roman"/>
                <w:sz w:val="20"/>
                <w:szCs w:val="20"/>
                <w:lang w:val="sk-SK"/>
              </w:rPr>
            </w:pPr>
            <w:r w:rsidRPr="00B2032E">
              <w:rPr>
                <w:rFonts w:ascii="Times New Roman" w:hAnsi="Times New Roman"/>
                <w:bCs/>
                <w:sz w:val="20"/>
                <w:szCs w:val="20"/>
                <w:lang w:val="sk-SK"/>
              </w:rPr>
              <w:t>Materiál nebol predmetom MPK</w:t>
            </w:r>
          </w:p>
        </w:tc>
      </w:tr>
      <w:tr>
        <w:tblPrEx>
          <w:tblW w:w="5000" w:type="pct"/>
          <w:jc w:val="center"/>
          <w:tblCellMar>
            <w:left w:w="0" w:type="dxa"/>
            <w:right w:w="0" w:type="dxa"/>
          </w:tblCellMar>
          <w:tblLook w:val="04A0"/>
        </w:tblPrEx>
        <w:trPr>
          <w:trHeight w:val="152"/>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Predpokladaný termín predloženia na Rokovanie vlády</w:t>
              <w:br/>
              <w:t>  SR*</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New Roman" w:hAnsi="Times New Roman"/>
                <w:sz w:val="20"/>
                <w:szCs w:val="20"/>
                <w:lang w:val="sk-SK"/>
              </w:rPr>
            </w:pPr>
            <w:r w:rsidRPr="00B2032E">
              <w:rPr>
                <w:rFonts w:ascii="Times New Roman" w:hAnsi="Times New Roman"/>
                <w:sz w:val="20"/>
                <w:szCs w:val="20"/>
                <w:lang w:val="sk-SK"/>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2.  Definícia problému</w:t>
            </w:r>
          </w:p>
        </w:tc>
      </w:tr>
      <w:tr>
        <w:tblPrEx>
          <w:tblW w:w="5000" w:type="pct"/>
          <w:jc w:val="center"/>
          <w:tblCellMar>
            <w:left w:w="0" w:type="dxa"/>
            <w:right w:w="0" w:type="dxa"/>
          </w:tblCellMar>
          <w:tblLook w:val="04A0"/>
        </w:tblPrEx>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747E1F" w:rsidRPr="00B2032E" w:rsidP="004E4CA0">
            <w:pPr>
              <w:autoSpaceDE w:val="0"/>
              <w:autoSpaceDN w:val="0"/>
              <w:bidi w:val="0"/>
              <w:spacing w:after="0" w:line="240" w:lineRule="auto"/>
              <w:rPr>
                <w:rFonts w:ascii="Times" w:hAnsi="Times" w:cs="Times"/>
                <w:sz w:val="20"/>
                <w:szCs w:val="20"/>
                <w:lang w:val="sk-SK"/>
              </w:rPr>
            </w:pPr>
            <w:r w:rsidRPr="0007626B" w:rsidR="0007626B">
              <w:rPr>
                <w:rFonts w:ascii="Times" w:hAnsi="Times" w:cs="Times"/>
                <w:sz w:val="20"/>
                <w:szCs w:val="20"/>
                <w:lang w:val="sk-SK"/>
              </w:rPr>
              <w:t>V súčasnosti súdy pri nariaďovaní umiestnení maloletých v resocializačných strediskách neprihliadajú na možnú závislosť maloletých na návykových látkach (najmä drogách) a v dôsledku toho sú maloletí vystavení ničím neriadenej a nesledovanej abstinencii, čo má za následok úteky, delikvenciu mladistvých, a iné patologické javy.</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363EF5" w:rsidP="00935EBF">
            <w:pPr>
              <w:bidi w:val="0"/>
              <w:spacing w:line="240" w:lineRule="auto"/>
              <w:rPr>
                <w:rFonts w:ascii="Times New Roman" w:hAnsi="Times New Roman"/>
                <w:sz w:val="20"/>
                <w:szCs w:val="20"/>
              </w:rPr>
            </w:pPr>
            <w:r w:rsidRPr="0007626B" w:rsidR="0007626B">
              <w:rPr>
                <w:rFonts w:ascii="Times" w:hAnsi="Times" w:cs="Times"/>
                <w:sz w:val="20"/>
                <w:szCs w:val="20"/>
                <w:lang w:val="sk-SK"/>
              </w:rPr>
              <w:t>Cieľom predloženého návrhu je zabezpečiť, aby sa do resocializačných centier dostávali iba osoby, ktoré úspešne absolvovali protidrogovú liečbu alebo liečbu inej závislosti. Zabezpečí sa tým, že do resocializačných zariadení sa nebudú dostávať závislé osoby, u ktorých hrozia úteky a delikvencia.</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4.  Dotknuté subjekty</w:t>
            </w:r>
          </w:p>
        </w:tc>
      </w:tr>
      <w:tr>
        <w:tblPrEx>
          <w:tblW w:w="5000" w:type="pct"/>
          <w:jc w:val="center"/>
          <w:tblCellMar>
            <w:left w:w="0" w:type="dxa"/>
            <w:right w:w="0" w:type="dxa"/>
          </w:tblCellMar>
          <w:tblLook w:val="04A0"/>
        </w:tblPrEx>
        <w:trPr>
          <w:trHeight w:val="31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07626B">
            <w:pPr>
              <w:bidi w:val="0"/>
              <w:rPr>
                <w:rFonts w:ascii="Times" w:hAnsi="Times" w:cs="Times"/>
                <w:sz w:val="20"/>
                <w:szCs w:val="20"/>
                <w:lang w:val="sk-SK"/>
              </w:rPr>
            </w:pPr>
            <w:r w:rsidR="0007626B">
              <w:rPr>
                <w:rFonts w:ascii="Times" w:hAnsi="Times" w:cs="Times"/>
                <w:sz w:val="20"/>
                <w:szCs w:val="20"/>
                <w:lang w:val="sk-SK"/>
              </w:rPr>
              <w:t xml:space="preserve">Súdy, závislí maloletí občania  </w:t>
            </w:r>
          </w:p>
        </w:tc>
      </w:tr>
      <w:tr>
        <w:tblPrEx>
          <w:tblW w:w="5000" w:type="pct"/>
          <w:jc w:val="center"/>
          <w:tblCellMar>
            <w:left w:w="0" w:type="dxa"/>
            <w:right w:w="0" w:type="dxa"/>
          </w:tblCellMar>
          <w:tblLook w:val="04A0"/>
        </w:tblPrEx>
        <w:trPr>
          <w:trHeight w:val="12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trHeight w:val="114"/>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6.  Vykonávacie predpisy</w:t>
            </w:r>
          </w:p>
        </w:tc>
      </w:tr>
      <w:tr>
        <w:tblPrEx>
          <w:tblW w:w="5000" w:type="pct"/>
          <w:jc w:val="center"/>
          <w:tblCellMar>
            <w:left w:w="0" w:type="dxa"/>
            <w:right w:w="0" w:type="dxa"/>
          </w:tblCellMar>
          <w:tblLook w:val="04A0"/>
        </w:tblPrEx>
        <w:trPr>
          <w:trHeight w:val="1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Predpokladá sa prijatie/zmena vykonávacích predpisov?                          </w:t>
            </w:r>
            <w:r w:rsidRPr="00B2032E">
              <w:rPr>
                <w:rFonts w:ascii="Wingdings 2" w:hAnsi="Wingdings 2" w:cs="Times"/>
                <w:sz w:val="20"/>
                <w:szCs w:val="20"/>
                <w:lang w:val="sk-SK"/>
              </w:rPr>
              <w:t>*</w:t>
            </w:r>
            <w:r w:rsidRPr="00B2032E">
              <w:rPr>
                <w:rFonts w:ascii="Times" w:hAnsi="Times" w:cs="Times"/>
                <w:sz w:val="20"/>
                <w:szCs w:val="20"/>
                <w:lang w:val="sk-SK"/>
              </w:rPr>
              <w:t xml:space="preserve">   Áno            </w:t>
            </w:r>
            <w:r w:rsidRPr="00B2032E">
              <w:rPr>
                <w:rFonts w:ascii="Wingdings 2" w:hAnsi="Wingdings 2" w:cs="Times"/>
                <w:sz w:val="20"/>
                <w:szCs w:val="20"/>
                <w:lang w:val="sk-SK"/>
              </w:rPr>
              <w:t>S</w:t>
            </w:r>
            <w:r w:rsidRPr="00B2032E">
              <w:rPr>
                <w:rFonts w:ascii="Times" w:hAnsi="Times" w:cs="Times"/>
                <w:sz w:val="20"/>
                <w:szCs w:val="20"/>
                <w:lang w:val="sk-SK"/>
              </w:rPr>
              <w:t>  Nie</w:t>
            </w:r>
          </w:p>
        </w:tc>
      </w:tr>
      <w:tr>
        <w:tblPrEx>
          <w:tblW w:w="5000" w:type="pct"/>
          <w:jc w:val="center"/>
          <w:tblCellMar>
            <w:left w:w="0" w:type="dxa"/>
            <w:right w:w="0" w:type="dxa"/>
          </w:tblCellMar>
          <w:tblLook w:val="04A0"/>
        </w:tblPrEx>
        <w:trPr>
          <w:trHeight w:val="17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8.  Preskúmanie účelnosti**</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Vplyvy na rozpočet verejnej správy</w:t>
            </w:r>
            <w:r w:rsidRPr="00B2032E">
              <w:rPr>
                <w:rFonts w:ascii="Times" w:hAnsi="Times" w:cs="Times"/>
                <w:sz w:val="20"/>
                <w:szCs w:val="20"/>
                <w:lang w:val="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F7753E">
            <w:pPr>
              <w:bidi w:val="0"/>
              <w:rPr>
                <w:rFonts w:ascii="Times" w:hAnsi="Times" w:cs="Times"/>
                <w:sz w:val="20"/>
                <w:szCs w:val="20"/>
                <w:lang w:val="sk-SK"/>
              </w:rPr>
            </w:pPr>
            <w:r w:rsidRPr="00B2032E">
              <w:rPr>
                <w:rFonts w:ascii="Times" w:hAnsi="Times" w:cs="Times"/>
                <w:sz w:val="20"/>
                <w:szCs w:val="20"/>
                <w:lang w:val="sk-SK"/>
              </w:rPr>
              <w:t> </w:t>
            </w:r>
            <w:r w:rsidR="00F7753E">
              <w:rPr>
                <w:rFonts w:ascii="Times" w:hAnsi="Times" w:cs="Times"/>
                <w:sz w:val="20"/>
                <w:szCs w:val="20"/>
                <w:lang w:val="sk-SK"/>
              </w:rPr>
              <w:t xml:space="preserve"> </w:t>
            </w:r>
            <w:r w:rsidRPr="00B2032E" w:rsidR="00F7753E">
              <w:rPr>
                <w:rFonts w:ascii="Wingdings 2" w:hAnsi="Wingdings 2" w:cs="Times"/>
                <w:sz w:val="20"/>
                <w:szCs w:val="20"/>
                <w:lang w:val="sk-SK"/>
              </w:rPr>
              <w:t>*</w:t>
            </w:r>
            <w:r w:rsidR="00F7753E">
              <w:rPr>
                <w:rFonts w:ascii="Times" w:hAnsi="Times" w:cs="Times"/>
                <w:sz w:val="20"/>
                <w:szCs w:val="20"/>
                <w:lang w:val="sk-SK"/>
              </w:rPr>
              <w:t xml:space="preserve">  </w:t>
            </w:r>
            <w:r w:rsidR="00AA471A">
              <w:rPr>
                <w:rFonts w:ascii="Times" w:hAnsi="Times" w:cs="Times"/>
                <w:sz w:val="20"/>
                <w:szCs w:val="20"/>
                <w:lang w:val="sk-SK"/>
              </w:rPr>
              <w:t xml:space="preserve"> </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AA471A">
            <w:pPr>
              <w:bidi w:val="0"/>
              <w:rPr>
                <w:rFonts w:ascii="Times" w:hAnsi="Times" w:cs="Times"/>
                <w:sz w:val="20"/>
                <w:szCs w:val="20"/>
                <w:lang w:val="sk-SK"/>
              </w:rPr>
            </w:pPr>
            <w:r w:rsidRPr="00B2032E">
              <w:rPr>
                <w:rFonts w:ascii="Times" w:hAnsi="Times" w:cs="Times"/>
                <w:sz w:val="20"/>
                <w:szCs w:val="20"/>
                <w:lang w:val="sk-SK"/>
              </w:rPr>
              <w:t> </w:t>
            </w:r>
            <w:r w:rsidR="00294A7D">
              <w:rPr>
                <w:rFonts w:ascii="Times" w:hAnsi="Times" w:cs="Times"/>
                <w:sz w:val="20"/>
                <w:szCs w:val="20"/>
                <w:lang w:val="sk-SK"/>
              </w:rPr>
              <w:t xml:space="preserve"> </w:t>
            </w:r>
            <w:r w:rsidRPr="00B2032E" w:rsidR="00294A7D">
              <w:rPr>
                <w:rFonts w:ascii="Wingdings 2" w:hAnsi="Wingdings 2" w:cs="Times"/>
                <w:sz w:val="20"/>
                <w:szCs w:val="20"/>
                <w:lang w:val="sk-SK"/>
              </w:rPr>
              <w:t>S</w:t>
            </w:r>
            <w:r w:rsidR="00AA471A">
              <w:rPr>
                <w:rFonts w:ascii="Wingdings 2" w:hAnsi="Wingdings 2" w:cs="Times"/>
                <w:sz w:val="20"/>
                <w:szCs w:val="20"/>
                <w:lang w:val="sk-SK"/>
              </w:rPr>
              <w:t xml:space="preserve"> </w:t>
            </w:r>
            <w:r w:rsidRPr="00B2032E">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S</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45F72">
              <w:rPr>
                <w:rFonts w:ascii="Times" w:hAnsi="Times" w:cs="Times"/>
                <w:sz w:val="20"/>
                <w:szCs w:val="20"/>
                <w:lang w:val="sk-SK"/>
              </w:rPr>
              <w:t xml:space="preserve"> </w:t>
            </w:r>
            <w:r w:rsidRPr="00B2032E" w:rsidR="00945F72">
              <w:rPr>
                <w:rFonts w:ascii="Wingdings 2" w:hAnsi="Wingdings 2" w:cs="Times"/>
                <w:sz w:val="20"/>
                <w:szCs w:val="20"/>
                <w:lang w:val="sk-SK"/>
              </w:rPr>
              <w:t>S</w:t>
            </w:r>
            <w:r w:rsidRPr="00B2032E">
              <w:rPr>
                <w:rFonts w:ascii="Times" w:hAnsi="Times" w:cs="Times"/>
                <w:sz w:val="20"/>
                <w:szCs w:val="20"/>
                <w:lang w:val="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00945F72">
              <w:rPr>
                <w:rFonts w:ascii="Times" w:hAnsi="Times" w:cs="Times"/>
                <w:sz w:val="20"/>
                <w:szCs w:val="20"/>
                <w:lang w:val="sk-SK"/>
              </w:rPr>
              <w:t xml:space="preserve"> </w:t>
            </w:r>
            <w:r w:rsidRPr="00B2032E">
              <w:rPr>
                <w:rFonts w:ascii="Times" w:hAnsi="Times" w:cs="Times"/>
                <w:sz w:val="20"/>
                <w:szCs w:val="20"/>
                <w:lang w:val="sk-SK"/>
              </w:rPr>
              <w:t> </w:t>
            </w:r>
            <w:r w:rsidRPr="00B2032E" w:rsidR="00945F72">
              <w:rPr>
                <w:rFonts w:ascii="Wingdings 2" w:hAnsi="Wingdings 2" w:cs="Times"/>
                <w:sz w:val="20"/>
                <w:szCs w:val="20"/>
                <w:lang w:val="sk-SK"/>
              </w:rPr>
              <w:t>*</w:t>
            </w:r>
            <w:r w:rsidRPr="00B2032E">
              <w:rPr>
                <w:rFonts w:ascii="Times" w:hAnsi="Times" w:cs="Times"/>
                <w:sz w:val="20"/>
                <w:szCs w:val="20"/>
                <w:lang w:val="sk-SK"/>
              </w:rPr>
              <w:t>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Vplyvy na podnikateľské prostredie</w:t>
            </w:r>
            <w:r w:rsidRPr="00B2032E">
              <w:rPr>
                <w:rFonts w:ascii="Times" w:hAnsi="Times" w:cs="Times"/>
                <w:sz w:val="20"/>
                <w:szCs w:val="20"/>
                <w:lang w:val="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S</w:t>
            </w:r>
            <w:r w:rsidRPr="00B2032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AC6C00">
              <w:rPr>
                <w:rFonts w:ascii="Times" w:hAnsi="Times" w:cs="Times"/>
                <w:sz w:val="20"/>
                <w:szCs w:val="20"/>
                <w:lang w:val="sk-SK"/>
              </w:rPr>
              <w:t xml:space="preserve"> </w:t>
            </w:r>
            <w:r w:rsidRPr="00B2032E" w:rsidR="00AC6C00">
              <w:rPr>
                <w:rFonts w:ascii="Wingdings 2" w:hAnsi="Wingdings 2" w:cs="Times"/>
                <w:sz w:val="20"/>
                <w:szCs w:val="20"/>
                <w:lang w:val="sk-SK"/>
              </w:rPr>
              <w:t>S</w:t>
            </w:r>
            <w:r w:rsidRPr="00B2032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S</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035C2">
              <w:rPr>
                <w:rFonts w:ascii="Times" w:hAnsi="Times" w:cs="Times"/>
                <w:sz w:val="20"/>
                <w:szCs w:val="20"/>
                <w:lang w:val="sk-SK"/>
              </w:rPr>
              <w:t xml:space="preserve"> </w:t>
            </w:r>
            <w:r w:rsidRPr="00B2032E" w:rsidR="009035C2">
              <w:rPr>
                <w:rFonts w:ascii="Wingdings 2" w:hAnsi="Wingdings 2" w:cs="Times"/>
                <w:sz w:val="20"/>
                <w:szCs w:val="20"/>
                <w:lang w:val="sk-SK"/>
              </w:rPr>
              <w:t>*</w:t>
            </w:r>
            <w:r w:rsidRPr="00B2032E" w:rsidR="009035C2">
              <w:rPr>
                <w:rFonts w:ascii="Times" w:hAnsi="Times" w:cs="Times"/>
                <w:sz w:val="20"/>
                <w:szCs w:val="20"/>
                <w:lang w:val="sk-SK"/>
              </w:rPr>
              <w:t xml:space="preserve"> </w:t>
            </w:r>
            <w:r w:rsidRPr="00B2032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258CB">
            <w:pPr>
              <w:bidi w:val="0"/>
              <w:rPr>
                <w:rFonts w:ascii="Times" w:hAnsi="Times" w:cs="Times"/>
                <w:sz w:val="20"/>
                <w:szCs w:val="20"/>
                <w:lang w:val="sk-SK"/>
              </w:rPr>
            </w:pPr>
            <w:r w:rsidRPr="00B2032E">
              <w:rPr>
                <w:rFonts w:ascii="Times" w:hAnsi="Times" w:cs="Times"/>
                <w:sz w:val="20"/>
                <w:szCs w:val="20"/>
                <w:lang w:val="sk-SK"/>
              </w:rPr>
              <w:t> </w:t>
            </w:r>
            <w:r w:rsidRPr="00B2032E" w:rsidR="006258CB">
              <w:rPr>
                <w:rFonts w:ascii="Times" w:hAnsi="Times" w:cs="Times"/>
                <w:sz w:val="20"/>
                <w:szCs w:val="20"/>
                <w:lang w:val="sk-SK"/>
              </w:rPr>
              <w:t xml:space="preserve"> </w:t>
            </w:r>
            <w:r w:rsidRPr="00B2032E" w:rsidR="006258CB">
              <w:rPr>
                <w:rFonts w:ascii="Wingdings 2" w:hAnsi="Wingdings 2" w:cs="Times"/>
                <w:sz w:val="20"/>
                <w:szCs w:val="20"/>
                <w:lang w:val="sk-SK"/>
              </w:rPr>
              <w:t>*</w:t>
            </w:r>
            <w:r w:rsidRPr="00B2032E" w:rsidR="006258CB">
              <w:rPr>
                <w:rFonts w:ascii="Times" w:hAnsi="Times" w:cs="Times"/>
                <w:sz w:val="20"/>
                <w:szCs w:val="20"/>
                <w:lang w:val="sk-SK"/>
              </w:rPr>
              <w:t xml:space="preserve">    </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0153CB">
            <w:pPr>
              <w:bidi w:val="0"/>
              <w:rPr>
                <w:rFonts w:ascii="Times" w:hAnsi="Times" w:cs="Times"/>
                <w:sz w:val="20"/>
                <w:szCs w:val="20"/>
                <w:lang w:val="sk-SK"/>
              </w:rPr>
            </w:pPr>
            <w:r w:rsidRPr="00B2032E">
              <w:rPr>
                <w:rFonts w:ascii="Times" w:hAnsi="Times" w:cs="Times"/>
                <w:sz w:val="20"/>
                <w:szCs w:val="20"/>
                <w:lang w:val="sk-SK"/>
              </w:rPr>
              <w:t>  </w:t>
            </w:r>
            <w:r w:rsidRPr="00B2032E" w:rsidR="006258CB">
              <w:rPr>
                <w:rFonts w:ascii="Wingdings 2" w:hAnsi="Wingdings 2" w:cs="Times"/>
                <w:sz w:val="20"/>
                <w:szCs w:val="20"/>
                <w:lang w:val="sk-SK"/>
              </w:rPr>
              <w:t>S</w:t>
            </w:r>
            <w:r w:rsidRPr="00B2032E">
              <w:rPr>
                <w:rFonts w:ascii="Times" w:hAnsi="Times" w:cs="Times"/>
                <w:sz w:val="20"/>
                <w:szCs w:val="20"/>
                <w:lang w:val="sk-SK"/>
              </w:rPr>
              <w:t xml:space="preserve">  </w:t>
            </w:r>
            <w:r w:rsidR="00AA471A">
              <w:rPr>
                <w:rFonts w:ascii="Times" w:hAnsi="Times" w:cs="Times"/>
                <w:sz w:val="20"/>
                <w:szCs w:val="20"/>
                <w:lang w:val="sk-SK"/>
              </w:rPr>
              <w:t xml:space="preserve">  </w:t>
            </w:r>
            <w:r w:rsidRPr="00B2032E">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035C2">
              <w:rPr>
                <w:rFonts w:ascii="Times" w:hAnsi="Times" w:cs="Times"/>
                <w:sz w:val="20"/>
                <w:szCs w:val="20"/>
                <w:lang w:val="sk-SK"/>
              </w:rPr>
              <w:t xml:space="preserve"> </w:t>
            </w:r>
            <w:r w:rsidRPr="00B2032E" w:rsidR="009035C2">
              <w:rPr>
                <w:rFonts w:ascii="Wingdings 2" w:hAnsi="Wingdings 2" w:cs="Times"/>
                <w:sz w:val="20"/>
                <w:szCs w:val="20"/>
                <w:lang w:val="sk-SK"/>
              </w:rPr>
              <w:t>*</w:t>
            </w:r>
            <w:r w:rsidRPr="00B2032E" w:rsidR="009035C2">
              <w:rPr>
                <w:rFonts w:ascii="Times" w:hAnsi="Times" w:cs="Times"/>
                <w:sz w:val="20"/>
                <w:szCs w:val="20"/>
                <w:lang w:val="sk-SK"/>
              </w:rPr>
              <w:t xml:space="preserve"> </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294A7D">
              <w:rPr>
                <w:rFonts w:ascii="Times" w:hAnsi="Times" w:cs="Times"/>
                <w:sz w:val="20"/>
                <w:szCs w:val="20"/>
                <w:lang w:val="sk-SK"/>
              </w:rPr>
              <w:t xml:space="preserve"> </w:t>
            </w:r>
            <w:r w:rsidRPr="00B2032E" w:rsidR="00294A7D">
              <w:rPr>
                <w:rFonts w:ascii="Wingdings 2" w:hAnsi="Wingdings 2" w:cs="Times"/>
                <w:sz w:val="20"/>
                <w:szCs w:val="20"/>
                <w:lang w:val="sk-SK"/>
              </w:rPr>
              <w:t>S</w:t>
            </w:r>
            <w:r w:rsidRPr="00B2032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b/>
                <w:bCs/>
                <w:sz w:val="20"/>
                <w:szCs w:val="20"/>
                <w:lang w:val="sk-SK"/>
              </w:rPr>
              <w:t>  Vplyvy na služby pre občana z toho</w:t>
            </w:r>
            <w:r w:rsidRPr="00B2032E">
              <w:rPr>
                <w:rFonts w:ascii="Times" w:hAnsi="Times" w:cs="Times"/>
                <w:sz w:val="20"/>
                <w:szCs w:val="20"/>
                <w:lang w:val="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AA471A">
            <w:pPr>
              <w:bidi w:val="0"/>
              <w:rPr>
                <w:rFonts w:ascii="Times" w:hAnsi="Times" w:cs="Times"/>
                <w:sz w:val="20"/>
                <w:szCs w:val="20"/>
                <w:lang w:val="sk-SK"/>
              </w:rPr>
            </w:pPr>
            <w:r w:rsidRPr="00B2032E">
              <w:rPr>
                <w:rFonts w:ascii="Times" w:hAnsi="Times" w:cs="Times"/>
                <w:sz w:val="20"/>
                <w:szCs w:val="20"/>
                <w:lang w:val="sk-SK"/>
              </w:rPr>
              <w:b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S</w:t>
            </w:r>
            <w:r w:rsidRPr="00B2032E" w:rsidR="009C1FB1">
              <w:rPr>
                <w:rFonts w:ascii="Times" w:hAnsi="Times" w:cs="Times"/>
                <w:sz w:val="20"/>
                <w:szCs w:val="20"/>
                <w:lang w:val="sk-SK"/>
              </w:rPr>
              <w:t> </w:t>
            </w:r>
            <w:r w:rsidRPr="00B2032E">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AA471A">
            <w:pPr>
              <w:bidi w:val="0"/>
              <w:rPr>
                <w:rFonts w:ascii="Times" w:hAnsi="Times" w:cs="Times"/>
                <w:sz w:val="20"/>
                <w:szCs w:val="20"/>
                <w:lang w:val="sk-SK"/>
              </w:rPr>
            </w:pPr>
            <w:r w:rsidRPr="00B2032E">
              <w:rPr>
                <w:rFonts w:ascii="Times" w:hAnsi="Times" w:cs="Times"/>
                <w:sz w:val="20"/>
                <w:szCs w:val="20"/>
                <w:lang w:val="sk-SK"/>
              </w:rPr>
              <w:b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w:t>
            </w:r>
            <w:r w:rsidRPr="00B2032E">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b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S</w:t>
            </w:r>
            <w:r w:rsidRPr="00B2032E">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w:t>
            </w:r>
            <w:r w:rsidR="009C1FB1">
              <w:rPr>
                <w:rFonts w:ascii="Times" w:hAnsi="Times" w:cs="Times"/>
                <w:sz w:val="20"/>
                <w:szCs w:val="20"/>
                <w:lang w:val="sk-SK"/>
              </w:rPr>
              <w:t xml:space="preserve"> </w:t>
            </w:r>
            <w:r w:rsidRPr="00B2032E" w:rsidR="009C1FB1">
              <w:rPr>
                <w:rFonts w:ascii="Wingdings 2" w:hAnsi="Wingdings 2" w:cs="Times"/>
                <w:sz w:val="20"/>
                <w:szCs w:val="20"/>
                <w:lang w:val="sk-SK"/>
              </w:rPr>
              <w:t>*</w:t>
            </w:r>
            <w:r w:rsidRPr="00B2032E">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B2032E" w:rsidP="00692A58">
            <w:pPr>
              <w:bidi w:val="0"/>
              <w:rPr>
                <w:rFonts w:ascii="Times" w:hAnsi="Times" w:cs="Times"/>
                <w:sz w:val="20"/>
                <w:szCs w:val="20"/>
                <w:lang w:val="sk-SK"/>
              </w:rPr>
            </w:pPr>
            <w:r w:rsidRPr="00B2032E">
              <w:rPr>
                <w:rFonts w:ascii="Times" w:hAnsi="Times" w:cs="Times"/>
                <w:sz w:val="20"/>
                <w:szCs w:val="20"/>
                <w:lang w:val="sk-SK"/>
              </w:rPr>
              <w:t xml:space="preserve">  </w:t>
            </w:r>
            <w:r w:rsidRPr="00B2032E">
              <w:rPr>
                <w:rFonts w:ascii="Wingdings 2" w:hAnsi="Wingdings 2" w:cs="Times"/>
                <w:sz w:val="20"/>
                <w:szCs w:val="20"/>
                <w:lang w:val="sk-SK"/>
              </w:rPr>
              <w:t>*</w:t>
            </w:r>
            <w:r w:rsidRPr="00B2032E">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sidR="00B2032E">
              <w:rPr>
                <w:rFonts w:ascii="Times" w:hAnsi="Times" w:cs="Times"/>
                <w:b/>
                <w:bCs/>
                <w:sz w:val="20"/>
                <w:szCs w:val="20"/>
                <w:lang w:val="sk-SK"/>
              </w:rPr>
              <w:t xml:space="preserve"> </w:t>
            </w:r>
            <w:r w:rsidRPr="00B2032E">
              <w:rPr>
                <w:rFonts w:ascii="Times" w:hAnsi="Times" w:cs="Times"/>
                <w:b/>
                <w:bCs/>
                <w:sz w:val="20"/>
                <w:szCs w:val="20"/>
                <w:lang w:val="sk-SK"/>
              </w:rPr>
              <w:t xml:space="preserve">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AC6C00" w:rsidP="003F783C">
            <w:pPr>
              <w:bidi w:val="0"/>
              <w:rPr>
                <w:rFonts w:ascii="Times New Roman" w:hAnsi="Times New Roman"/>
                <w:bCs/>
                <w:sz w:val="20"/>
                <w:szCs w:val="20"/>
                <w:lang w:val="sk-SK" w:eastAsia="sk-SK"/>
              </w:rPr>
            </w:pPr>
            <w:r w:rsidRPr="00294A7D" w:rsidR="00294A7D">
              <w:rPr>
                <w:rFonts w:ascii="Times" w:hAnsi="Times" w:cs="Times"/>
                <w:sz w:val="20"/>
                <w:szCs w:val="20"/>
                <w:lang w:val="sk-SK"/>
              </w:rPr>
              <w:t>Návrhom na vydanie zákona, ktorým sa dopĺňa zákon č. 161/2015 Z. z. Civilný mimosporový poriadok a o zmene a doplnení niektorých zákonov</w:t>
            </w:r>
            <w:r w:rsidR="00294A7D">
              <w:rPr>
                <w:rFonts w:ascii="Times New Roman" w:hAnsi="Times New Roman"/>
                <w:bCs/>
                <w:sz w:val="20"/>
                <w:szCs w:val="20"/>
                <w:lang w:val="sk-SK" w:eastAsia="sk-SK"/>
              </w:rPr>
              <w:t xml:space="preserve"> sa </w:t>
            </w:r>
            <w:r w:rsidR="00294A7D">
              <w:rPr>
                <w:rFonts w:ascii="Times" w:hAnsi="Times" w:cs="Times"/>
                <w:sz w:val="20"/>
                <w:szCs w:val="20"/>
                <w:lang w:val="sk-SK"/>
              </w:rPr>
              <w:t>zabezpečí</w:t>
            </w:r>
            <w:r w:rsidRPr="0007626B" w:rsidR="00294A7D">
              <w:rPr>
                <w:rFonts w:ascii="Times" w:hAnsi="Times" w:cs="Times"/>
                <w:sz w:val="20"/>
                <w:szCs w:val="20"/>
                <w:lang w:val="sk-SK"/>
              </w:rPr>
              <w:t>, aby sa do resocializačných centier dostávali iba osoby, ktoré úspešne absolvovali protidrogovú liečbu alebo liečbu inej závislosti. Zabezpečí sa tým, že do resocializačných zariadení sa nebudú dostávať závislé osoby, u ktorých hrozia úteky a delikvencia</w:t>
            </w:r>
            <w:r w:rsidR="00294A7D">
              <w:rPr>
                <w:rFonts w:ascii="Times" w:hAnsi="Times" w:cs="Times"/>
                <w:sz w:val="20"/>
                <w:szCs w:val="20"/>
                <w:lang w:val="sk-SK"/>
              </w:rPr>
              <w:t>.</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3F783C">
            <w:pPr>
              <w:bidi w:val="0"/>
              <w:rPr>
                <w:rFonts w:ascii="Times" w:hAnsi="Times" w:cs="Times"/>
                <w:sz w:val="20"/>
                <w:szCs w:val="20"/>
                <w:lang w:val="sk-SK"/>
              </w:rPr>
            </w:pPr>
            <w:r w:rsidR="00733C33">
              <w:rPr>
                <w:rStyle w:val="apple-converted-space"/>
                <w:rFonts w:ascii="Arial" w:hAnsi="Arial" w:cs="Arial"/>
                <w:color w:val="545454"/>
                <w:shd w:val="clear" w:color="auto" w:fill="FFFFFF"/>
              </w:rPr>
              <w:t> </w:t>
            </w:r>
            <w:r w:rsidRPr="00294A7D" w:rsidR="00294A7D">
              <w:rPr>
                <w:rFonts w:ascii="Times" w:hAnsi="Times" w:cs="Times"/>
                <w:sz w:val="20"/>
                <w:szCs w:val="20"/>
                <w:lang w:val="sk-SK"/>
              </w:rPr>
              <w:t>natalia_blahova@nrsr.sk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B2032E" w:rsidP="00692A58">
            <w:pPr>
              <w:bidi w:val="0"/>
              <w:rPr>
                <w:rFonts w:ascii="Times" w:hAnsi="Times" w:cs="Times"/>
                <w:b/>
                <w:bCs/>
                <w:sz w:val="20"/>
                <w:szCs w:val="20"/>
                <w:lang w:val="sk-SK"/>
              </w:rPr>
            </w:pPr>
            <w:r w:rsidRPr="00B2032E">
              <w:rPr>
                <w:rFonts w:ascii="Times" w:hAnsi="Times" w:cs="Times"/>
                <w:b/>
                <w:bCs/>
                <w:sz w:val="20"/>
                <w:szCs w:val="20"/>
                <w:lang w:val="sk-SK"/>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B2032E" w:rsidP="00692A58">
            <w:pPr>
              <w:bidi w:val="0"/>
              <w:rPr>
                <w:rFonts w:ascii="Times" w:hAnsi="Times" w:cs="Times"/>
                <w:bCs/>
                <w:sz w:val="20"/>
                <w:szCs w:val="20"/>
                <w:lang w:val="sk-SK"/>
              </w:rPr>
            </w:pPr>
            <w:r w:rsidRPr="00B2032E">
              <w:rPr>
                <w:rFonts w:ascii="Times" w:hAnsi="Times" w:cs="Times"/>
                <w:bCs/>
                <w:sz w:val="20"/>
                <w:szCs w:val="20"/>
                <w:lang w:val="sk-SK"/>
              </w:rPr>
              <w:t>Materiál nebol predmetom PPK</w:t>
            </w:r>
          </w:p>
        </w:tc>
      </w:tr>
    </w:tbl>
    <w:p w:rsidR="00551D2C" w:rsidRPr="00B2032E" w:rsidP="0047737C">
      <w:pPr>
        <w:bidi w:val="0"/>
        <w:spacing w:after="0" w:line="240" w:lineRule="auto"/>
        <w:rPr>
          <w:rFonts w:ascii="Times New Roman" w:hAnsi="Times New Roman"/>
          <w:b/>
          <w:sz w:val="20"/>
          <w:szCs w:val="20"/>
          <w:lang w:val="sk-SK"/>
        </w:rPr>
      </w:pP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Wingdings 2">
    <w:panose1 w:val="05020102010507070707"/>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46DDA"/>
    <w:rsid w:val="000153CB"/>
    <w:rsid w:val="00047966"/>
    <w:rsid w:val="0007626B"/>
    <w:rsid w:val="000B2E04"/>
    <w:rsid w:val="000D01BA"/>
    <w:rsid w:val="00103D80"/>
    <w:rsid w:val="001066BB"/>
    <w:rsid w:val="00113283"/>
    <w:rsid w:val="00126482"/>
    <w:rsid w:val="00142425"/>
    <w:rsid w:val="001870E7"/>
    <w:rsid w:val="00197276"/>
    <w:rsid w:val="001A3DDF"/>
    <w:rsid w:val="001F5E96"/>
    <w:rsid w:val="002270FC"/>
    <w:rsid w:val="00253892"/>
    <w:rsid w:val="00294A7D"/>
    <w:rsid w:val="002C07B8"/>
    <w:rsid w:val="003111CA"/>
    <w:rsid w:val="00354077"/>
    <w:rsid w:val="00363EF5"/>
    <w:rsid w:val="003A295D"/>
    <w:rsid w:val="003D3CD5"/>
    <w:rsid w:val="003E2C59"/>
    <w:rsid w:val="003F783C"/>
    <w:rsid w:val="0047737C"/>
    <w:rsid w:val="004C0961"/>
    <w:rsid w:val="004C3411"/>
    <w:rsid w:val="004E4CA0"/>
    <w:rsid w:val="005068C9"/>
    <w:rsid w:val="00551D2C"/>
    <w:rsid w:val="00584FFE"/>
    <w:rsid w:val="005B7011"/>
    <w:rsid w:val="00613621"/>
    <w:rsid w:val="006258CB"/>
    <w:rsid w:val="00684710"/>
    <w:rsid w:val="00692A58"/>
    <w:rsid w:val="006B2D7A"/>
    <w:rsid w:val="00733C33"/>
    <w:rsid w:val="00746DDA"/>
    <w:rsid w:val="00747E1F"/>
    <w:rsid w:val="007C4BD9"/>
    <w:rsid w:val="008003CB"/>
    <w:rsid w:val="00824000"/>
    <w:rsid w:val="00841FA5"/>
    <w:rsid w:val="00855C29"/>
    <w:rsid w:val="00875C2E"/>
    <w:rsid w:val="008F6977"/>
    <w:rsid w:val="009035C2"/>
    <w:rsid w:val="00921D3D"/>
    <w:rsid w:val="00922803"/>
    <w:rsid w:val="00935EBF"/>
    <w:rsid w:val="00945F72"/>
    <w:rsid w:val="00961DDB"/>
    <w:rsid w:val="009C1FB1"/>
    <w:rsid w:val="00A16C94"/>
    <w:rsid w:val="00AA471A"/>
    <w:rsid w:val="00AB2B3D"/>
    <w:rsid w:val="00AC6C00"/>
    <w:rsid w:val="00AE359E"/>
    <w:rsid w:val="00B2032E"/>
    <w:rsid w:val="00B24A95"/>
    <w:rsid w:val="00B47BCE"/>
    <w:rsid w:val="00BB417B"/>
    <w:rsid w:val="00BB44C3"/>
    <w:rsid w:val="00BD61B2"/>
    <w:rsid w:val="00BD6A46"/>
    <w:rsid w:val="00C33769"/>
    <w:rsid w:val="00C60A22"/>
    <w:rsid w:val="00D314FF"/>
    <w:rsid w:val="00D40690"/>
    <w:rsid w:val="00D962F0"/>
    <w:rsid w:val="00DB75EA"/>
    <w:rsid w:val="00DC5240"/>
    <w:rsid w:val="00E5752D"/>
    <w:rsid w:val="00E85509"/>
    <w:rsid w:val="00EB31F3"/>
    <w:rsid w:val="00EB4ABD"/>
    <w:rsid w:val="00F21311"/>
    <w:rsid w:val="00F378AD"/>
    <w:rsid w:val="00F7753E"/>
    <w:rsid w:val="00F8393A"/>
    <w:rsid w:val="00F90A6E"/>
    <w:rsid w:val="00F94C2C"/>
    <w:rsid w:val="00FE52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47BCE"/>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paragraph" w:styleId="NormalWeb">
    <w:name w:val="Normal (Web)"/>
    <w:aliases w:val="webb"/>
    <w:basedOn w:val="Normal"/>
    <w:uiPriority w:val="99"/>
    <w:rsid w:val="00824000"/>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character" w:styleId="Hyperlink">
    <w:name w:val="Hyperlink"/>
    <w:basedOn w:val="DefaultParagraphFont"/>
    <w:uiPriority w:val="99"/>
    <w:rsid w:val="00551D2C"/>
    <w:rPr>
      <w:rFonts w:cs="Times New Roman"/>
      <w:color w:val="0000FF"/>
      <w:u w:val="single"/>
      <w:rtl w:val="0"/>
      <w:cs w:val="0"/>
    </w:rPr>
  </w:style>
  <w:style w:type="paragraph" w:customStyle="1" w:styleId="titulok">
    <w:name w:val="titulok"/>
    <w:basedOn w:val="Normal"/>
    <w:rsid w:val="00855C29"/>
    <w:pPr>
      <w:widowControl/>
      <w:adjustRightInd/>
      <w:spacing w:before="100" w:beforeAutospacing="1" w:after="100" w:afterAutospacing="1" w:line="240" w:lineRule="auto"/>
      <w:jc w:val="center"/>
    </w:pPr>
    <w:rPr>
      <w:rFonts w:ascii="Arial" w:hAnsi="Arial" w:cs="Arial"/>
      <w:b/>
      <w:bCs/>
      <w:color w:val="007060"/>
      <w:sz w:val="24"/>
      <w:szCs w:val="24"/>
      <w:lang w:val="sk-SK" w:eastAsia="sk-SK"/>
    </w:rPr>
  </w:style>
  <w:style w:type="character" w:customStyle="1" w:styleId="apple-converted-space">
    <w:name w:val="apple-converted-space"/>
    <w:basedOn w:val="DefaultParagraphFont"/>
    <w:rsid w:val="00733C3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5210-88B1-4CE9-814E-7FFC1E02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574</Words>
  <Characters>3278</Characters>
  <Application>Microsoft Office Word</Application>
  <DocSecurity>0</DocSecurity>
  <Lines>0</Lines>
  <Paragraphs>0</Paragraphs>
  <ScaleCrop>false</ScaleCrop>
  <Company>Kancelaria NR SR</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Kamil_Krnac</dc:creator>
  <cp:lastModifiedBy>uzivatel</cp:lastModifiedBy>
  <cp:revision>2</cp:revision>
  <cp:lastPrinted>2012-04-17T14:14:00Z</cp:lastPrinted>
  <dcterms:created xsi:type="dcterms:W3CDTF">2017-03-03T15:28:00Z</dcterms:created>
  <dcterms:modified xsi:type="dcterms:W3CDTF">2017-03-03T15:28:00Z</dcterms:modified>
</cp:coreProperties>
</file>