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F37947">
        <w:rPr>
          <w:rFonts w:eastAsia="Times New Roman" w:cs="Times New Roman"/>
          <w:lang w:eastAsia="en-US" w:bidi="ar-SA"/>
        </w:rPr>
        <w:t>kyne</w:t>
      </w:r>
      <w:r w:rsidR="00A814C8"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F37947">
        <w:rPr>
          <w:rFonts w:eastAsia="Times New Roman" w:cs="Times New Roman"/>
          <w:lang w:eastAsia="en-US" w:bidi="ar-SA"/>
        </w:rPr>
        <w:t xml:space="preserve">Simona Petrík a </w:t>
      </w:r>
      <w:r w:rsidR="00A814C8">
        <w:rPr>
          <w:rFonts w:eastAsia="Times New Roman" w:cs="Times New Roman"/>
          <w:lang w:eastAsia="en-US" w:bidi="ar-SA"/>
        </w:rPr>
        <w:t>Zuzana Zimenová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67246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F37947">
        <w:rPr>
          <w:rFonts w:eastAsia="Times New Roman" w:cs="Times New Roman"/>
          <w:lang w:eastAsia="en-US" w:bidi="ar-SA"/>
        </w:rPr>
        <w:t xml:space="preserve">Návrh na vydanie zákona </w:t>
      </w:r>
      <w:r w:rsidRPr="00F37947" w:rsidR="00F37947">
        <w:rPr>
          <w:rFonts w:eastAsia="Times New Roman" w:cs="Times New Roman"/>
          <w:lang w:eastAsia="en-US" w:bidi="ar-SA"/>
        </w:rPr>
        <w:t>o poskytovaní služby starostlivosti o deti v detských skupinách a o zmene a doplnení niektorých zákonov</w:t>
      </w:r>
    </w:p>
    <w:p w:rsidR="00F37947" w:rsidRPr="00F37947" w:rsidP="00F3794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 </w:t>
      </w:r>
    </w:p>
    <w:p w:rsidR="00F37947" w:rsidP="00F37947">
      <w:pPr>
        <w:widowControl/>
        <w:suppressAutoHyphens w:val="0"/>
        <w:bidi w:val="0"/>
        <w:ind w:left="425" w:hanging="425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3.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Problematika návrhu zákona:</w:t>
      </w:r>
    </w:p>
    <w:p w:rsidR="00F37947" w:rsidRPr="00F37947" w:rsidP="00F37947">
      <w:pPr>
        <w:widowControl/>
        <w:suppressAutoHyphens w:val="0"/>
        <w:bidi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ind w:left="850" w:hanging="425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a) nie je upravená v práve Európskych spoločenstiev</w:t>
      </w:r>
    </w:p>
    <w:p w:rsidR="00F37947" w:rsidRP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b) nie je obsiahnutá v práve Európskej únie</w:t>
      </w:r>
    </w:p>
    <w:p w:rsidR="00F37947" w:rsidRP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37947" w:rsidRP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c) nie je obsiahnutá v judikatúre Súdneho dvora Európskej únie</w:t>
      </w:r>
    </w:p>
    <w:p w:rsidR="00F37947" w:rsidRPr="00F37947" w:rsidP="00F37947">
      <w:pPr>
        <w:widowControl/>
        <w:suppressAutoHyphens w:val="0"/>
        <w:bidi w:val="0"/>
        <w:ind w:left="425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P="00F37947">
      <w:pPr>
        <w:widowControl/>
        <w:suppressAutoHyphens w:val="0"/>
        <w:bidi w:val="0"/>
        <w:ind w:left="425" w:hanging="425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4.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Záväzky Slovenskej republiky vo vzťahu k Európskej únii:</w:t>
      </w:r>
    </w:p>
    <w:p w:rsidR="00F37947" w:rsidRPr="00F37947" w:rsidP="00F37947">
      <w:pPr>
        <w:widowControl/>
        <w:suppressAutoHyphens w:val="0"/>
        <w:bidi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a) Lehota na prebratie smernice alebo lehota na implementáciu nariadenia alebo rozhodnutia: bezpredmetné.</w:t>
      </w:r>
    </w:p>
    <w:p w:rsidR="00F37947" w:rsidRP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F37947" w:rsidRP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c) Proti SR nebolo začaté konanie o porušení Zmluvy o fungovaní Európskej únie podľa čl. 258 až 260 Zmluvy o fungovaní Európskej únie.</w:t>
      </w:r>
    </w:p>
    <w:p w:rsidR="00F37947" w:rsidRP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d) Bezpredmetné.</w:t>
      </w:r>
    </w:p>
    <w:p w:rsidR="00F37947" w:rsidRPr="00F37947" w:rsidP="00F37947">
      <w:pPr>
        <w:widowControl/>
        <w:suppressAutoHyphens w:val="0"/>
        <w:bidi w:val="0"/>
        <w:ind w:left="357" w:hanging="357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37947" w:rsidRPr="00F37947" w:rsidP="00F37947">
      <w:pPr>
        <w:widowControl/>
        <w:suppressAutoHyphens w:val="0"/>
        <w:bidi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5.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Stupeň zlučiteľnosti návrhu zákona s právom Európskej únie:</w:t>
      </w:r>
    </w:p>
    <w:p w:rsidR="00F37947" w:rsidRPr="00F37947" w:rsidP="00F37947">
      <w:pPr>
        <w:widowControl/>
        <w:suppressAutoHyphens w:val="0"/>
        <w:bidi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   Úplný.</w:t>
      </w:r>
    </w:p>
    <w:p w:rsidR="00F37947" w:rsidRPr="00F37947" w:rsidP="00F37947">
      <w:pPr>
        <w:widowControl/>
        <w:suppressAutoHyphens w:val="0"/>
        <w:bidi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37947" w:rsidRPr="00F37947" w:rsidP="00F37947">
      <w:pPr>
        <w:widowControl/>
        <w:suppressAutoHyphens w:val="0"/>
        <w:bidi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6.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Gestor a spolupracujúce rezorty:</w:t>
      </w:r>
    </w:p>
    <w:p w:rsidR="00F37947" w:rsidRPr="00F37947" w:rsidP="00F37947">
      <w:pPr>
        <w:widowControl/>
        <w:suppressAutoHyphens w:val="0"/>
        <w:bidi w:val="0"/>
        <w:ind w:left="360" w:firstLine="6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 xml:space="preserve">    Bezpredmetné.</w:t>
      </w:r>
    </w:p>
    <w:p w:rsidR="00F37947" w:rsidRPr="00F37947">
      <w:pPr>
        <w:widowControl/>
        <w:suppressAutoHyphens w:val="0"/>
        <w:bidi w:val="0"/>
        <w:spacing w:after="200" w:line="276" w:lineRule="auto"/>
        <w:rPr>
          <w:rFonts w:cs="Times New Roman"/>
        </w:rPr>
      </w:pPr>
      <w:r w:rsidRPr="00F37947">
        <w:rPr>
          <w:rFonts w:cs="Times New Roman"/>
        </w:rPr>
        <w:br w:type="page"/>
      </w:r>
    </w:p>
    <w:p w:rsidR="00F37947" w:rsidRPr="00764085" w:rsidP="00F3794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F37947" w:rsidRPr="00764085" w:rsidP="00F3794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F37947" w:rsidRPr="00764085" w:rsidP="00F3794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F37947" w:rsidP="00F37947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 w:hint="default"/>
          <w:b/>
          <w:color w:val="000000"/>
        </w:rPr>
        <w:t>A.1. Ná</w:t>
      </w:r>
      <w:r w:rsidRPr="00764085">
        <w:rPr>
          <w:rFonts w:cs="Times New Roman" w:hint="default"/>
          <w:b/>
          <w:color w:val="000000"/>
        </w:rPr>
        <w:t>zov materiá</w:t>
      </w:r>
      <w:r w:rsidRPr="00764085">
        <w:rPr>
          <w:rFonts w:cs="Times New Roman" w:hint="default"/>
          <w:b/>
          <w:color w:val="000000"/>
        </w:rPr>
        <w:t xml:space="preserve">lu: </w:t>
      </w:r>
      <w:r>
        <w:rPr>
          <w:rFonts w:cs="Times New Roman"/>
        </w:rPr>
        <w:t>N</w:t>
      </w:r>
      <w:r>
        <w:rPr>
          <w:rFonts w:eastAsiaTheme="minorEastAsia" w:cs="Times New Roman" w:hint="default"/>
          <w:lang w:eastAsia="en-US" w:bidi="ar-SA"/>
        </w:rPr>
        <w:t>á</w:t>
      </w:r>
      <w:r>
        <w:rPr>
          <w:rFonts w:eastAsiaTheme="minorEastAsia" w:cs="Times New Roman" w:hint="default"/>
          <w:lang w:eastAsia="en-US" w:bidi="ar-SA"/>
        </w:rPr>
        <w:t xml:space="preserve">vrh na vydanie </w:t>
      </w:r>
      <w:r w:rsidRPr="00F37947">
        <w:rPr>
          <w:rFonts w:eastAsiaTheme="minorEastAsia" w:cs="Times New Roman" w:hint="default"/>
          <w:lang w:eastAsia="en-US" w:bidi="ar-SA"/>
        </w:rPr>
        <w:t>zá</w:t>
      </w:r>
      <w:r w:rsidRPr="00F37947">
        <w:rPr>
          <w:rFonts w:eastAsiaTheme="minorEastAsia" w:cs="Times New Roman" w:hint="default"/>
          <w:lang w:eastAsia="en-US" w:bidi="ar-SA"/>
        </w:rPr>
        <w:t>kona o poskytovaní</w:t>
      </w:r>
      <w:r w:rsidRPr="00F37947">
        <w:rPr>
          <w:rFonts w:eastAsiaTheme="minorEastAsia" w:cs="Times New Roman" w:hint="default"/>
          <w:lang w:eastAsia="en-US" w:bidi="ar-SA"/>
        </w:rPr>
        <w:t xml:space="preserve"> služ</w:t>
      </w:r>
      <w:r w:rsidRPr="00F37947">
        <w:rPr>
          <w:rFonts w:eastAsiaTheme="minorEastAsia" w:cs="Times New Roman" w:hint="default"/>
          <w:lang w:eastAsia="en-US" w:bidi="ar-SA"/>
        </w:rPr>
        <w:t>by starostlivosti o deti v detský</w:t>
      </w:r>
      <w:r w:rsidRPr="00F37947">
        <w:rPr>
          <w:rFonts w:eastAsiaTheme="minorEastAsia" w:cs="Times New Roman" w:hint="default"/>
          <w:lang w:eastAsia="en-US" w:bidi="ar-SA"/>
        </w:rPr>
        <w:t>ch skupiná</w:t>
      </w:r>
      <w:r w:rsidRPr="00F37947">
        <w:rPr>
          <w:rFonts w:eastAsiaTheme="minorEastAsia" w:cs="Times New Roman" w:hint="default"/>
          <w:lang w:eastAsia="en-US" w:bidi="ar-SA"/>
        </w:rPr>
        <w:t>ch a o zmene a doplnení</w:t>
      </w:r>
      <w:r w:rsidRPr="00F37947">
        <w:rPr>
          <w:rFonts w:eastAsiaTheme="minorEastAsia" w:cs="Times New Roman" w:hint="default"/>
          <w:lang w:eastAsia="en-US" w:bidi="ar-SA"/>
        </w:rPr>
        <w:t xml:space="preserve"> niektorý</w:t>
      </w:r>
      <w:r w:rsidRPr="00F37947">
        <w:rPr>
          <w:rFonts w:eastAsiaTheme="minorEastAsia" w:cs="Times New Roman" w:hint="default"/>
          <w:lang w:eastAsia="en-US" w:bidi="ar-SA"/>
        </w:rPr>
        <w:t>ch zá</w:t>
      </w:r>
      <w:r w:rsidRPr="00F37947">
        <w:rPr>
          <w:rFonts w:eastAsiaTheme="minorEastAsia" w:cs="Times New Roman" w:hint="default"/>
          <w:lang w:eastAsia="en-US" w:bidi="ar-SA"/>
        </w:rPr>
        <w:t>konov</w:t>
      </w:r>
    </w:p>
    <w:p w:rsidR="00F37947" w:rsidP="00F37947">
      <w:pPr>
        <w:bidi w:val="0"/>
        <w:jc w:val="both"/>
        <w:rPr>
          <w:rFonts w:cs="Times New Roman"/>
        </w:rPr>
      </w:pPr>
    </w:p>
    <w:p w:rsidR="00F37947" w:rsidP="00F3794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F37947" w:rsidP="00F3794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3794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F37947" w:rsidRPr="00764085" w:rsidP="00F3794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37947" w:rsidP="00F37947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F37947" w:rsidP="00F37947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me za to,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dopad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bude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vny, nakoľ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me,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novú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služ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bu 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budú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využí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vať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najmä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rodič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 participujú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 na trhu prá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ce, čí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sa zvýš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zamestnanosť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ž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ien, ktoré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budú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odvá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dzať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odvody zo mzdy a platiť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dane z prí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jmu. Zlepší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tiež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finanč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situá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cia ž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ien v dô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chodkovom veku a predchá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 sa tiež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feminizá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cii chudoby, ktorá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je na Slovensku prí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tomná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Oč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vame tiež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nepriamy dopad na 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tny rozpoč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 podobe vyšš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ej pô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rodnosti, keďž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je doká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zaný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celoeuró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psky 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ozití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dostupný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zariadení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pre  starostlivosť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 deti na pô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rodnosť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Zvýš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sa tiež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poč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pracovný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miest pre opatrovateľ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 vo vzniknutý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detský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skupiná</w:t>
      </w:r>
      <w:r w:rsidRPr="00F3794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ch.</w:t>
      </w:r>
    </w:p>
    <w:p w:rsidR="00F37947" w:rsidP="00F3794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F37947" w:rsidRPr="00764085" w:rsidP="00F3794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37947" w:rsidRPr="00764085" w:rsidP="00F3794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F37947" w:rsidRPr="00764085" w:rsidP="00F3794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F37947" w:rsidP="00F3794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9D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3987E80"/>
    <w:multiLevelType w:val="hybridMultilevel"/>
    <w:tmpl w:val="811203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5E473A"/>
    <w:multiLevelType w:val="hybridMultilevel"/>
    <w:tmpl w:val="8F90F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0B1A8E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024717A"/>
    <w:multiLevelType w:val="hybridMultilevel"/>
    <w:tmpl w:val="6CCAF2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76174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2C6413"/>
    <w:multiLevelType w:val="hybridMultilevel"/>
    <w:tmpl w:val="12E648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502E0"/>
    <w:multiLevelType w:val="hybridMultilevel"/>
    <w:tmpl w:val="E35CE37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D05B2"/>
    <w:multiLevelType w:val="hybridMultilevel"/>
    <w:tmpl w:val="56E272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24208B9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6C63AEF"/>
    <w:multiLevelType w:val="hybridMultilevel"/>
    <w:tmpl w:val="2286B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81E3F97"/>
    <w:multiLevelType w:val="hybridMultilevel"/>
    <w:tmpl w:val="6C2AEA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2B9F36FC"/>
    <w:multiLevelType w:val="hybridMultilevel"/>
    <w:tmpl w:val="4C7C8D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2C3F37B6"/>
    <w:multiLevelType w:val="hybridMultilevel"/>
    <w:tmpl w:val="EBBC53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C6D7A2D"/>
    <w:multiLevelType w:val="hybridMultilevel"/>
    <w:tmpl w:val="C0AACE8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2E007EC3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04A40D0"/>
    <w:multiLevelType w:val="hybridMultilevel"/>
    <w:tmpl w:val="717C40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05263C3"/>
    <w:multiLevelType w:val="hybridMultilevel"/>
    <w:tmpl w:val="EE30694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4B4BB4"/>
    <w:multiLevelType w:val="hybridMultilevel"/>
    <w:tmpl w:val="DD22E78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45801338"/>
    <w:multiLevelType w:val="hybridMultilevel"/>
    <w:tmpl w:val="E1DA1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4EBE042F"/>
    <w:multiLevelType w:val="hybridMultilevel"/>
    <w:tmpl w:val="46EE6C7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ED80266"/>
    <w:multiLevelType w:val="hybridMultilevel"/>
    <w:tmpl w:val="87DEB19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17D4BB9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2034FD1"/>
    <w:multiLevelType w:val="hybridMultilevel"/>
    <w:tmpl w:val="ABFC65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E9C26AC"/>
    <w:multiLevelType w:val="hybridMultilevel"/>
    <w:tmpl w:val="B5CA96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>
    <w:nsid w:val="72AE56C9"/>
    <w:multiLevelType w:val="hybridMultilevel"/>
    <w:tmpl w:val="315C187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22026"/>
    <w:multiLevelType w:val="hybridMultilevel"/>
    <w:tmpl w:val="FCF4A69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82C03"/>
    <w:multiLevelType w:val="hybridMultilevel"/>
    <w:tmpl w:val="590EE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8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6"/>
  </w:num>
  <w:num w:numId="9">
    <w:abstractNumId w:val="23"/>
  </w:num>
  <w:num w:numId="10">
    <w:abstractNumId w:val="29"/>
  </w:num>
  <w:num w:numId="11">
    <w:abstractNumId w:val="32"/>
  </w:num>
  <w:num w:numId="12">
    <w:abstractNumId w:val="40"/>
  </w:num>
  <w:num w:numId="13">
    <w:abstractNumId w:val="35"/>
  </w:num>
  <w:num w:numId="14">
    <w:abstractNumId w:val="14"/>
  </w:num>
  <w:num w:numId="15">
    <w:abstractNumId w:val="1"/>
  </w:num>
  <w:num w:numId="16">
    <w:abstractNumId w:val="33"/>
  </w:num>
  <w:num w:numId="17">
    <w:abstractNumId w:val="6"/>
  </w:num>
  <w:num w:numId="18">
    <w:abstractNumId w:val="13"/>
  </w:num>
  <w:num w:numId="19">
    <w:abstractNumId w:val="4"/>
  </w:num>
  <w:num w:numId="20">
    <w:abstractNumId w:val="19"/>
  </w:num>
  <w:num w:numId="21">
    <w:abstractNumId w:val="27"/>
  </w:num>
  <w:num w:numId="22">
    <w:abstractNumId w:val="37"/>
  </w:num>
  <w:num w:numId="23">
    <w:abstractNumId w:val="10"/>
  </w:num>
  <w:num w:numId="24">
    <w:abstractNumId w:val="39"/>
  </w:num>
  <w:num w:numId="25">
    <w:abstractNumId w:val="17"/>
  </w:num>
  <w:num w:numId="26">
    <w:abstractNumId w:val="21"/>
  </w:num>
  <w:num w:numId="27">
    <w:abstractNumId w:val="7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15"/>
  </w:num>
  <w:num w:numId="33">
    <w:abstractNumId w:val="31"/>
  </w:num>
  <w:num w:numId="34">
    <w:abstractNumId w:val="25"/>
  </w:num>
  <w:num w:numId="35">
    <w:abstractNumId w:val="20"/>
  </w:num>
  <w:num w:numId="36">
    <w:abstractNumId w:val="3"/>
  </w:num>
  <w:num w:numId="37">
    <w:abstractNumId w:val="34"/>
  </w:num>
  <w:num w:numId="38">
    <w:abstractNumId w:val="30"/>
  </w:num>
  <w:num w:numId="39">
    <w:abstractNumId w:val="0"/>
  </w:num>
  <w:num w:numId="40">
    <w:abstractNumId w:val="2"/>
  </w:num>
  <w:num w:numId="41">
    <w:abstractNumId w:val="28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66DA5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766A6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4FC7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2047"/>
    <w:rsid w:val="003C5CB8"/>
    <w:rsid w:val="003D448D"/>
    <w:rsid w:val="003D6DC2"/>
    <w:rsid w:val="003E0FDB"/>
    <w:rsid w:val="003E72C9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3A0F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5814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75B0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347D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2024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B4A5D"/>
    <w:rsid w:val="009C58A3"/>
    <w:rsid w:val="009C607B"/>
    <w:rsid w:val="009C6CD0"/>
    <w:rsid w:val="00A122FD"/>
    <w:rsid w:val="00A13BBE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14C8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33A3"/>
    <w:rsid w:val="00AF57E2"/>
    <w:rsid w:val="00B02805"/>
    <w:rsid w:val="00B0477F"/>
    <w:rsid w:val="00B04877"/>
    <w:rsid w:val="00B07272"/>
    <w:rsid w:val="00B14D1F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C7B9C"/>
    <w:rsid w:val="00BD24F9"/>
    <w:rsid w:val="00BD4DCF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0945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12180"/>
    <w:rsid w:val="00F20DBE"/>
    <w:rsid w:val="00F27455"/>
    <w:rsid w:val="00F31F4C"/>
    <w:rsid w:val="00F33DCC"/>
    <w:rsid w:val="00F36984"/>
    <w:rsid w:val="00F37947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109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1B682-4721-4DBB-BA26-628E2CC0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364</Words>
  <Characters>2288</Characters>
  <Application>Microsoft Office Word</Application>
  <DocSecurity>0</DocSecurity>
  <Lines>0</Lines>
  <Paragraphs>0</Paragraphs>
  <ScaleCrop>false</ScaleCrop>
  <Company>HP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2017-03-03T14:41:00Z</dcterms:created>
  <dcterms:modified xsi:type="dcterms:W3CDTF">2017-03-03T14:41:00Z</dcterms:modified>
</cp:coreProperties>
</file>