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947" w:rsidRPr="00F37947" w:rsidP="00F37947">
      <w:pPr>
        <w:widowControl/>
        <w:tabs>
          <w:tab w:val="left" w:pos="1200"/>
          <w:tab w:val="center" w:pos="4402"/>
        </w:tabs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NÁRODNÁ RADA SLOVENSKEJ REPUBLIKY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VII. volebné obdobie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__________________________________________________________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NÁVRH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Z á k o n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z  </w:t>
      </w:r>
      <w:r w:rsidRPr="00F37947">
        <w:rPr>
          <w:rFonts w:eastAsia="Times New Roman" w:cs="Times New Roman"/>
          <w:kern w:val="0"/>
          <w:lang w:eastAsia="en-US" w:bidi="ar-SA"/>
        </w:rPr>
        <w:t>.....................2017,</w:t>
      </w: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 poskytovaní služby starostlivosti o deti v detských skupinách a o zmene a doplnení niektorých zákonov</w:t>
      </w: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</w:p>
    <w:p w:rsidR="00F37947" w:rsidRPr="00F37947" w:rsidP="00F37947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Národná rada Slovenskej republiky sa uzniesla na tomto zákone: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keepNext/>
        <w:widowControl/>
        <w:suppressAutoHyphens w:val="0"/>
        <w:bidi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Predmet úpravy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Tento zákon ustanovuje podmienky získania oprávnenia na poskytovanie služby starostlivosti o deti v detskej skupine (ďalej len "služba"), podmienky poskytovania tejto služby a oprávnenia orgánov štátnej správy pri kontrole podmienok jej poskytovania a ukladaní sankcií.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2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Služba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Službou sa na účely tohto zákona rozumie činnosť poskytovateľa služby, ktorá spočíva v opatrovaní a starostlivosti o dieťa do začatia povinnej školskej dochádzky, poskytovaná mimo domácnosť dieťaťa a v skupine detí, zameraná na zabezpečenie potrieb dieťaťa a na výchovu, rozvoj schopností dieťaťa a jeho kultúrnych a hygienických návykov.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3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Poskytovateľ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Poskytovateľom služby môže byť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zamestnávateľ rodiča dieťaťa alebo osoby, ktorej bolo dieťa zverené do starostlivosti nahrádzajúcej starostlivosť rodičov (ďalej len "rodič"), ak ide o deti týchto rodičov,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obec alebo samosprávny kraj a nimi na tento účel založené právnické osoby,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cirkev alebo náboženská spoločnosť a ich zariadenie,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stredná škola alebo vysoká škola, ak ide o deti rodičov, ktorí sú ich žiakmi alebo študentmi,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nadácia alebo nezisková organizácia poskytujúca všeobecne prospešné služby, ak je to v súlade s nimi vykonanými činnosťami,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fyzická osoba, ktorá je rodičom dieťaťa vo veku najviac šesť rokov, ak pri poskytovaní služby je v skupine detí aj dieťa tejto fyzickej osoby.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oprávnený poskytovať službu odo dňa vzniku oprávnenia na poskytovanie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Oprávnenie na poskytovanie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4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len na základe oprávnenia na poskytovanie služby (ďalej len "oprávnenie")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Oprávnenie vzniká dňom zápisu do zoznamu poskytovateľov služby a zaniká dňom výmazu zo zoznamu poskytovateľov služby. Orgánom príslušným na zápis a výmaz je Ministerstvo školstva, vedy, výskumu a športu Slovenskej republiky (ďalej len „ministerstvo“).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Zápis do zoznamu poskytovateľov služby vykoná ministerstvo na základe žiadosti poskytovateľa služby, ktorý preukáže splnenie podmienok na zápis do zoznamu poskytovateľov služby podľa § 5.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5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tento zákon neustanovuje inak, podmienkami na zápis do zoznamu poskytovateľov služby sú: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bezúhonnosť poskytovateľa a ak je poskytovateľ právnickou osobou jej štatutárneho orgánu alebo člena štatutárneho orgánu,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dosiahnutie 18. rokov veku osoby a spôsobilosť osoby na právne úkony v plnom rozsahu a ak je poskytovateľ právnickou osobou jej štatutárneho orgánu alebo člena štatutárneho orgánu,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fyzickej osoby osobne vykonávajúcej službu, ktorá musí byť bezúhonná, zdravotne spôsobila a musí mať najmenej 18. rokov veku a spôsobilosť na právne úkonu v plnom rozsahu,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nehnuteľnosti alebo jej časti, v ktorej bude služba poskytovaná a preukázanie vlastníckeho práva alebo užívacieho práva k nej,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zabezpečenie technických požiadaviek a hygienických požiadaviek na nehnuteľnosť, v ktorej bude poskytovaná služba podľa odsekov 4 a 5,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poistenie zodpovednosti za škodu spôsobenú pri poskytovaní služby,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existencia plánu starostlivosti, výchovy a vzdelávania.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Bezúhonnou je na účely ods. 1 písm. a) a c) fyzická osoba, ktorá nebola právoplatne odsúdená za úmyselný trestný čin, za trestný čin spáchaný z nedbanlivosti v súvislosti so starostlivosťou o dieťa alebo za trestný čin spáchaný z nedbanlivosti, ktorého spáchanie spočíva v skutku, ktorý by mohol mať nepriaznivý vplyv na dieťa. Bezúhonnosť sa preukazuje odpisom z registra trestov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2"/>
      </w:r>
      <w:r w:rsidRPr="00F37947">
        <w:rPr>
          <w:rFonts w:eastAsia="Times New Roman" w:cs="Times New Roman"/>
          <w:kern w:val="0"/>
          <w:lang w:eastAsia="sk-SK" w:bidi="ar-SA"/>
        </w:rPr>
        <w:t xml:space="preserve"> nie starším ako tri mesiace a ak ide o cudzinca aj obdobným dokumentom nie starším ako tri mesiace vydaným iným štátom, v ktorom mal cudzinec za posledných päť rokov povolený pobyt.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Zdravotne spôsobilou na účely ods. 1 písm. c) je fyzická  osoby, ktorá netrpí chorobou, ohrozujúcou zdravie dieťaťa. Zdravotná spôsobilosť sa preukazuje potvrdením lekára o tejto skutočnosti, nie starším ako tri mesiace.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Nehnuteľnosť alebo jej časť, ktorá slúži na poskytovanie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spĺňať technické požiadavky ustanovené osobitnými predpismi na byt alebo inú nehnuteľnosť alebo jej časť, slúžiacu na bývanie,</w:t>
      </w:r>
    </w:p>
    <w:p w:rsidR="00F37947" w:rsidRPr="00F37947" w:rsidP="00F37947">
      <w:pPr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byť zariadená a upravená spôsobom, ktorý zabezpečí, aby nedošlo k ohrozeniu zdravia alebo života detí,</w:t>
      </w:r>
    </w:p>
    <w:p w:rsidR="00F37947" w:rsidRPr="00F37947" w:rsidP="00F37947">
      <w:pPr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nesmie byť umiestnená v blízkosti zdroja hluku alebo znečistenia ovzdušia, ktoré by mali negatívny vplyv na poskytovanie služby alebo zdravie detí.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v nehnuteľnosti alebo jej časti, ktorá slúži na poskytovanie služby zabezpečiť dodržiavanie hygienických požiadaviek potrebných na ochranu zdravia detí v rozsahu ustanovenom osobitným predpisom.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3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Podmienky podľa odseku 1 musí poskytovateľ služby spĺňať počas celej doby poskytovania služby, ak tento zákon neustanovuje inak.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môže upustiť od splnenia podmienok podľa odseku 1 písm. d) a e), ak je plán starostlivosti, výchovy a vzdelávania viazaný na vykonanie prevažne v prírode.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6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Žiadosť o zápis do zoznamu poskytovateľov služby obsahuje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obchodné meno alebo názov poskytovateľa,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adresa trvalého pobytu, sídlo alebo miesto podnikania poskytovateľa,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identifikačné číslo poskytovateľa, ak bolo pridelené a ak je poskytovateľ fyzickou osobou, ktorej nebolo pridelené identifikačné číslo, dátum narodenia poskytovateľa,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štatutárneho orgánu alebo člena štatutárneho orgánu poskytovateľa, ak je poskytovateľ právnickou osobou,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fyzickej osoby osobne vykonávajúcej službu,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nehnuteľnosti alebo jej časti, v ktorej bude služba poskytovaná,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najvyšší počet detí v detskej skupine,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predpokladaný dátum začatia poskytovania služby,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Prílohami žiadosti o zápis do zoznamu poskytovateľov služby sú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bezúhonnosti osôb podľa § 5 ods. 1 písm. a) a c),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zdravotnej spôsobilosti osoby podľa § 5 ods. 1 písm. c),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vlastníckom práve alebo užívacom práve k nehnuteľnosti alebo jej časti, v ktorej bude služba poskytovaná,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dokument potvrdzujúci splnenie podmienky podľa § 5 ods. 4,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rozhodnutie regionálneho úradu verejného zdravotníctva preukazujúce splnenie podmienok podľa § 5 ods. 5,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splnení podmienky podľa § 5 ods. 1 písm. f).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došlo k upusteniu podľa § 5 ods. 7, žiadosť o zápis do zoznamu poskytovateľov služby obsahuje náležitosti a prílohy podľa tohto zákona okrem náležitosti podľa § 6 ods. 1 písm. f) a príloh podľa odseku 2 písm. c) až e).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spĺňa podmienky podľa § 5 ods. 1, ministerstvo ho zapíše do zoznamu poskytovateľov služby do 30 dní odo dňa podania úplnej žiadosti.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nespĺňa podmienky podľa § 5 ods. 1, ministerstvo žiadosť odmietne.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 zápise do zoznamu poskytovateľov služby sa osobitné rozhodnutie nevydáva.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oznámiť ministerstvu všetky zmeny údajov a dokladov, ktoré boli obsahom žiadosti do 15 dní odo dňa ich zmeny. Ak zo zmien nevyplýva nesplnenie podmienok podľa § 5 ods. 1, ministerstvo zmeny vyznačí v zozname poskytovateľov služby; v opačnom prípade začne konanie o výmaze poskytovateľa služby zo zoznamu poskytovateľov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vymaže poskytovateľa služby zo zoznamu poskytovateľov služby, ak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zanikne, zomrie alebo je vyhlásený za mŕtveho,</w:t>
      </w: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o to poskytovateľ služby požiada,</w:t>
      </w: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prestane spĺňať podmienky podľa § 3 ods. 1 alebo § 5 ods. 1,</w:t>
      </w: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poskytovateľovi služby bola uložená sankcia podľa zákona za porušenie povinnosti, ktorých následkom mohla byť alebo bola ujma na zdraví alebo živote dieťaťa alebo mu bola uložená sankcia za porušenie § 8 ním alebo fyzickou osobou, ktorá osobne vykonáva službu.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konanie o zápise do zoznamu poskytovateľov služby a na konanie o výmaze poskytovateľa zo zoznamu poskytovateľov služby sa vzťahuje všeobecný predpis o správnom konaní.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4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7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Zoznam poskytovateľov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vedie ministerstvo. Zoznam poskytovateľov služby je informačným systémom verejnej správy, ktorého správcom je ministerstvo.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Do zoznamu poskytovateľov služby sa zapisujú údaje v rozsahu, v akom sú uvedené v § 6 ods. 1 písm. a) až g) a údaje o dátume zápisu a výmazu zo zoznamu poskytovateľov služby.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zoznamu poskytovateľov služby sú doklady podľa § 6 ods. 2 písm. c) až f).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je verejný. Ministerstvo sprístupňuje informácie z neho aj na svojom webovom sídle, najmä plán starostlivosti, výchovy a vzdelávania poskytovateľa služby podľa § 6 ods. 1 písm. i).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Podmienky poskytovania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8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Poskytovateľ a ani fyzická osoba, ktorá osobne vykonáva službu nesmie voči dieťaťu používať neprimerané výchovné prostriedky alebo obmedzenia a nesmie používať ani také výchovné prostriedky alebo obmedzenia, ktoré sa dotýkajú dôstojnosti dieťaťa alebo ohrozujú jeho život, zdravie, telesný, citový, rozumový a mravný vývoj.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9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Služba sa poskytuje vo vzťahu ku konkrétnemu dieťaťu len na základe predchádzajúcej písomnej dohody s rodičom dieťaťa.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za odplatu, ktorá nesmie prevýšiť sumu skutočne vynaložených nákladov poskytovateľa služby na poskytovanie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10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jednej detskej skupine môže byť najviac 20 detí.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pri určovaní počtu detí v detskej skupine zohľadniť vek detí, ich zdravotný stav a dobu ich pobytu v detskej skupine.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Minimálny počet fyzických osôb, ktoré v detskej skupine osobne vykonávajú službu je nasledovný: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jedna, ak je v detskej skupine najviac šesť detí, </w:t>
      </w:r>
    </w:p>
    <w:p w:rsidR="00F37947" w:rsidRPr="00F37947" w:rsidP="00F37947">
      <w:pPr>
        <w:widowControl/>
        <w:numPr>
          <w:numId w:val="2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dve, ak je v detskej skupine najmenej sedem a najviac 20 detí,</w:t>
      </w:r>
    </w:p>
    <w:p w:rsidR="00F37947" w:rsidRPr="00F37947" w:rsidP="00F37947">
      <w:pPr>
        <w:widowControl/>
        <w:numPr>
          <w:numId w:val="2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tri, ak je v detskej skupine najmenej 13 a najviac 20 detí a zároveň aspoň jedno dieťa je mladšie ako 2 roky veku.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11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oprávnený zabezpečiť dieťaťu stravovanie, a to tak prípravou stravy ako aj výdajom stravy. Rozsah povinnosti poskytovateľa služby zabezpečiť dieťaťu stravu je predmetom dohody medzi poskytovateľom služby a rodičom dieťaťa.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zabezpečuje dieťaťu stravu rodič, poskytovateľ je povinný zabezpečiť uchovanie, ohrev a podanie stravy dieťaťu v súlade s požiadavkami správnej hygienickej praxe podľa osobitného predpisu.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5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zabezpečuje dieťaťu stravu, je tak oprávnený vykonávať len so súhlasom príslušného regionálneho úradu verejného zdravotníctva a pri dodržaní podmienok podľa osobitného zákona.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6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12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Ak sa u dieťaťa vyskytnú príznaky ochorenia, je poskytovateľ služby povinný bezodkladne informovať rodiča dieťaťa a odovzdať dieťa rodičovi, alebo zabezpečiť poskytnutie lekárskej starostlivosti.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13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je povinný vypracovať a zabezpečiť dodržiavanie pravidiel organizácie a poskytovania služby (ďalej len "interné pravidlá"), ktoré obsahujú najmä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identifikáciu poskytovateľa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detskej skupiny s uvedením počtu detí v nej alebo maximálneho počtu detí v nej,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adresu miesta poskytovania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vzniku oprávnenia na poskytovanie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údaje o odplate za poskytovanie služby, 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základné pravidlá a podmienky poskytovania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 vzdelávania.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 popisuje akým spôsobom a akými prostriedkami a postupmi sa v detskej skupine rozvíjajú schopnosti, kultúrne a hygienické návyky dieťaťa, so zameraním na formovanie osobnosti dieťaťa a fyzický a psychický vývoj dieťaťa, jeho vedomostí a zručností.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Interné pravidlá je poskytovateľ služby povinný v aktuálnom znení zverejniť v priestoroch, kde sa služba poskytuje a ktoré sú prístupné rodičom a ak má webové sídlo, aj na webovom sídle.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14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viesť evidenciu detí v detskej skupine, ktorá obsahuje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dieťaťa,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aspoň jedného rodiča,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osoby, ktorá je na základe predchádzajúceho písomného súhlasu rodiča dieťa od poskytovateľa služby osobne prevziať,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a doba, po ktoré bolo dieťa v detskej skupine,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zdravotnej poisťovni dieťaťa,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telefonický kontakt na rodiča alebo osobu podľa písmena c),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zdravotnom stave dieťaťa a obmedzeniach z neho vyplývajúcich, ktoré by mohli mať vplyv na poskytovanie služby, vrátane údaja o tom, či sa dieťa podrobilo povinným očkovaniam a ak nie, dôvod prečo tomu tak je,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odplatu za poskytnutie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Údaje podľa ods. 1 písm. a) až g) a každú ich zmenu je rodič povinný bezodkladne oznámiť poskytovateľovi služby, pričom ak ide o údaje podľa ods. 1 písm. g), je rodič povinný ich poskytovateľovi služby oznámiť pred uzatvorením dohody o poskytovaní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evidencie detí v detskej skupine je aj dohoda o poskytovaní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údaje podľa odseku 1 a dohodu o poskytovaní služby uchovávať po dobu 3 rokov odo dňa skončenia poskytovania služby konkrétnemu dieťaťu.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15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Kontrola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Kontrolu dodržiavania podmienok poskytovania služby ustanovených týmto zákonom vykonáva ministerstvo, s výnimkou kontroly dodržiavania hygienických podmienok, ktorú vykonáva regionálny úrad verejného zdravotníctva podľa osobitného zákona.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Sankcie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16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Priestupku sa dopustí fyzická osoba, ktorá poskytuje službu v rozpore s § 4 ods. 1 bez oprávnenia.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Priestupku sa dopustí fyzická osoba, ktorá ako poskytovateľ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5 ods. 5,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priestupok je možné udeliť pokutu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700,- eur, ak ide o priestupok podľa ods. 2 písm. c), d) alebo f),</w:t>
      </w:r>
    </w:p>
    <w:p w:rsidR="00F37947" w:rsidRPr="00F37947" w:rsidP="00F37947">
      <w:pPr>
        <w:widowControl/>
        <w:numPr>
          <w:numId w:val="3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priestupok podľa ods. 2 písm. a), b), e), g) alebo h),</w:t>
      </w:r>
    </w:p>
    <w:p w:rsidR="00F37947" w:rsidRPr="00F37947" w:rsidP="00F37947">
      <w:pPr>
        <w:widowControl/>
        <w:numPr>
          <w:numId w:val="3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3 300,- eur, ak ide o priestupok podľa odseku 1 alebo ods. 2 písm. i).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Priestupky podľa odseku 1 a ods. 2 písm. a) až f), h) a i) prejednáva ministerstvo. Priestupok podľa ods. 2 písm. g) prejednáva regionálny úrad verejného zdravotníctva.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priestupky a ich prejednanie sa vzťahuje osobitný zákon.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7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17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Iného správneho deliktu sa dopustí právnická osoba alebo fyzická osoba podnikateľ, ktorá poskytuje službu v rozpore s § 4 ods. 1 bez oprávnenia.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Iného správneho deliktu sa dopustí právnická osoba alebo fyzická osoba podnikateľ, ktorá ako poskytovateľ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5 ods. 5,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iný správny delikt je možné udeliť pokutu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iný správny delikt podľa ods. 2 písm. c), d) alebo f),</w:t>
      </w:r>
    </w:p>
    <w:p w:rsidR="00F37947" w:rsidRPr="00F37947" w:rsidP="00F37947">
      <w:pPr>
        <w:widowControl/>
        <w:numPr>
          <w:numId w:val="4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1 500,- eur, ak ide o iný správny delikt podľa ods. 2 písm. a), b), e), g) alebo h),</w:t>
      </w:r>
    </w:p>
    <w:p w:rsidR="00F37947" w:rsidRPr="00F37947" w:rsidP="00F37947">
      <w:pPr>
        <w:widowControl/>
        <w:numPr>
          <w:numId w:val="4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4 800,- eur, ak ide o iný správny delikt podľa odseku 1 alebo ods. 2 písm. i).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Iné správne delikty podľa odseku 1 a ods. 2 písm. a) až f), h) a i) prejednáva ministerstvo. Iný správny delikt podľa ods. 2 písm. g) prejednáva regionálny úrad verejného zdravotníctva.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Orgán prejednávajúci iný správny delikt pri určení výšky pokuty prihliada na závažnosť, spôsob, čas trvania a následky protiprávneho konania. Pri opakovanom porušení možno pokutu zvýšiť až na dvojnásobok.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Konanie o uloženie pokuty za iný správny delikt možno začať do dvoch rokov odo dňa, keď sa príslušný orgán dozvedel o porušení povinnosti, najneskôr však do troch rokov odo dňa, keď k porušeniu povinnosti došlo.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Pokuta je splatná do 30 dní odo dňa nadobudnutia právoplatnosti rozhodnutia o jej uložení. Výnosy z pokút sú príjmom štátneho rozpočtu.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Orgán, ktorý pokutu uložil, môže povoliť odklad platenia pokuty alebo platenie v splátkach, ak vznikli okolnosti, ktoré znemožňujú bezodkladné zaplatenie pokuty, alebo okolnosti, ktoré odôvodňujú platenie v splátkach.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iné správne delikty a ich prejednanie sa vzťahuje všeobecný predpis o správnom konaní.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2)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 a zákona č. 341/2016 Z. z. sa mení a dopĺňa takto:</w:t>
      </w:r>
    </w:p>
    <w:p w:rsidR="00F37947" w:rsidRPr="00F37947" w:rsidP="00F37947">
      <w:pPr>
        <w:widowControl/>
        <w:suppressAutoHyphens w:val="0"/>
        <w:bidi w:val="0"/>
        <w:ind w:firstLine="426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40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5 ods. 7 písm. d) sa slová "predškolského" nahrádzajú slovami "telovýchovného alebo športového zariadenia alebo zariadenia na poskytovanie starostlivosti o deti v predškolskom veku".</w:t>
      </w:r>
    </w:p>
    <w:p w:rsidR="00F37947" w:rsidRPr="00F37947" w:rsidP="00F37947">
      <w:pPr>
        <w:widowControl/>
        <w:suppressAutoHyphens w:val="0"/>
        <w:bidi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40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§ 19 ods. 2 sa dopĺňa písmenom v), ktoré znie:</w:t>
      </w:r>
    </w:p>
    <w:p w:rsidR="00F37947" w:rsidRPr="00F37947" w:rsidP="00F37947">
      <w:pPr>
        <w:widowControl/>
        <w:suppressAutoHyphens w:val="0"/>
        <w:bidi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"v) výdavky na prevádzku vlastného zariadenia na poskytovanie starostlivosti o deti v predškolskom veku".</w:t>
      </w:r>
    </w:p>
    <w:p w:rsidR="00F37947" w:rsidRPr="00F37947" w:rsidP="00F37947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keepNext/>
        <w:widowControl/>
        <w:suppressAutoHyphens w:val="0"/>
        <w:bidi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III</w:t>
      </w:r>
    </w:p>
    <w:p w:rsidR="00F37947" w:rsidRPr="00F37947" w:rsidP="00F37947">
      <w:pPr>
        <w:widowControl/>
        <w:suppressAutoHyphens w:val="0"/>
        <w:bidi w:val="0"/>
        <w:spacing w:line="276" w:lineRule="auto"/>
        <w:rPr>
          <w:rFonts w:ascii="Calibri" w:hAnsi="Calibri" w:cs="Times New Roman"/>
          <w:kern w:val="0"/>
          <w:lang w:eastAsia="sk-SK" w:bidi="ar-SA"/>
        </w:rPr>
      </w:pPr>
    </w:p>
    <w:p w:rsidR="00F37947" w:rsidRPr="00F37947" w:rsidP="00F37947">
      <w:pPr>
        <w:widowControl/>
        <w:suppressAutoHyphens w:val="0"/>
        <w:bidi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 a zákona č. 40/2017 Z. z. sa mení a dopĺňa takto:</w:t>
      </w:r>
    </w:p>
    <w:p w:rsidR="00F37947" w:rsidRPr="00F37947" w:rsidP="00F37947">
      <w:pPr>
        <w:widowControl/>
        <w:suppressAutoHyphens w:val="0"/>
        <w:bidi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4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24 ods. 10 sa slová "sú povinné" nahrádzajú slovami "a poskytovateľ služby starostlivosti o deti v detských skupinách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, ak osobitný predpis neustanovuje inak, sú povinní".</w:t>
      </w:r>
    </w:p>
    <w:p w:rsidR="00F37947" w:rsidRPr="00F37947" w:rsidP="00F37947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Poznámka pod čiarou k odkazu 31a znie:</w:t>
      </w:r>
    </w:p>
    <w:p w:rsidR="00F37947" w:rsidRPr="00F37947" w:rsidP="00F37947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ind w:left="426"/>
        <w:jc w:val="both"/>
        <w:rPr>
          <w:rFonts w:ascii="Calibri" w:hAnsi="Calibri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"31a) Zákon č. .../2017 Z. z. o poskytovaní služby starostlivosti o deti v detských skupinách a o zmene a doplnení niektorých zákonov.".</w:t>
      </w:r>
    </w:p>
    <w:p w:rsidR="00F37947" w:rsidRPr="00F37947" w:rsidP="00F37947">
      <w:pPr>
        <w:widowControl/>
        <w:suppressAutoHyphens w:val="0"/>
        <w:bidi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4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57 ods. 14 sa za slová "v prevádzkarni" vkladajú slová ""a poskytovateľ služby starostlivosti o deti v detských skupinách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".</w:t>
      </w:r>
    </w:p>
    <w:p w:rsidR="00F37947" w:rsidRPr="00F37947" w:rsidP="00F37947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F37947" w:rsidRPr="00F37947" w:rsidP="00F37947">
      <w:pPr>
        <w:widowControl/>
        <w:suppressAutoHyphens w:val="0"/>
        <w:bidi w:val="0"/>
        <w:ind w:left="720"/>
        <w:contextualSpacing/>
        <w:rPr>
          <w:rFonts w:eastAsia="Times New Roman" w:cs="Helvetica"/>
          <w:b/>
          <w:kern w:val="0"/>
          <w:lang w:eastAsia="sk-SK" w:bidi="ar-SA"/>
        </w:rPr>
      </w:pPr>
    </w:p>
    <w:p w:rsidR="00F37947" w:rsidRPr="00F37947" w:rsidP="00F37947">
      <w:pPr>
        <w:widowControl/>
        <w:suppressAutoHyphens w:val="0"/>
        <w:bidi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 376/2014 Z. z., zákona č. 345/2015 Z. z., zákona č. 91/2016 Z. z., zákona č. 125/2016 Z. z. a zákona č. 40/2017 Z. z. sa mení a dopĺňa takto:</w:t>
      </w: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9 ods. 12 sa vypúšťajú slová „§ 32a“.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12 odseku 1 písm. b) sa vypúšťa bod 3.</w:t>
      </w:r>
    </w:p>
    <w:p w:rsidR="00F37947" w:rsidRPr="00F37947" w:rsidP="00F3794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body 4 a 5 sa označujú ako body 3 a 4.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§ 32a sa vypúšťa.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 celom texte § 33a sa vypúšťajú slová „32a“.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63 odseku 4 prvej vete sa vypúšťajú slová „32a“.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 xml:space="preserve">V § 74 ods. 2 sa </w:t>
      </w:r>
      <w:r w:rsidRPr="00F37947">
        <w:rPr>
          <w:rFonts w:eastAsia="Times New Roman" w:cs="Times New Roman"/>
          <w:kern w:val="0"/>
          <w:lang w:eastAsia="sk-SK" w:bidi="ar-SA"/>
        </w:rPr>
        <w:t>vypúšťa písm. c).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F37947" w:rsidRPr="00F37947" w:rsidP="00F37947">
      <w:pPr>
        <w:widowControl/>
        <w:suppressAutoHyphens w:val="0"/>
        <w:bidi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písm. d) až j) sa označujú ako písm. c) až i).</w:t>
      </w: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74 ods. 4 sa slová „odseku 2 písm. g) až j)“ nahrádzajú slovami „odseku 2 písm. f) až i).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74 ods. 5 sa slová „odseku 2 písm. e) a f)“ nahrádzajú slovami „odseku 2 písm. d) a e)“.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75 ods. 7 sa písm. n) vypúšťa.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písm. o) sa označuje ako písm. n).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75 ods. 13 sa vypúšťajú slová „32a“.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94a ods. 2 sa vypúšťajú slová „32a“.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94b ods. 2 sa vypúšťajú slová „32a“.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94c odseku 2 písm. a) sa vypúšťajú slová „32a“.</w:t>
      </w:r>
    </w:p>
    <w:p w:rsidR="00F37947" w:rsidRPr="00F37947" w:rsidP="00F37947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104 sa vypúšťajú slová „32a“.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V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Účinnosť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firstLine="708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Tento zákon nadobúda účinnosť 1. júla 2017.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02" w:rsidP="0090548E">
      <w:pPr>
        <w:bidi w:val="0"/>
      </w:pPr>
      <w:r>
        <w:separator/>
      </w:r>
    </w:p>
  </w:footnote>
  <w:footnote w:type="continuationSeparator" w:id="1">
    <w:p w:rsidR="006A5E02" w:rsidP="0090548E">
      <w:pPr>
        <w:bidi w:val="0"/>
      </w:pPr>
      <w:r>
        <w:continuationSeparator/>
      </w:r>
    </w:p>
  </w:footnote>
  <w:footnote w:id="2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="00F37947">
        <w:rPr>
          <w:rFonts w:ascii="Times New Roman" w:hAnsi="Times New Roman"/>
        </w:rPr>
        <w:t>)</w:t>
      </w:r>
      <w:r w:rsidRPr="00B14D1F" w:rsidR="00F37947">
        <w:rPr>
          <w:rFonts w:ascii="Times New Roman" w:hAnsi="Times New Roman"/>
        </w:rPr>
        <w:t xml:space="preserve"> Zákon č. 330/2007 Z. z. o registri trestov a o zmene a doplnení niektorých zákonov v znení neskorších predpisov.</w:t>
      </w:r>
    </w:p>
  </w:footnote>
  <w:footnote w:id="3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§ 24 zákona č. 355/2007 Z. z. o ochrane, podpore a rozvoji verejného zdravia a o zmene a doplnení niektorých zákonov v znení neskorších predpisov.</w:t>
      </w:r>
    </w:p>
  </w:footnote>
  <w:footnote w:id="4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Zákon č. 71/1967 Zb. o správnom konaní (správny poriadok) v znení neskorších predpisov.</w:t>
      </w:r>
    </w:p>
  </w:footnote>
  <w:footnote w:id="5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Nariadenie Európskeho parlamentu a rady (ES) č. 852/2004 o hygiene potravín.</w:t>
      </w:r>
    </w:p>
  </w:footnote>
  <w:footnote w:id="6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§ 26 zákona č. 355/2007 Z. z. v znení neskorších predpisov.</w:t>
      </w:r>
    </w:p>
  </w:footnote>
  <w:footnote w:id="7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 xml:space="preserve">) Zákon Slovenskej národnej rady č. 372/1990 Zb. o priestupkoch v 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9D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3987E80"/>
    <w:multiLevelType w:val="hybridMultilevel"/>
    <w:tmpl w:val="811203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5E473A"/>
    <w:multiLevelType w:val="hybridMultilevel"/>
    <w:tmpl w:val="8F90F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0B1A8E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024717A"/>
    <w:multiLevelType w:val="hybridMultilevel"/>
    <w:tmpl w:val="6CCAF2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76174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2C6413"/>
    <w:multiLevelType w:val="hybridMultilevel"/>
    <w:tmpl w:val="12E648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502E0"/>
    <w:multiLevelType w:val="hybridMultilevel"/>
    <w:tmpl w:val="E35CE37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D05B2"/>
    <w:multiLevelType w:val="hybridMultilevel"/>
    <w:tmpl w:val="56E272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24208B9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6C63AEF"/>
    <w:multiLevelType w:val="hybridMultilevel"/>
    <w:tmpl w:val="2286B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81E3F97"/>
    <w:multiLevelType w:val="hybridMultilevel"/>
    <w:tmpl w:val="6C2AEA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2B9F36FC"/>
    <w:multiLevelType w:val="hybridMultilevel"/>
    <w:tmpl w:val="4C7C8D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2C3F37B6"/>
    <w:multiLevelType w:val="hybridMultilevel"/>
    <w:tmpl w:val="EBBC53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C6D7A2D"/>
    <w:multiLevelType w:val="hybridMultilevel"/>
    <w:tmpl w:val="C0AACE8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2E007EC3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04A40D0"/>
    <w:multiLevelType w:val="hybridMultilevel"/>
    <w:tmpl w:val="717C40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05263C3"/>
    <w:multiLevelType w:val="hybridMultilevel"/>
    <w:tmpl w:val="EE30694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4B4BB4"/>
    <w:multiLevelType w:val="hybridMultilevel"/>
    <w:tmpl w:val="DD22E7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5801338"/>
    <w:multiLevelType w:val="hybridMultilevel"/>
    <w:tmpl w:val="E1DA1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4EBE042F"/>
    <w:multiLevelType w:val="hybridMultilevel"/>
    <w:tmpl w:val="46EE6C7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ED80266"/>
    <w:multiLevelType w:val="hybridMultilevel"/>
    <w:tmpl w:val="87DEB19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17D4BB9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2034FD1"/>
    <w:multiLevelType w:val="hybridMultilevel"/>
    <w:tmpl w:val="ABFC65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E9C26AC"/>
    <w:multiLevelType w:val="hybridMultilevel"/>
    <w:tmpl w:val="B5CA96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>
    <w:nsid w:val="72AE56C9"/>
    <w:multiLevelType w:val="hybridMultilevel"/>
    <w:tmpl w:val="315C187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22026"/>
    <w:multiLevelType w:val="hybridMultilevel"/>
    <w:tmpl w:val="FCF4A69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82C03"/>
    <w:multiLevelType w:val="hybridMultilevel"/>
    <w:tmpl w:val="590EE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8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6"/>
  </w:num>
  <w:num w:numId="9">
    <w:abstractNumId w:val="23"/>
  </w:num>
  <w:num w:numId="10">
    <w:abstractNumId w:val="29"/>
  </w:num>
  <w:num w:numId="11">
    <w:abstractNumId w:val="32"/>
  </w:num>
  <w:num w:numId="12">
    <w:abstractNumId w:val="40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27"/>
  </w:num>
  <w:num w:numId="22">
    <w:abstractNumId w:val="37"/>
  </w:num>
  <w:num w:numId="23">
    <w:abstractNumId w:val="10"/>
  </w:num>
  <w:num w:numId="24">
    <w:abstractNumId w:val="39"/>
  </w:num>
  <w:num w:numId="25">
    <w:abstractNumId w:val="17"/>
  </w:num>
  <w:num w:numId="26">
    <w:abstractNumId w:val="21"/>
  </w:num>
  <w:num w:numId="27">
    <w:abstractNumId w:val="7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15"/>
  </w:num>
  <w:num w:numId="33">
    <w:abstractNumId w:val="31"/>
  </w:num>
  <w:num w:numId="34">
    <w:abstractNumId w:val="25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0"/>
  </w:num>
  <w:num w:numId="40">
    <w:abstractNumId w:val="2"/>
  </w:num>
  <w:num w:numId="41">
    <w:abstractNumId w:val="28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6DA5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766A6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4FC7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2047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3A0F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5814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BD1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75B0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347D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2024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B4A5D"/>
    <w:rsid w:val="009C58A3"/>
    <w:rsid w:val="009C607B"/>
    <w:rsid w:val="009C6CD0"/>
    <w:rsid w:val="00A122FD"/>
    <w:rsid w:val="00A13BBE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14C8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33A3"/>
    <w:rsid w:val="00AF57E2"/>
    <w:rsid w:val="00B02805"/>
    <w:rsid w:val="00B0477F"/>
    <w:rsid w:val="00B04877"/>
    <w:rsid w:val="00B07272"/>
    <w:rsid w:val="00B14D1F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C7B9C"/>
    <w:rsid w:val="00BD24F9"/>
    <w:rsid w:val="00BD4DCF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0945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12180"/>
    <w:rsid w:val="00F20DBE"/>
    <w:rsid w:val="00F27455"/>
    <w:rsid w:val="00F31F4C"/>
    <w:rsid w:val="00F33DCC"/>
    <w:rsid w:val="00F36984"/>
    <w:rsid w:val="00F37947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109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0BF92-1329-497D-9897-31A5C345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3515</Words>
  <Characters>17835</Characters>
  <Application>Microsoft Office Word</Application>
  <DocSecurity>0</DocSecurity>
  <Lines>0</Lines>
  <Paragraphs>0</Paragraphs>
  <ScaleCrop>false</ScaleCrop>
  <Company>HP</Company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2017-03-03T14:40:00Z</dcterms:created>
  <dcterms:modified xsi:type="dcterms:W3CDTF">2017-03-03T14:40:00Z</dcterms:modified>
</cp:coreProperties>
</file>