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0576" w:rsidRPr="000A5AAE" w:rsidP="00000576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 w:rsidRPr="000A5AAE">
        <w:rPr>
          <w:rFonts w:hint="default"/>
          <w:b/>
          <w:bCs/>
          <w:sz w:val="32"/>
          <w:szCs w:val="32"/>
        </w:rPr>
        <w:t>NÁ</w:t>
      </w:r>
      <w:r w:rsidRPr="000A5AAE">
        <w:rPr>
          <w:rFonts w:hint="default"/>
          <w:b/>
          <w:bCs/>
          <w:sz w:val="32"/>
          <w:szCs w:val="32"/>
        </w:rPr>
        <w:t>RODNÁ</w:t>
      </w:r>
      <w:r w:rsidRPr="000A5AAE"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000576" w:rsidRPr="000A5AAE" w:rsidP="00000576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 w:hint="default"/>
          <w:b/>
          <w:sz w:val="28"/>
          <w:szCs w:val="28"/>
        </w:rPr>
      </w:pPr>
      <w:r w:rsidRPr="000A5AAE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>I</w:t>
      </w:r>
      <w:r w:rsidRPr="000A5AAE">
        <w:rPr>
          <w:rFonts w:cs="Times New Roman" w:hint="default"/>
          <w:b/>
          <w:sz w:val="28"/>
          <w:szCs w:val="28"/>
        </w:rPr>
        <w:t>I. volebné</w:t>
      </w:r>
      <w:r w:rsidRPr="000A5AAE">
        <w:rPr>
          <w:rFonts w:cs="Times New Roman" w:hint="default"/>
          <w:b/>
          <w:sz w:val="28"/>
          <w:szCs w:val="28"/>
        </w:rPr>
        <w:t xml:space="preserve"> obdobie</w:t>
      </w:r>
    </w:p>
    <w:p w:rsidR="00702862" w:rsidP="00000576">
      <w:pPr>
        <w:bidi w:val="0"/>
        <w:jc w:val="center"/>
        <w:rPr>
          <w:b/>
          <w:spacing w:val="30"/>
        </w:rPr>
      </w:pPr>
    </w:p>
    <w:p w:rsidR="002D08B3" w:rsidP="00000576">
      <w:pPr>
        <w:bidi w:val="0"/>
        <w:jc w:val="center"/>
        <w:rPr>
          <w:b/>
          <w:spacing w:val="30"/>
        </w:rPr>
      </w:pPr>
      <w:r w:rsidRPr="000A5AAE" w:rsidR="00000576">
        <w:rPr>
          <w:rFonts w:hint="default"/>
          <w:b/>
          <w:spacing w:val="30"/>
        </w:rPr>
        <w:t>Ná</w:t>
      </w:r>
      <w:r w:rsidRPr="000A5AAE" w:rsidR="00000576">
        <w:rPr>
          <w:rFonts w:hint="default"/>
          <w:b/>
          <w:spacing w:val="30"/>
        </w:rPr>
        <w:t xml:space="preserve">vrh </w:t>
      </w:r>
    </w:p>
    <w:p w:rsidR="00702862" w:rsidP="00000576">
      <w:pPr>
        <w:bidi w:val="0"/>
        <w:jc w:val="center"/>
        <w:rPr>
          <w:b/>
          <w:spacing w:val="30"/>
        </w:rPr>
      </w:pPr>
    </w:p>
    <w:p w:rsidR="0092571B" w:rsidP="0092571B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92571B">
        <w:rPr>
          <w:rFonts w:eastAsia="Times New Roman" w:cs="Times New Roman"/>
          <w:b/>
          <w:kern w:val="0"/>
          <w:lang w:eastAsia="sk-SK" w:bidi="ar-SA"/>
        </w:rPr>
        <w:t>Zákon</w:t>
      </w:r>
    </w:p>
    <w:p w:rsidR="00702862" w:rsidRPr="0092571B" w:rsidP="0092571B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702862" w:rsidRPr="0092571B" w:rsidP="0092571B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92571B" w:rsidR="0092571B">
        <w:rPr>
          <w:rFonts w:eastAsia="Times New Roman" w:cs="Times New Roman"/>
          <w:b/>
          <w:kern w:val="0"/>
          <w:lang w:eastAsia="sk-SK" w:bidi="ar-SA"/>
        </w:rPr>
        <w:t>z.........2017,</w:t>
      </w:r>
    </w:p>
    <w:p w:rsidR="0092571B" w:rsidRPr="0092571B" w:rsidP="0092571B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92571B" w:rsidRPr="0092571B" w:rsidP="0092571B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92571B">
        <w:rPr>
          <w:rFonts w:eastAsia="Times New Roman" w:cs="Times New Roman"/>
          <w:b/>
          <w:kern w:val="0"/>
          <w:lang w:eastAsia="sk-SK" w:bidi="ar-SA"/>
        </w:rPr>
        <w:t>ktorým sa mení a dopĺňa zákon č. 553/2003 Z. z. o odmeňovaní niektorých zamestnancov pri výkone práce vo verejnom záujme a o zmene a doplnení niektorých zákonov v znení neskorších predpisov a ktorým sa menia a dopĺňajú niektoré zákony</w:t>
      </w:r>
    </w:p>
    <w:p w:rsidR="0092571B" w:rsidRPr="0092571B" w:rsidP="0092571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</w:p>
    <w:p w:rsidR="0092571B" w:rsidRPr="0092571B" w:rsidP="0092571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92571B">
        <w:rPr>
          <w:rFonts w:eastAsia="Times New Roman" w:cs="Times New Roman"/>
          <w:kern w:val="0"/>
          <w:lang w:eastAsia="sk-SK" w:bidi="ar-SA"/>
        </w:rPr>
        <w:t>Národná rada Slovenskej republiky sa uzniesla na tomto zákone:</w:t>
      </w:r>
    </w:p>
    <w:p w:rsidR="0092571B" w:rsidRPr="0092571B" w:rsidP="0092571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2571B" w:rsidRPr="0092571B" w:rsidP="0092571B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92571B">
        <w:rPr>
          <w:rFonts w:eastAsia="Times New Roman" w:cs="Times New Roman"/>
          <w:b/>
          <w:kern w:val="0"/>
          <w:lang w:eastAsia="sk-SK" w:bidi="ar-SA"/>
        </w:rPr>
        <w:t>Čl. I</w:t>
      </w:r>
    </w:p>
    <w:p w:rsidR="0092571B" w:rsidRPr="0092571B" w:rsidP="0092571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2571B" w:rsidP="0092571B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92571B">
        <w:rPr>
          <w:rFonts w:eastAsia="Times New Roman" w:cs="Times New Roman"/>
          <w:kern w:val="0"/>
          <w:lang w:eastAsia="sk-SK" w:bidi="ar-SA"/>
        </w:rPr>
        <w:t>Zákon č. 553/2003 Z. z. o odmeňovaní niektorých zamestnancov pri výkone práce vo verejnom záujme a o zmene a doplnení niektorých zákonov v znení zákona č. 369/2004 Z. z., zákona č.81/2005 Z. z., zákona č. 131/2005 Z. z., zákona č. 628/2005 Z. z., zákona č. 231/2006 Z. z., zákona č. 348/2007 Z. z., zákona č. 519/2007 Z. z., zákona č. 385/2008 Z. z., zákona č.474/2008 Z. z., zákona č. 317/2009 Z. z., zákona č. 400/2009 Z. z., zákona č. 102/2010 Z. z., zákona č.151/2010 Z. z., zákona č. 390/2011 Z. z., zákona č. 62/2012 Z. z., nálezu Ústavného súdu Slovenskej republiky č. 288/2013 Z. z., zákona č. 462/2013 Z. z., zákona č. 325/2014 Z. z., zákona č. 32/2015 Z. z., zákona č. 392/2015 Z. z. a zákona č. 217/2016 Z. z. sa mení a dopĺňa takto:</w:t>
      </w:r>
    </w:p>
    <w:p w:rsidR="001828C4" w:rsidP="0092571B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kern w:val="0"/>
          <w:lang w:eastAsia="sk-SK" w:bidi="ar-SA"/>
        </w:rPr>
      </w:pPr>
    </w:p>
    <w:p w:rsidR="001828C4" w:rsidP="001828C4">
      <w:pPr>
        <w:pStyle w:val="ListParagraph"/>
        <w:widowControl/>
        <w:numPr>
          <w:numId w:val="15"/>
        </w:numPr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V § 6 ods. 1 znie:</w:t>
      </w:r>
    </w:p>
    <w:p w:rsidR="001828C4" w:rsidP="001828C4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1828C4" w:rsidP="001828C4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„(1) Zamestnávateľ určí dĺžku započítanej praxe zamestnanca. Zamestnávateľ v závislosti od dĺžky započítanej praxe zamestnanca zaradí do jedného z 12 platových stupňov týchto zamestnancov:</w:t>
      </w:r>
    </w:p>
    <w:p w:rsidR="001828C4" w:rsidP="001828C4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1828C4" w:rsidP="001828C4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 xml:space="preserve">a) </w:t>
      </w:r>
      <w:r w:rsidRPr="001828C4">
        <w:rPr>
          <w:rFonts w:eastAsia="Times New Roman" w:cs="Times New Roman"/>
          <w:kern w:val="0"/>
          <w:lang w:eastAsia="sk-SK" w:bidi="ar-SA"/>
        </w:rPr>
        <w:t>zamestnancov s vysokoškolským vzdelaním druhého stupňa, ktorí vykonávajú výskumno-pedagogickú činnosť alebo výskumnú činnosť a vývojovú činnosť na výskumnom pracovisku</w:t>
      </w:r>
      <w:r w:rsidRPr="001828C4">
        <w:rPr>
          <w:rFonts w:eastAsia="Times New Roman" w:cs="Times New Roman"/>
          <w:kern w:val="0"/>
          <w:vertAlign w:val="superscript"/>
          <w:lang w:eastAsia="sk-SK" w:bidi="ar-SA"/>
        </w:rPr>
        <w:t>16</w:t>
      </w:r>
      <w:r w:rsidRPr="001828C4">
        <w:rPr>
          <w:rFonts w:eastAsia="Times New Roman" w:cs="Times New Roman"/>
          <w:kern w:val="0"/>
          <w:lang w:eastAsia="sk-SK" w:bidi="ar-SA"/>
        </w:rPr>
        <w:t xml:space="preserve">) (ďalej len „výskumní a vývojoví zamestnanci“), </w:t>
      </w:r>
    </w:p>
    <w:p w:rsidR="001828C4" w:rsidP="001828C4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 xml:space="preserve">b) </w:t>
      </w:r>
      <w:r w:rsidRPr="001828C4">
        <w:rPr>
          <w:rFonts w:eastAsia="Times New Roman" w:cs="Times New Roman"/>
          <w:kern w:val="0"/>
          <w:lang w:eastAsia="sk-SK" w:bidi="ar-SA"/>
        </w:rPr>
        <w:t>zdravotníckych zamestnancov, ktorí nie sú odmeňovaní podľa osobitného predpisu,</w:t>
      </w:r>
      <w:r w:rsidRPr="001828C4">
        <w:rPr>
          <w:rFonts w:eastAsia="Times New Roman" w:cs="Times New Roman"/>
          <w:kern w:val="0"/>
          <w:vertAlign w:val="superscript"/>
          <w:lang w:eastAsia="sk-SK" w:bidi="ar-SA"/>
        </w:rPr>
        <w:t>17</w:t>
      </w:r>
      <w:r w:rsidRPr="001828C4">
        <w:rPr>
          <w:rFonts w:eastAsia="Times New Roman" w:cs="Times New Roman"/>
          <w:kern w:val="0"/>
          <w:lang w:eastAsia="sk-SK" w:bidi="ar-SA"/>
        </w:rPr>
        <w:t xml:space="preserve">) </w:t>
      </w:r>
    </w:p>
    <w:p w:rsidR="001828C4" w:rsidP="001828C4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 xml:space="preserve">c) </w:t>
      </w:r>
      <w:r w:rsidRPr="001828C4">
        <w:rPr>
          <w:rFonts w:eastAsia="Times New Roman" w:cs="Times New Roman"/>
          <w:kern w:val="0"/>
          <w:lang w:eastAsia="sk-SK" w:bidi="ar-SA"/>
        </w:rPr>
        <w:t>zamestnancov, ktorí pôsobia vo verejnej vysokej škole alebo v štátnej vysokej škole ako vysokoškolskí učitelia (ďalej len „učitelia vysokých škôl“)</w:t>
      </w:r>
      <w:r>
        <w:rPr>
          <w:rFonts w:eastAsia="Times New Roman" w:cs="Times New Roman"/>
          <w:kern w:val="0"/>
          <w:lang w:eastAsia="sk-SK" w:bidi="ar-SA"/>
        </w:rPr>
        <w:t>,</w:t>
      </w:r>
    </w:p>
    <w:p w:rsidR="001828C4" w:rsidP="001828C4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d) zamestnancov</w:t>
      </w:r>
      <w:r w:rsidRPr="001828C4">
        <w:rPr>
          <w:rFonts w:eastAsia="Times New Roman" w:cs="Times New Roman"/>
          <w:kern w:val="0"/>
          <w:lang w:eastAsia="sk-SK" w:bidi="ar-SA"/>
        </w:rPr>
        <w:t xml:space="preserve"> iného zamestnávateľa, ak tak ustanoví osobitný predpis.</w:t>
      </w:r>
      <w:r w:rsidRPr="001828C4">
        <w:rPr>
          <w:rFonts w:eastAsia="Times New Roman" w:cs="Times New Roman"/>
          <w:kern w:val="0"/>
          <w:vertAlign w:val="superscript"/>
          <w:lang w:eastAsia="sk-SK" w:bidi="ar-SA"/>
        </w:rPr>
        <w:t>15</w:t>
      </w:r>
      <w:r w:rsidRPr="001828C4">
        <w:rPr>
          <w:rFonts w:eastAsia="Times New Roman" w:cs="Times New Roman"/>
          <w:kern w:val="0"/>
          <w:lang w:eastAsia="sk-SK" w:bidi="ar-SA"/>
        </w:rPr>
        <w:t>)</w:t>
      </w:r>
    </w:p>
    <w:p w:rsidR="001828C4" w:rsidP="001828C4">
      <w:pPr>
        <w:pStyle w:val="ListParagraph"/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F26565" w:rsidRPr="001828C4" w:rsidP="00F26565">
      <w:pPr>
        <w:pStyle w:val="ListParagraph"/>
        <w:widowControl/>
        <w:numPr>
          <w:numId w:val="15"/>
        </w:numPr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1828C4">
        <w:rPr>
          <w:rFonts w:eastAsia="Times New Roman" w:cs="Times New Roman"/>
          <w:kern w:val="0"/>
          <w:lang w:eastAsia="sk-SK" w:bidi="ar-SA"/>
        </w:rPr>
        <w:t>V § 7 ods. 1 znie:</w:t>
      </w:r>
    </w:p>
    <w:p w:rsidR="00F26565" w:rsidRPr="00F26565" w:rsidP="00F26565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DC7098" w:rsidP="00F26565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982ECC" w:rsidR="00F26565">
        <w:rPr>
          <w:rFonts w:eastAsia="Times New Roman" w:cs="Times New Roman"/>
          <w:kern w:val="0"/>
          <w:lang w:eastAsia="sk-SK" w:bidi="ar-SA"/>
        </w:rPr>
        <w:t xml:space="preserve">„(1) Zamestnancovi zaradenému do platovej triedy podľa § 5 patrí </w:t>
      </w:r>
      <w:r w:rsidR="002D3F86">
        <w:rPr>
          <w:rFonts w:eastAsia="Times New Roman" w:cs="Times New Roman"/>
          <w:kern w:val="0"/>
          <w:lang w:eastAsia="sk-SK" w:bidi="ar-SA"/>
        </w:rPr>
        <w:t>tarifný plat, ktorý</w:t>
      </w:r>
      <w:r w:rsidRPr="00982ECC" w:rsidR="002F69FC">
        <w:rPr>
          <w:rFonts w:eastAsia="Times New Roman" w:cs="Times New Roman"/>
          <w:kern w:val="0"/>
          <w:lang w:eastAsia="sk-SK" w:bidi="ar-SA"/>
        </w:rPr>
        <w:t xml:space="preserve"> je súčtom platovej tarify priznanej podľa tretej vety a sumy zvýšenia platovej tarify podľa </w:t>
      </w:r>
      <w:r w:rsidRPr="00982ECC" w:rsidR="00F005ED">
        <w:rPr>
          <w:rFonts w:eastAsia="Times New Roman" w:cs="Times New Roman"/>
          <w:kern w:val="0"/>
          <w:lang w:eastAsia="sk-SK" w:bidi="ar-SA"/>
        </w:rPr>
        <w:t>odseku 6. To neplatí pre zamestnanca zamestnávateľa uvedeného v § 1 ods. 1 písm. g), pedagogického zames</w:t>
      </w:r>
      <w:r w:rsidRPr="00982ECC" w:rsidR="0095651E">
        <w:rPr>
          <w:rFonts w:eastAsia="Times New Roman" w:cs="Times New Roman"/>
          <w:kern w:val="0"/>
          <w:lang w:eastAsia="sk-SK" w:bidi="ar-SA"/>
        </w:rPr>
        <w:t xml:space="preserve">tnanca, odborného zamestnanca, </w:t>
      </w:r>
      <w:r w:rsidR="00702862">
        <w:rPr>
          <w:rFonts w:eastAsia="Times New Roman" w:cs="Times New Roman"/>
          <w:kern w:val="0"/>
          <w:lang w:eastAsia="sk-SK" w:bidi="ar-SA"/>
        </w:rPr>
        <w:t>výskumných a vývojových</w:t>
      </w:r>
      <w:r w:rsidRPr="00982ECC" w:rsidR="0095651E">
        <w:rPr>
          <w:rFonts w:eastAsia="Times New Roman" w:cs="Times New Roman"/>
          <w:kern w:val="0"/>
          <w:lang w:eastAsia="sk-SK" w:bidi="ar-SA"/>
        </w:rPr>
        <w:t xml:space="preserve"> zamestnanc</w:t>
      </w:r>
      <w:r w:rsidR="00702862">
        <w:rPr>
          <w:rFonts w:eastAsia="Times New Roman" w:cs="Times New Roman"/>
          <w:kern w:val="0"/>
          <w:lang w:eastAsia="sk-SK" w:bidi="ar-SA"/>
        </w:rPr>
        <w:t>ov,</w:t>
      </w:r>
      <w:r w:rsidRPr="00982ECC" w:rsidR="0095651E">
        <w:rPr>
          <w:rFonts w:eastAsia="Times New Roman" w:cs="Times New Roman"/>
          <w:kern w:val="0"/>
          <w:lang w:eastAsia="sk-SK" w:bidi="ar-SA"/>
        </w:rPr>
        <w:t xml:space="preserve"> zdravotníckych zamestnancov, ktorí nie sú odmeňovaní podľa osobitného predpisu,</w:t>
      </w:r>
      <w:r w:rsidRPr="00982ECC" w:rsidR="0095651E">
        <w:rPr>
          <w:rFonts w:eastAsia="Times New Roman" w:cs="Times New Roman"/>
          <w:kern w:val="0"/>
          <w:vertAlign w:val="superscript"/>
          <w:lang w:eastAsia="sk-SK" w:bidi="ar-SA"/>
        </w:rPr>
        <w:t>17</w:t>
      </w:r>
      <w:r w:rsidRPr="00982ECC" w:rsidR="0095651E">
        <w:rPr>
          <w:rFonts w:eastAsia="Times New Roman" w:cs="Times New Roman"/>
          <w:kern w:val="0"/>
          <w:lang w:eastAsia="sk-SK" w:bidi="ar-SA"/>
        </w:rPr>
        <w:t xml:space="preserve">) </w:t>
      </w:r>
      <w:r w:rsidR="00702862">
        <w:rPr>
          <w:rFonts w:eastAsia="Times New Roman" w:cs="Times New Roman"/>
          <w:kern w:val="0"/>
          <w:lang w:eastAsia="sk-SK" w:bidi="ar-SA"/>
        </w:rPr>
        <w:t>učiteľov vysokých škôl a zamestnancov</w:t>
      </w:r>
      <w:r w:rsidRPr="00982ECC" w:rsidR="00F005ED">
        <w:rPr>
          <w:rFonts w:eastAsia="Times New Roman" w:cs="Times New Roman"/>
          <w:kern w:val="0"/>
          <w:lang w:eastAsia="sk-SK" w:bidi="ar-SA"/>
        </w:rPr>
        <w:t xml:space="preserve"> iného zamestnávateľa, ak tak ustanoví osobitný predpis</w:t>
      </w:r>
      <w:r w:rsidRPr="00982ECC" w:rsidR="0095651E">
        <w:rPr>
          <w:rFonts w:eastAsia="Times New Roman" w:cs="Times New Roman"/>
          <w:kern w:val="0"/>
          <w:lang w:eastAsia="sk-SK" w:bidi="ar-SA"/>
        </w:rPr>
        <w:t>.</w:t>
      </w:r>
      <w:r w:rsidRPr="00982ECC" w:rsidR="00F005ED">
        <w:rPr>
          <w:rFonts w:eastAsia="Times New Roman" w:cs="Times New Roman"/>
          <w:kern w:val="0"/>
          <w:vertAlign w:val="superscript"/>
          <w:lang w:eastAsia="sk-SK" w:bidi="ar-SA"/>
        </w:rPr>
        <w:t>15</w:t>
      </w:r>
      <w:r w:rsidRPr="00982ECC" w:rsidR="00F005ED">
        <w:rPr>
          <w:rFonts w:eastAsia="Times New Roman" w:cs="Times New Roman"/>
          <w:kern w:val="0"/>
          <w:lang w:eastAsia="sk-SK" w:bidi="ar-SA"/>
        </w:rPr>
        <w:t>)</w:t>
      </w:r>
      <w:r w:rsidRPr="00F26565" w:rsidR="00F005ED">
        <w:rPr>
          <w:rFonts w:eastAsia="Times New Roman" w:cs="Times New Roman"/>
          <w:kern w:val="0"/>
          <w:lang w:eastAsia="sk-SK" w:bidi="ar-SA"/>
        </w:rPr>
        <w:t xml:space="preserve"> </w:t>
      </w:r>
      <w:r w:rsidRPr="00982ECC" w:rsidR="00F005ED">
        <w:rPr>
          <w:rFonts w:eastAsia="Times New Roman" w:cs="Times New Roman"/>
          <w:kern w:val="0"/>
          <w:lang w:eastAsia="sk-SK" w:bidi="ar-SA"/>
        </w:rPr>
        <w:t xml:space="preserve">Základnú stupnicu platových taríf zamestnancov pri výkone práce vo verejnom záujme ustanoví nariadenie vlády Slovenskej republiky tak, aby sa tri najnižšie platové triedy rovnali </w:t>
      </w:r>
      <w:r w:rsidRPr="00982ECC" w:rsidR="00BE2EEA">
        <w:rPr>
          <w:rFonts w:eastAsia="Times New Roman" w:cs="Times New Roman"/>
          <w:kern w:val="0"/>
          <w:lang w:eastAsia="sk-SK" w:bidi="ar-SA"/>
        </w:rPr>
        <w:t xml:space="preserve">aspoň </w:t>
      </w:r>
      <w:r w:rsidRPr="00982ECC" w:rsidR="00F005ED">
        <w:rPr>
          <w:rFonts w:eastAsia="Times New Roman" w:cs="Times New Roman"/>
          <w:kern w:val="0"/>
          <w:lang w:eastAsia="sk-SK" w:bidi="ar-SA"/>
        </w:rPr>
        <w:t xml:space="preserve">sume minimálnej mzdy, najvyššia platová trieda rovnala </w:t>
      </w:r>
      <w:r w:rsidRPr="00982ECC" w:rsidR="00BE2EEA">
        <w:rPr>
          <w:rFonts w:eastAsia="Times New Roman" w:cs="Times New Roman"/>
          <w:kern w:val="0"/>
          <w:lang w:eastAsia="sk-SK" w:bidi="ar-SA"/>
        </w:rPr>
        <w:t xml:space="preserve">aspoň </w:t>
      </w:r>
      <w:r w:rsidRPr="00982ECC" w:rsidR="00F005ED">
        <w:rPr>
          <w:rFonts w:eastAsia="Times New Roman" w:cs="Times New Roman"/>
          <w:kern w:val="0"/>
          <w:lang w:eastAsia="sk-SK" w:bidi="ar-SA"/>
        </w:rPr>
        <w:t>dvojnásobku minimálnej mzdy a zvyšné triedy rovnali primeraným rozdielom v takto určenom rozpätí.</w:t>
      </w:r>
      <w:r w:rsidR="00F005ED">
        <w:rPr>
          <w:rFonts w:eastAsia="Times New Roman" w:cs="Times New Roman"/>
          <w:kern w:val="0"/>
          <w:lang w:eastAsia="sk-SK" w:bidi="ar-SA"/>
        </w:rPr>
        <w:t xml:space="preserve"> </w:t>
      </w:r>
      <w:r w:rsidR="005F40AD">
        <w:rPr>
          <w:rFonts w:eastAsia="Times New Roman" w:cs="Times New Roman"/>
          <w:kern w:val="0"/>
          <w:lang w:eastAsia="sk-SK" w:bidi="ar-SA"/>
        </w:rPr>
        <w:t xml:space="preserve">Výskumným a vývojovým zamestnancom, zdravotníckym zamestnancom, ktorí nie sú odmeňovaní podľa osobitného predpisu a učiteľom vysokých škôl patrí </w:t>
      </w:r>
      <w:r w:rsidRPr="005F40AD" w:rsidR="005F40AD">
        <w:rPr>
          <w:rFonts w:eastAsia="Times New Roman" w:cs="Times New Roman"/>
          <w:kern w:val="0"/>
          <w:lang w:eastAsia="sk-SK" w:bidi="ar-SA"/>
        </w:rPr>
        <w:t xml:space="preserve">tarifný plat v sume platovej tarify ustanovenej pre platovú triedu a platový stupeň, do ktorých </w:t>
      </w:r>
      <w:r w:rsidR="005F40AD">
        <w:rPr>
          <w:rFonts w:eastAsia="Times New Roman" w:cs="Times New Roman"/>
          <w:kern w:val="0"/>
          <w:lang w:eastAsia="sk-SK" w:bidi="ar-SA"/>
        </w:rPr>
        <w:t xml:space="preserve">sú zaradení podľa príloh č. 5 a 5a. </w:t>
      </w:r>
      <w:r w:rsidRPr="00F26565" w:rsidR="00F26565">
        <w:rPr>
          <w:rFonts w:eastAsia="Times New Roman" w:cs="Times New Roman"/>
          <w:kern w:val="0"/>
          <w:lang w:eastAsia="sk-SK" w:bidi="ar-SA"/>
        </w:rPr>
        <w:t>Osobitná stupnica platových taríf vý</w:t>
      </w:r>
      <w:r w:rsidR="0095651E">
        <w:rPr>
          <w:rFonts w:eastAsia="Times New Roman" w:cs="Times New Roman"/>
          <w:kern w:val="0"/>
          <w:lang w:eastAsia="sk-SK" w:bidi="ar-SA"/>
        </w:rPr>
        <w:t xml:space="preserve">skumných a vývojových zamestnancov </w:t>
      </w:r>
      <w:r w:rsidRPr="00F26565" w:rsidR="00F26565">
        <w:rPr>
          <w:rFonts w:eastAsia="Times New Roman" w:cs="Times New Roman"/>
          <w:kern w:val="0"/>
          <w:lang w:eastAsia="sk-SK" w:bidi="ar-SA"/>
        </w:rPr>
        <w:t>a zdravotníckych zamestnancov, ktorí nie sú odmeňovaní podľa osobitného predpisu</w:t>
      </w:r>
      <w:r w:rsidR="0095651E">
        <w:rPr>
          <w:rFonts w:eastAsia="Times New Roman" w:cs="Times New Roman"/>
          <w:kern w:val="0"/>
          <w:lang w:eastAsia="sk-SK" w:bidi="ar-SA"/>
        </w:rPr>
        <w:t xml:space="preserve"> </w:t>
      </w:r>
      <w:r w:rsidRPr="00F26565" w:rsidR="00F26565">
        <w:rPr>
          <w:rFonts w:eastAsia="Times New Roman" w:cs="Times New Roman"/>
          <w:kern w:val="0"/>
          <w:lang w:eastAsia="sk-SK" w:bidi="ar-SA"/>
        </w:rPr>
        <w:t>je uvedená v prílohe č. 5</w:t>
      </w:r>
      <w:r w:rsidR="0095651E">
        <w:rPr>
          <w:rFonts w:eastAsia="Times New Roman" w:cs="Times New Roman"/>
          <w:kern w:val="0"/>
          <w:lang w:eastAsia="sk-SK" w:bidi="ar-SA"/>
        </w:rPr>
        <w:t xml:space="preserve"> </w:t>
      </w:r>
      <w:r w:rsidRPr="00F26565" w:rsidR="00F26565">
        <w:rPr>
          <w:rFonts w:eastAsia="Times New Roman" w:cs="Times New Roman"/>
          <w:kern w:val="0"/>
          <w:lang w:eastAsia="sk-SK" w:bidi="ar-SA"/>
        </w:rPr>
        <w:t xml:space="preserve">a osobitná stupnica platových taríf </w:t>
      </w:r>
      <w:r w:rsidR="0095651E">
        <w:rPr>
          <w:rFonts w:eastAsia="Times New Roman" w:cs="Times New Roman"/>
          <w:kern w:val="0"/>
          <w:lang w:eastAsia="sk-SK" w:bidi="ar-SA"/>
        </w:rPr>
        <w:t>učiteľov vysokých škôl</w:t>
      </w:r>
      <w:r w:rsidRPr="00F26565" w:rsidR="00F26565">
        <w:rPr>
          <w:rFonts w:eastAsia="Times New Roman" w:cs="Times New Roman"/>
          <w:kern w:val="0"/>
          <w:lang w:eastAsia="sk-SK" w:bidi="ar-SA"/>
        </w:rPr>
        <w:t xml:space="preserve"> je uvedená v prílohe č. 5a. Tarifný plat pedagogickým zamestnancom a odborným zamestnancom sa určí podľa odsekov 9 až 13.“.</w:t>
      </w:r>
    </w:p>
    <w:p w:rsidR="00143C4C" w:rsidP="00F26565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143C4C" w:rsidRPr="001828C4" w:rsidP="00F26565">
      <w:pPr>
        <w:pStyle w:val="ListParagraph"/>
        <w:widowControl/>
        <w:numPr>
          <w:numId w:val="15"/>
        </w:numPr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1828C4">
        <w:rPr>
          <w:rFonts w:eastAsia="Times New Roman" w:cs="Times New Roman"/>
          <w:kern w:val="0"/>
          <w:lang w:eastAsia="sk-SK" w:bidi="ar-SA"/>
        </w:rPr>
        <w:t>V § 7 ods. 3 znie:</w:t>
      </w:r>
    </w:p>
    <w:p w:rsidR="00F26565" w:rsidP="00F26565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143C4C" w:rsidP="00F26565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„</w:t>
      </w:r>
      <w:r w:rsidRPr="00F26565" w:rsidR="00F26565">
        <w:rPr>
          <w:rFonts w:eastAsia="Times New Roman" w:cs="Times New Roman"/>
          <w:kern w:val="0"/>
          <w:lang w:eastAsia="sk-SK" w:bidi="ar-SA"/>
        </w:rPr>
        <w:t xml:space="preserve">(3) Tarifný plat zamestnanca zamestnávateľa uvedeného v § 1 ods. 1 písm. g) nesmie byť nižší ako platová tarifa </w:t>
      </w:r>
      <w:r w:rsidR="00F26565">
        <w:rPr>
          <w:rFonts w:eastAsia="Times New Roman" w:cs="Times New Roman"/>
          <w:kern w:val="0"/>
          <w:lang w:eastAsia="sk-SK" w:bidi="ar-SA"/>
        </w:rPr>
        <w:t>ustanov</w:t>
      </w:r>
      <w:r w:rsidRPr="00F26565" w:rsidR="00F26565">
        <w:rPr>
          <w:rFonts w:eastAsia="Times New Roman" w:cs="Times New Roman"/>
          <w:kern w:val="0"/>
          <w:lang w:eastAsia="sk-SK" w:bidi="ar-SA"/>
        </w:rPr>
        <w:t xml:space="preserve">ená v základnej stupnici platových taríf zamestnancov pri výkone práce vo verejnom záujme </w:t>
      </w:r>
      <w:r>
        <w:rPr>
          <w:rFonts w:eastAsia="Times New Roman" w:cs="Times New Roman"/>
          <w:kern w:val="0"/>
          <w:lang w:eastAsia="sk-SK" w:bidi="ar-SA"/>
        </w:rPr>
        <w:t>podľa nariadenia vlády Slovenskej republiky pre platovú triedu, do ktorej je zamestnanec zaradený.“</w:t>
      </w:r>
    </w:p>
    <w:p w:rsidR="00143C4C" w:rsidP="00F26565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143C4C" w:rsidRPr="001828C4" w:rsidP="001828C4">
      <w:pPr>
        <w:pStyle w:val="ListParagraph"/>
        <w:widowControl/>
        <w:numPr>
          <w:numId w:val="15"/>
        </w:numPr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1828C4" w:rsidR="00F005ED">
        <w:rPr>
          <w:rFonts w:eastAsia="Times New Roman" w:cs="Times New Roman"/>
          <w:kern w:val="0"/>
          <w:lang w:eastAsia="sk-SK" w:bidi="ar-SA"/>
        </w:rPr>
        <w:t>V § 7 ods. 6 znie:</w:t>
      </w:r>
    </w:p>
    <w:p w:rsidR="00F005ED" w:rsidP="00F26565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F005ED" w:rsidP="00F26565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 xml:space="preserve">„(6) </w:t>
      </w:r>
      <w:r w:rsidRPr="00F005ED">
        <w:rPr>
          <w:rFonts w:eastAsia="Times New Roman" w:cs="Times New Roman"/>
          <w:kern w:val="0"/>
          <w:lang w:eastAsia="sk-SK" w:bidi="ar-SA"/>
        </w:rPr>
        <w:t>Platová tarifa sa zamestnancovi s účinnosťou od 1. januára kalendárneho roka zvyšuje o 0,5 % za každý celý rok započítanej praxe dosiahnutej k 31. decembru bežného kalendárneho roka.</w:t>
      </w:r>
      <w:r>
        <w:rPr>
          <w:rFonts w:eastAsia="Times New Roman" w:cs="Times New Roman"/>
          <w:kern w:val="0"/>
          <w:lang w:eastAsia="sk-SK" w:bidi="ar-SA"/>
        </w:rPr>
        <w:t>“.</w:t>
      </w:r>
    </w:p>
    <w:p w:rsidR="00143C4C" w:rsidP="00F26565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F005ED" w:rsidRPr="001828C4" w:rsidP="001828C4">
      <w:pPr>
        <w:pStyle w:val="ListParagraph"/>
        <w:widowControl/>
        <w:numPr>
          <w:numId w:val="15"/>
        </w:numPr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1828C4">
        <w:rPr>
          <w:rFonts w:eastAsia="Times New Roman" w:cs="Times New Roman"/>
          <w:kern w:val="0"/>
          <w:lang w:eastAsia="sk-SK" w:bidi="ar-SA"/>
        </w:rPr>
        <w:t>V § 7 ods. 13 sa slová „podľa odsekov 11 a 12“ nahrádzajú slovami „podľa odsekov 6, 11 a 12“.</w:t>
      </w:r>
    </w:p>
    <w:p w:rsidR="00F005ED" w:rsidP="00F26565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5F40AD" w:rsidRPr="001828C4" w:rsidP="001828C4">
      <w:pPr>
        <w:pStyle w:val="ListParagraph"/>
        <w:widowControl/>
        <w:numPr>
          <w:numId w:val="15"/>
        </w:numPr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1828C4" w:rsidR="00F005ED">
        <w:rPr>
          <w:rFonts w:eastAsia="Times New Roman" w:cs="Times New Roman"/>
          <w:kern w:val="0"/>
          <w:lang w:eastAsia="sk-SK" w:bidi="ar-SA"/>
        </w:rPr>
        <w:t xml:space="preserve">V § 7b </w:t>
      </w:r>
      <w:r w:rsidRPr="001828C4">
        <w:rPr>
          <w:rFonts w:eastAsia="Times New Roman" w:cs="Times New Roman"/>
          <w:kern w:val="0"/>
          <w:lang w:eastAsia="sk-SK" w:bidi="ar-SA"/>
        </w:rPr>
        <w:t>sa doterajšie odseky 2 a 3 označujú ako odseky 1 a 2. Doterajší odsek 3 znie:</w:t>
      </w:r>
    </w:p>
    <w:p w:rsidR="005F40AD" w:rsidP="00F26565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82ECC" w:rsidP="00F26565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="005F40AD">
        <w:rPr>
          <w:rFonts w:eastAsia="Times New Roman" w:cs="Times New Roman"/>
          <w:kern w:val="0"/>
          <w:lang w:eastAsia="sk-SK" w:bidi="ar-SA"/>
        </w:rPr>
        <w:t xml:space="preserve">„(3) </w:t>
      </w:r>
      <w:r w:rsidRPr="005F40AD" w:rsidR="005F40AD">
        <w:rPr>
          <w:rFonts w:eastAsia="Times New Roman" w:cs="Times New Roman"/>
          <w:kern w:val="0"/>
          <w:lang w:eastAsia="sk-SK" w:bidi="ar-SA"/>
        </w:rPr>
        <w:t xml:space="preserve">Zamestnancovi pri výkone práce vo verejnom záujme v zahraničí zaradenému do platovej triedy podľa § 5 patrí </w:t>
      </w:r>
      <w:r w:rsidR="002D3F86">
        <w:rPr>
          <w:rFonts w:eastAsia="Times New Roman" w:cs="Times New Roman"/>
          <w:kern w:val="0"/>
          <w:lang w:eastAsia="sk-SK" w:bidi="ar-SA"/>
        </w:rPr>
        <w:t>tarifný plat, ktorý</w:t>
      </w:r>
      <w:r>
        <w:rPr>
          <w:rFonts w:eastAsia="Times New Roman" w:cs="Times New Roman"/>
          <w:kern w:val="0"/>
          <w:lang w:eastAsia="sk-SK" w:bidi="ar-SA"/>
        </w:rPr>
        <w:t xml:space="preserve"> je súčtom platovej tarify priznanej podľa § 7 ods. 1 tretej vety a sumy zvýšenia platovej tarify podľa § 7 ods. 6. To neplatí v prípadoch podľa odsekov 1 a 2, pre výskumných a vývojových zamestnancov, zdravotníckych zamestnancov, ktorí nie sú odmeňovaní podľa osobitného predpisu,</w:t>
      </w:r>
      <w:r w:rsidRPr="00982ECC">
        <w:rPr>
          <w:rFonts w:eastAsia="Times New Roman" w:cs="Times New Roman"/>
          <w:kern w:val="0"/>
          <w:vertAlign w:val="superscript"/>
          <w:lang w:eastAsia="sk-SK" w:bidi="ar-SA"/>
        </w:rPr>
        <w:t>17</w:t>
      </w:r>
      <w:r>
        <w:rPr>
          <w:rFonts w:eastAsia="Times New Roman" w:cs="Times New Roman"/>
          <w:kern w:val="0"/>
          <w:lang w:eastAsia="sk-SK" w:bidi="ar-SA"/>
        </w:rPr>
        <w:t>) učiteľov vysokých škôl a zamestnancov iného zamestnávateľa, ak tak ustanoví osobitný predpis. Výskumným a vývojovým zamestnancom, zdravotníckym zamestnancom, ktorí nie sú odmeňovaní podľa osobitného predpisu</w:t>
      </w:r>
      <w:r w:rsidRPr="00982ECC">
        <w:rPr>
          <w:rFonts w:eastAsia="Times New Roman" w:cs="Times New Roman"/>
          <w:kern w:val="0"/>
          <w:vertAlign w:val="superscript"/>
          <w:lang w:eastAsia="sk-SK" w:bidi="ar-SA"/>
        </w:rPr>
        <w:t>17</w:t>
      </w:r>
      <w:r>
        <w:rPr>
          <w:rFonts w:eastAsia="Times New Roman" w:cs="Times New Roman"/>
          <w:kern w:val="0"/>
          <w:lang w:eastAsia="sk-SK" w:bidi="ar-SA"/>
        </w:rPr>
        <w:t>) a učiteľom vysokých škôl pri výkone práce vo verejnom záujme v zahraničí patrí tarifný plat v sume platovej tarify ustanovenej pre platovú triedu a platový stupeň, do ktorých sú zaradení podľa prílohy č. 10.“.</w:t>
      </w:r>
    </w:p>
    <w:p w:rsidR="00982ECC" w:rsidP="00F26565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E7490B" w:rsidRPr="001828C4" w:rsidP="001828C4">
      <w:pPr>
        <w:pStyle w:val="ListParagraph"/>
        <w:widowControl/>
        <w:numPr>
          <w:numId w:val="15"/>
        </w:numPr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1828C4">
        <w:rPr>
          <w:rFonts w:eastAsia="Times New Roman" w:cs="Times New Roman"/>
          <w:kern w:val="0"/>
          <w:lang w:eastAsia="sk-SK" w:bidi="ar-SA"/>
        </w:rPr>
        <w:t>V § 8 ods. 2 znie:</w:t>
      </w:r>
    </w:p>
    <w:p w:rsidR="00E7490B" w:rsidP="00F26565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6E12B7" w:rsidP="00F26565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„</w:t>
      </w:r>
      <w:r w:rsidRPr="00E7490B" w:rsidR="00E7490B">
        <w:rPr>
          <w:rFonts w:eastAsia="Times New Roman" w:cs="Times New Roman"/>
          <w:kern w:val="0"/>
          <w:lang w:eastAsia="sk-SK" w:bidi="ar-SA"/>
        </w:rPr>
        <w:t xml:space="preserve">(2) Príplatok za riadenie vedúcemu zamestnancovi určí zamestnávateľ v rámci rozpätia percentuálneho podielu z platovej tarify </w:t>
      </w:r>
      <w:r>
        <w:rPr>
          <w:rFonts w:eastAsia="Times New Roman" w:cs="Times New Roman"/>
          <w:kern w:val="0"/>
          <w:lang w:eastAsia="sk-SK" w:bidi="ar-SA"/>
        </w:rPr>
        <w:t xml:space="preserve">platovej triedy, do ktorej je zaradený, zvýšenej o 24 %. </w:t>
      </w:r>
      <w:r w:rsidRPr="006E12B7">
        <w:rPr>
          <w:rFonts w:eastAsia="Times New Roman" w:cs="Times New Roman"/>
          <w:kern w:val="0"/>
          <w:lang w:eastAsia="sk-SK" w:bidi="ar-SA"/>
        </w:rPr>
        <w:t>Príplatok za riadenie vedúcemu pedagogickému zamestnancovi a vedúcemu odbornému zamestnancovi</w:t>
      </w:r>
      <w:r>
        <w:rPr>
          <w:rFonts w:eastAsia="Times New Roman" w:cs="Times New Roman"/>
          <w:kern w:val="0"/>
          <w:lang w:eastAsia="sk-SK" w:bidi="ar-SA"/>
        </w:rPr>
        <w:t xml:space="preserve"> určí </w:t>
      </w:r>
      <w:r w:rsidRPr="006E12B7">
        <w:rPr>
          <w:rFonts w:eastAsia="Times New Roman" w:cs="Times New Roman"/>
          <w:kern w:val="0"/>
          <w:lang w:eastAsia="sk-SK" w:bidi="ar-SA"/>
        </w:rPr>
        <w:t>zamestnávateľ v rámci rozpätia percentuálneho podielu z platovej tarify platovej triedy a pracovnej triedy, do ktorej je zaradený, zvýšenej o 24 %. Rozpätie percentuálneho podielu podľa stupňa riadenia a pôsobnosti zamestnávateľa je uvedené v prílohe č. 6.</w:t>
      </w:r>
      <w:r>
        <w:rPr>
          <w:rFonts w:eastAsia="Times New Roman" w:cs="Times New Roman"/>
          <w:kern w:val="0"/>
          <w:lang w:eastAsia="sk-SK" w:bidi="ar-SA"/>
        </w:rPr>
        <w:t>“.</w:t>
      </w:r>
    </w:p>
    <w:p w:rsidR="006E12B7" w:rsidP="00F26565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6E12B7" w:rsidRPr="001828C4" w:rsidP="001828C4">
      <w:pPr>
        <w:pStyle w:val="ListParagraph"/>
        <w:widowControl/>
        <w:numPr>
          <w:numId w:val="15"/>
        </w:numPr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1828C4" w:rsidR="00953C44">
        <w:rPr>
          <w:rFonts w:eastAsia="Times New Roman" w:cs="Times New Roman"/>
          <w:kern w:val="0"/>
          <w:lang w:eastAsia="sk-SK" w:bidi="ar-SA"/>
        </w:rPr>
        <w:t>V § 10 ods. 3 znie:</w:t>
      </w:r>
    </w:p>
    <w:p w:rsidR="00953C44" w:rsidP="00F26565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6E12B7" w:rsidP="00F26565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="00953C44">
        <w:rPr>
          <w:rFonts w:eastAsia="Times New Roman" w:cs="Times New Roman"/>
          <w:kern w:val="0"/>
          <w:lang w:eastAsia="sk-SK" w:bidi="ar-SA"/>
        </w:rPr>
        <w:t xml:space="preserve">„Limit osobného príplatku na účely odseku 1 je 100 % z platovej tarify platovej triedy, do ktorej je zamestnanec zaradený, zvýšenej o 24 %, a u </w:t>
      </w:r>
      <w:r w:rsidRPr="00953C44">
        <w:rPr>
          <w:rFonts w:eastAsia="Times New Roman" w:cs="Times New Roman"/>
          <w:kern w:val="0"/>
          <w:lang w:eastAsia="sk-SK" w:bidi="ar-SA"/>
        </w:rPr>
        <w:t>pedagogického zamestnanca a odborného zamestnanca 100 % z platovej tarify platovej triedy a pracovnej triedy, do ktorej je zaradený, zvýšenej o 24 %.</w:t>
      </w:r>
      <w:r w:rsidR="00953C44">
        <w:rPr>
          <w:rFonts w:eastAsia="Times New Roman" w:cs="Times New Roman"/>
          <w:kern w:val="0"/>
          <w:lang w:eastAsia="sk-SK" w:bidi="ar-SA"/>
        </w:rPr>
        <w:t>“.</w:t>
      </w:r>
    </w:p>
    <w:p w:rsidR="00953C44" w:rsidP="00F26565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53C44" w:rsidRPr="001828C4" w:rsidP="001828C4">
      <w:pPr>
        <w:pStyle w:val="ListParagraph"/>
        <w:widowControl/>
        <w:numPr>
          <w:numId w:val="15"/>
        </w:numPr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1828C4">
        <w:rPr>
          <w:rFonts w:eastAsia="Times New Roman" w:cs="Times New Roman"/>
          <w:kern w:val="0"/>
          <w:lang w:eastAsia="sk-SK" w:bidi="ar-SA"/>
        </w:rPr>
        <w:t>V § 11 ods. 3 znie:</w:t>
      </w:r>
    </w:p>
    <w:p w:rsidR="00953C44" w:rsidP="00953C44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53C44" w:rsidP="00953C44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„</w:t>
      </w:r>
      <w:r w:rsidRPr="00953C44">
        <w:rPr>
          <w:rFonts w:eastAsia="Times New Roman" w:cs="Times New Roman"/>
          <w:kern w:val="0"/>
          <w:lang w:eastAsia="sk-SK" w:bidi="ar-SA"/>
        </w:rPr>
        <w:t>(3) Zamestnancovi podľa odseku 1 patrí platová kompenzácia za sťažený výkon práce pri vykonávaní pracovných činností zaradených do</w:t>
      </w:r>
    </w:p>
    <w:p w:rsidR="00953C44" w:rsidRPr="00953C44" w:rsidP="00953C44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53C44" w:rsidP="00953C44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953C44">
        <w:rPr>
          <w:rFonts w:eastAsia="Times New Roman" w:cs="Times New Roman"/>
          <w:kern w:val="0"/>
          <w:lang w:eastAsia="sk-SK" w:bidi="ar-SA"/>
        </w:rPr>
        <w:t>a) tretej kategórie, mesačne v rámci rozpätia 20 % až 35,2 % platovej tarify prvej platovej triedy základnej stupnice platových taríf,</w:t>
      </w:r>
    </w:p>
    <w:p w:rsidR="00953C44" w:rsidRPr="00953C44" w:rsidP="00953C44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53C44" w:rsidP="00953C44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953C44">
        <w:rPr>
          <w:rFonts w:eastAsia="Times New Roman" w:cs="Times New Roman"/>
          <w:kern w:val="0"/>
          <w:lang w:eastAsia="sk-SK" w:bidi="ar-SA"/>
        </w:rPr>
        <w:t>b) štvrtej kategórie, mesačne v rámci rozpätia 20 % až 42 % platovej tarify prvej platovej triedy základnej stupnice platových taríf.</w:t>
      </w:r>
      <w:r>
        <w:rPr>
          <w:rFonts w:eastAsia="Times New Roman" w:cs="Times New Roman"/>
          <w:kern w:val="0"/>
          <w:lang w:eastAsia="sk-SK" w:bidi="ar-SA"/>
        </w:rPr>
        <w:t>“.</w:t>
      </w:r>
    </w:p>
    <w:p w:rsidR="00953C44" w:rsidP="00953C44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53C44" w:rsidRPr="001828C4" w:rsidP="001828C4">
      <w:pPr>
        <w:pStyle w:val="ListParagraph"/>
        <w:widowControl/>
        <w:numPr>
          <w:numId w:val="15"/>
        </w:numPr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1828C4">
        <w:rPr>
          <w:rFonts w:eastAsia="Times New Roman" w:cs="Times New Roman"/>
          <w:kern w:val="0"/>
          <w:lang w:eastAsia="sk-SK" w:bidi="ar-SA"/>
        </w:rPr>
        <w:t>V § 11 ods. 5 znie:</w:t>
      </w:r>
    </w:p>
    <w:p w:rsidR="00953C44" w:rsidP="00953C44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53C44" w:rsidP="00953C44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„</w:t>
      </w:r>
      <w:r w:rsidRPr="00953C44">
        <w:rPr>
          <w:rFonts w:eastAsia="Times New Roman" w:cs="Times New Roman"/>
          <w:kern w:val="0"/>
          <w:lang w:eastAsia="sk-SK" w:bidi="ar-SA"/>
        </w:rPr>
        <w:t>(5) Zamestnávateľ môže zamestnancovi poskytovať platovú kompenzáciu aj pri vykonávaní pracovných činností zaradených do druhej kategórie podľa osobitného predpisu,</w:t>
      </w:r>
      <w:r w:rsidRPr="00953C44">
        <w:rPr>
          <w:rFonts w:eastAsia="Times New Roman" w:cs="Times New Roman"/>
          <w:kern w:val="0"/>
          <w:vertAlign w:val="superscript"/>
          <w:lang w:eastAsia="sk-SK" w:bidi="ar-SA"/>
        </w:rPr>
        <w:t>30</w:t>
      </w:r>
      <w:r w:rsidRPr="00953C44">
        <w:rPr>
          <w:rFonts w:eastAsia="Times New Roman" w:cs="Times New Roman"/>
          <w:kern w:val="0"/>
          <w:lang w:eastAsia="sk-SK" w:bidi="ar-SA"/>
        </w:rPr>
        <w:t>) mesačne v rámci rozpätia 10 % až 23 % platovej tarify prvej platovej triedy základnej stupnice platových taríf.</w:t>
      </w:r>
      <w:r>
        <w:rPr>
          <w:rFonts w:eastAsia="Times New Roman" w:cs="Times New Roman"/>
          <w:kern w:val="0"/>
          <w:lang w:eastAsia="sk-SK" w:bidi="ar-SA"/>
        </w:rPr>
        <w:t>“.</w:t>
      </w:r>
    </w:p>
    <w:p w:rsidR="00953C44" w:rsidP="00953C44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53C44" w:rsidRPr="001828C4" w:rsidP="001828C4">
      <w:pPr>
        <w:pStyle w:val="ListParagraph"/>
        <w:widowControl/>
        <w:numPr>
          <w:numId w:val="15"/>
        </w:numPr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1828C4" w:rsidR="002A69BC">
        <w:rPr>
          <w:rFonts w:eastAsia="Times New Roman" w:cs="Times New Roman"/>
          <w:kern w:val="0"/>
          <w:lang w:eastAsia="sk-SK" w:bidi="ar-SA"/>
        </w:rPr>
        <w:t>V § 13 prvá veta znie:</w:t>
      </w:r>
    </w:p>
    <w:p w:rsidR="00953C44" w:rsidRPr="00953C44" w:rsidP="00953C44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53C44" w:rsidRPr="00953C44" w:rsidP="00953C44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„</w:t>
      </w:r>
      <w:r w:rsidRPr="00953C44">
        <w:rPr>
          <w:rFonts w:eastAsia="Times New Roman" w:cs="Times New Roman"/>
          <w:kern w:val="0"/>
          <w:lang w:eastAsia="sk-SK" w:bidi="ar-SA"/>
        </w:rPr>
        <w:t>Zamestnancovi, ktorému zamestnávateľ v dvojzmennej prevádzke, trojzmennej prevádzke alebo v nepretržitej prevádzke rozvrhol pracovný čas tak, že prácu vykonáva striedavo vo všetkých zmenách, patrí príplatok za zmennosť mesačne v rámci rozpätia 2,1 % až 16,7 % platovej tarify prvej platovej triedy základnej stupnice platových</w:t>
      </w:r>
      <w:r w:rsidR="002A69BC">
        <w:rPr>
          <w:rFonts w:eastAsia="Times New Roman" w:cs="Times New Roman"/>
          <w:kern w:val="0"/>
          <w:lang w:eastAsia="sk-SK" w:bidi="ar-SA"/>
        </w:rPr>
        <w:t xml:space="preserve"> taríf podľa nariadenia vlády Slovenskej republiky.“.</w:t>
      </w:r>
    </w:p>
    <w:p w:rsidR="006E12B7" w:rsidP="00F26565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F005ED" w:rsidRPr="001828C4" w:rsidP="001828C4">
      <w:pPr>
        <w:pStyle w:val="ListParagraph"/>
        <w:widowControl/>
        <w:numPr>
          <w:numId w:val="15"/>
        </w:numPr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1828C4" w:rsidR="002A69BC">
        <w:rPr>
          <w:rFonts w:eastAsia="Times New Roman" w:cs="Times New Roman"/>
          <w:kern w:val="0"/>
          <w:lang w:eastAsia="sk-SK" w:bidi="ar-SA"/>
        </w:rPr>
        <w:t>V § 14 ods. 1 prvá veta znie:</w:t>
      </w:r>
    </w:p>
    <w:p w:rsidR="002A69BC" w:rsidP="00F26565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2A69BC" w:rsidP="00F26565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„</w:t>
      </w:r>
      <w:r w:rsidRPr="002A69BC">
        <w:rPr>
          <w:rFonts w:eastAsia="Times New Roman" w:cs="Times New Roman"/>
          <w:kern w:val="0"/>
          <w:lang w:eastAsia="sk-SK" w:bidi="ar-SA"/>
        </w:rPr>
        <w:t>Zamestnancovi, okrem pedagogického zamestnanca a odborného zamestnanca, za sústavné prehlbovanie odbornej spôsobilosti akreditovaným celoživotným sústavným vzdelávaním určeným v osobitnom predpise</w:t>
      </w:r>
      <w:r w:rsidRPr="002A69BC">
        <w:rPr>
          <w:rFonts w:eastAsia="Times New Roman" w:cs="Times New Roman"/>
          <w:kern w:val="0"/>
          <w:vertAlign w:val="superscript"/>
          <w:lang w:eastAsia="sk-SK" w:bidi="ar-SA"/>
        </w:rPr>
        <w:t>30a</w:t>
      </w:r>
      <w:r w:rsidRPr="002A69BC">
        <w:rPr>
          <w:rFonts w:eastAsia="Times New Roman" w:cs="Times New Roman"/>
          <w:kern w:val="0"/>
          <w:lang w:eastAsia="sk-SK" w:bidi="ar-SA"/>
        </w:rPr>
        <w:t xml:space="preserve">) patrí kreditový príplatok mesačne v rámci rozpätia 5 % až 10 % platovej tarify prvej platovej triedy základnej stupnice platových taríf </w:t>
      </w:r>
      <w:r>
        <w:rPr>
          <w:rFonts w:eastAsia="Times New Roman" w:cs="Times New Roman"/>
          <w:kern w:val="0"/>
          <w:lang w:eastAsia="sk-SK" w:bidi="ar-SA"/>
        </w:rPr>
        <w:t>podľa nariadenia vlády Slovenskej republiky.“.</w:t>
      </w:r>
    </w:p>
    <w:p w:rsidR="00BE2EEA" w:rsidP="00F26565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BE2EEA" w:rsidRPr="001828C4" w:rsidP="001828C4">
      <w:pPr>
        <w:pStyle w:val="ListParagraph"/>
        <w:widowControl/>
        <w:numPr>
          <w:numId w:val="15"/>
        </w:numPr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1828C4">
        <w:rPr>
          <w:rFonts w:eastAsia="Times New Roman" w:cs="Times New Roman"/>
          <w:kern w:val="0"/>
          <w:lang w:eastAsia="sk-SK" w:bidi="ar-SA"/>
        </w:rPr>
        <w:t>V § 21a prvej vete sa vypúšťajú slová „prvého platového stupňa“.</w:t>
      </w:r>
    </w:p>
    <w:p w:rsidR="002A69BC" w:rsidP="00F26565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2A69BC" w:rsidRPr="001828C4" w:rsidP="001828C4">
      <w:pPr>
        <w:pStyle w:val="ListParagraph"/>
        <w:widowControl/>
        <w:numPr>
          <w:numId w:val="15"/>
        </w:numPr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1828C4" w:rsidR="00BE2EEA">
        <w:rPr>
          <w:rFonts w:eastAsia="Times New Roman" w:cs="Times New Roman"/>
          <w:kern w:val="0"/>
          <w:lang w:eastAsia="sk-SK" w:bidi="ar-SA"/>
        </w:rPr>
        <w:t>V § 21b odseku 1 prvá veta znie:</w:t>
      </w:r>
    </w:p>
    <w:p w:rsidR="00BE2EEA" w:rsidP="00BE2EEA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BE2EEA" w:rsidP="00BE2EEA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„</w:t>
      </w:r>
      <w:r w:rsidRPr="00BE2EEA">
        <w:rPr>
          <w:rFonts w:eastAsia="Times New Roman" w:cs="Times New Roman"/>
          <w:kern w:val="0"/>
          <w:lang w:eastAsia="sk-SK" w:bidi="ar-SA"/>
        </w:rPr>
        <w:t xml:space="preserve">Zamestnancovi, ktorý vykonáva práce vo verejnom záujme v zahraničí v krajine so sťaženými životnými podmienkami a ktorému sa poskytuje plat podľa § 22, patrí mesačne náhrada až do výšky 20 % z platovej tarify šiestej platovej triedy základnej stupnice platových taríf zamestnancov pri výkone práce vo verejnom záujme v zahraničí podľa </w:t>
      </w:r>
      <w:r>
        <w:rPr>
          <w:rFonts w:eastAsia="Times New Roman" w:cs="Times New Roman"/>
          <w:kern w:val="0"/>
          <w:lang w:eastAsia="sk-SK" w:bidi="ar-SA"/>
        </w:rPr>
        <w:t xml:space="preserve">nariadenia vlády Slovenskej republiky </w:t>
      </w:r>
      <w:r w:rsidRPr="00BE2EEA">
        <w:rPr>
          <w:rFonts w:eastAsia="Times New Roman" w:cs="Times New Roman"/>
          <w:kern w:val="0"/>
          <w:lang w:eastAsia="sk-SK" w:bidi="ar-SA"/>
        </w:rPr>
        <w:t>vynásobenej objektivizovaným pl</w:t>
      </w:r>
      <w:r>
        <w:rPr>
          <w:rFonts w:eastAsia="Times New Roman" w:cs="Times New Roman"/>
          <w:kern w:val="0"/>
          <w:lang w:eastAsia="sk-SK" w:bidi="ar-SA"/>
        </w:rPr>
        <w:t>atovým koeficientom podľa § 23.“.</w:t>
      </w:r>
    </w:p>
    <w:p w:rsidR="002D3F86" w:rsidP="00BE2EEA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2D3F86" w:rsidP="002D3F86">
      <w:pPr>
        <w:pStyle w:val="ListParagraph"/>
        <w:widowControl/>
        <w:numPr>
          <w:numId w:val="15"/>
        </w:numPr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2D3F86">
        <w:rPr>
          <w:rFonts w:eastAsia="Times New Roman" w:cs="Times New Roman"/>
          <w:kern w:val="0"/>
          <w:lang w:eastAsia="sk-SK" w:bidi="ar-SA"/>
        </w:rPr>
        <w:t>V § 23 odseku 1 písm. a)</w:t>
      </w:r>
      <w:r>
        <w:rPr>
          <w:rFonts w:eastAsia="Times New Roman" w:cs="Times New Roman"/>
          <w:kern w:val="0"/>
          <w:lang w:eastAsia="sk-SK" w:bidi="ar-SA"/>
        </w:rPr>
        <w:t xml:space="preserve"> sa vypúšťajú slová „uvedenú v prílohe č. 8“.</w:t>
      </w:r>
    </w:p>
    <w:p w:rsidR="002D3F86" w:rsidP="002D3F86">
      <w:pPr>
        <w:pStyle w:val="ListParagraph"/>
        <w:widowControl/>
        <w:suppressAutoHyphens w:val="0"/>
        <w:bidi w:val="0"/>
        <w:ind w:left="360"/>
        <w:jc w:val="both"/>
        <w:rPr>
          <w:rFonts w:eastAsia="Times New Roman" w:cs="Times New Roman"/>
          <w:kern w:val="0"/>
          <w:lang w:eastAsia="sk-SK" w:bidi="ar-SA"/>
        </w:rPr>
      </w:pPr>
    </w:p>
    <w:p w:rsidR="002D3F86" w:rsidRPr="002D3F86" w:rsidP="002D3F86">
      <w:pPr>
        <w:pStyle w:val="ListParagraph"/>
        <w:widowControl/>
        <w:numPr>
          <w:numId w:val="15"/>
        </w:numPr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V § 23 odseku 1 písm. b) sa vypúšťajú slová „</w:t>
      </w:r>
      <w:r w:rsidRPr="002D3F86">
        <w:rPr>
          <w:rFonts w:eastAsia="Times New Roman" w:cs="Times New Roman"/>
          <w:kern w:val="0"/>
          <w:lang w:eastAsia="sk-SK" w:bidi="ar-SA"/>
        </w:rPr>
        <w:t>pre osobitnú stupnicu platových taríf vybraných skupín zamestnancov pri výkone práce vo verejnom záujme v zahraničí uvedenú v prílohe č. 9 a</w:t>
      </w:r>
      <w:r w:rsidR="0031338B">
        <w:rPr>
          <w:rFonts w:eastAsia="Times New Roman" w:cs="Times New Roman"/>
          <w:kern w:val="0"/>
          <w:lang w:eastAsia="sk-SK" w:bidi="ar-SA"/>
        </w:rPr>
        <w:t>“.</w:t>
      </w:r>
    </w:p>
    <w:p w:rsidR="002D3F86" w:rsidP="00BE2EEA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2D3F86" w:rsidP="002D3F86">
      <w:pPr>
        <w:pStyle w:val="ListParagraph"/>
        <w:widowControl/>
        <w:numPr>
          <w:numId w:val="15"/>
        </w:numPr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2D3F86">
        <w:rPr>
          <w:rFonts w:eastAsia="Times New Roman" w:cs="Times New Roman"/>
          <w:kern w:val="0"/>
          <w:lang w:eastAsia="sk-SK" w:bidi="ar-SA"/>
        </w:rPr>
        <w:t>V § 28 ods. 2 znie:</w:t>
      </w:r>
    </w:p>
    <w:p w:rsidR="002D3F86" w:rsidP="002D3F86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2D3F86" w:rsidRPr="002D3F86" w:rsidP="002D3F86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 xml:space="preserve">„(2) Ustanovenie odseku 1 sa nevzťahuje na osobitnú stupnicu </w:t>
      </w:r>
      <w:r w:rsidRPr="002D3F86">
        <w:rPr>
          <w:rFonts w:eastAsia="Times New Roman" w:cs="Times New Roman"/>
          <w:kern w:val="0"/>
          <w:lang w:eastAsia="sk-SK" w:bidi="ar-SA"/>
        </w:rPr>
        <w:t>platových taríf zamestnancov pri výkone práce vo ver</w:t>
      </w:r>
      <w:r>
        <w:rPr>
          <w:rFonts w:eastAsia="Times New Roman" w:cs="Times New Roman"/>
          <w:kern w:val="0"/>
          <w:lang w:eastAsia="sk-SK" w:bidi="ar-SA"/>
        </w:rPr>
        <w:t>ejnom záujme v zahraničí uvedenú v prílohe</w:t>
      </w:r>
      <w:r w:rsidRPr="002D3F86">
        <w:rPr>
          <w:rFonts w:eastAsia="Times New Roman" w:cs="Times New Roman"/>
          <w:kern w:val="0"/>
          <w:lang w:eastAsia="sk-SK" w:bidi="ar-SA"/>
        </w:rPr>
        <w:t xml:space="preserve"> č. 10 a platové tarify pedagogických zamestnancov a odborných zamestnancov pri výkone práce vo verejnom záujme v zahraničí uvedené v prílohe č. 11.</w:t>
      </w:r>
      <w:r>
        <w:rPr>
          <w:rFonts w:eastAsia="Times New Roman" w:cs="Times New Roman"/>
          <w:kern w:val="0"/>
          <w:lang w:eastAsia="sk-SK" w:bidi="ar-SA"/>
        </w:rPr>
        <w:t>“.</w:t>
      </w:r>
    </w:p>
    <w:p w:rsidR="00BE2EEA" w:rsidP="00BE2EEA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BE2EEA" w:rsidRPr="001828C4" w:rsidP="001828C4">
      <w:pPr>
        <w:pStyle w:val="ListParagraph"/>
        <w:widowControl/>
        <w:numPr>
          <w:numId w:val="15"/>
        </w:numPr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1828C4">
        <w:rPr>
          <w:rFonts w:eastAsia="Times New Roman" w:cs="Times New Roman"/>
          <w:kern w:val="0"/>
          <w:lang w:eastAsia="sk-SK" w:bidi="ar-SA"/>
        </w:rPr>
        <w:t>Prílohy č. 3, 4, 8 a 9 sa vypúšťajú.</w:t>
      </w:r>
    </w:p>
    <w:p w:rsidR="0092571B" w:rsidRPr="0092571B" w:rsidP="0092571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2571B" w:rsidRPr="0092571B" w:rsidP="0092571B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92571B">
        <w:rPr>
          <w:rFonts w:eastAsia="Times New Roman" w:cs="Times New Roman"/>
          <w:b/>
          <w:kern w:val="0"/>
          <w:lang w:eastAsia="sk-SK" w:bidi="ar-SA"/>
        </w:rPr>
        <w:t>Čl. II</w:t>
      </w:r>
    </w:p>
    <w:p w:rsidR="0092571B" w:rsidRPr="0092571B" w:rsidP="0092571B">
      <w:pPr>
        <w:widowControl/>
        <w:suppressAutoHyphens w:val="0"/>
        <w:bidi w:val="0"/>
        <w:rPr>
          <w:rFonts w:eastAsia="Times New Roman" w:cs="Times New Roman"/>
          <w:b/>
          <w:kern w:val="0"/>
          <w:lang w:eastAsia="sk-SK" w:bidi="ar-SA"/>
        </w:rPr>
      </w:pPr>
    </w:p>
    <w:p w:rsidR="0092571B" w:rsidRPr="0092571B" w:rsidP="0092571B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92571B">
        <w:rPr>
          <w:rFonts w:eastAsia="Times New Roman" w:cs="Times New Roman"/>
          <w:kern w:val="0"/>
          <w:lang w:eastAsia="sk-SK" w:bidi="ar-SA"/>
        </w:rPr>
        <w:t>Zákon č. 564/2004 Z. z. o rozpočtovom určení výnosu dane z príjmov územnej samospráve a o zmene a doplnení niektorých zákonov v znení zákona č. 171/2005 Z. z., zákona č. 479/2009 Z. z., zákona č. 38/2011 Z. z., zákona č. 548/2011 Z. z., zákona č. 463/2013 Z. z., zákona č. 333/2014 Z. z., zákona č. 361/2014 Z. z. a zákona č. 337/2015 Z. z. sa mení a dopĺňa takto:</w:t>
      </w:r>
    </w:p>
    <w:p w:rsidR="0092571B" w:rsidRPr="0092571B" w:rsidP="0092571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2571B" w:rsidRPr="0092571B" w:rsidP="0092571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92571B">
        <w:rPr>
          <w:rFonts w:eastAsia="Times New Roman" w:cs="Times New Roman"/>
          <w:kern w:val="0"/>
          <w:lang w:eastAsia="sk-SK" w:bidi="ar-SA"/>
        </w:rPr>
        <w:t>1. V § 2 sa číslo „70,0“ nahrádza číslom „7</w:t>
      </w:r>
      <w:r w:rsidR="002A7EED">
        <w:rPr>
          <w:rFonts w:eastAsia="Times New Roman" w:cs="Times New Roman"/>
          <w:kern w:val="0"/>
          <w:lang w:eastAsia="sk-SK" w:bidi="ar-SA"/>
        </w:rPr>
        <w:t>4</w:t>
      </w:r>
      <w:r w:rsidRPr="0092571B">
        <w:rPr>
          <w:rFonts w:eastAsia="Times New Roman" w:cs="Times New Roman"/>
          <w:kern w:val="0"/>
          <w:lang w:eastAsia="sk-SK" w:bidi="ar-SA"/>
        </w:rPr>
        <w:t>“.</w:t>
      </w:r>
    </w:p>
    <w:p w:rsidR="0092571B" w:rsidRPr="0092571B" w:rsidP="0092571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2571B" w:rsidRPr="0092571B" w:rsidP="0092571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92571B">
        <w:rPr>
          <w:rFonts w:eastAsia="Times New Roman" w:cs="Times New Roman"/>
          <w:kern w:val="0"/>
          <w:lang w:eastAsia="sk-SK" w:bidi="ar-SA"/>
        </w:rPr>
        <w:t>2. V § 3 sa číslo „30,0“ nahrádza číslom „26“.</w:t>
      </w:r>
    </w:p>
    <w:p w:rsidR="0092571B" w:rsidRPr="0092571B" w:rsidP="0092571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2571B" w:rsidRPr="0092571B" w:rsidP="0092571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92571B">
        <w:rPr>
          <w:rFonts w:eastAsia="Times New Roman" w:cs="Times New Roman"/>
          <w:kern w:val="0"/>
          <w:lang w:eastAsia="sk-SK" w:bidi="ar-SA"/>
        </w:rPr>
        <w:t>3. 3. Za § 7f sa vkladá § 7g, ktorý znie:</w:t>
      </w:r>
    </w:p>
    <w:p w:rsidR="0092571B" w:rsidRPr="0092571B" w:rsidP="0092571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2571B" w:rsidRPr="0092571B" w:rsidP="0092571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  <w:r w:rsidRPr="0092571B">
        <w:rPr>
          <w:rFonts w:eastAsia="Times New Roman" w:cs="Times New Roman"/>
          <w:kern w:val="0"/>
          <w:lang w:eastAsia="sk-SK" w:bidi="ar-SA"/>
        </w:rPr>
        <w:t>„§ 7g</w:t>
      </w:r>
    </w:p>
    <w:p w:rsidR="0092571B" w:rsidRPr="0092571B" w:rsidP="0092571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2571B" w:rsidRPr="0092571B" w:rsidP="0092571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92571B">
        <w:rPr>
          <w:rFonts w:eastAsia="Times New Roman" w:cs="Times New Roman"/>
          <w:kern w:val="0"/>
          <w:lang w:eastAsia="sk-SK" w:bidi="ar-SA"/>
        </w:rPr>
        <w:t>Daňové úrady rozdelia a poukážu výnos dane obciam a vyšším územným celkom podľa § 2 a 3 v znení účinnom od 1. januára 2018 prvýkrát v januári 2018.“.</w:t>
      </w:r>
    </w:p>
    <w:p w:rsidR="0092571B" w:rsidRPr="0092571B" w:rsidP="0092571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2571B" w:rsidRPr="0092571B" w:rsidP="0092571B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92571B">
        <w:rPr>
          <w:rFonts w:eastAsia="Times New Roman" w:cs="Times New Roman"/>
          <w:b/>
          <w:kern w:val="0"/>
          <w:lang w:eastAsia="sk-SK" w:bidi="ar-SA"/>
        </w:rPr>
        <w:t>Čl. III</w:t>
      </w:r>
    </w:p>
    <w:p w:rsidR="0092571B" w:rsidRPr="0092571B" w:rsidP="0092571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2571B" w:rsidRPr="0092571B" w:rsidP="0092571B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92571B">
        <w:rPr>
          <w:rFonts w:eastAsia="Times New Roman" w:cs="Times New Roman"/>
          <w:kern w:val="0"/>
          <w:lang w:eastAsia="sk-SK" w:bidi="ar-SA"/>
        </w:rPr>
        <w:t>Zákon č. 361/2014 Z. z. o dani z motorových vozidiel a o zmene a doplnení niektorých zákonov v znení zákona č. 253/2015 Z. z. sa mení a dopĺňa takto:</w:t>
      </w:r>
    </w:p>
    <w:p w:rsidR="0092571B" w:rsidRPr="0092571B" w:rsidP="0092571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2571B" w:rsidRPr="0092571B" w:rsidP="0092571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92571B">
        <w:rPr>
          <w:rFonts w:eastAsia="Times New Roman" w:cs="Times New Roman"/>
          <w:kern w:val="0"/>
          <w:lang w:eastAsia="sk-SK" w:bidi="ar-SA"/>
        </w:rPr>
        <w:t>Za § 13 sa vkladá § 13a, ktorý vrátane nadpisu znie:</w:t>
      </w:r>
    </w:p>
    <w:p w:rsidR="0092571B" w:rsidRPr="0092571B" w:rsidP="0092571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2571B" w:rsidRPr="0092571B" w:rsidP="0092571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  <w:r w:rsidRPr="0092571B">
        <w:rPr>
          <w:rFonts w:eastAsia="Times New Roman" w:cs="Times New Roman"/>
          <w:kern w:val="0"/>
          <w:lang w:eastAsia="sk-SK" w:bidi="ar-SA"/>
        </w:rPr>
        <w:t>„§ 13a</w:t>
      </w:r>
    </w:p>
    <w:p w:rsidR="0092571B" w:rsidRPr="0092571B" w:rsidP="0092571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  <w:r w:rsidRPr="0092571B">
        <w:rPr>
          <w:rFonts w:eastAsia="Times New Roman" w:cs="Times New Roman"/>
          <w:kern w:val="0"/>
          <w:lang w:eastAsia="sk-SK" w:bidi="ar-SA"/>
        </w:rPr>
        <w:t>Rozdeľovanie a poukazovanie výnosu dane vyšším územným celkom</w:t>
      </w:r>
    </w:p>
    <w:p w:rsidR="0092571B" w:rsidRPr="0092571B" w:rsidP="0092571B">
      <w:pPr>
        <w:widowControl/>
        <w:suppressAutoHyphens w:val="0"/>
        <w:bidi w:val="0"/>
        <w:rPr>
          <w:rFonts w:eastAsia="Times New Roman" w:cs="Times New Roman"/>
          <w:kern w:val="0"/>
          <w:lang w:eastAsia="sk-SK" w:bidi="ar-SA"/>
        </w:rPr>
      </w:pPr>
    </w:p>
    <w:p w:rsidR="0092571B" w:rsidRPr="0092571B" w:rsidP="00664E3C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92571B">
        <w:rPr>
          <w:rFonts w:eastAsia="Times New Roman" w:cs="Times New Roman"/>
          <w:kern w:val="0"/>
          <w:lang w:eastAsia="sk-SK" w:bidi="ar-SA"/>
        </w:rPr>
        <w:t xml:space="preserve">(1) Výnos dane v príslušnom rozpočtovom roku je príjmom rozpočtov vyšších územných celkov vo výške </w:t>
      </w:r>
      <w:r w:rsidR="002A7EED">
        <w:rPr>
          <w:rFonts w:eastAsia="Times New Roman" w:cs="Times New Roman"/>
          <w:kern w:val="0"/>
          <w:lang w:eastAsia="sk-SK" w:bidi="ar-SA"/>
        </w:rPr>
        <w:t>90</w:t>
      </w:r>
      <w:r w:rsidRPr="0092571B">
        <w:rPr>
          <w:rFonts w:eastAsia="Times New Roman" w:cs="Times New Roman"/>
          <w:kern w:val="0"/>
          <w:lang w:eastAsia="sk-SK" w:bidi="ar-SA"/>
        </w:rPr>
        <w:t>,0 %.</w:t>
      </w:r>
    </w:p>
    <w:p w:rsidR="0092571B" w:rsidRPr="0092571B" w:rsidP="00664E3C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2571B" w:rsidRPr="0092571B" w:rsidP="00664E3C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92571B">
        <w:rPr>
          <w:rFonts w:eastAsia="Times New Roman" w:cs="Times New Roman"/>
          <w:kern w:val="0"/>
          <w:lang w:eastAsia="sk-SK" w:bidi="ar-SA"/>
        </w:rPr>
        <w:t>(2) Na rozdeľovanie a poukazovanie výnosu dane vyšším územným celkom sa primerane použijú ustanovenia osobitného predpisu.</w:t>
      </w:r>
      <w:r w:rsidRPr="0092571B">
        <w:rPr>
          <w:rFonts w:eastAsia="Times New Roman" w:cs="Times New Roman"/>
          <w:kern w:val="0"/>
          <w:vertAlign w:val="superscript"/>
          <w:lang w:eastAsia="sk-SK" w:bidi="ar-SA"/>
        </w:rPr>
        <w:t>21</w:t>
      </w:r>
      <w:r w:rsidRPr="0092571B">
        <w:rPr>
          <w:rFonts w:eastAsia="Times New Roman" w:cs="Times New Roman"/>
          <w:kern w:val="0"/>
          <w:lang w:eastAsia="sk-SK" w:bidi="ar-SA"/>
        </w:rPr>
        <w:t>)“.</w:t>
      </w:r>
    </w:p>
    <w:p w:rsidR="0092571B" w:rsidRPr="0092571B" w:rsidP="00664E3C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2571B" w:rsidRPr="0092571B" w:rsidP="00664E3C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92571B">
        <w:rPr>
          <w:rFonts w:eastAsia="Times New Roman" w:cs="Times New Roman"/>
          <w:kern w:val="0"/>
          <w:lang w:eastAsia="sk-SK" w:bidi="ar-SA"/>
        </w:rPr>
        <w:t xml:space="preserve">Poznámka pod čiarou k odkazu </w:t>
      </w:r>
      <w:r w:rsidRPr="0092571B">
        <w:rPr>
          <w:rFonts w:eastAsia="Times New Roman" w:cs="Times New Roman"/>
          <w:kern w:val="0"/>
          <w:vertAlign w:val="superscript"/>
          <w:lang w:eastAsia="sk-SK" w:bidi="ar-SA"/>
        </w:rPr>
        <w:t>21</w:t>
      </w:r>
      <w:r w:rsidRPr="0092571B">
        <w:rPr>
          <w:rFonts w:eastAsia="Times New Roman" w:cs="Times New Roman"/>
          <w:kern w:val="0"/>
          <w:lang w:eastAsia="sk-SK" w:bidi="ar-SA"/>
        </w:rPr>
        <w:t>) znie:</w:t>
      </w:r>
    </w:p>
    <w:p w:rsidR="0092571B" w:rsidRPr="0092571B" w:rsidP="00664E3C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2571B" w:rsidRPr="0092571B" w:rsidP="00664E3C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92571B">
        <w:rPr>
          <w:rFonts w:eastAsia="Times New Roman" w:cs="Times New Roman"/>
          <w:kern w:val="0"/>
          <w:lang w:eastAsia="sk-SK" w:bidi="ar-SA"/>
        </w:rPr>
        <w:t>„21) Zákon č. 564/2004 Z. z. o rozpočtovom určení výnosu dane z príjmov územnej samospráve a o zmene a doplnení niektorých zákonov v znení neskorších predpisov.“.</w:t>
      </w:r>
    </w:p>
    <w:p w:rsidR="0092571B" w:rsidRPr="0092571B" w:rsidP="0092571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2571B" w:rsidRPr="0092571B" w:rsidP="0092571B">
      <w:pPr>
        <w:widowControl/>
        <w:suppressAutoHyphens w:val="0"/>
        <w:bidi w:val="0"/>
        <w:rPr>
          <w:rFonts w:eastAsia="Times New Roman" w:cs="Times New Roman"/>
          <w:kern w:val="0"/>
          <w:lang w:eastAsia="sk-SK" w:bidi="ar-SA"/>
        </w:rPr>
      </w:pPr>
    </w:p>
    <w:p w:rsidR="0092571B" w:rsidRPr="0092571B" w:rsidP="0092571B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92571B">
        <w:rPr>
          <w:rFonts w:eastAsia="Times New Roman" w:cs="Times New Roman"/>
          <w:b/>
          <w:kern w:val="0"/>
          <w:lang w:eastAsia="sk-SK" w:bidi="ar-SA"/>
        </w:rPr>
        <w:t>Čl. IV</w:t>
      </w:r>
    </w:p>
    <w:p w:rsidR="0092571B" w:rsidRPr="0092571B" w:rsidP="0092571B">
      <w:pPr>
        <w:widowControl/>
        <w:suppressAutoHyphens w:val="0"/>
        <w:bidi w:val="0"/>
        <w:rPr>
          <w:rFonts w:eastAsia="Times New Roman" w:cs="Times New Roman"/>
          <w:kern w:val="0"/>
          <w:lang w:eastAsia="sk-SK" w:bidi="ar-SA"/>
        </w:rPr>
      </w:pPr>
    </w:p>
    <w:p w:rsidR="0092571B" w:rsidP="00702862">
      <w:pPr>
        <w:bidi w:val="0"/>
        <w:ind w:firstLine="708"/>
        <w:rPr>
          <w:rFonts w:eastAsia="Times New Roman" w:cs="Times New Roman"/>
          <w:kern w:val="0"/>
          <w:lang w:eastAsia="sk-SK" w:bidi="ar-SA"/>
        </w:rPr>
      </w:pPr>
      <w:r w:rsidRPr="0092571B">
        <w:rPr>
          <w:rFonts w:eastAsia="Times New Roman" w:cs="Times New Roman"/>
          <w:kern w:val="0"/>
          <w:lang w:eastAsia="sk-SK" w:bidi="ar-SA"/>
        </w:rPr>
        <w:t xml:space="preserve">Tento zákon nadobúda účinnosť 1. </w:t>
      </w:r>
      <w:r w:rsidR="004B4FCB">
        <w:rPr>
          <w:rFonts w:eastAsia="Times New Roman" w:cs="Times New Roman"/>
          <w:kern w:val="0"/>
          <w:lang w:eastAsia="sk-SK" w:bidi="ar-SA"/>
        </w:rPr>
        <w:t>j</w:t>
      </w:r>
      <w:r w:rsidR="00664E3C">
        <w:rPr>
          <w:rFonts w:eastAsia="Times New Roman" w:cs="Times New Roman"/>
          <w:kern w:val="0"/>
          <w:lang w:eastAsia="sk-SK" w:bidi="ar-SA"/>
        </w:rPr>
        <w:t>anuára 2018</w:t>
      </w:r>
      <w:r w:rsidR="004B4FCB">
        <w:rPr>
          <w:rFonts w:eastAsia="Times New Roman" w:cs="Times New Roman"/>
          <w:kern w:val="0"/>
          <w:lang w:eastAsia="sk-SK" w:bidi="ar-SA"/>
        </w:rPr>
        <w:t>.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ˇ¦|ˇ§ˇěˇ¦||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502AF"/>
    <w:multiLevelType w:val="hybridMultilevel"/>
    <w:tmpl w:val="825203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A61BD"/>
    <w:multiLevelType w:val="hybridMultilevel"/>
    <w:tmpl w:val="ABA8CA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67233"/>
    <w:multiLevelType w:val="hybridMultilevel"/>
    <w:tmpl w:val="45D450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9655462"/>
    <w:multiLevelType w:val="hybridMultilevel"/>
    <w:tmpl w:val="0910E9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C874F1B"/>
    <w:multiLevelType w:val="hybridMultilevel"/>
    <w:tmpl w:val="66CAD2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46B7003"/>
    <w:multiLevelType w:val="hybridMultilevel"/>
    <w:tmpl w:val="CF3CC9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0013EFE"/>
    <w:multiLevelType w:val="hybridMultilevel"/>
    <w:tmpl w:val="B7C493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0774347"/>
    <w:multiLevelType w:val="hybridMultilevel"/>
    <w:tmpl w:val="8ADA78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3096D33"/>
    <w:multiLevelType w:val="hybridMultilevel"/>
    <w:tmpl w:val="45B4A1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7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16"/>
  </w:num>
  <w:num w:numId="9">
    <w:abstractNumId w:val="8"/>
  </w:num>
  <w:num w:numId="10">
    <w:abstractNumId w:val="11"/>
  </w:num>
  <w:num w:numId="11">
    <w:abstractNumId w:val="13"/>
  </w:num>
  <w:num w:numId="12">
    <w:abstractNumId w:val="18"/>
  </w:num>
  <w:num w:numId="13">
    <w:abstractNumId w:val="15"/>
  </w:num>
  <w:num w:numId="14">
    <w:abstractNumId w:val="6"/>
  </w:num>
  <w:num w:numId="15">
    <w:abstractNumId w:val="1"/>
  </w:num>
  <w:num w:numId="16">
    <w:abstractNumId w:val="14"/>
  </w:num>
  <w:num w:numId="17">
    <w:abstractNumId w:val="10"/>
  </w:num>
  <w:num w:numId="18">
    <w:abstractNumId w:val="3"/>
  </w:num>
  <w:num w:numId="19">
    <w:abstractNumId w:val="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911C7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43C4C"/>
    <w:rsid w:val="00150922"/>
    <w:rsid w:val="00151E96"/>
    <w:rsid w:val="00153A2C"/>
    <w:rsid w:val="0015497C"/>
    <w:rsid w:val="00154B93"/>
    <w:rsid w:val="00160969"/>
    <w:rsid w:val="0016770E"/>
    <w:rsid w:val="0017622F"/>
    <w:rsid w:val="001828C4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9438C"/>
    <w:rsid w:val="002A00BF"/>
    <w:rsid w:val="002A69BC"/>
    <w:rsid w:val="002A7EED"/>
    <w:rsid w:val="002B3AE6"/>
    <w:rsid w:val="002B3C2A"/>
    <w:rsid w:val="002C080E"/>
    <w:rsid w:val="002C73CB"/>
    <w:rsid w:val="002D08B3"/>
    <w:rsid w:val="002D1E91"/>
    <w:rsid w:val="002D2DFF"/>
    <w:rsid w:val="002D3F86"/>
    <w:rsid w:val="002E0433"/>
    <w:rsid w:val="002E1E6C"/>
    <w:rsid w:val="002F3083"/>
    <w:rsid w:val="002F69FC"/>
    <w:rsid w:val="0031338B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37D0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67C39"/>
    <w:rsid w:val="00480EA3"/>
    <w:rsid w:val="00484A73"/>
    <w:rsid w:val="004917CB"/>
    <w:rsid w:val="00491A6D"/>
    <w:rsid w:val="00496F4B"/>
    <w:rsid w:val="004A2751"/>
    <w:rsid w:val="004B0F8E"/>
    <w:rsid w:val="004B4FCB"/>
    <w:rsid w:val="004B626C"/>
    <w:rsid w:val="004C32E3"/>
    <w:rsid w:val="004C4E9A"/>
    <w:rsid w:val="004C69D7"/>
    <w:rsid w:val="004D1C10"/>
    <w:rsid w:val="004F16BA"/>
    <w:rsid w:val="004F3A27"/>
    <w:rsid w:val="005005DA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673E3"/>
    <w:rsid w:val="00573C70"/>
    <w:rsid w:val="0057497E"/>
    <w:rsid w:val="00577000"/>
    <w:rsid w:val="00577988"/>
    <w:rsid w:val="005819F0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0AD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64E3C"/>
    <w:rsid w:val="00666016"/>
    <w:rsid w:val="0067499F"/>
    <w:rsid w:val="00687973"/>
    <w:rsid w:val="00694886"/>
    <w:rsid w:val="0069739B"/>
    <w:rsid w:val="006A5E02"/>
    <w:rsid w:val="006A6C4F"/>
    <w:rsid w:val="006A7FCB"/>
    <w:rsid w:val="006C3B7E"/>
    <w:rsid w:val="006C5D62"/>
    <w:rsid w:val="006D2ABF"/>
    <w:rsid w:val="006D60D0"/>
    <w:rsid w:val="006D6B44"/>
    <w:rsid w:val="006D6F09"/>
    <w:rsid w:val="006E0E75"/>
    <w:rsid w:val="006E12B7"/>
    <w:rsid w:val="006E3838"/>
    <w:rsid w:val="006E6879"/>
    <w:rsid w:val="006F0091"/>
    <w:rsid w:val="006F086A"/>
    <w:rsid w:val="006F7449"/>
    <w:rsid w:val="00702862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95BD0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56EC"/>
    <w:rsid w:val="00847A8E"/>
    <w:rsid w:val="00852A39"/>
    <w:rsid w:val="00855A4E"/>
    <w:rsid w:val="0086052F"/>
    <w:rsid w:val="00861A0B"/>
    <w:rsid w:val="0086606A"/>
    <w:rsid w:val="00873B12"/>
    <w:rsid w:val="00876CC4"/>
    <w:rsid w:val="00892550"/>
    <w:rsid w:val="00897C09"/>
    <w:rsid w:val="008B0B96"/>
    <w:rsid w:val="008B2485"/>
    <w:rsid w:val="008C0A5D"/>
    <w:rsid w:val="008C28D2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4C50"/>
    <w:rsid w:val="0091589F"/>
    <w:rsid w:val="00921FE0"/>
    <w:rsid w:val="009241FB"/>
    <w:rsid w:val="0092447A"/>
    <w:rsid w:val="009255B8"/>
    <w:rsid w:val="0092571B"/>
    <w:rsid w:val="00937B77"/>
    <w:rsid w:val="00953C44"/>
    <w:rsid w:val="0095651E"/>
    <w:rsid w:val="00963DE5"/>
    <w:rsid w:val="00966329"/>
    <w:rsid w:val="009724AF"/>
    <w:rsid w:val="009740D8"/>
    <w:rsid w:val="00977F5D"/>
    <w:rsid w:val="00981CED"/>
    <w:rsid w:val="00982ECC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03887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2F57"/>
    <w:rsid w:val="00B57029"/>
    <w:rsid w:val="00B57C2D"/>
    <w:rsid w:val="00B62885"/>
    <w:rsid w:val="00B64D4C"/>
    <w:rsid w:val="00B6575B"/>
    <w:rsid w:val="00B7183A"/>
    <w:rsid w:val="00B7220A"/>
    <w:rsid w:val="00B81A20"/>
    <w:rsid w:val="00B90FCB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2EEA"/>
    <w:rsid w:val="00BE6D49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77750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C7098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55DC7"/>
    <w:rsid w:val="00E65909"/>
    <w:rsid w:val="00E66CB0"/>
    <w:rsid w:val="00E720A8"/>
    <w:rsid w:val="00E731E7"/>
    <w:rsid w:val="00E7490B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B379C"/>
    <w:rsid w:val="00ED3398"/>
    <w:rsid w:val="00ED5039"/>
    <w:rsid w:val="00EE4B8E"/>
    <w:rsid w:val="00EE4BF3"/>
    <w:rsid w:val="00EE7053"/>
    <w:rsid w:val="00EE7B57"/>
    <w:rsid w:val="00EF196A"/>
    <w:rsid w:val="00F005ED"/>
    <w:rsid w:val="00F01119"/>
    <w:rsid w:val="00F02695"/>
    <w:rsid w:val="00F03543"/>
    <w:rsid w:val="00F05C94"/>
    <w:rsid w:val="00F20DBE"/>
    <w:rsid w:val="00F26565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0542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35A42-720E-4FAF-B378-81F0A3CD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1578</Words>
  <Characters>8458</Characters>
  <Application>Microsoft Office Word</Application>
  <DocSecurity>0</DocSecurity>
  <Lines>0</Lines>
  <Paragraphs>0</Paragraphs>
  <ScaleCrop>false</ScaleCrop>
  <Company>HP</Company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VB</cp:lastModifiedBy>
  <cp:revision>2</cp:revision>
  <cp:lastPrinted>2017-03-03T11:26:00Z</cp:lastPrinted>
  <dcterms:created xsi:type="dcterms:W3CDTF">2017-03-03T13:37:00Z</dcterms:created>
  <dcterms:modified xsi:type="dcterms:W3CDTF">2017-03-03T13:37:00Z</dcterms:modified>
</cp:coreProperties>
</file>