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Style w:val="TableNormal"/>
        <w:tblW w:w="10042" w:type="dxa"/>
        <w:jc w:val="center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580"/>
        <w:gridCol w:w="1267"/>
      </w:tblGrid>
      <w:tr>
        <w:tblPrEx>
          <w:tblW w:w="10042" w:type="dxa"/>
          <w:jc w:val="center"/>
          <w:tblInd w:w="-4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5D75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5D759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5D75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5D75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5D759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5D75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AA2B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B535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10 000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5A3C2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6535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13 984 000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7D5748" w:rsidRPr="007D5748" w:rsidP="005A3C2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E151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13 909 000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D7598" w:rsidP="005D759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 w:rsid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Ministerstvo kultúry SR</w:t>
            </w:r>
          </w:p>
          <w:p w:rsidR="007D5748" w:rsidRPr="007D5748" w:rsidP="000B402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5D759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1.Fond na podporu kultúry národnostných   menšín</w:t>
            </w:r>
            <w:r w:rsidR="000B402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AA2B21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5D759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="005D759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5D759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8 040 00</w:t>
            </w: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5D759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5D759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8 040 00</w:t>
            </w:r>
            <w:r w:rsidRPr="007D5748" w:rsidR="005D759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D7598" w:rsidRPr="007D5748" w:rsidP="000B402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D759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Fond na podporu umenia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D759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D7598" w:rsidRPr="005D759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5D759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D7598" w:rsidRPr="005D7598" w:rsidP="005E0A0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975BA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Pr="005D759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0</w:t>
            </w:r>
            <w:r w:rsidR="005E0A0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</w:t>
            </w:r>
            <w:r w:rsidRPr="005D759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5E0A0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Pr="005D759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D7598" w:rsidRPr="005D7598" w:rsidP="005E0A0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5D7598" w:rsidR="000B402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5 0</w:t>
            </w:r>
            <w:r w:rsidR="005E0A0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12</w:t>
            </w:r>
            <w:r w:rsidRPr="005D7598" w:rsidR="000B402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5E0A0D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Pr="005D7598" w:rsidR="000B402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01B1A" w:rsidR="00401B1A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3.</w:t>
            </w:r>
            <w:r w:rsidR="00401B1A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B67DB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Audiovizuálny fond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B67DB3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67DB3" w:rsidR="00B67DB3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65352A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65352A" w:rsidR="0065352A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932 000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65352A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65352A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857 000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01B1A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01B1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01B1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01B1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401B1A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C51FD4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2128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B402C" w:rsidRPr="000B402C" w:rsidP="000B402C">
            <w:pPr>
              <w:pStyle w:val="ListParagraph"/>
              <w:numPr>
                <w:numId w:val="4"/>
              </w:num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Fond kultúry národnostných menšín –  príspevok zo ŠR- MK SR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B402C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B402C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AA2B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200 000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B402C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8 000 000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B402C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8 000 000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B402C" w:rsidRPr="000B402C" w:rsidP="000B402C">
            <w:pPr>
              <w:pStyle w:val="ListParagraph"/>
              <w:numPr>
                <w:numId w:val="6"/>
              </w:num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administratívny poplatok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B402C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B402C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10 000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B402C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B402C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40 000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B402C" w:rsidRPr="000B402C" w:rsidP="00856C9B">
            <w:pPr>
              <w:pStyle w:val="ListParagraph"/>
              <w:numPr>
                <w:numId w:val="4"/>
              </w:num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Fond na podporu umenia príspevok zo ŠR – MK SR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B402C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B402C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B402C" w:rsidRPr="007D5748" w:rsidP="00C31D6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975B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 000 000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B402C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5 000 000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A3C2B" w:rsidP="005A3C2B">
            <w:pPr>
              <w:pStyle w:val="ListParagraph"/>
              <w:numPr>
                <w:numId w:val="6"/>
              </w:num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administratívny poplatok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A3C2B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A3C2B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A3C2B" w:rsidRPr="00916841" w:rsidP="00916841">
            <w:pPr>
              <w:pStyle w:val="ListParagraph"/>
              <w:numPr>
                <w:numId w:val="8"/>
              </w:num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91684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  <w:r w:rsidRPr="00916841" w:rsidR="0091684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A3C2B" w:rsidRPr="00916841" w:rsidP="00916841">
            <w:pPr>
              <w:bidi w:val="0"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91684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12 0</w:t>
            </w:r>
            <w:r w:rsidRPr="0091684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47A2" w:rsidRPr="000647A2" w:rsidP="000647A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    3.Audiovizuálny fond príspevok</w:t>
            </w:r>
            <w:r w:rsidRPr="000647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zo ŠR – MK SR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47A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47A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47A2" w:rsidP="00C31D6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925 000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47A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850 000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47A2" w:rsidRPr="0065352A" w:rsidP="005A3C2B">
            <w:pPr>
              <w:pStyle w:val="ListParagraph"/>
              <w:numPr>
                <w:numId w:val="6"/>
              </w:num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65352A">
              <w:rPr>
                <w:rFonts w:ascii="Times New Roman" w:hAnsi="Times New Roman" w:cs="Times New Roman"/>
                <w:b/>
                <w:bCs/>
                <w:i/>
                <w:iCs/>
                <w:lang w:eastAsia="sk-SK"/>
              </w:rPr>
              <w:t xml:space="preserve">administratívny </w:t>
            </w:r>
            <w:r w:rsidRPr="0065352A" w:rsidR="0065352A">
              <w:rPr>
                <w:rFonts w:ascii="Times New Roman" w:hAnsi="Times New Roman" w:cs="Times New Roman"/>
                <w:b/>
                <w:bCs/>
                <w:i/>
                <w:iCs/>
                <w:lang w:eastAsia="sk-SK"/>
              </w:rPr>
              <w:t xml:space="preserve">poplatok a </w:t>
            </w:r>
            <w:r w:rsidRPr="0065352A">
              <w:rPr>
                <w:rFonts w:ascii="Times New Roman" w:hAnsi="Times New Roman" w:cs="Times New Roman"/>
                <w:b/>
                <w:bCs/>
                <w:i/>
                <w:iCs/>
                <w:lang w:eastAsia="sk-SK"/>
              </w:rPr>
              <w:t>príspevok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47A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47A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47A2" w:rsidP="00C31D6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65352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7 000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647A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65352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7 000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06096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0609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210 00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856C9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6535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13 894 000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856C9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E1510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13 909 000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Ministerstvo kultúry SR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200 000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83772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13 925 000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83772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13 850 000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E72C6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E72C64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E72C64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E72C64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E72C64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E72C6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E72C64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E72C64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200 000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65352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13 925 000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975BA0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13 850 000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F43AD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Fond na podporu kultúry národnostných menšín – nový program -08S07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06096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210 000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8 040 000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06096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8 040 000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F43AD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Vplyv na (OSVS) – príspevok zo ŠR SR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052D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052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  <w:t>200 000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052D2" w:rsidP="0057279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052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  <w:t>8 000 000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052D2" w:rsidP="0057279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052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  <w:t xml:space="preserve"> 8 000 000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Vplyv na (OSVS)- administratívny poplatok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052D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052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  <w:t>10 000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052D2" w:rsidP="0006096B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052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  <w:t>40 000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052D2" w:rsidP="00E72C64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052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  <w:t>40 000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P="00CA3FD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Fond na podporu umenia – 08S06 – Podpora umeleckých aktivít, kultúry a kreatívneho priemyslu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E1510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5 012 000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E15105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5 012 000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856C9B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Vplyv na (OSVS) –príspevok Fondu na podporu umenia-08S0601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052D2" w:rsidP="00C31D6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052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  <w:t>5 000 000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052D2" w:rsidP="00C31D6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052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  <w:t>5 000 000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Vplyv na (OSVS)- administratívny poplatok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052D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052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  <w:t>12 000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052D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052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  <w:t>12 000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CA3F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Audiovizuálny fond – 08S04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Podpora obnovy audiovizuálneho dedičstva a audiovizuálnej kultúry a priemyslu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932 000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857 000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CA3FD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Vplyv na (OSVS) – príspevok Audiovizuálnemu fondu – 08S401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052D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052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  <w:t>925 000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052D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052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  <w:t>850 000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65352A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Vplyv na (OSVS)- </w:t>
            </w:r>
            <w:r w:rsidRPr="0065352A">
              <w:rPr>
                <w:rFonts w:ascii="Times New Roman" w:hAnsi="Times New Roman" w:cs="Times New Roman"/>
                <w:b/>
                <w:bCs/>
                <w:i/>
                <w:iCs/>
                <w:lang w:eastAsia="sk-SK"/>
              </w:rPr>
              <w:t>administratívny poplatok a príspevok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052D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052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  <w:t>7 000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052D2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7052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  <w:t>7 000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927396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9273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927396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9273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49559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93 600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927396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26</w:t>
            </w:r>
            <w:r w:rsidR="00927396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5 2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927396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26</w:t>
            </w:r>
            <w:r w:rsidR="00927396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5 2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4 500 000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4 500 00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Fond na podporu kultúry národnostných menšín v kapitole Úradu vlády SR v rámci dotačného systému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4 50</w:t>
            </w: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052D2" w:rsidRPr="007D5748" w:rsidP="00975BA0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4 50</w:t>
            </w: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000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200 000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052D2" w:rsidRPr="007D5748" w:rsidP="00C31D6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9 425 000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052D2" w:rsidRPr="007D5748" w:rsidP="00CA3FD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9 350 000</w:t>
            </w:r>
          </w:p>
        </w:tc>
      </w:tr>
      <w:tr>
        <w:tblPrEx>
          <w:tblW w:w="10042" w:type="dxa"/>
          <w:jc w:val="center"/>
          <w:tblInd w:w="-479" w:type="dxa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052D2" w:rsidRPr="007D5748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7052D2" w:rsidRPr="007D5748" w:rsidP="0005793E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bookmarkEnd w:id="0"/>
    </w:p>
    <w:p w:rsidR="007D5748" w:rsidRPr="007D5748" w:rsidP="00927396">
      <w:pPr>
        <w:bidi w:val="0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="00E963A3">
        <w:rPr>
          <w:rFonts w:ascii="Times New Roman" w:hAnsi="Times New Roman" w:cs="Times New Roman"/>
          <w:b/>
          <w:bCs/>
          <w:sz w:val="24"/>
          <w:szCs w:val="24"/>
          <w:lang w:eastAsia="sk-SK"/>
        </w:rPr>
        <w:br w:type="page"/>
      </w: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.1.1. Financovanie návrhu - Návrh na riešenie úbytku príjmov alebo zvýšených výdavkov podľa § 33 ods. 1 zákona č. 523/2004 Z. z. o rozpočtových pravidlách verejnej správy: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24"/>
          <w:lang w:eastAsia="sk-SK"/>
        </w:rPr>
      </w:pPr>
    </w:p>
    <w:p w:rsidR="00572797" w:rsidRPr="00572797" w:rsidP="005727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ascii="Times New Roman" w:hAnsi="Times New Roman" w:cs="Times New Roman"/>
          <w:bCs/>
          <w:lang w:eastAsia="sk-SK"/>
        </w:rPr>
      </w:pPr>
      <w:r w:rsidRPr="00441866" w:rsidR="00441866">
        <w:rPr>
          <w:rFonts w:ascii="Times New Roman" w:hAnsi="Times New Roman" w:cs="Times New Roman"/>
          <w:bCs/>
          <w:lang w:eastAsia="sk-SK"/>
        </w:rPr>
        <w:t>Hlavným zdrojom financovania</w:t>
      </w:r>
      <w:r w:rsidR="00441866">
        <w:rPr>
          <w:rFonts w:ascii="Times New Roman" w:hAnsi="Times New Roman" w:cs="Times New Roman"/>
          <w:bCs/>
          <w:lang w:eastAsia="sk-SK"/>
        </w:rPr>
        <w:t xml:space="preserve"> Fondu na podporu kultúry národnostných menšín budú príspevky zo štátneho rozpočtu, ktoré budú poskytované z kapitoly Ministerstva kultúry SR </w:t>
      </w:r>
      <w:r w:rsidR="00E72C64">
        <w:rPr>
          <w:rFonts w:ascii="Times New Roman" w:hAnsi="Times New Roman" w:cs="Times New Roman"/>
          <w:bCs/>
          <w:lang w:eastAsia="sk-SK"/>
        </w:rPr>
        <w:t xml:space="preserve">od roku 2018 </w:t>
      </w:r>
      <w:r w:rsidR="00441866">
        <w:rPr>
          <w:rFonts w:ascii="Times New Roman" w:hAnsi="Times New Roman" w:cs="Times New Roman"/>
          <w:bCs/>
          <w:lang w:eastAsia="sk-SK"/>
        </w:rPr>
        <w:t>v celkovej sume 8 mil. eur v rozsahu schválených limitov na príslušné rozpočtové roky</w:t>
      </w:r>
      <w:r w:rsidR="00E72C64">
        <w:rPr>
          <w:rFonts w:ascii="Times New Roman" w:hAnsi="Times New Roman" w:cs="Times New Roman"/>
          <w:bCs/>
          <w:lang w:eastAsia="sk-SK"/>
        </w:rPr>
        <w:t>,  z ktorých je v súčasnosti krytých 4,5 mil. eur v rámci dotačného systému Úradu vlády S</w:t>
      </w:r>
      <w:r>
        <w:rPr>
          <w:rFonts w:ascii="Times New Roman" w:hAnsi="Times New Roman" w:cs="Times New Roman"/>
          <w:bCs/>
          <w:lang w:eastAsia="sk-SK"/>
        </w:rPr>
        <w:t>lovenskej republiky, zostávajúc</w:t>
      </w:r>
      <w:r w:rsidR="00EE0DAF">
        <w:rPr>
          <w:rFonts w:ascii="Times New Roman" w:hAnsi="Times New Roman" w:cs="Times New Roman"/>
          <w:bCs/>
          <w:lang w:eastAsia="sk-SK"/>
        </w:rPr>
        <w:t>e</w:t>
      </w:r>
      <w:r>
        <w:rPr>
          <w:rFonts w:ascii="Times New Roman" w:hAnsi="Times New Roman" w:cs="Times New Roman"/>
          <w:bCs/>
          <w:lang w:eastAsia="sk-SK"/>
        </w:rPr>
        <w:t xml:space="preserve"> sum</w:t>
      </w:r>
      <w:r w:rsidR="00EE0DAF">
        <w:rPr>
          <w:rFonts w:ascii="Times New Roman" w:hAnsi="Times New Roman" w:cs="Times New Roman"/>
          <w:bCs/>
          <w:lang w:eastAsia="sk-SK"/>
        </w:rPr>
        <w:t>y</w:t>
      </w:r>
      <w:r w:rsidR="00E72C64">
        <w:rPr>
          <w:rFonts w:ascii="Times New Roman" w:hAnsi="Times New Roman" w:cs="Times New Roman"/>
          <w:bCs/>
          <w:lang w:eastAsia="sk-SK"/>
        </w:rPr>
        <w:t xml:space="preserve"> 0,2 mil. eur v roku 2017  a</w:t>
      </w:r>
      <w:r w:rsidR="00350452">
        <w:rPr>
          <w:rFonts w:ascii="Times New Roman" w:hAnsi="Times New Roman" w:cs="Times New Roman"/>
          <w:bCs/>
          <w:lang w:eastAsia="sk-SK"/>
        </w:rPr>
        <w:t xml:space="preserve">  </w:t>
      </w:r>
      <w:r w:rsidR="00E72C64">
        <w:rPr>
          <w:rFonts w:ascii="Times New Roman" w:hAnsi="Times New Roman" w:cs="Times New Roman"/>
          <w:bCs/>
          <w:lang w:eastAsia="sk-SK"/>
        </w:rPr>
        <w:t xml:space="preserve">3,5 mil. eur od r. 2018 nie  </w:t>
      </w:r>
      <w:r w:rsidR="00350452">
        <w:rPr>
          <w:rFonts w:ascii="Times New Roman" w:hAnsi="Times New Roman" w:cs="Times New Roman"/>
          <w:bCs/>
          <w:lang w:eastAsia="sk-SK"/>
        </w:rPr>
        <w:t>sú kryté v rozpočte kapitoly Ministerstva kultúry SR</w:t>
      </w:r>
      <w:r w:rsidR="00E52BB5">
        <w:rPr>
          <w:rFonts w:ascii="Times New Roman" w:hAnsi="Times New Roman" w:cs="Times New Roman"/>
          <w:bCs/>
          <w:lang w:eastAsia="sk-SK"/>
        </w:rPr>
        <w:t>.</w:t>
      </w:r>
    </w:p>
    <w:p w:rsidR="007D5748" w:rsidP="005727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ascii="Times New Roman" w:hAnsi="Times New Roman" w:cs="Times New Roman"/>
          <w:bCs/>
          <w:lang w:eastAsia="sk-SK"/>
        </w:rPr>
      </w:pPr>
      <w:r w:rsidR="00350452">
        <w:rPr>
          <w:rFonts w:ascii="Times New Roman" w:hAnsi="Times New Roman" w:cs="Times New Roman"/>
          <w:bCs/>
          <w:lang w:eastAsia="sk-SK"/>
        </w:rPr>
        <w:t>Zvýšenie výdavkov</w:t>
      </w:r>
      <w:r w:rsidR="00E52BB5">
        <w:rPr>
          <w:rFonts w:ascii="Times New Roman" w:hAnsi="Times New Roman" w:cs="Times New Roman"/>
          <w:bCs/>
          <w:lang w:eastAsia="sk-SK"/>
        </w:rPr>
        <w:t xml:space="preserve"> v kapitole Ministerstva kultúry pre</w:t>
      </w:r>
      <w:r w:rsidR="00350452">
        <w:rPr>
          <w:rFonts w:ascii="Times New Roman" w:hAnsi="Times New Roman" w:cs="Times New Roman"/>
          <w:bCs/>
          <w:lang w:eastAsia="sk-SK"/>
        </w:rPr>
        <w:t xml:space="preserve"> Fondu na podporu umenia navrhujeme riešiť v rámci návrhu rozpočtu na rok 2018 zvýšením výdavkov kapitoly Ministerstva kultúry </w:t>
      </w:r>
      <w:r w:rsidRPr="00572797" w:rsidR="00350452">
        <w:rPr>
          <w:rFonts w:ascii="Times New Roman" w:hAnsi="Times New Roman" w:cs="Times New Roman"/>
          <w:bCs/>
          <w:lang w:eastAsia="sk-SK"/>
        </w:rPr>
        <w:t>SR</w:t>
      </w:r>
      <w:r w:rsidR="00E527CA">
        <w:rPr>
          <w:rFonts w:ascii="Times New Roman" w:hAnsi="Times New Roman" w:cs="Times New Roman"/>
          <w:bCs/>
          <w:lang w:eastAsia="sk-SK"/>
        </w:rPr>
        <w:t xml:space="preserve"> v programe 08S060</w:t>
      </w:r>
      <w:r w:rsidR="00856C9B">
        <w:rPr>
          <w:rFonts w:ascii="Times New Roman" w:hAnsi="Times New Roman" w:cs="Times New Roman"/>
          <w:bCs/>
          <w:lang w:eastAsia="sk-SK"/>
        </w:rPr>
        <w:t>1</w:t>
      </w:r>
      <w:r w:rsidR="00EE0DAF">
        <w:rPr>
          <w:rFonts w:ascii="Times New Roman" w:hAnsi="Times New Roman" w:cs="Times New Roman"/>
          <w:bCs/>
          <w:lang w:eastAsia="sk-SK"/>
        </w:rPr>
        <w:t xml:space="preserve"> o sumu 5,0 mil. eur</w:t>
      </w:r>
      <w:r w:rsidR="003E1959">
        <w:rPr>
          <w:rFonts w:ascii="Times New Roman" w:hAnsi="Times New Roman" w:cs="Times New Roman"/>
          <w:bCs/>
          <w:lang w:eastAsia="sk-SK"/>
        </w:rPr>
        <w:t>, po zvýšení bude celkový transfer Fondu na podporu umenia na rok 2018 predstavovať sumu 20 mil. eur, v súčasnosti je 15 mil. eur.</w:t>
      </w:r>
      <w:r w:rsidRPr="00572797" w:rsidR="00350452">
        <w:rPr>
          <w:rFonts w:ascii="Times New Roman" w:hAnsi="Times New Roman" w:cs="Times New Roman"/>
          <w:bCs/>
          <w:lang w:eastAsia="sk-SK"/>
        </w:rPr>
        <w:t xml:space="preserve"> </w:t>
      </w:r>
      <w:r w:rsidRPr="00572797" w:rsidR="00E72C64">
        <w:rPr>
          <w:rFonts w:ascii="Times New Roman" w:hAnsi="Times New Roman" w:cs="Times New Roman"/>
          <w:bCs/>
          <w:lang w:eastAsia="sk-SK"/>
        </w:rPr>
        <w:t xml:space="preserve"> </w:t>
      </w:r>
    </w:p>
    <w:p w:rsidR="00E52BB5" w:rsidRPr="00441866" w:rsidP="005727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ascii="Times New Roman" w:hAnsi="Times New Roman" w:cs="Times New Roman"/>
          <w:bCs/>
          <w:lang w:eastAsia="sk-SK"/>
        </w:rPr>
      </w:pPr>
      <w:r>
        <w:rPr>
          <w:rFonts w:ascii="Times New Roman" w:hAnsi="Times New Roman" w:cs="Times New Roman"/>
          <w:bCs/>
          <w:lang w:eastAsia="sk-SK"/>
        </w:rPr>
        <w:t xml:space="preserve">Zvýšenie výdavkov v kapitole Ministerstva kultúry SR  pre Audiovizuálny fond navrhujeme riešiť v rámci návrhu rozpočtu na rok </w:t>
      </w:r>
      <w:r w:rsidR="005649BC">
        <w:rPr>
          <w:rFonts w:ascii="Times New Roman" w:hAnsi="Times New Roman" w:cs="Times New Roman"/>
          <w:bCs/>
          <w:lang w:eastAsia="sk-SK"/>
        </w:rPr>
        <w:t>2018 zvýšením výdavkov kapitoly Ministerstva kultúry SR v programe 08S0401 o sumu 925 000 eur a v roku 2019 o sumu 850 000 eur. Zvýšením bude zabezpečený transfer pre Audiovizuálny fond v sume 6,0 mil. eur rovnako na rok 2018 a 2019 bez prostriedkov na podporu filmových projektov. V roku 2017 je tento transfer na úrovni 5,0 mil. eur, v predikcii na rok 2018 je v sume 5,075 mil. eur a na rok 2019 v sume 5,150 mil. eur.</w:t>
      </w:r>
    </w:p>
    <w:p w:rsidR="007D5748" w:rsidRPr="00350452" w:rsidP="005727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50452" w:rsidR="0044186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Návrh predpokladá zvýšenie výdavkov v rámci kapitoly Ministerstva kultúry SR pre rok 2017 v celkovej sume 200 000 eur, v roku 2018 v celkovej sume </w:t>
      </w:r>
      <w:r w:rsidR="00EE0DAF">
        <w:rPr>
          <w:rFonts w:ascii="Times New Roman" w:hAnsi="Times New Roman" w:cs="Times New Roman"/>
          <w:bCs/>
          <w:sz w:val="24"/>
          <w:szCs w:val="24"/>
          <w:lang w:eastAsia="sk-SK"/>
        </w:rPr>
        <w:t>1</w:t>
      </w:r>
      <w:r w:rsidR="003E1959">
        <w:rPr>
          <w:rFonts w:ascii="Times New Roman" w:hAnsi="Times New Roman" w:cs="Times New Roman"/>
          <w:bCs/>
          <w:sz w:val="24"/>
          <w:szCs w:val="24"/>
          <w:lang w:eastAsia="sk-SK"/>
        </w:rPr>
        <w:t>3</w:t>
      </w:r>
      <w:r w:rsidRPr="00350452" w:rsidR="00441866">
        <w:rPr>
          <w:rFonts w:ascii="Times New Roman" w:hAnsi="Times New Roman" w:cs="Times New Roman"/>
          <w:bCs/>
          <w:sz w:val="24"/>
          <w:szCs w:val="24"/>
          <w:lang w:eastAsia="sk-SK"/>
        </w:rPr>
        <w:t> </w:t>
      </w:r>
      <w:r w:rsidR="005649BC">
        <w:rPr>
          <w:rFonts w:ascii="Times New Roman" w:hAnsi="Times New Roman" w:cs="Times New Roman"/>
          <w:bCs/>
          <w:sz w:val="24"/>
          <w:szCs w:val="24"/>
          <w:lang w:eastAsia="sk-SK"/>
        </w:rPr>
        <w:t>925</w:t>
      </w:r>
      <w:r w:rsidRPr="00350452" w:rsidR="0044186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 000 eur, z toho je krytý príspevok pre Fond na podporu kultúry národnostných menšín v sume 4 500 000 eur z Úradu vlády SR a nekryté výdavky sú v celkovej sume </w:t>
      </w:r>
      <w:r w:rsidR="005649BC">
        <w:rPr>
          <w:rFonts w:ascii="Times New Roman" w:hAnsi="Times New Roman" w:cs="Times New Roman"/>
          <w:bCs/>
          <w:sz w:val="24"/>
          <w:szCs w:val="24"/>
          <w:lang w:eastAsia="sk-SK"/>
        </w:rPr>
        <w:t>9 425</w:t>
      </w:r>
      <w:r w:rsidRPr="00350452" w:rsidR="00441866">
        <w:rPr>
          <w:rFonts w:ascii="Times New Roman" w:hAnsi="Times New Roman" w:cs="Times New Roman"/>
          <w:bCs/>
          <w:sz w:val="24"/>
          <w:szCs w:val="24"/>
          <w:lang w:eastAsia="sk-SK"/>
        </w:rPr>
        <w:t> 000 eur, v roku 2019</w:t>
      </w:r>
      <w:r w:rsidR="005649BC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v celkovej sume 13 850 000 eur</w:t>
      </w:r>
      <w:r w:rsidRPr="00350452" w:rsidR="0044186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. </w:t>
      </w:r>
    </w:p>
    <w:p w:rsidR="007D5748" w:rsidRPr="007D5748" w:rsidP="005727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15276C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sk-SK"/>
        </w:rPr>
      </w:pPr>
      <w:r w:rsidRPr="0015276C">
        <w:rPr>
          <w:rFonts w:ascii="Times New Roman" w:hAnsi="Times New Roman" w:cs="Times New Roman"/>
          <w:lang w:eastAsia="sk-SK"/>
        </w:rPr>
        <w:t>Akú problematiku návrh rieši? Kto bude návrh implementovať? Kde sa budú služby poskytovať?</w:t>
      </w:r>
    </w:p>
    <w:p w:rsidR="0015276C" w:rsidRPr="0015276C" w:rsidP="0015276C">
      <w:pPr>
        <w:bidi w:val="0"/>
        <w:ind w:firstLine="708"/>
        <w:jc w:val="both"/>
        <w:rPr>
          <w:rFonts w:ascii="Times New Roman" w:hAnsi="Times New Roman" w:cs="Times New Roman"/>
        </w:rPr>
      </w:pPr>
      <w:r w:rsidRPr="0015276C">
        <w:rPr>
          <w:rFonts w:ascii="Times New Roman" w:hAnsi="Times New Roman" w:cs="Times New Roman"/>
        </w:rPr>
        <w:t>Návrh zákona upravuje systém financovania kultúrnych a vedeckých aktivít prostredníctvom fondu, vrátane jeho organizácie a fungovania. Orgánmi fondu sú riaditeľ ako štatutárny a výkonný orgán fondu, odborné rady, dozorná komisia ako kontrolný orgán fondu a správna rada. Účelom fondu je predovšetkým zachovanie, vyjadrenie, ochrana a rozvoj identity  a kultúrnych hodnôt národnostných menšín, ďalej výchova a vzdelávanie k právam národnostných menšín, ako aj rozvoj a podpora interkultúrneho dialógu a porozumenia medzi občanmi slovenskej národnosti a občanmi patriacimi k národnostným menšinám a etnickým skupinám. Fond</w:t>
      </w:r>
      <w:r>
        <w:rPr>
          <w:rFonts w:ascii="Times New Roman" w:hAnsi="Times New Roman" w:cs="Times New Roman"/>
        </w:rPr>
        <w:t xml:space="preserve"> na podporu kultúry národnostných menšín</w:t>
      </w:r>
      <w:r w:rsidRPr="0015276C">
        <w:rPr>
          <w:rFonts w:ascii="Times New Roman" w:hAnsi="Times New Roman" w:cs="Times New Roman"/>
        </w:rPr>
        <w:t xml:space="preserve"> bude poskytovať finančné prostriedky na osvetovú  a vzdelávaciu činnosť, edičnú činnosť, podporu aktivít divadiel, umeleckých súborov  a kultúrnych inštitúcií a podporu umeleckej tvorby, podporu vedy a výskumu v oblasti kultúry, života, histórie, jazyka a identity príslušníkov národnostných menšín, podporu vzdelávania, záujmovej činnosti a využitia voľného času, zahraničnej prezentácie kultúry, podporu výchovy a vzdelávania detí a mládeže v oblasti práv národnostných menšín, podporu vzájomného porozumenia a zbližovania medzi občanmi slovenskej národnosti a občanmi patriacimi k národnostným menšinám a etnickým skupinám, podporu identifikácie  a spoznávania spoločných kultúrnych a vedeckých hodnôt a tradícií, podporu aktivít zameraných na odkrývanie a spoznávanie rodinnej, miestnej a regionálnej histórie, tradícií, osobností a pamiatok, aktivít zameraných na podporu rešpektu, porozumenia a tolerancie voči jazykom národnostných menšín a kultúram v systéme výchovy a vzdelávania, podporu výmenných programov, pobytov, spoločných vzdelávacích podujatí, vedomostných  a umeleckých súťaží pre deti a mládež z rôznych národnostných a jazykových skupín, na ochranu, odborné spracovanie, digitalizáciu kultúrneho dedičstva národnostných menšín a na kreatívny priemysel. </w:t>
      </w:r>
    </w:p>
    <w:p w:rsidR="0015276C" w:rsidRPr="0015276C" w:rsidP="00D85741">
      <w:pPr>
        <w:bidi w:val="0"/>
        <w:ind w:firstLine="708"/>
        <w:jc w:val="both"/>
        <w:rPr>
          <w:rFonts w:ascii="Times New Roman" w:hAnsi="Times New Roman" w:cs="Times New Roman"/>
        </w:rPr>
      </w:pPr>
      <w:r w:rsidRPr="0015276C">
        <w:rPr>
          <w:rFonts w:ascii="Times New Roman" w:hAnsi="Times New Roman" w:cs="Times New Roman"/>
        </w:rPr>
        <w:t>Navrhovaná suma zvýšenia príjmov Fondu na po</w:t>
      </w:r>
      <w:r w:rsidR="00D85741">
        <w:rPr>
          <w:rFonts w:ascii="Times New Roman" w:hAnsi="Times New Roman" w:cs="Times New Roman"/>
        </w:rPr>
        <w:t xml:space="preserve">dporu umenia predpokladá vyššie </w:t>
      </w:r>
      <w:r w:rsidRPr="0015276C">
        <w:rPr>
          <w:rFonts w:ascii="Times New Roman" w:hAnsi="Times New Roman" w:cs="Times New Roman"/>
        </w:rPr>
        <w:t xml:space="preserve">uspokojenie dopytu zo strany žiadateľov o finančnú podporu z oblasti umenia, kultúry a kreatívneho priemyslu. V roku 2016 bola celková žiadaná suma približne 47 miliónov EUR, čo predstavuje viac ako trojnásobok sumy, ktorú Fond na podporu umenia mal k dispozícii. Navrhované zvýšenie príjmov by umožnilo pokryť dopyt všetkých cieľových skupín na </w:t>
      </w:r>
      <w:r w:rsidR="006B0411">
        <w:rPr>
          <w:rFonts w:ascii="Times New Roman" w:hAnsi="Times New Roman" w:cs="Times New Roman"/>
        </w:rPr>
        <w:t>4</w:t>
      </w:r>
      <w:r w:rsidR="005D62E1">
        <w:rPr>
          <w:rFonts w:ascii="Times New Roman" w:hAnsi="Times New Roman" w:cs="Times New Roman"/>
        </w:rPr>
        <w:t>0</w:t>
      </w:r>
      <w:r w:rsidR="006B0411">
        <w:rPr>
          <w:rFonts w:ascii="Times New Roman" w:hAnsi="Times New Roman" w:cs="Times New Roman"/>
        </w:rPr>
        <w:t xml:space="preserve"> </w:t>
      </w:r>
      <w:r w:rsidRPr="006B0411">
        <w:rPr>
          <w:rFonts w:ascii="Times New Roman" w:hAnsi="Times New Roman" w:cs="Times New Roman"/>
        </w:rPr>
        <w:t>%</w:t>
      </w:r>
      <w:r w:rsidR="00D8574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v súčasnosti je to iba 30%. </w:t>
      </w:r>
    </w:p>
    <w:p w:rsidR="007D5748" w:rsidRPr="00B722F5" w:rsidP="00B722F5">
      <w:pPr>
        <w:bidi w:val="0"/>
        <w:ind w:firstLine="708"/>
        <w:jc w:val="both"/>
        <w:rPr>
          <w:rFonts w:ascii="Times New Roman" w:hAnsi="Times New Roman" w:cs="Times New Roman"/>
        </w:rPr>
      </w:pPr>
      <w:r w:rsidRPr="00811B5E" w:rsidR="005649BC">
        <w:rPr>
          <w:rFonts w:ascii="Times New Roman" w:hAnsi="Times New Roman" w:cs="Times New Roman"/>
        </w:rPr>
        <w:t xml:space="preserve">Návrh v rámci Audiovizuálneho fondu </w:t>
      </w:r>
      <w:r w:rsidRPr="00811B5E" w:rsidR="00811B5E">
        <w:rPr>
          <w:rFonts w:ascii="Times New Roman" w:hAnsi="Times New Roman" w:cs="Times New Roman"/>
        </w:rPr>
        <w:t xml:space="preserve">predpokladá </w:t>
      </w:r>
      <w:r w:rsidRPr="00811B5E" w:rsidR="005649BC">
        <w:rPr>
          <w:rFonts w:ascii="Times New Roman" w:hAnsi="Times New Roman" w:cs="Times New Roman"/>
        </w:rPr>
        <w:t xml:space="preserve"> zrušenia hornej hranice administratívneho poplatku </w:t>
      </w:r>
      <w:r w:rsidR="00811B5E">
        <w:rPr>
          <w:rFonts w:ascii="Times New Roman" w:hAnsi="Times New Roman" w:cs="Times New Roman"/>
        </w:rPr>
        <w:t xml:space="preserve">(300 eur) </w:t>
      </w:r>
      <w:r w:rsidRPr="00811B5E" w:rsidR="005649BC">
        <w:rPr>
          <w:rFonts w:ascii="Times New Roman" w:hAnsi="Times New Roman" w:cs="Times New Roman"/>
        </w:rPr>
        <w:t>a vypustenia ustanovenia, podľa ktorého sa príspevok do fondu neplatí, ak je suma príspevku menšia ako 50 eur</w:t>
      </w:r>
      <w:r w:rsidR="00811B5E">
        <w:rPr>
          <w:rFonts w:ascii="Times New Roman" w:hAnsi="Times New Roman" w:cs="Times New Roman"/>
        </w:rPr>
        <w:t>.</w:t>
      </w:r>
      <w:r w:rsidRPr="00811B5E" w:rsidR="005649BC">
        <w:rPr>
          <w:rFonts w:ascii="Times New Roman" w:hAnsi="Times New Roman" w:cs="Times New Roman"/>
        </w:rPr>
        <w:t xml:space="preserve"> </w:t>
      </w:r>
      <w:r w:rsidRPr="00811B5E" w:rsidR="00811B5E">
        <w:rPr>
          <w:rFonts w:ascii="Times New Roman" w:hAnsi="Times New Roman" w:cs="Times New Roman"/>
        </w:rPr>
        <w:t xml:space="preserve">Zrušenie horného limitu 300 eur na administratívnych poplatkoch </w:t>
      </w:r>
      <w:r w:rsidR="00B722F5">
        <w:rPr>
          <w:rFonts w:ascii="Times New Roman" w:hAnsi="Times New Roman" w:cs="Times New Roman"/>
        </w:rPr>
        <w:t>bude</w:t>
      </w:r>
      <w:r w:rsidRPr="00811B5E" w:rsidR="00811B5E">
        <w:rPr>
          <w:rFonts w:ascii="Times New Roman" w:hAnsi="Times New Roman" w:cs="Times New Roman"/>
        </w:rPr>
        <w:t xml:space="preserve"> odhadom cca 5000 eur ročne (zvýšený príjem v tejto položke, v roku 2016 by to podľa skutočne podaných žiadostí bol 3</w:t>
      </w:r>
      <w:r w:rsidR="00811B5E">
        <w:rPr>
          <w:rFonts w:ascii="Times New Roman" w:hAnsi="Times New Roman" w:cs="Times New Roman"/>
        </w:rPr>
        <w:t xml:space="preserve"> </w:t>
      </w:r>
      <w:r w:rsidRPr="00811B5E" w:rsidR="00811B5E">
        <w:rPr>
          <w:rFonts w:ascii="Times New Roman" w:hAnsi="Times New Roman" w:cs="Times New Roman"/>
        </w:rPr>
        <w:t>640 eur).</w:t>
      </w:r>
      <w:r w:rsidR="00811B5E">
        <w:rPr>
          <w:rFonts w:ascii="Times New Roman" w:hAnsi="Times New Roman" w:cs="Times New Roman"/>
        </w:rPr>
        <w:t xml:space="preserve"> </w:t>
      </w:r>
      <w:r w:rsidRPr="00811B5E" w:rsidR="00811B5E">
        <w:rPr>
          <w:rFonts w:ascii="Times New Roman" w:hAnsi="Times New Roman" w:cs="Times New Roman"/>
        </w:rPr>
        <w:t>Zrušenie spodného limitu 50 eur na príspevkoch prinesie ročne zvýšenie príspevkov o cca 2</w:t>
      </w:r>
      <w:r w:rsidR="00811B5E">
        <w:rPr>
          <w:rFonts w:ascii="Times New Roman" w:hAnsi="Times New Roman" w:cs="Times New Roman"/>
        </w:rPr>
        <w:t xml:space="preserve"> </w:t>
      </w:r>
      <w:r w:rsidRPr="00811B5E" w:rsidR="00811B5E">
        <w:rPr>
          <w:rFonts w:ascii="Times New Roman" w:hAnsi="Times New Roman" w:cs="Times New Roman"/>
        </w:rPr>
        <w:t>000 eur ročne.</w:t>
      </w:r>
      <w:r w:rsidR="00B722F5">
        <w:rPr>
          <w:rFonts w:ascii="Times New Roman" w:hAnsi="Times New Roman" w:cs="Times New Roman"/>
        </w:rPr>
        <w:t xml:space="preserve"> </w:t>
      </w:r>
      <w:r w:rsidRPr="00B722F5" w:rsidR="00B722F5">
        <w:rPr>
          <w:rFonts w:ascii="Times New Roman" w:hAnsi="Times New Roman" w:cs="Times New Roman"/>
        </w:rPr>
        <w:t>Cieľom navýšenia</w:t>
      </w:r>
      <w:r w:rsidR="00B722F5">
        <w:rPr>
          <w:rFonts w:ascii="Times New Roman" w:hAnsi="Times New Roman" w:cs="Times New Roman"/>
        </w:rPr>
        <w:t xml:space="preserve"> príspevku</w:t>
      </w:r>
      <w:r w:rsidRPr="00B722F5" w:rsidR="00B722F5">
        <w:rPr>
          <w:rFonts w:ascii="Times New Roman" w:hAnsi="Times New Roman" w:cs="Times New Roman"/>
        </w:rPr>
        <w:t xml:space="preserve"> je zvýšenie intenzity podpory audiovizuálnej</w:t>
      </w:r>
      <w:r w:rsidR="00B722F5">
        <w:rPr>
          <w:rFonts w:ascii="Times New Roman" w:hAnsi="Times New Roman" w:cs="Times New Roman"/>
        </w:rPr>
        <w:t xml:space="preserve"> kultúry v Slovenskej republike.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350452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EC7B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EC7B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EC7B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EC7B6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B817C2">
            <w:pPr>
              <w:autoSpaceDE w:val="0"/>
              <w:autoSpaceDN w:val="0"/>
              <w:bidi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Fond na podporu kultúry národnostných menšín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B817C2">
            <w:pPr>
              <w:autoSpaceDE w:val="0"/>
              <w:autoSpaceDN w:val="0"/>
              <w:bidi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B817C2">
            <w:pPr>
              <w:autoSpaceDE w:val="0"/>
              <w:autoSpaceDN w:val="0"/>
              <w:bidi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B817C2">
            <w:pPr>
              <w:autoSpaceDE w:val="0"/>
              <w:autoSpaceDN w:val="0"/>
              <w:bidi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B817C2">
            <w:pPr>
              <w:autoSpaceDE w:val="0"/>
              <w:autoSpaceDN w:val="0"/>
              <w:bidi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3D7EDC">
            <w:pPr>
              <w:autoSpaceDE w:val="0"/>
              <w:autoSpaceDN w:val="0"/>
              <w:bidi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Počet prijatých žiadostí (predpoklad)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3D7EDC">
            <w:pPr>
              <w:autoSpaceDE w:val="0"/>
              <w:autoSpaceDN w:val="0"/>
              <w:bidi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3D7EDC">
            <w:pPr>
              <w:autoSpaceDE w:val="0"/>
              <w:autoSpaceDN w:val="0"/>
              <w:bidi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3D7EDC">
            <w:pPr>
              <w:autoSpaceDE w:val="0"/>
              <w:autoSpaceDN w:val="0"/>
              <w:bidi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3D7EDC">
            <w:pPr>
              <w:autoSpaceDE w:val="0"/>
              <w:autoSpaceDN w:val="0"/>
              <w:bidi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3D7EDC">
            <w:pPr>
              <w:autoSpaceDE w:val="0"/>
              <w:autoSpaceDN w:val="0"/>
              <w:bidi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Počet uzatvorených zmlúv so žiadateľom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3D7EDC">
            <w:pPr>
              <w:autoSpaceDE w:val="0"/>
              <w:autoSpaceDN w:val="0"/>
              <w:bidi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3D7EDC">
            <w:pPr>
              <w:autoSpaceDE w:val="0"/>
              <w:autoSpaceDN w:val="0"/>
              <w:bidi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3D7EDC">
            <w:pPr>
              <w:autoSpaceDE w:val="0"/>
              <w:autoSpaceDN w:val="0"/>
              <w:bidi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3D7EDC">
            <w:pPr>
              <w:autoSpaceDE w:val="0"/>
              <w:autoSpaceDN w:val="0"/>
              <w:bidi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B817C2">
            <w:pPr>
              <w:autoSpaceDE w:val="0"/>
              <w:autoSpaceDN w:val="0"/>
              <w:bidi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Fond na podporu umenia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B817C2">
            <w:pPr>
              <w:autoSpaceDE w:val="0"/>
              <w:autoSpaceDN w:val="0"/>
              <w:bidi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B817C2">
            <w:pPr>
              <w:autoSpaceDE w:val="0"/>
              <w:autoSpaceDN w:val="0"/>
              <w:bidi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B817C2">
            <w:pPr>
              <w:autoSpaceDE w:val="0"/>
              <w:autoSpaceDN w:val="0"/>
              <w:bidi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B817C2">
            <w:pPr>
              <w:autoSpaceDE w:val="0"/>
              <w:autoSpaceDN w:val="0"/>
              <w:bidi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3D7EDC">
            <w:pPr>
              <w:autoSpaceDE w:val="0"/>
              <w:autoSpaceDN w:val="0"/>
              <w:bidi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Počet prijatých žiadostí (predpoklad)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3D7EDC">
            <w:pPr>
              <w:autoSpaceDE w:val="0"/>
              <w:autoSpaceDN w:val="0"/>
              <w:bidi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3D7EDC">
            <w:pPr>
              <w:autoSpaceDE w:val="0"/>
              <w:autoSpaceDN w:val="0"/>
              <w:bidi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3D7EDC">
            <w:pPr>
              <w:autoSpaceDE w:val="0"/>
              <w:autoSpaceDN w:val="0"/>
              <w:bidi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="00916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3D7EDC">
            <w:pPr>
              <w:autoSpaceDE w:val="0"/>
              <w:autoSpaceDN w:val="0"/>
              <w:bidi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="00916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3D7EDC">
            <w:pPr>
              <w:autoSpaceDE w:val="0"/>
              <w:autoSpaceDN w:val="0"/>
              <w:bidi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Počet uzatvorených zmlúv so žiadateľom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3D7EDC">
            <w:pPr>
              <w:autoSpaceDE w:val="0"/>
              <w:autoSpaceDN w:val="0"/>
              <w:bidi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7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3D7EDC">
            <w:pPr>
              <w:autoSpaceDE w:val="0"/>
              <w:autoSpaceDN w:val="0"/>
              <w:bidi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3D7EDC">
            <w:pPr>
              <w:autoSpaceDE w:val="0"/>
              <w:autoSpaceDN w:val="0"/>
              <w:bidi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B817C2" w:rsidP="003D7EDC">
            <w:pPr>
              <w:autoSpaceDE w:val="0"/>
              <w:autoSpaceDN w:val="0"/>
              <w:bidi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2CD1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14C3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B817C2" w:rsidP="00B817C2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414C38" w:rsidP="00414C3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="00414C3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3 </w:t>
      </w: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817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817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817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817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817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817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817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817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1D630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  <w:r w:rsidR="00414C3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 xml:space="preserve"> v tom administratívne poplatky  pri podaní žiadosti (221)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14C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14C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0910A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7052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59 000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0910A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7052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59 000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306" w:rsidRPr="000910A9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0910A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eastAsia="sk-SK"/>
              </w:rPr>
              <w:t>Fond na podporu kultúry národnostných menšín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306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306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091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306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091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40 000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306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091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40 000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D6306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306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910A9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eastAsia="sk-SK"/>
              </w:rPr>
              <w:t>Fond na podporu umenia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306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306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091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306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646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12 000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D6306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1646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12 000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D6306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0EAF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F0EAF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eastAsia="sk-SK"/>
              </w:rPr>
              <w:t>Audiovizuálny fond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0EAF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0EAF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7052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0EAF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7052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7 000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0EAF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7052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7 000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F0EAF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  <w:r w:rsidR="00414C3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v tom transfery v rámci verejnej správy (322) z toho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414C3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7052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7052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13 925 000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7052D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13 850 000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C38" w:rsidRPr="00414C38" w:rsidP="00414C3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lang w:eastAsia="sk-SK"/>
              </w:rPr>
            </w:pPr>
            <w:r w:rsidRPr="00414C38">
              <w:rPr>
                <w:rFonts w:ascii="Times New Roman" w:hAnsi="Times New Roman" w:cs="Times New Roman"/>
                <w:bCs/>
                <w:lang w:eastAsia="sk-SK"/>
              </w:rPr>
              <w:t>Fond na podporu kultúry národnostných menšín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C38" w:rsidRPr="00414C38" w:rsidP="00414C3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14C38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C38" w:rsidRPr="00414C38" w:rsidP="00414C3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200 000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C38" w:rsidRPr="00414C38" w:rsidP="00414C3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14C38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8 000 000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C38" w:rsidRPr="00414C38" w:rsidP="00414C3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14C38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8 000 000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14C38" w:rsidRPr="007D5748" w:rsidP="00414C3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C38" w:rsidRPr="00414C38" w:rsidP="00414C3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lang w:eastAsia="sk-SK"/>
              </w:rPr>
            </w:pPr>
            <w:r w:rsidRPr="00414C38">
              <w:rPr>
                <w:rFonts w:ascii="Times New Roman" w:hAnsi="Times New Roman" w:cs="Times New Roman"/>
                <w:bCs/>
                <w:lang w:eastAsia="sk-SK"/>
              </w:rPr>
              <w:t>Fond na podporu umenia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C38" w:rsidRPr="00414C38" w:rsidP="00414C3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14C38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C38" w:rsidRPr="00414C38" w:rsidP="00414C3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414C38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C38" w:rsidRPr="00414C38" w:rsidP="00414C3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5 000 000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C38" w:rsidRPr="00414C38" w:rsidP="00414C3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5 000 000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14C38" w:rsidRPr="007D5748" w:rsidP="00414C3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0EAF" w:rsidRPr="007D5748" w:rsidP="00414C3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F0EAF">
              <w:rPr>
                <w:rFonts w:ascii="Times New Roman" w:hAnsi="Times New Roman" w:cs="Times New Roman"/>
                <w:bCs/>
                <w:lang w:eastAsia="sk-SK"/>
              </w:rPr>
              <w:t>Audiovizuálny fond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0EAF" w:rsidRPr="00AA2C50" w:rsidP="00414C3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A2C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0EAF" w:rsidRPr="00AA2C50" w:rsidP="00414C3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A2C50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0EAF" w:rsidRPr="00AA2C50" w:rsidP="00414C3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A2C50" w:rsidR="001646B0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 xml:space="preserve">  925 000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F0EAF" w:rsidRPr="00AA2C50" w:rsidP="00414C3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AA2C50" w:rsidR="001646B0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850 000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F0EAF" w:rsidRPr="007D5748" w:rsidP="00414C3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C38" w:rsidRPr="007D5748" w:rsidP="00414C3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C38" w:rsidRPr="00AA2C50" w:rsidP="00414C3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A2C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C38" w:rsidRPr="00AA2C50" w:rsidP="00414C3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A2C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C38" w:rsidRPr="00AA2C50" w:rsidP="00414C3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A2C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C38" w:rsidRPr="00AA2C50" w:rsidP="00414C3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A2C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14C38" w:rsidRPr="007D5748" w:rsidP="00414C3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C38" w:rsidRPr="007D5748" w:rsidP="00414C3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C38" w:rsidRPr="00AA2C50" w:rsidP="00414C3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A2C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C38" w:rsidRPr="00AA2C50" w:rsidP="00414C3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A2C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C38" w:rsidRPr="00AA2C50" w:rsidP="00414C3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A2C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C38" w:rsidRPr="00AA2C50" w:rsidP="00414C3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A2C5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14C38" w:rsidRPr="007D5748" w:rsidP="00414C3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052D2" w:rsidRPr="007D5748" w:rsidP="00414C3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2D2" w:rsidRPr="007D5748" w:rsidP="00414C3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52D2" w:rsidRPr="007D5748" w:rsidP="00414C3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210 000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052D2" w:rsidRPr="007D5748" w:rsidP="0083772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13 984 000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052D2" w:rsidRPr="007D5748" w:rsidP="0083772A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13 909 000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052D2" w:rsidRPr="007D5748" w:rsidP="00414C3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32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4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  <w:r w:rsidR="00414C38">
        <w:rPr>
          <w:rFonts w:ascii="Times New Roman" w:hAnsi="Times New Roman" w:cs="Times New Roman"/>
          <w:bCs/>
          <w:sz w:val="24"/>
          <w:szCs w:val="20"/>
          <w:lang w:eastAsia="sk-SK"/>
        </w:rPr>
        <w:t>Fond na podporu kultúry národnostných menšín</w:t>
      </w: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C66FB7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7D5748" w:rsidRPr="00C66FB7" w:rsidP="00C66FB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C66FB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414C3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C66FB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414C3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C66FB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414C3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C66FB7" w:rsidP="00C66FB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 w:rsidR="00414C3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C66FB7" w:rsidP="00C66FB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41D0" w:rsidRPr="007D5748" w:rsidP="0015276C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41D0" w:rsidRPr="00C66FB7" w:rsidP="0015276C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341D0" w:rsidRPr="00C66FB7" w:rsidP="0015276C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210 000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41D0" w:rsidRPr="00C66FB7" w:rsidP="00123E4F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123E4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8 040 000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41D0" w:rsidRPr="00C66FB7" w:rsidP="0015276C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8 040 000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341D0" w:rsidRPr="00C66FB7" w:rsidP="0015276C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="005D62E1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46 800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171 600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171 600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="005D62E1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16 760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61 430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61 430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 Tovary a služby (630)2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="005D62E1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146 440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126 970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126 970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 Bežné transfery (640)2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7 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68</w:t>
            </w:r>
            <w:r w:rsidRPr="00C66FB7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  <w:r w:rsidRPr="00C66FB7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7 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68</w:t>
            </w:r>
            <w:r w:rsidRPr="00C66FB7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  <w:r w:rsidRPr="00C66FB7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 Splácanie úrokov a ostatné platby súvisiace s  úverom, pôžičkou, návratnou finančnou výpomocou a finančným prenájmom (650)2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7D5748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 Obstarávanie kapitálových aktív (710)2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 Kapitálové transfery (720)2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7D5748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FC0C68" w:rsidRPr="007D5748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210 000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8 040 000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FC0C68" w:rsidRPr="00C66FB7" w:rsidP="00FC0C68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8 040 000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FC0C68" w:rsidRPr="00C66FB7" w:rsidP="00FC0C68">
            <w:pPr>
              <w:bidi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66F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P="0015276C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</w:p>
    <w:p w:rsidR="00C66FB7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414C38" w:rsidRPr="007D5748" w:rsidP="00414C3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  <w:r>
        <w:rPr>
          <w:rFonts w:ascii="Times New Roman" w:hAnsi="Times New Roman" w:cs="Times New Roman"/>
          <w:bCs/>
          <w:sz w:val="24"/>
          <w:szCs w:val="20"/>
          <w:lang w:eastAsia="sk-SK"/>
        </w:rPr>
        <w:t>Fond na podporu umenia</w:t>
      </w: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414C38" w:rsidRPr="007D5748" w:rsidP="00E81F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14C38" w:rsidRPr="007D5748" w:rsidP="00E81F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414C38" w:rsidRPr="007D5748" w:rsidP="00E81F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414C38" w:rsidRPr="007D5748" w:rsidP="00E81F9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14C38" w:rsidRPr="007D5748" w:rsidP="00E81F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14C38" w:rsidRPr="007D5748" w:rsidP="00E81F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14C38" w:rsidRPr="007D5748" w:rsidP="00E81F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414C38" w:rsidRPr="007D5748" w:rsidP="00E81F9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14C38" w:rsidRPr="007D5748" w:rsidP="00E81F9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4325" w:rsidRPr="007D5748" w:rsidP="0061432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4325" w:rsidRPr="007D5748" w:rsidP="006143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76196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4325" w:rsidRPr="007D5748" w:rsidP="006143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76196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4325" w:rsidRPr="007D5748" w:rsidP="00123E4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5A3C2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5 0</w:t>
            </w:r>
            <w:r w:rsidR="00123E4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12</w:t>
            </w:r>
            <w:r w:rsidR="005A3C2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123E4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  <w:r w:rsidR="005A3C2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14325" w:rsidRPr="007D5748" w:rsidP="00123E4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5A3C2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5 0</w:t>
            </w:r>
            <w:r w:rsidR="00123E4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12</w:t>
            </w:r>
            <w:r w:rsidR="005A3C2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123E4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  <w:r w:rsidR="005A3C2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614325" w:rsidRPr="007D5748" w:rsidP="0061432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78 000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78 000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D7EDC" w:rsidRPr="007D5748" w:rsidP="003D7ED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27 924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27 924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D7EDC" w:rsidRPr="007D5748" w:rsidP="003D7ED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123E4F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56 076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123E4F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56 076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D7EDC" w:rsidRPr="007D5748" w:rsidP="003D7ED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4 850 000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4 850 000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D7EDC" w:rsidRPr="007D5748" w:rsidP="003D7ED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D7EDC" w:rsidRPr="007D5748" w:rsidP="003D7ED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D7EDC" w:rsidRPr="007D5748" w:rsidP="003D7ED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5D62E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D7EDC" w:rsidRPr="007D5748" w:rsidP="003D7ED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D7EDC" w:rsidRPr="007D5748" w:rsidP="003D7ED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5D62E1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5D62E1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D7EDC" w:rsidRPr="007D5748" w:rsidP="003D7ED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3D7EDC" w:rsidRPr="007D5748" w:rsidP="003D7ED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D7EDC" w:rsidRPr="007D5748" w:rsidP="003D7ED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D7EDC" w:rsidRPr="007D5748" w:rsidP="005D62E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5 0</w:t>
            </w:r>
            <w:r w:rsidR="005D62E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3D7EDC" w:rsidRPr="007D5748" w:rsidP="005D62E1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5 0</w:t>
            </w:r>
            <w:r w:rsidR="005D62E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3D7EDC" w:rsidRPr="007D5748" w:rsidP="003D7EDC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414C38" w:rsidP="00414C3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55015D" w:rsidP="00414C3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55015D" w:rsidRPr="007D5748" w:rsidP="00414C3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414C38" w:rsidP="00414C3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  <w:r w:rsidR="0055015D">
        <w:rPr>
          <w:rFonts w:ascii="Times New Roman" w:hAnsi="Times New Roman" w:cs="Times New Roman"/>
          <w:bCs/>
          <w:sz w:val="24"/>
          <w:szCs w:val="20"/>
          <w:lang w:eastAsia="sk-SK"/>
        </w:rPr>
        <w:t>Audiovizuálny fond</w:t>
      </w: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55015D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5015D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932 000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83772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857 000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5015D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92739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15 60</w:t>
            </w: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92739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15 60</w:t>
            </w:r>
            <w:r w:rsidR="0083772A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5015D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92739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5 58</w:t>
            </w: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92739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5 58</w:t>
            </w:r>
            <w:r w:rsidR="0083772A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5015D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92739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13 570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92739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11 320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5015D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897 250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83772A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824 500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5015D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5015D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83772A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5015D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5015D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5015D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5015D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5015D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932 000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55015D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83772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857 000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55015D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55015D" w:rsidRPr="007D5748" w:rsidP="0055015D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8816DF" w:rsidP="00414C3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8816DF" w:rsidP="00414C3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  <w:r>
        <w:rPr>
          <w:rFonts w:ascii="Times New Roman" w:hAnsi="Times New Roman" w:cs="Times New Roman"/>
          <w:bCs/>
          <w:sz w:val="24"/>
          <w:szCs w:val="20"/>
          <w:lang w:eastAsia="sk-SK"/>
        </w:rPr>
        <w:t xml:space="preserve">Z hľadiska hospodárenia fondov predpokladáme rozpočtovo neutrálny vplyv v danom roku. </w:t>
      </w:r>
    </w:p>
    <w:p w:rsidR="008816DF" w:rsidP="00414C3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8816DF" w:rsidP="00414C3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8816DF" w:rsidRPr="007D5748" w:rsidP="00414C3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414C38" w:rsidRPr="007D5748" w:rsidP="00414C3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83772A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 w:rsidR="00414C38"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</w:t>
      </w:r>
      <w:r w:rsidR="0083772A">
        <w:rPr>
          <w:rFonts w:ascii="Times New Roman" w:hAnsi="Times New Roman" w:cs="Times New Roman"/>
          <w:bCs/>
          <w:sz w:val="24"/>
          <w:szCs w:val="20"/>
          <w:lang w:eastAsia="sk-SK"/>
        </w:rPr>
        <w:t>statná tabuľka za každý subjekt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:rsidR="0083772A" w:rsidRPr="007D5748" w:rsidP="0083772A">
      <w:pPr>
        <w:tabs>
          <w:tab w:val="num" w:pos="1080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Fond na podporu kultúry národnostných menšín </w:t>
      </w:r>
    </w:p>
    <w:p w:rsidR="007D5748" w:rsidRPr="007D5748" w:rsidP="0083772A">
      <w:pPr>
        <w:tabs>
          <w:tab w:val="num" w:pos="1080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W w:w="15419" w:type="dxa"/>
        <w:tblInd w:w="-784" w:type="dxa"/>
        <w:tblCellMar>
          <w:left w:w="70" w:type="dxa"/>
          <w:right w:w="70" w:type="dxa"/>
        </w:tblCellMar>
      </w:tblPr>
      <w:tblGrid>
        <w:gridCol w:w="6182"/>
        <w:gridCol w:w="1696"/>
        <w:gridCol w:w="1786"/>
        <w:gridCol w:w="720"/>
        <w:gridCol w:w="1696"/>
        <w:gridCol w:w="1721"/>
        <w:gridCol w:w="629"/>
        <w:gridCol w:w="989"/>
      </w:tblGrid>
      <w:tr>
        <w:tblPrEx>
          <w:tblW w:w="15419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22"/>
        </w:trPr>
        <w:tc>
          <w:tcPr>
            <w:tcW w:w="6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19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22"/>
        </w:trPr>
        <w:tc>
          <w:tcPr>
            <w:tcW w:w="6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8377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8377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8377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8377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19" w:type="dxa"/>
          <w:tblInd w:w="-784" w:type="dxa"/>
          <w:tblCellMar>
            <w:left w:w="70" w:type="dxa"/>
            <w:right w:w="70" w:type="dxa"/>
          </w:tblCellMar>
        </w:tblPrEx>
        <w:trPr>
          <w:trHeight w:val="222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8377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8377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8377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8377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19" w:type="dxa"/>
          <w:tblInd w:w="-784" w:type="dxa"/>
          <w:tblCellMar>
            <w:left w:w="70" w:type="dxa"/>
            <w:right w:w="70" w:type="dxa"/>
          </w:tblCellMar>
        </w:tblPrEx>
        <w:trPr>
          <w:trHeight w:val="222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8377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8377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8377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19" w:type="dxa"/>
          <w:tblInd w:w="-784" w:type="dxa"/>
          <w:tblCellMar>
            <w:left w:w="70" w:type="dxa"/>
            <w:right w:w="70" w:type="dxa"/>
          </w:tblCellMar>
        </w:tblPrEx>
        <w:trPr>
          <w:trHeight w:val="222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8377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1 300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8377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1 300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8377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1  300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19" w:type="dxa"/>
          <w:tblInd w:w="-784" w:type="dxa"/>
          <w:tblCellMar>
            <w:left w:w="70" w:type="dxa"/>
            <w:right w:w="70" w:type="dxa"/>
          </w:tblCellMar>
        </w:tblPrEx>
        <w:trPr>
          <w:trHeight w:val="222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83772A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1 300</w:t>
            </w: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83772A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1 300</w:t>
            </w: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83772A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1 300</w:t>
            </w: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19" w:type="dxa"/>
          <w:tblInd w:w="-784" w:type="dxa"/>
          <w:tblCellMar>
            <w:left w:w="70" w:type="dxa"/>
            <w:right w:w="70" w:type="dxa"/>
          </w:tblCellMar>
        </w:tblPrEx>
        <w:trPr>
          <w:trHeight w:val="222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8377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63 560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8377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233 030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19" w:type="dxa"/>
          <w:tblInd w:w="-784" w:type="dxa"/>
          <w:tblCellMar>
            <w:left w:w="70" w:type="dxa"/>
            <w:right w:w="70" w:type="dxa"/>
          </w:tblCellMar>
        </w:tblPrEx>
        <w:trPr>
          <w:trHeight w:val="222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772A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3772A" w:rsidRPr="00C66FB7" w:rsidP="0083772A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46 800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772A" w:rsidRPr="00C66FB7" w:rsidP="0083772A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171 600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772A" w:rsidRPr="00C66FB7" w:rsidP="0083772A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171 600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19" w:type="dxa"/>
          <w:tblInd w:w="-784" w:type="dxa"/>
          <w:tblCellMar>
            <w:left w:w="70" w:type="dxa"/>
            <w:right w:w="70" w:type="dxa"/>
          </w:tblCellMar>
        </w:tblPrEx>
        <w:trPr>
          <w:trHeight w:val="222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772A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3772A" w:rsidRPr="00C66FB7" w:rsidP="0083772A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46 800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772A" w:rsidRPr="00C66FB7" w:rsidP="0083772A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171 600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772A" w:rsidRPr="00C66FB7" w:rsidP="0083772A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171 600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19" w:type="dxa"/>
          <w:tblInd w:w="-784" w:type="dxa"/>
          <w:tblCellMar>
            <w:left w:w="70" w:type="dxa"/>
            <w:right w:w="70" w:type="dxa"/>
          </w:tblCellMar>
        </w:tblPrEx>
        <w:trPr>
          <w:trHeight w:val="222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772A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3772A" w:rsidRPr="00C66FB7" w:rsidP="0083772A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16 760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772A" w:rsidRPr="00C66FB7" w:rsidP="0083772A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61 430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772A" w:rsidRPr="00C66FB7" w:rsidP="0083772A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61 430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19" w:type="dxa"/>
          <w:tblInd w:w="-784" w:type="dxa"/>
          <w:tblCellMar>
            <w:left w:w="70" w:type="dxa"/>
            <w:right w:w="70" w:type="dxa"/>
          </w:tblCellMar>
        </w:tblPrEx>
        <w:trPr>
          <w:trHeight w:val="222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772A" w:rsidRPr="007D5748" w:rsidP="0083772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3772A" w:rsidRPr="00C66FB7" w:rsidP="0083772A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16 760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772A" w:rsidRPr="00C66FB7" w:rsidP="0083772A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61 430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3772A" w:rsidRPr="00C66FB7" w:rsidP="0083772A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61 430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19" w:type="dxa"/>
          <w:tblInd w:w="-784" w:type="dxa"/>
          <w:tblCellMar>
            <w:left w:w="70" w:type="dxa"/>
            <w:right w:w="70" w:type="dxa"/>
          </w:tblCellMar>
        </w:tblPrEx>
        <w:trPr>
          <w:trHeight w:val="222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3772A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19" w:type="dxa"/>
          <w:tblInd w:w="-784" w:type="dxa"/>
          <w:tblCellMar>
            <w:left w:w="70" w:type="dxa"/>
            <w:right w:w="70" w:type="dxa"/>
          </w:tblCellMar>
        </w:tblPrEx>
        <w:trPr>
          <w:trHeight w:val="222"/>
        </w:trPr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19" w:type="dxa"/>
          <w:tblInd w:w="-784" w:type="dxa"/>
          <w:tblCellMar>
            <w:left w:w="70" w:type="dxa"/>
            <w:right w:w="70" w:type="dxa"/>
          </w:tblCellMar>
        </w:tblPrEx>
        <w:trPr>
          <w:trHeight w:val="222"/>
        </w:trPr>
        <w:tc>
          <w:tcPr>
            <w:tcW w:w="1380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19" w:type="dxa"/>
          <w:tblInd w:w="-784" w:type="dxa"/>
          <w:tblCellMar>
            <w:left w:w="70" w:type="dxa"/>
            <w:right w:w="70" w:type="dxa"/>
          </w:tblCellMar>
        </w:tblPrEx>
        <w:trPr>
          <w:trHeight w:val="222"/>
        </w:trPr>
        <w:tc>
          <w:tcPr>
            <w:tcW w:w="103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83772A" w:rsidRPr="007D5748" w:rsidP="0083772A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  <w:sectPr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15526" w:type="dxa"/>
        <w:tblInd w:w="-784" w:type="dxa"/>
        <w:tblCellMar>
          <w:left w:w="70" w:type="dxa"/>
          <w:right w:w="70" w:type="dxa"/>
        </w:tblCellMar>
      </w:tblPr>
      <w:tblGrid>
        <w:gridCol w:w="6224"/>
        <w:gridCol w:w="1708"/>
        <w:gridCol w:w="1798"/>
        <w:gridCol w:w="724"/>
        <w:gridCol w:w="1709"/>
        <w:gridCol w:w="1732"/>
        <w:gridCol w:w="634"/>
        <w:gridCol w:w="997"/>
      </w:tblGrid>
      <w:tr>
        <w:tblPrEx>
          <w:tblW w:w="15526" w:type="dxa"/>
          <w:tblInd w:w="-784" w:type="dxa"/>
          <w:tblCellMar>
            <w:left w:w="70" w:type="dxa"/>
            <w:right w:w="70" w:type="dxa"/>
          </w:tblCellMar>
        </w:tblPrEx>
        <w:trPr>
          <w:trHeight w:val="139"/>
        </w:trPr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52BB5" w:rsidRPr="007D5748" w:rsidP="00E52BB5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526" w:type="dxa"/>
          <w:tblInd w:w="-784" w:type="dxa"/>
          <w:tblCellMar>
            <w:left w:w="70" w:type="dxa"/>
            <w:right w:w="70" w:type="dxa"/>
          </w:tblCellMar>
        </w:tblPrEx>
        <w:trPr>
          <w:trHeight w:val="139"/>
        </w:trPr>
        <w:tc>
          <w:tcPr>
            <w:tcW w:w="1389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526" w:type="dxa"/>
          <w:tblInd w:w="-784" w:type="dxa"/>
          <w:tblCellMar>
            <w:left w:w="70" w:type="dxa"/>
            <w:right w:w="70" w:type="dxa"/>
          </w:tblCellMar>
        </w:tblPrEx>
        <w:trPr>
          <w:trHeight w:val="139"/>
        </w:trPr>
        <w:tc>
          <w:tcPr>
            <w:tcW w:w="104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E52BB5" w:rsidRPr="007D5748" w:rsidP="00E52BB5">
      <w:pPr>
        <w:tabs>
          <w:tab w:val="num" w:pos="1080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Fond na podporu umenia </w:t>
      </w:r>
    </w:p>
    <w:p w:rsidR="00E52BB5" w:rsidRPr="007D5748" w:rsidP="00E52BB5">
      <w:pPr>
        <w:tabs>
          <w:tab w:val="num" w:pos="1080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E52BB5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E52BB5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E52BB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52BB5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7023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52BB5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1 300 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1  300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52BB5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1 300</w:t>
            </w: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1 300</w:t>
            </w: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52BB5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105 924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E52BB5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105 924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E52BB5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E52BB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52BB5" w:rsidRPr="00C66FB7" w:rsidP="00E52BB5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E52BB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78 000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E52BB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78 000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E52BB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52BB5" w:rsidRPr="00C66FB7" w:rsidP="00E52BB5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E52BB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78 000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E52BB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78 000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E52BB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52BB5" w:rsidRPr="00C66FB7" w:rsidP="00E52BB5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E52BB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27 924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E52BB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27 924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E52BB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52BB5" w:rsidRPr="00C66FB7" w:rsidP="00E52BB5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E52BB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27 924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52BB5" w:rsidRPr="007D5748" w:rsidP="00E52BB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27 924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E52BB5" w:rsidRPr="007D5748" w:rsidP="00E52BB5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E52BB5" w:rsidRPr="007D5748" w:rsidP="00E52BB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E52BB5" w:rsidRPr="007D5748" w:rsidP="00E52BB5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  <w:sectPr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702359" w:rsidRPr="007D5748" w:rsidP="00702359">
      <w:pPr>
        <w:tabs>
          <w:tab w:val="num" w:pos="1080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Audiovizuálny fond </w:t>
      </w:r>
    </w:p>
    <w:p w:rsidR="00702359" w:rsidRPr="007D5748" w:rsidP="00702359">
      <w:pPr>
        <w:tabs>
          <w:tab w:val="num" w:pos="1080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1 300 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1  300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1 300</w:t>
            </w: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1 300</w:t>
            </w: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21 180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21 180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02359" w:rsidRPr="00C66FB7" w:rsidP="00AA2C50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15 600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15 600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02359" w:rsidRPr="00C66FB7" w:rsidP="00AA2C50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15 600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15 600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02359" w:rsidRPr="00C66FB7" w:rsidP="00AA2C50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5 580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5 580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02359" w:rsidRPr="00C66FB7" w:rsidP="00AA2C50">
            <w:pPr>
              <w:bidi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70235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5 580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5 580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2359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02359" w:rsidRPr="007D5748" w:rsidP="00AA2C50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02359" w:rsidRPr="007D5748" w:rsidP="00AA2C50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CB3623" w:rsidP="0039434C">
      <w:pPr>
        <w:bidi w:val="0"/>
        <w:spacing w:after="0" w:line="240" w:lineRule="auto"/>
        <w:jc w:val="center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C5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AA2C5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C50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A7AA4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AA2C50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C50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AA2C50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C50" w:rsidP="005D7598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AA2C50" w:rsidRPr="00EB59C8" w:rsidP="005D7598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C50" w:rsidRPr="000A15AE" w:rsidP="005D7598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FA4B07"/>
    <w:multiLevelType w:val="hybridMultilevel"/>
    <w:tmpl w:val="EFA2B9F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FC2C35"/>
    <w:multiLevelType w:val="hybridMultilevel"/>
    <w:tmpl w:val="6A362D7A"/>
    <w:lvl w:ilvl="0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E6049B8"/>
    <w:multiLevelType w:val="hybridMultilevel"/>
    <w:tmpl w:val="1F48646A"/>
    <w:lvl w:ilvl="0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1A5DA9"/>
    <w:multiLevelType w:val="hybridMultilevel"/>
    <w:tmpl w:val="503A3B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9FA5083"/>
    <w:multiLevelType w:val="hybridMultilevel"/>
    <w:tmpl w:val="90C0929A"/>
    <w:lvl w:ilvl="0">
      <w:start w:val="26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TrackMoves/>
  <w:defaultTabStop w:val="708"/>
  <w:hyphenationZone w:val="425"/>
  <w:characterSpacingControl w:val="doNotCompress"/>
  <w:compat/>
  <w:rsids>
    <w:rsidRoot w:val="005005EC"/>
    <w:rsid w:val="000245EA"/>
    <w:rsid w:val="00035EB6"/>
    <w:rsid w:val="00057135"/>
    <w:rsid w:val="0005793E"/>
    <w:rsid w:val="0006096B"/>
    <w:rsid w:val="000647A2"/>
    <w:rsid w:val="000910A9"/>
    <w:rsid w:val="000A15AE"/>
    <w:rsid w:val="000B402C"/>
    <w:rsid w:val="001127A8"/>
    <w:rsid w:val="00123E4F"/>
    <w:rsid w:val="0015276C"/>
    <w:rsid w:val="001646B0"/>
    <w:rsid w:val="00170D2B"/>
    <w:rsid w:val="001D6306"/>
    <w:rsid w:val="001E42DD"/>
    <w:rsid w:val="001E5862"/>
    <w:rsid w:val="00200898"/>
    <w:rsid w:val="00212894"/>
    <w:rsid w:val="002454B3"/>
    <w:rsid w:val="002A7AA4"/>
    <w:rsid w:val="00317B90"/>
    <w:rsid w:val="00333888"/>
    <w:rsid w:val="00337381"/>
    <w:rsid w:val="00350452"/>
    <w:rsid w:val="0039434C"/>
    <w:rsid w:val="003C0F93"/>
    <w:rsid w:val="003D614B"/>
    <w:rsid w:val="003D7EDC"/>
    <w:rsid w:val="003E1959"/>
    <w:rsid w:val="003F0CCE"/>
    <w:rsid w:val="00401B1A"/>
    <w:rsid w:val="00414C38"/>
    <w:rsid w:val="00421BE6"/>
    <w:rsid w:val="004341D0"/>
    <w:rsid w:val="00441866"/>
    <w:rsid w:val="00487203"/>
    <w:rsid w:val="00495597"/>
    <w:rsid w:val="004967D6"/>
    <w:rsid w:val="004B5586"/>
    <w:rsid w:val="004D03A3"/>
    <w:rsid w:val="004F14FD"/>
    <w:rsid w:val="005005EC"/>
    <w:rsid w:val="0055015D"/>
    <w:rsid w:val="005649BC"/>
    <w:rsid w:val="00572797"/>
    <w:rsid w:val="005A3C2B"/>
    <w:rsid w:val="005A63BE"/>
    <w:rsid w:val="005B3327"/>
    <w:rsid w:val="005D62E1"/>
    <w:rsid w:val="005D7598"/>
    <w:rsid w:val="005E0A0D"/>
    <w:rsid w:val="00614325"/>
    <w:rsid w:val="00644369"/>
    <w:rsid w:val="0064491A"/>
    <w:rsid w:val="0065352A"/>
    <w:rsid w:val="006B0411"/>
    <w:rsid w:val="006F0F77"/>
    <w:rsid w:val="006F16FA"/>
    <w:rsid w:val="00702359"/>
    <w:rsid w:val="007052D2"/>
    <w:rsid w:val="007246BD"/>
    <w:rsid w:val="0074343D"/>
    <w:rsid w:val="0076196A"/>
    <w:rsid w:val="00790852"/>
    <w:rsid w:val="007D5748"/>
    <w:rsid w:val="00805225"/>
    <w:rsid w:val="00811B5E"/>
    <w:rsid w:val="0083772A"/>
    <w:rsid w:val="00856C9B"/>
    <w:rsid w:val="008816DF"/>
    <w:rsid w:val="008D339D"/>
    <w:rsid w:val="008E2736"/>
    <w:rsid w:val="00914DE7"/>
    <w:rsid w:val="00916841"/>
    <w:rsid w:val="00927396"/>
    <w:rsid w:val="00931209"/>
    <w:rsid w:val="009706B7"/>
    <w:rsid w:val="00975BA0"/>
    <w:rsid w:val="00997434"/>
    <w:rsid w:val="00A206F0"/>
    <w:rsid w:val="00A461E2"/>
    <w:rsid w:val="00A94A03"/>
    <w:rsid w:val="00AA2B21"/>
    <w:rsid w:val="00AA2C50"/>
    <w:rsid w:val="00AC4E13"/>
    <w:rsid w:val="00AE0035"/>
    <w:rsid w:val="00B22CD1"/>
    <w:rsid w:val="00B305A2"/>
    <w:rsid w:val="00B53538"/>
    <w:rsid w:val="00B5535C"/>
    <w:rsid w:val="00B67DB3"/>
    <w:rsid w:val="00B722F5"/>
    <w:rsid w:val="00B73F2B"/>
    <w:rsid w:val="00B817C2"/>
    <w:rsid w:val="00BC72FD"/>
    <w:rsid w:val="00C15212"/>
    <w:rsid w:val="00C31D67"/>
    <w:rsid w:val="00C51FD4"/>
    <w:rsid w:val="00C66FB7"/>
    <w:rsid w:val="00CA1C5A"/>
    <w:rsid w:val="00CA3FD7"/>
    <w:rsid w:val="00CB3623"/>
    <w:rsid w:val="00CC1BDB"/>
    <w:rsid w:val="00CE299A"/>
    <w:rsid w:val="00CF0EAF"/>
    <w:rsid w:val="00D235B2"/>
    <w:rsid w:val="00D23A1D"/>
    <w:rsid w:val="00D66952"/>
    <w:rsid w:val="00D85741"/>
    <w:rsid w:val="00DC58F0"/>
    <w:rsid w:val="00DE5BF1"/>
    <w:rsid w:val="00DF1BD1"/>
    <w:rsid w:val="00E07CE9"/>
    <w:rsid w:val="00E15105"/>
    <w:rsid w:val="00E37CF3"/>
    <w:rsid w:val="00E527CA"/>
    <w:rsid w:val="00E52BB5"/>
    <w:rsid w:val="00E70E4C"/>
    <w:rsid w:val="00E72C64"/>
    <w:rsid w:val="00E81F92"/>
    <w:rsid w:val="00E963A3"/>
    <w:rsid w:val="00EA1E90"/>
    <w:rsid w:val="00EB59C8"/>
    <w:rsid w:val="00EC7B65"/>
    <w:rsid w:val="00EE0DAF"/>
    <w:rsid w:val="00EF4081"/>
    <w:rsid w:val="00F20EBB"/>
    <w:rsid w:val="00F40136"/>
    <w:rsid w:val="00F43AD4"/>
    <w:rsid w:val="00F5719B"/>
    <w:rsid w:val="00F668E2"/>
    <w:rsid w:val="00FC00D6"/>
    <w:rsid w:val="00FC0C6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  <w:style w:type="paragraph" w:styleId="Revision">
    <w:name w:val="Revision"/>
    <w:hidden/>
    <w:uiPriority w:val="99"/>
    <w:semiHidden/>
    <w:rsid w:val="005D759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0B402C"/>
    <w:pPr>
      <w:ind w:left="720"/>
      <w:contextualSpacing/>
      <w:jc w:val="left"/>
    </w:pPr>
  </w:style>
  <w:style w:type="paragraph" w:customStyle="1" w:styleId="CharCharCharCharCharChar">
    <w:name w:val="Char Char Char Char Char Char"/>
    <w:basedOn w:val="Normal"/>
    <w:rsid w:val="00B817C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12</Pages>
  <Words>2369</Words>
  <Characters>13508</Characters>
  <Application>Microsoft Office Word</Application>
  <DocSecurity>0</DocSecurity>
  <Lines>0</Lines>
  <Paragraphs>0</Paragraphs>
  <ScaleCrop>false</ScaleCrop>
  <Company>MH SR</Company>
  <LinksUpToDate>false</LinksUpToDate>
  <CharactersWithSpaces>15846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Gašparíková, Jarmila</cp:lastModifiedBy>
  <cp:revision>2</cp:revision>
  <cp:lastPrinted>2017-02-23T12:04:00Z</cp:lastPrinted>
  <dcterms:created xsi:type="dcterms:W3CDTF">2017-03-03T13:55:00Z</dcterms:created>
  <dcterms:modified xsi:type="dcterms:W3CDTF">2017-03-03T13:55:00Z</dcterms:modified>
</cp:coreProperties>
</file>