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>poslan</w:t>
      </w:r>
      <w:r w:rsidR="00E77616">
        <w:rPr>
          <w:rFonts w:ascii="Times New Roman" w:hAnsi="Times New Roman"/>
          <w:sz w:val="24"/>
          <w:szCs w:val="24"/>
          <w:lang w:val="sk-SK"/>
        </w:rPr>
        <w:t>ec NR SR Martin Klus</w:t>
      </w:r>
      <w:r w:rsidRPr="00B2032E">
        <w:rPr>
          <w:rFonts w:ascii="Times New Roman" w:hAnsi="Times New Roman"/>
          <w:sz w:val="24"/>
          <w:szCs w:val="24"/>
          <w:lang w:val="sk-SK"/>
        </w:rPr>
        <w:t>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E77616" w:rsidP="00855C29">
      <w:pPr>
        <w:pStyle w:val="titulok"/>
        <w:bidi w:val="0"/>
        <w:jc w:val="left"/>
        <w:rPr>
          <w:rFonts w:ascii="Times New Roman" w:hAnsi="Times New Roman" w:cs="Times New Roman"/>
          <w:b w:val="0"/>
          <w:color w:val="auto"/>
        </w:rPr>
      </w:pPr>
      <w:r w:rsidRPr="00855C29" w:rsidR="00961DDB">
        <w:rPr>
          <w:rFonts w:ascii="Times New Roman" w:hAnsi="Times New Roman"/>
          <w:bCs w:val="0"/>
          <w:color w:val="auto"/>
        </w:rPr>
        <w:t>2.</w:t>
      </w:r>
      <w:r w:rsidRPr="00855C29" w:rsidR="00DC5240">
        <w:rPr>
          <w:rFonts w:ascii="Times New Roman" w:hAnsi="Times New Roman"/>
          <w:bCs w:val="0"/>
          <w:color w:val="auto"/>
        </w:rPr>
        <w:t xml:space="preserve">   </w:t>
      </w:r>
      <w:r w:rsidRPr="00855C29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855C29" w:rsidR="00961DDB">
        <w:rPr>
          <w:rFonts w:ascii="Times New Roman" w:hAnsi="Times New Roman"/>
        </w:rPr>
        <w:t xml:space="preserve"> </w:t>
      </w:r>
      <w:r w:rsidRPr="00E77616">
        <w:rPr>
          <w:rFonts w:ascii="Times New Roman" w:hAnsi="Times New Roman" w:cs="Times New Roman"/>
          <w:b w:val="0"/>
          <w:bCs w:val="0"/>
          <w:color w:val="auto"/>
          <w:lang w:eastAsia="en-US"/>
        </w:rPr>
        <w:t>Návrh zákona, ktorým sa mení a dopĺňa zákon Slovenskej národnej rady č. 369/1990 Zb. o obecnom zriadení v znení neskorších predpisov</w:t>
      </w:r>
      <w:r>
        <w:rPr>
          <w:rFonts w:ascii="Times New Roman" w:hAnsi="Times New Roman"/>
        </w:rPr>
        <w:t xml:space="preserve"> </w:t>
      </w:r>
    </w:p>
    <w:p w:rsidR="00E77616" w:rsidRPr="00855C29" w:rsidP="00855C29">
      <w:pPr>
        <w:pStyle w:val="titulok"/>
        <w:bidi w:val="0"/>
        <w:jc w:val="left"/>
        <w:rPr>
          <w:rFonts w:ascii="Times New Roman" w:hAnsi="Times New Roman" w:cs="Times New Roman"/>
          <w:b w:val="0"/>
          <w:color w:val="auto"/>
        </w:rPr>
      </w:pPr>
    </w:p>
    <w:p w:rsidR="00961DDB" w:rsidRPr="00B2032E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B2032E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855C29" w:rsidP="00855C29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E77616" w:rsidR="00E77616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Návrh zákona, ktorým sa mení a dopĺňa zákon Slovenskej národnej rady č. 369/1990 Zb. o obecnom zriadení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77616">
              <w:rPr>
                <w:rFonts w:ascii="Times" w:hAnsi="Times" w:cs="Times"/>
                <w:sz w:val="20"/>
                <w:szCs w:val="20"/>
                <w:lang w:val="sk-SK"/>
              </w:rPr>
              <w:t xml:space="preserve">Poslanec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Národnej rady Slovenskej republiky</w:t>
            </w:r>
            <w:r w:rsidR="00E77616">
              <w:rPr>
                <w:rFonts w:ascii="Times" w:hAnsi="Times" w:cs="Times"/>
                <w:sz w:val="20"/>
                <w:szCs w:val="20"/>
                <w:lang w:val="sk-SK"/>
              </w:rPr>
              <w:t xml:space="preserve"> Martin Klus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3E2C59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117496">
              <w:rPr>
                <w:rFonts w:ascii="Times" w:hAnsi="Times" w:cs="Times"/>
                <w:sz w:val="20"/>
                <w:szCs w:val="20"/>
                <w:lang w:val="sk-SK"/>
              </w:rPr>
              <w:t>V súčastnosti obce a mestá uplatňujú rozdielny prístup k odmeňovaniu členov komisií, ktorý v mnohých prípadoch nerešpektuje zásadu rovnosti medzi členmi komisií. Často sa stáva, že členovia, ktorí sú poslancami, majú priznaný nárok na odmenu a členovia - neposlanci ho priznaný nemajú.</w:t>
            </w:r>
            <w:r w:rsidRPr="00363EF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3EF5" w:rsidP="00524A0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EF5" w:rsidR="00363EF5">
              <w:rPr>
                <w:rFonts w:ascii="Times New Roman" w:hAnsi="Times New Roman"/>
                <w:sz w:val="20"/>
                <w:szCs w:val="20"/>
              </w:rPr>
              <w:t>Cieľom</w:t>
            </w:r>
            <w:r w:rsidR="006847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616">
              <w:rPr>
                <w:rFonts w:ascii="Times New Roman" w:hAnsi="Times New Roman"/>
                <w:sz w:val="20"/>
                <w:szCs w:val="20"/>
              </w:rPr>
              <w:t xml:space="preserve">predloženého návrhu </w:t>
            </w:r>
            <w:r w:rsidR="00FE5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2C59">
              <w:rPr>
                <w:rFonts w:ascii="Times New Roman" w:hAnsi="Times New Roman"/>
                <w:sz w:val="20"/>
                <w:szCs w:val="20"/>
              </w:rPr>
              <w:t>je</w:t>
            </w:r>
            <w:r w:rsidR="00524A0D">
              <w:rPr>
                <w:rFonts w:ascii="Times New Roman" w:hAnsi="Times New Roman"/>
                <w:sz w:val="20"/>
                <w:szCs w:val="20"/>
              </w:rPr>
              <w:t xml:space="preserve"> zaviesť záväzné pravidlá </w:t>
            </w:r>
            <w:r w:rsidR="003E2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7496">
              <w:rPr>
                <w:rFonts w:ascii="Times New Roman" w:hAnsi="Times New Roman"/>
                <w:sz w:val="20"/>
                <w:szCs w:val="20"/>
              </w:rPr>
              <w:t>pre odmeňovanie členov komisií na princípe zachovania rovnakých podmienok pre členov  komisií, ktorí sú poslancami obecného zastupiteľstva ako aj členmi komisií , ktorí poslancami obecného zastupiteľstva nie sú.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117496">
              <w:rPr>
                <w:rFonts w:ascii="Times" w:hAnsi="Times" w:cs="Times"/>
                <w:sz w:val="20"/>
                <w:szCs w:val="20"/>
                <w:lang w:val="sk-SK"/>
              </w:rPr>
              <w:t>Členovia komisií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B603B" w:rsidP="00DB603B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DB603B" w:rsidR="00117496">
              <w:rPr>
                <w:rFonts w:ascii="Times" w:hAnsi="Times" w:cs="Times"/>
                <w:bCs/>
                <w:sz w:val="20"/>
                <w:szCs w:val="20"/>
              </w:rPr>
              <w:t>Návrh</w:t>
            </w:r>
            <w:r w:rsidRPr="00DB603B" w:rsidR="00DB603B">
              <w:rPr>
                <w:rFonts w:ascii="Times" w:hAnsi="Times" w:cs="Times"/>
                <w:bCs/>
                <w:sz w:val="20"/>
                <w:szCs w:val="20"/>
              </w:rPr>
              <w:t>om</w:t>
            </w:r>
            <w:r w:rsidRPr="00DB603B" w:rsidR="00117496">
              <w:rPr>
                <w:rFonts w:ascii="Times" w:hAnsi="Times" w:cs="Times"/>
                <w:bCs/>
                <w:sz w:val="20"/>
                <w:szCs w:val="20"/>
              </w:rPr>
              <w:t xml:space="preserve"> zákona, ktorým sa mení a dopĺňa zákon Slovenskej národnej rady č. 369/1990 Zb. o obecnom zriadení v znení neskorších predpisov</w:t>
            </w:r>
            <w:r w:rsidRPr="00DB603B" w:rsidR="001174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603B" w:rsidR="00AC6C00">
              <w:rPr>
                <w:rFonts w:ascii="Times New Roman" w:hAnsi="Times New Roman"/>
                <w:sz w:val="20"/>
                <w:szCs w:val="20"/>
              </w:rPr>
              <w:t>sa zamedzuje</w:t>
            </w:r>
            <w:r w:rsidRPr="00DB603B" w:rsidR="00DB60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603B" w:rsidR="00DB603B">
              <w:rPr>
                <w:rFonts w:ascii="Times" w:hAnsi="Times" w:cs="Times"/>
                <w:sz w:val="20"/>
                <w:szCs w:val="20"/>
                <w:lang w:val="sk-SK"/>
              </w:rPr>
              <w:t xml:space="preserve">aby dochádzalo k odmeňovaniu iba u členov komisií, ktorí sú poslancami. Zavádzajú sa pravidlá odmeňovania </w:t>
            </w:r>
            <w:r w:rsidR="00DB603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DB603B" w:rsidR="00DB603B">
              <w:rPr>
                <w:rFonts w:ascii="Times" w:hAnsi="Times" w:cs="Times"/>
                <w:sz w:val="20"/>
                <w:szCs w:val="20"/>
                <w:lang w:val="sk-SK"/>
              </w:rPr>
              <w:t>aby sa dodržiavala zásada rovnosti medzi všetkými členmi komisií.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5" w:history="1">
              <w:r w:rsidRPr="00DB603B" w:rsidR="00DB603B">
                <w:rPr>
                  <w:rFonts w:ascii="Times" w:hAnsi="Times" w:cs="Times"/>
                  <w:sz w:val="20"/>
                  <w:szCs w:val="20"/>
                </w:rPr>
                <w:t>martin_klus@nrsr.sk</w:t>
              </w:r>
            </w:hyperlink>
            <w:r w:rsidR="00DB603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EFF1F3"/>
              </w:rPr>
              <w:t> 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17496"/>
    <w:rsid w:val="00126482"/>
    <w:rsid w:val="00142425"/>
    <w:rsid w:val="00197276"/>
    <w:rsid w:val="001A3DDF"/>
    <w:rsid w:val="002270FC"/>
    <w:rsid w:val="002C07B8"/>
    <w:rsid w:val="003111CA"/>
    <w:rsid w:val="00354077"/>
    <w:rsid w:val="00363EF5"/>
    <w:rsid w:val="003A295D"/>
    <w:rsid w:val="003D3CD5"/>
    <w:rsid w:val="003E2C59"/>
    <w:rsid w:val="0047737C"/>
    <w:rsid w:val="004C3411"/>
    <w:rsid w:val="005068C9"/>
    <w:rsid w:val="00524A0D"/>
    <w:rsid w:val="00551D2C"/>
    <w:rsid w:val="00584FFE"/>
    <w:rsid w:val="005B7011"/>
    <w:rsid w:val="00613621"/>
    <w:rsid w:val="006258CB"/>
    <w:rsid w:val="00684710"/>
    <w:rsid w:val="00692A58"/>
    <w:rsid w:val="006B2D7A"/>
    <w:rsid w:val="00746DDA"/>
    <w:rsid w:val="00747E1F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3769"/>
    <w:rsid w:val="00C60A22"/>
    <w:rsid w:val="00D314FF"/>
    <w:rsid w:val="00D40690"/>
    <w:rsid w:val="00D45D67"/>
    <w:rsid w:val="00DB603B"/>
    <w:rsid w:val="00DB75EA"/>
    <w:rsid w:val="00DC5240"/>
    <w:rsid w:val="00E5752D"/>
    <w:rsid w:val="00E77616"/>
    <w:rsid w:val="00E85509"/>
    <w:rsid w:val="00EB31F3"/>
    <w:rsid w:val="00EB4ABD"/>
    <w:rsid w:val="00ED76AB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artin_klus@nrsr.sk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ACF7-00B5-4236-A405-D937F4F0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548</Words>
  <Characters>3130</Characters>
  <Application>Microsoft Office Word</Application>
  <DocSecurity>0</DocSecurity>
  <Lines>0</Lines>
  <Paragraphs>0</Paragraphs>
  <ScaleCrop>false</ScaleCrop>
  <Company>Kancelaria NR SR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2</cp:revision>
  <cp:lastPrinted>2012-04-17T14:14:00Z</cp:lastPrinted>
  <dcterms:created xsi:type="dcterms:W3CDTF">2017-03-03T11:46:00Z</dcterms:created>
  <dcterms:modified xsi:type="dcterms:W3CDTF">2017-03-03T11:46:00Z</dcterms:modified>
</cp:coreProperties>
</file>