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996B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996B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996B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6B183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1168E" w:rsidRPr="0040544D" w:rsidP="00996B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Zvýšenie dostupnosti </w:t>
            </w:r>
            <w:r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>k potrebným údajom a listinám p</w:t>
            </w:r>
            <w:r w:rsidRPr="00847AE2"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>repojen</w:t>
            </w:r>
            <w:r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>ím</w:t>
            </w:r>
            <w:r w:rsidRPr="00847AE2"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systému obchodného registra s inými obchodnými registrami alebo evidenciami, ako aj vzájomn</w:t>
            </w:r>
            <w:r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>á</w:t>
            </w:r>
            <w:r w:rsidRPr="00847AE2"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výmen</w:t>
            </w:r>
            <w:r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>a</w:t>
            </w:r>
            <w:r w:rsidRPr="00847AE2"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zapisovaných údajov alebo poskytovanie uložených listín cez jednotný systém prepojenia takýchto registrov, ktorý b</w:t>
            </w:r>
            <w:r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>ude</w:t>
            </w:r>
            <w:r w:rsidRPr="00847AE2"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prístupný vo všetkých jazykoch Európskej únie</w:t>
            </w:r>
            <w:r w:rsidR="00C15E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(popis služieb a vyhľadávacie kritéria)</w:t>
            </w:r>
            <w:r w:rsidR="00847AE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by malo zjednodušiť prístup k potrebným podkladom (údajom a listinám), ktoré môžu mať informačnú hodnotu ako pre fyzické osoby tak aj pre právnické osoby. Prínosom bude aj úspora času potrebného na zisťovanie relevantných informácií.  Taktiež informácie o výmaze alebo likvidácii spoločností môže mať zásadný aj prevenčný význam pre fyzické osoby a právnické osoby.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DB624D">
              <w:rPr>
                <w:rFonts w:ascii="Times New Roman" w:hAnsi="Times New Roman"/>
                <w:sz w:val="20"/>
                <w:lang w:eastAsia="sk-SK"/>
              </w:rPr>
              <w:t xml:space="preserve">Nemá. </w:t>
            </w:r>
            <w:r w:rsidRPr="00DB624D" w:rsidR="00DB624D">
              <w:rPr>
                <w:rFonts w:ascii="Times New Roman" w:hAnsi="Times New Roman"/>
                <w:sz w:val="20"/>
                <w:lang w:eastAsia="sk-SK"/>
              </w:rPr>
              <w:t>Prepojen</w:t>
            </w:r>
            <w:r w:rsidR="00DB624D">
              <w:rPr>
                <w:rFonts w:ascii="Times New Roman" w:hAnsi="Times New Roman"/>
                <w:sz w:val="20"/>
                <w:lang w:eastAsia="sk-SK"/>
              </w:rPr>
              <w:t xml:space="preserve">ie </w:t>
            </w:r>
            <w:r w:rsidRPr="00DB624D" w:rsidR="00DB624D">
              <w:rPr>
                <w:rFonts w:ascii="Times New Roman" w:hAnsi="Times New Roman"/>
                <w:sz w:val="20"/>
                <w:lang w:eastAsia="sk-SK"/>
              </w:rPr>
              <w:t>systému registr</w:t>
            </w:r>
            <w:r w:rsidR="00DB624D">
              <w:rPr>
                <w:rFonts w:ascii="Times New Roman" w:hAnsi="Times New Roman"/>
                <w:sz w:val="20"/>
                <w:lang w:eastAsia="sk-SK"/>
              </w:rPr>
              <w:t>ov má plošný charakter.</w:t>
            </w: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31168E">
              <w:rPr>
                <w:rFonts w:ascii="Times New Roman" w:hAnsi="Times New Roman"/>
                <w:sz w:val="20"/>
                <w:lang w:eastAsia="sk-SK"/>
              </w:rPr>
              <w:t xml:space="preserve">Návrh dôsledne rešpektuje rovnosť príležitostí. </w:t>
            </w:r>
            <w:r w:rsidRPr="00DB624D" w:rsidR="00DB624D">
              <w:rPr>
                <w:rFonts w:ascii="Times New Roman" w:hAnsi="Times New Roman"/>
                <w:sz w:val="20"/>
                <w:lang w:eastAsia="sk-SK"/>
              </w:rPr>
              <w:t>Prepojen</w:t>
            </w:r>
            <w:r w:rsidR="00DB624D">
              <w:rPr>
                <w:rFonts w:ascii="Times New Roman" w:hAnsi="Times New Roman"/>
                <w:sz w:val="20"/>
                <w:lang w:eastAsia="sk-SK"/>
              </w:rPr>
              <w:t xml:space="preserve">ie </w:t>
            </w:r>
            <w:r w:rsidRPr="00DB624D" w:rsidR="00DB624D">
              <w:rPr>
                <w:rFonts w:ascii="Times New Roman" w:hAnsi="Times New Roman"/>
                <w:sz w:val="20"/>
                <w:lang w:eastAsia="sk-SK"/>
              </w:rPr>
              <w:t>systému registr</w:t>
            </w:r>
            <w:r w:rsidR="00DB624D">
              <w:rPr>
                <w:rFonts w:ascii="Times New Roman" w:hAnsi="Times New Roman"/>
                <w:sz w:val="20"/>
                <w:lang w:eastAsia="sk-SK"/>
              </w:rPr>
              <w:t>ov má plošný charakter.</w:t>
            </w:r>
            <w:r w:rsidR="0031168E">
              <w:rPr>
                <w:rFonts w:ascii="Times New Roman" w:hAnsi="Times New Roman"/>
                <w:sz w:val="20"/>
                <w:lang w:eastAsia="sk-SK"/>
              </w:rPr>
              <w:t xml:space="preserve">. 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31168E">
              <w:rPr>
                <w:rFonts w:ascii="Times New Roman" w:hAnsi="Times New Roman"/>
                <w:sz w:val="20"/>
                <w:lang w:eastAsia="sk-SK"/>
              </w:rPr>
              <w:t xml:space="preserve">Návrh nezakladá odlišný prístup na ženy a mužov. 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6BFA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6BFA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6BFA" w:rsidP="00847AE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847AE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847AE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B90A2F" w:rsidP="00CD4982">
      <w:pPr>
        <w:bidi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CB3623" w:rsidP="0031168E">
      <w:pPr>
        <w:bidi w:val="0"/>
        <w:spacing w:after="0" w:line="240" w:lineRule="auto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C15E5F">
      <w:rPr>
        <w:rFonts w:ascii="Times New Roman" w:hAnsi="Times New Roman"/>
        <w:noProof/>
      </w:rPr>
      <w:t>2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C15E5F">
      <w:rPr>
        <w:rFonts w:ascii="Times New Roman" w:hAnsi="Times New Roman"/>
        <w:noProof/>
      </w:rPr>
      <w:t>5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44AB8"/>
    <w:rsid w:val="000D226A"/>
    <w:rsid w:val="00165321"/>
    <w:rsid w:val="001D6749"/>
    <w:rsid w:val="001F7932"/>
    <w:rsid w:val="00204D10"/>
    <w:rsid w:val="00224847"/>
    <w:rsid w:val="00227A26"/>
    <w:rsid w:val="002464F4"/>
    <w:rsid w:val="00275F99"/>
    <w:rsid w:val="0031168E"/>
    <w:rsid w:val="00337B5D"/>
    <w:rsid w:val="003541E9"/>
    <w:rsid w:val="00355C67"/>
    <w:rsid w:val="00357E2A"/>
    <w:rsid w:val="00362CBF"/>
    <w:rsid w:val="003849C7"/>
    <w:rsid w:val="003A3E60"/>
    <w:rsid w:val="0040544D"/>
    <w:rsid w:val="00417525"/>
    <w:rsid w:val="00425107"/>
    <w:rsid w:val="00462301"/>
    <w:rsid w:val="00466488"/>
    <w:rsid w:val="004870CA"/>
    <w:rsid w:val="004F2664"/>
    <w:rsid w:val="0051643C"/>
    <w:rsid w:val="00520808"/>
    <w:rsid w:val="00534BAE"/>
    <w:rsid w:val="00585AD3"/>
    <w:rsid w:val="005A57C8"/>
    <w:rsid w:val="00697DFF"/>
    <w:rsid w:val="006B1830"/>
    <w:rsid w:val="006B34DA"/>
    <w:rsid w:val="007B003C"/>
    <w:rsid w:val="00847AE2"/>
    <w:rsid w:val="008703FC"/>
    <w:rsid w:val="00881728"/>
    <w:rsid w:val="008A4F7C"/>
    <w:rsid w:val="00921D53"/>
    <w:rsid w:val="0093053D"/>
    <w:rsid w:val="00943698"/>
    <w:rsid w:val="00972E46"/>
    <w:rsid w:val="00994C53"/>
    <w:rsid w:val="00996BFA"/>
    <w:rsid w:val="00997B26"/>
    <w:rsid w:val="009B755F"/>
    <w:rsid w:val="009F385D"/>
    <w:rsid w:val="00A30F1C"/>
    <w:rsid w:val="00A53AFA"/>
    <w:rsid w:val="00A605B0"/>
    <w:rsid w:val="00A87D5B"/>
    <w:rsid w:val="00AF39B8"/>
    <w:rsid w:val="00B4080A"/>
    <w:rsid w:val="00B437B3"/>
    <w:rsid w:val="00B51267"/>
    <w:rsid w:val="00B90A2F"/>
    <w:rsid w:val="00BC22E3"/>
    <w:rsid w:val="00C15E5F"/>
    <w:rsid w:val="00C63956"/>
    <w:rsid w:val="00C77AA2"/>
    <w:rsid w:val="00CA023C"/>
    <w:rsid w:val="00CA3E12"/>
    <w:rsid w:val="00CA6BAF"/>
    <w:rsid w:val="00CB3623"/>
    <w:rsid w:val="00CD4982"/>
    <w:rsid w:val="00D62C2F"/>
    <w:rsid w:val="00D829FE"/>
    <w:rsid w:val="00D921AE"/>
    <w:rsid w:val="00DA4453"/>
    <w:rsid w:val="00DB624D"/>
    <w:rsid w:val="00E1659F"/>
    <w:rsid w:val="00E22685"/>
    <w:rsid w:val="00E40428"/>
    <w:rsid w:val="00E538C0"/>
    <w:rsid w:val="00E64BDA"/>
    <w:rsid w:val="00EF0C21"/>
    <w:rsid w:val="00F2597D"/>
    <w:rsid w:val="00F30B4E"/>
    <w:rsid w:val="00F61EC5"/>
    <w:rsid w:val="00F74B56"/>
    <w:rsid w:val="00F7696B"/>
    <w:rsid w:val="00F77D10"/>
    <w:rsid w:val="00F938A1"/>
    <w:rsid w:val="00FA11DD"/>
    <w:rsid w:val="00FB766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_socialne_vplyvy"/>
    <f:field ref="objsubject" par="" edit="true" text=""/>
    <f:field ref="objcreatedby" par="" text="Palúš, Juraj, JUDr."/>
    <f:field ref="objcreatedat" par="" text="30.6.2016 18:12:26"/>
    <f:field ref="objchangedby" par="" text="Administrator, System"/>
    <f:field ref="objmodifiedat" par="" text="30.6.2016 18:12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FA3A656-80B2-469C-900F-EA89B9B07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5</Pages>
  <Words>1316</Words>
  <Characters>7505</Characters>
  <Application>Microsoft Office Word</Application>
  <DocSecurity>0</DocSecurity>
  <Lines>0</Lines>
  <Paragraphs>0</Paragraphs>
  <ScaleCrop>false</ScaleCrop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7</cp:revision>
  <cp:lastPrinted>2016-03-03T09:34:00Z</cp:lastPrinted>
  <dcterms:created xsi:type="dcterms:W3CDTF">2016-12-12T16:03:00Z</dcterms:created>
  <dcterms:modified xsi:type="dcterms:W3CDTF">2017-01-26T09:58:00Z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COO.2145.1000.3.1486415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reštrukturalizácia_x000D__x000D_Obchodné právo_x000D__x000D_Občianske súdne konanie_x000D__x000D_Občianske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