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ov</w:t>
            </w:r>
          </w:p>
          <w:p w:rsidR="00224847" w:rsidRPr="00CD4982" w:rsidP="00E165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P="00224847">
      <w:pPr>
        <w:shd w:val="clear" w:color="auto" w:fill="F2F2F2"/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224847">
          <w:headerReference w:type="default" r:id="rId6"/>
          <w:footerReference w:type="default" r:id="rId7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P="00224847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996BF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996BF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E538C0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996BF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P="00E1659F">
            <w:pPr>
              <w:tabs>
                <w:tab w:val="left" w:pos="3505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8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6B183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P="00224847">
      <w:pPr>
        <w:bidi w:val="0"/>
        <w:rPr>
          <w:rFonts w:ascii="Times New Roman" w:hAnsi="Times New Roman"/>
          <w:sz w:val="20"/>
          <w:szCs w:val="20"/>
        </w:rPr>
      </w:pPr>
    </w:p>
    <w:p w:rsidR="00A30F1C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br w:type="page"/>
      </w:r>
    </w:p>
    <w:p w:rsidR="00224847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3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1168E" w:rsidRPr="0040544D" w:rsidP="00996BF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Zvýšenie dostupnosti </w:t>
            </w:r>
            <w:r w:rsidR="00847AE2">
              <w:rPr>
                <w:rFonts w:ascii="Times New Roman" w:hAnsi="Times New Roman"/>
                <w:sz w:val="20"/>
                <w:szCs w:val="20"/>
                <w:lang w:eastAsia="sk-SK"/>
              </w:rPr>
              <w:t>k potrebným údajom a listinám p</w:t>
            </w:r>
            <w:r w:rsidRPr="00847AE2" w:rsidR="00847AE2">
              <w:rPr>
                <w:rFonts w:ascii="Times New Roman" w:hAnsi="Times New Roman"/>
                <w:sz w:val="20"/>
                <w:szCs w:val="20"/>
                <w:lang w:eastAsia="sk-SK"/>
              </w:rPr>
              <w:t>repojen</w:t>
            </w:r>
            <w:r w:rsidR="00847AE2">
              <w:rPr>
                <w:rFonts w:ascii="Times New Roman" w:hAnsi="Times New Roman"/>
                <w:sz w:val="20"/>
                <w:szCs w:val="20"/>
                <w:lang w:eastAsia="sk-SK"/>
              </w:rPr>
              <w:t>ím</w:t>
            </w:r>
            <w:r w:rsidRPr="00847AE2" w:rsidR="00847AE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systému obchodného registra s inými obchodnými registrami alebo evidenciami, ako aj vzájomn</w:t>
            </w:r>
            <w:r w:rsidR="00847AE2">
              <w:rPr>
                <w:rFonts w:ascii="Times New Roman" w:hAnsi="Times New Roman"/>
                <w:sz w:val="20"/>
                <w:szCs w:val="20"/>
                <w:lang w:eastAsia="sk-SK"/>
              </w:rPr>
              <w:t>á</w:t>
            </w:r>
            <w:r w:rsidRPr="00847AE2" w:rsidR="00847AE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výmen</w:t>
            </w:r>
            <w:r w:rsidR="00847AE2">
              <w:rPr>
                <w:rFonts w:ascii="Times New Roman" w:hAnsi="Times New Roman"/>
                <w:sz w:val="20"/>
                <w:szCs w:val="20"/>
                <w:lang w:eastAsia="sk-SK"/>
              </w:rPr>
              <w:t>a</w:t>
            </w:r>
            <w:r w:rsidRPr="00847AE2" w:rsidR="00847AE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zapisovaných údajov alebo poskytovanie uložených listín cez jednotný systém prepojenia takýchto registrov, ktorý b</w:t>
            </w:r>
            <w:r w:rsidR="00847AE2">
              <w:rPr>
                <w:rFonts w:ascii="Times New Roman" w:hAnsi="Times New Roman"/>
                <w:sz w:val="20"/>
                <w:szCs w:val="20"/>
                <w:lang w:eastAsia="sk-SK"/>
              </w:rPr>
              <w:t>ude</w:t>
            </w:r>
            <w:r w:rsidRPr="00847AE2" w:rsidR="00847AE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prístupný vo všetkých jazykoch Európskej únie</w:t>
            </w:r>
            <w:r w:rsidR="00C15E5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(popis služieb a vyhľadávacie kritéria)</w:t>
            </w:r>
            <w:r w:rsidR="00847AE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by malo zjednodušiť prístup k potrebným podkladom (údajom a listinám), ktoré môžu mať informačnú hodnotu ako pre fyzické osoby tak aj pre právnické osoby. Prínosom bude aj úspora času potrebného na zisťovanie relevantných informácií.  Taktiež informácie o výmaze alebo likvidácii spoločností môže mať zásadný aj prevenčný význam pre fyzické osoby a právnické osoby.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7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 w:rsidR="00DB624D">
              <w:rPr>
                <w:rFonts w:ascii="Times New Roman" w:hAnsi="Times New Roman"/>
                <w:sz w:val="20"/>
                <w:lang w:eastAsia="sk-SK"/>
              </w:rPr>
              <w:t xml:space="preserve">Nemá. </w:t>
            </w:r>
            <w:r w:rsidRPr="00DB624D" w:rsidR="00DB624D">
              <w:rPr>
                <w:rFonts w:ascii="Times New Roman" w:hAnsi="Times New Roman"/>
                <w:sz w:val="20"/>
                <w:lang w:eastAsia="sk-SK"/>
              </w:rPr>
              <w:t>Prepojen</w:t>
            </w:r>
            <w:r w:rsidR="00DB624D">
              <w:rPr>
                <w:rFonts w:ascii="Times New Roman" w:hAnsi="Times New Roman"/>
                <w:sz w:val="20"/>
                <w:lang w:eastAsia="sk-SK"/>
              </w:rPr>
              <w:t xml:space="preserve">ie </w:t>
            </w:r>
            <w:r w:rsidRPr="00DB624D" w:rsidR="00DB624D">
              <w:rPr>
                <w:rFonts w:ascii="Times New Roman" w:hAnsi="Times New Roman"/>
                <w:sz w:val="20"/>
                <w:lang w:eastAsia="sk-SK"/>
              </w:rPr>
              <w:t>systému registr</w:t>
            </w:r>
            <w:r w:rsidR="00DB624D">
              <w:rPr>
                <w:rFonts w:ascii="Times New Roman" w:hAnsi="Times New Roman"/>
                <w:sz w:val="20"/>
                <w:lang w:eastAsia="sk-SK"/>
              </w:rPr>
              <w:t>ov má plošný charakter.</w:t>
            </w:r>
          </w:p>
          <w:p w:rsidR="00A30F1C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A87D5B">
      <w:pPr>
        <w:bidi w:val="0"/>
      </w:pPr>
    </w:p>
    <w:p w:rsidR="00C63956" w:rsidP="00DA4453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P="00DA4453">
            <w:pPr>
              <w:bidi w:val="0"/>
              <w:spacing w:after="0" w:line="240" w:lineRule="auto"/>
              <w:ind w:left="340"/>
              <w:jc w:val="both"/>
              <w:rPr>
                <w:rFonts w:ascii="Calibri" w:hAnsi="Calibri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P="00DA4453">
      <w:pPr>
        <w:bidi w:val="0"/>
        <w:spacing w:after="0" w:line="240" w:lineRule="auto"/>
        <w:rPr>
          <w:rFonts w:ascii="Times New Roman" w:hAnsi="Times New Roman"/>
          <w:sz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92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D4982" w:rsidRPr="0040544D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D4982" w:rsidRPr="0040544D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 w:rsidR="0031168E">
              <w:rPr>
                <w:rFonts w:ascii="Times New Roman" w:hAnsi="Times New Roman"/>
                <w:sz w:val="20"/>
                <w:lang w:eastAsia="sk-SK"/>
              </w:rPr>
              <w:t xml:space="preserve">Návrh dôsledne rešpektuje rovnosť príležitostí. </w:t>
            </w:r>
            <w:r w:rsidRPr="00DB624D" w:rsidR="00DB624D">
              <w:rPr>
                <w:rFonts w:ascii="Times New Roman" w:hAnsi="Times New Roman"/>
                <w:sz w:val="20"/>
                <w:lang w:eastAsia="sk-SK"/>
              </w:rPr>
              <w:t>Prepojen</w:t>
            </w:r>
            <w:r w:rsidR="00DB624D">
              <w:rPr>
                <w:rFonts w:ascii="Times New Roman" w:hAnsi="Times New Roman"/>
                <w:sz w:val="20"/>
                <w:lang w:eastAsia="sk-SK"/>
              </w:rPr>
              <w:t xml:space="preserve">ie </w:t>
            </w:r>
            <w:r w:rsidRPr="00DB624D" w:rsidR="00DB624D">
              <w:rPr>
                <w:rFonts w:ascii="Times New Roman" w:hAnsi="Times New Roman"/>
                <w:sz w:val="20"/>
                <w:lang w:eastAsia="sk-SK"/>
              </w:rPr>
              <w:t>systému registr</w:t>
            </w:r>
            <w:r w:rsidR="00DB624D">
              <w:rPr>
                <w:rFonts w:ascii="Times New Roman" w:hAnsi="Times New Roman"/>
                <w:sz w:val="20"/>
                <w:lang w:eastAsia="sk-SK"/>
              </w:rPr>
              <w:t>ov má plošný charakter.</w:t>
            </w:r>
            <w:r w:rsidR="0031168E">
              <w:rPr>
                <w:rFonts w:ascii="Times New Roman" w:hAnsi="Times New Roman"/>
                <w:sz w:val="20"/>
                <w:lang w:eastAsia="sk-SK"/>
              </w:rPr>
              <w:t xml:space="preserve">. </w:t>
            </w:r>
          </w:p>
          <w:p w:rsidR="00CD4982" w:rsidRPr="0040544D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D4982" w:rsidRPr="0040544D" w:rsidP="00DA44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P="00DA4453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1235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A6BAF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 w:rsidR="0031168E">
              <w:rPr>
                <w:rFonts w:ascii="Times New Roman" w:hAnsi="Times New Roman"/>
                <w:sz w:val="20"/>
                <w:lang w:eastAsia="sk-SK"/>
              </w:rPr>
              <w:t xml:space="preserve">Návrh nezakladá odlišný prístup na ženy a mužov. </w:t>
            </w:r>
          </w:p>
          <w:p w:rsidR="00CA6BAF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RPr="00CA6BAF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 w:rsidR="00CD4982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Pr="00994C5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P="00994C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994C53" w:rsid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994C53" w:rsid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994C53" w:rsid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i/>
          <w:sz w:val="20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6BFA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6BFA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6BFA" w:rsidP="00847AE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847AE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847AE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B90A2F" w:rsidP="00CD4982">
      <w:pPr>
        <w:bidi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p w:rsidR="00CB3623" w:rsidP="0031168E">
      <w:pPr>
        <w:bidi w:val="0"/>
        <w:spacing w:after="0" w:line="240" w:lineRule="auto"/>
        <w:outlineLvl w:val="0"/>
      </w:pPr>
    </w:p>
    <w:sectPr w:rsidSect="00CD4982">
      <w:footnotePr>
        <w:numRestart w:val="eachSect"/>
      </w:footnotePr>
      <w:pgSz w:w="11906" w:h="16838"/>
      <w:pgMar w:top="1134" w:right="1418" w:bottom="1134" w:left="1418" w:header="510" w:footer="567" w:gutter="0"/>
      <w:lnNumType w:distance="0"/>
      <w:cols w:space="708"/>
      <w:formProt w:val="0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C15E5F">
      <w:rPr>
        <w:rFonts w:ascii="Times New Roman" w:hAnsi="Times New Roman"/>
        <w:noProof/>
      </w:rPr>
      <w:t>2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C15E5F">
      <w:rPr>
        <w:rFonts w:ascii="Times New Roman" w:hAnsi="Times New Roman"/>
        <w:noProof/>
      </w:rPr>
      <w:t>5</w:t>
    </w:r>
    <w:r w:rsidRPr="001D6749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5D6"/>
    <w:multiLevelType w:val="hybridMultilevel"/>
    <w:tmpl w:val="EE04C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9">
    <w:nsid w:val="69DD167D"/>
    <w:multiLevelType w:val="hybridMultilevel"/>
    <w:tmpl w:val="DE0AB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ocumentProtection w:edit="forms" w:enforcement="1"/>
  <w:defaultTabStop w:val="708"/>
  <w:hyphenationZone w:val="425"/>
  <w:characterSpacingControl w:val="doNotCompress"/>
  <w:footnotePr>
    <w:numFmt w:val="chicago"/>
  </w:footnotePr>
  <w:compat/>
  <w:rsids>
    <w:rsidRoot w:val="00337B5D"/>
    <w:rsid w:val="000009B5"/>
    <w:rsid w:val="000274D0"/>
    <w:rsid w:val="00044AB8"/>
    <w:rsid w:val="000D226A"/>
    <w:rsid w:val="00165321"/>
    <w:rsid w:val="001D6749"/>
    <w:rsid w:val="001F7932"/>
    <w:rsid w:val="00204D10"/>
    <w:rsid w:val="00224847"/>
    <w:rsid w:val="00227A26"/>
    <w:rsid w:val="002464F4"/>
    <w:rsid w:val="00275F99"/>
    <w:rsid w:val="0031168E"/>
    <w:rsid w:val="00337B5D"/>
    <w:rsid w:val="003541E9"/>
    <w:rsid w:val="00355C67"/>
    <w:rsid w:val="00357E2A"/>
    <w:rsid w:val="00362CBF"/>
    <w:rsid w:val="003849C7"/>
    <w:rsid w:val="003A3E60"/>
    <w:rsid w:val="0040544D"/>
    <w:rsid w:val="00417525"/>
    <w:rsid w:val="00425107"/>
    <w:rsid w:val="00462301"/>
    <w:rsid w:val="00466488"/>
    <w:rsid w:val="004870CA"/>
    <w:rsid w:val="004F2664"/>
    <w:rsid w:val="0051643C"/>
    <w:rsid w:val="00520808"/>
    <w:rsid w:val="00534BAE"/>
    <w:rsid w:val="00585AD3"/>
    <w:rsid w:val="005A57C8"/>
    <w:rsid w:val="00697DFF"/>
    <w:rsid w:val="006B1830"/>
    <w:rsid w:val="006B34DA"/>
    <w:rsid w:val="007B003C"/>
    <w:rsid w:val="00847AE2"/>
    <w:rsid w:val="008703FC"/>
    <w:rsid w:val="00881728"/>
    <w:rsid w:val="008A4F7C"/>
    <w:rsid w:val="00921D53"/>
    <w:rsid w:val="0093053D"/>
    <w:rsid w:val="00943698"/>
    <w:rsid w:val="00972E46"/>
    <w:rsid w:val="00994C53"/>
    <w:rsid w:val="00996BFA"/>
    <w:rsid w:val="00997B26"/>
    <w:rsid w:val="009B755F"/>
    <w:rsid w:val="009F385D"/>
    <w:rsid w:val="00A30F1C"/>
    <w:rsid w:val="00A53AFA"/>
    <w:rsid w:val="00A605B0"/>
    <w:rsid w:val="00A87D5B"/>
    <w:rsid w:val="00AF39B8"/>
    <w:rsid w:val="00B4080A"/>
    <w:rsid w:val="00B437B3"/>
    <w:rsid w:val="00B51267"/>
    <w:rsid w:val="00B90A2F"/>
    <w:rsid w:val="00BC22E3"/>
    <w:rsid w:val="00C15E5F"/>
    <w:rsid w:val="00C63956"/>
    <w:rsid w:val="00C77AA2"/>
    <w:rsid w:val="00CA023C"/>
    <w:rsid w:val="00CA3E12"/>
    <w:rsid w:val="00CA6BAF"/>
    <w:rsid w:val="00CB3623"/>
    <w:rsid w:val="00CD4982"/>
    <w:rsid w:val="00D62C2F"/>
    <w:rsid w:val="00D829FE"/>
    <w:rsid w:val="00D921AE"/>
    <w:rsid w:val="00DA4453"/>
    <w:rsid w:val="00DB624D"/>
    <w:rsid w:val="00E1659F"/>
    <w:rsid w:val="00E22685"/>
    <w:rsid w:val="00E40428"/>
    <w:rsid w:val="00E538C0"/>
    <w:rsid w:val="00E64BDA"/>
    <w:rsid w:val="00EF0C21"/>
    <w:rsid w:val="00F2597D"/>
    <w:rsid w:val="00F30B4E"/>
    <w:rsid w:val="00F61EC5"/>
    <w:rsid w:val="00F74B56"/>
    <w:rsid w:val="00F7696B"/>
    <w:rsid w:val="00F77D10"/>
    <w:rsid w:val="00F938A1"/>
    <w:rsid w:val="00FA11DD"/>
    <w:rsid w:val="00FB7660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D6749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D6749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aliases w:val="Footnote reference number,Footnote symbol"/>
    <w:basedOn w:val="DefaultParagraphFont"/>
    <w:uiPriority w:val="99"/>
    <w:semiHidden/>
    <w:unhideWhenUsed/>
    <w:rsid w:val="001D6749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D6749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D6749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D498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D4982"/>
    <w:pPr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D498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D498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D498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_socialne_vplyvy"/>
    <f:field ref="objsubject" par="" edit="true" text=""/>
    <f:field ref="objcreatedby" par="" text="Palúš, Juraj, JUDr."/>
    <f:field ref="objcreatedat" par="" text="30.6.2016 18:12:26"/>
    <f:field ref="objchangedby" par="" text="Administrator, System"/>
    <f:field ref="objmodifiedat" par="" text="30.6.2016 18:12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1FA3A656-80B2-469C-900F-EA89B9B074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Pages>5</Pages>
  <Words>1316</Words>
  <Characters>7505</Characters>
  <Application>Microsoft Office Word</Application>
  <DocSecurity>0</DocSecurity>
  <Lines>0</Lines>
  <Paragraphs>0</Paragraphs>
  <ScaleCrop>false</ScaleCrop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BACOVA Vierka</cp:lastModifiedBy>
  <cp:revision>7</cp:revision>
  <cp:lastPrinted>2016-03-03T09:34:00Z</cp:lastPrinted>
  <dcterms:created xsi:type="dcterms:W3CDTF">2016-12-12T16:03:00Z</dcterms:created>
  <dcterms:modified xsi:type="dcterms:W3CDTF">2017-01-26T09:58:00Z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COO.2145.1000.3.1486415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>1. 7. 2016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spravodlivosti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7/2005 Z. z. o konkurze a reštrukturalizácii a o zmene a doplnení niektorých zákonov v znení neskorších predpi</vt:lpwstr>
  </property>
  <property fmtid="{D5CDD505-2E9C-101B-9397-08002B2CF9AE}" pid="32" name="FSC#SKEDITIONSLOVLEX@103.510:AttrStrListDocPropTextPredklSpravy">
    <vt:lpwstr>&lt;p style="text-align: justify;"&gt;Ministerstvo spravodlivosti Slovenskej republiky predkladá do pripomienkového konania návrh zákona, ktorým sa mení a&amp;nbsp;dopĺňa zákon&amp;nbsp; č. 7/2005 Z. z. o konkurze a reštrukturalizácii a o zmene a doplnení niektorých zá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republiky_x000D__x000D_podpredsedníčka vlády a ministerka spravodlivosti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LP/2016/691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podpredsedníčka vlády a ministerka spravodlivosti Slovenskej republiky</vt:lpwstr>
  </property>
  <property fmtid="{D5CDD505-2E9C-101B-9397-08002B2CF9AE}" pid="122" name="FSC#SKEDITIONSLOVLEX@103.510:funkciaZodpPredAkuzativ">
    <vt:lpwstr>podpredsedníčku vlády a ministerku spravodlivosti Slovenskej republiky</vt:lpwstr>
  </property>
  <property fmtid="{D5CDD505-2E9C-101B-9397-08002B2CF9AE}" pid="123" name="FSC#SKEDITIONSLOVLEX@103.510:funkciaZodpPredDativ">
    <vt:lpwstr>podpredsedníčke vlády a ministerke spravodlivosti Slovenskej republiky</vt:lpwstr>
  </property>
  <property fmtid="{D5CDD505-2E9C-101B-9397-08002B2CF9AE}" pid="124" name="FSC#SKEDITIONSLOVLEX@103.510:legoblast">
    <vt:lpwstr>Konkurz a reštrukturalizácia_x000D__x000D_Obchodné právo_x000D__x000D_Občianske súdne konanie_x000D__x000D_Občianske právo</vt:lpwstr>
  </property>
  <property fmtid="{D5CDD505-2E9C-101B-9397-08002B2CF9AE}" pid="125" name="FSC#SKEDITIONSLOVLEX@103.510:nazovpredpis">
    <vt:lpwstr>, ktorým sa mení a dopĺňa zákon č. 7/2005 Z. z. o konkurze a reštrukturalizácii a o zmene a doplnení niektorých zákonov v znení neskorších predpisov a ktorým sa mení a dopĺňa zákon č. 327/2005 Z. z. o poskytovaní právnej pomoci osobám v materiálnej núdzi</vt:lpwstr>
  </property>
  <property fmtid="{D5CDD505-2E9C-101B-9397-08002B2CF9AE}" pid="126" name="FSC#SKEDITIONSLOVLEX@103.510:nazovpredpis1">
    <vt:lpwstr>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7/2005 Z. z. o konkurze a reštrukturalizácii a o zmene a doplnení niektorých zákonov v znení neskorších predpisov a ktorým sa mení a dopĺňa zákon č. 327/2005 Z. z. o poskytovaní právnej pomoci osobám v materiálnej </vt:lpwstr>
  </property>
  <property fmtid="{D5CDD505-2E9C-101B-9397-08002B2CF9AE}" pid="132" name="FSC#SKEDITIONSLOVLEX@103.510:plnynazovpredpis1">
    <vt:lpwstr>núdzi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Juraj Palúš</vt:lpwstr>
  </property>
  <property fmtid="{D5CDD505-2E9C-101B-9397-08002B2CF9AE}" pid="138" name="FSC#SKEDITIONSLOVLEX@103.510:predkladateliaObalSD">
    <vt:lpwstr>Lucia Žitňanská_x000D__x000D_podpredsedníčka vlády a ministerka spravodlivosti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44640/2016/100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align="left" border="1" cellpadding="0" cellspacing="0" width="100%"&gt;_&lt;tbody&gt;__&lt;tr&gt;___&lt;td colspan="5" style="width:100.0%;height:37px;"&gt;___&lt;h2 align="center"&gt;Správa o účasti verejnosti na tvorbe právneho predpisu&lt;/h2&gt;___&lt;h2&gt;Scenár 3: Verejnosť sa z</vt:lpwstr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Príloha všeobecná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spravodlivosti Slovenskej republiky</vt:lpwstr>
  </property>
  <property fmtid="{D5CDD505-2E9C-101B-9397-08002B2CF9AE}" pid="151" name="FSC#SKEDITIONSLOVLEX@103.510:zodppredkladatel">
    <vt:lpwstr>Lucia Žitňanská</vt:lpwstr>
  </property>
</Properties>
</file>