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A82FA4"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3716E6" w:rsidRPr="003716E6" w:rsidP="003716E6">
            <w:pPr>
              <w:bidi w:val="0"/>
              <w:spacing w:after="0" w:line="240" w:lineRule="auto"/>
              <w:jc w:val="both"/>
              <w:rPr>
                <w:rFonts w:ascii="Times" w:hAnsi="Times" w:cs="Times"/>
                <w:sz w:val="20"/>
                <w:szCs w:val="20"/>
              </w:rPr>
            </w:pPr>
            <w:r w:rsidR="00A82FA4">
              <w:rPr>
                <w:rFonts w:ascii="Times" w:hAnsi="Times" w:cs="Times"/>
                <w:sz w:val="20"/>
                <w:szCs w:val="20"/>
              </w:rPr>
              <w:t xml:space="preserve">Zákon, </w:t>
            </w:r>
            <w:r w:rsidRPr="00D37A38" w:rsidR="00D37A38">
              <w:rPr>
                <w:rFonts w:ascii="Times" w:hAnsi="Times" w:cs="Times"/>
                <w:sz w:val="20"/>
                <w:szCs w:val="20"/>
              </w:rPr>
              <w:t>ktorým sa mení a dopĺňa zákon č. 530/2003 Z. z. o obchodnom registri a o zmene a doplnení niektorých zákonov v znení neskorších predpisov</w:t>
            </w:r>
            <w:r>
              <w:rPr>
                <w:rFonts w:ascii="Times" w:hAnsi="Times" w:cs="Times"/>
                <w:sz w:val="20"/>
                <w:szCs w:val="20"/>
              </w:rPr>
              <w:t xml:space="preserve"> </w:t>
            </w:r>
            <w:r w:rsidRPr="003716E6">
              <w:rPr>
                <w:rFonts w:ascii="Times" w:hAnsi="Times" w:cs="Times"/>
                <w:sz w:val="20"/>
                <w:szCs w:val="20"/>
              </w:rPr>
              <w:t>a ktorým sa mení zákon Slovenskej národnej rady č. 71/1992 Zb. o súdnych poplatkoch a poplatku za výpis z registra trestov v znení neskorších predpisov</w:t>
            </w:r>
          </w:p>
          <w:p w:rsidR="00A82FA4">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2FA4">
            <w:pPr>
              <w:bidi w:val="0"/>
              <w:spacing w:after="0" w:line="240" w:lineRule="auto"/>
              <w:rPr>
                <w:rFonts w:ascii="Times" w:hAnsi="Times" w:cs="Times"/>
                <w:sz w:val="20"/>
                <w:szCs w:val="20"/>
              </w:rPr>
            </w:pPr>
            <w:r>
              <w:rPr>
                <w:rFonts w:ascii="Times" w:hAnsi="Times" w:cs="Times"/>
                <w:sz w:val="20"/>
                <w:szCs w:val="20"/>
              </w:rPr>
              <w:t>Ministerstvo spravodlivosti Slovenskej republiky</w:t>
            </w:r>
          </w:p>
        </w:tc>
      </w:tr>
      <w:tr>
        <w:tblPrEx>
          <w:tblW w:w="5000" w:type="pct"/>
          <w:jc w:val="center"/>
          <w:tblCellMar>
            <w:left w:w="0" w:type="dxa"/>
            <w:right w:w="0" w:type="dxa"/>
          </w:tblCellMar>
          <w:tblLook w:val="04A0"/>
        </w:tblPrEx>
        <w:trPr>
          <w:divId w:val="6"/>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2FA4">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6"/>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6"/>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sidR="00E10EA1">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6"/>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2FA4">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rsidP="00A130D7">
            <w:pPr>
              <w:bidi w:val="0"/>
              <w:spacing w:after="0" w:line="240" w:lineRule="auto"/>
              <w:rPr>
                <w:rFonts w:ascii="Times" w:hAnsi="Times" w:cs="Times"/>
                <w:sz w:val="20"/>
                <w:szCs w:val="20"/>
              </w:rPr>
            </w:pPr>
            <w:r>
              <w:rPr>
                <w:rFonts w:ascii="Times" w:hAnsi="Times" w:cs="Times"/>
                <w:sz w:val="20"/>
                <w:szCs w:val="20"/>
              </w:rPr>
              <w:t>Začiatok:    </w:t>
            </w:r>
            <w:r w:rsidRPr="00984ECD" w:rsidR="00984ECD">
              <w:rPr>
                <w:rFonts w:ascii="Times" w:hAnsi="Times" w:cs="Times"/>
                <w:sz w:val="20"/>
                <w:szCs w:val="20"/>
              </w:rPr>
              <w:t xml:space="preserve"> </w:t>
            </w:r>
            <w:r w:rsidR="00A130D7">
              <w:rPr>
                <w:rFonts w:ascii="Times" w:hAnsi="Times" w:cs="Times"/>
                <w:sz w:val="20"/>
                <w:szCs w:val="20"/>
              </w:rPr>
              <w:t>11. j</w:t>
            </w:r>
            <w:r w:rsidR="00506102">
              <w:rPr>
                <w:rFonts w:ascii="Times" w:hAnsi="Times" w:cs="Times"/>
                <w:sz w:val="20"/>
                <w:szCs w:val="20"/>
              </w:rPr>
              <w:t>anuár</w:t>
            </w:r>
            <w:r w:rsidR="00A130D7">
              <w:rPr>
                <w:rFonts w:ascii="Times" w:hAnsi="Times" w:cs="Times"/>
                <w:sz w:val="20"/>
                <w:szCs w:val="20"/>
              </w:rPr>
              <w:t xml:space="preserve">a </w:t>
            </w:r>
            <w:r w:rsidR="00506102">
              <w:rPr>
                <w:rFonts w:ascii="Times" w:hAnsi="Times" w:cs="Times"/>
                <w:sz w:val="20"/>
                <w:szCs w:val="20"/>
              </w:rPr>
              <w:t>2017</w:t>
            </w:r>
            <w:r>
              <w:rPr>
                <w:rFonts w:ascii="Times" w:hAnsi="Times" w:cs="Times"/>
                <w:sz w:val="20"/>
                <w:szCs w:val="20"/>
              </w:rPr>
              <w:br/>
              <w:t>Ukončenie: </w:t>
            </w:r>
            <w:r w:rsidR="00A130D7">
              <w:rPr>
                <w:rFonts w:ascii="Times" w:hAnsi="Times" w:cs="Times"/>
                <w:sz w:val="20"/>
                <w:szCs w:val="20"/>
              </w:rPr>
              <w:t xml:space="preserve"> 25. januára 2017</w:t>
            </w:r>
          </w:p>
        </w:tc>
      </w:tr>
      <w:tr>
        <w:tblPrEx>
          <w:tblW w:w="5000" w:type="pct"/>
          <w:jc w:val="center"/>
          <w:tblCellMar>
            <w:left w:w="0" w:type="dxa"/>
            <w:right w:w="0" w:type="dxa"/>
          </w:tblCellMar>
          <w:tblLook w:val="04A0"/>
        </w:tblPrEx>
        <w:trPr>
          <w:divId w:val="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rsidRPr="003651EF">
            <w:pPr>
              <w:bidi w:val="0"/>
              <w:spacing w:after="0" w:line="240" w:lineRule="auto"/>
              <w:rPr>
                <w:rFonts w:ascii="Times" w:hAnsi="Times" w:cs="Times"/>
                <w:bCs/>
                <w:sz w:val="22"/>
                <w:szCs w:val="22"/>
              </w:rPr>
            </w:pPr>
            <w:r w:rsidR="003651EF">
              <w:rPr>
                <w:rFonts w:ascii="Times" w:hAnsi="Times" w:cs="Times"/>
                <w:b/>
                <w:bCs/>
                <w:sz w:val="22"/>
                <w:szCs w:val="22"/>
              </w:rPr>
              <w:t xml:space="preserve"> </w:t>
            </w:r>
            <w:r w:rsidRPr="003651EF" w:rsidR="003651EF">
              <w:rPr>
                <w:rFonts w:ascii="Times" w:hAnsi="Times" w:cs="Times"/>
                <w:sz w:val="20"/>
                <w:szCs w:val="20"/>
              </w:rPr>
              <w:t>Január 2017</w:t>
            </w:r>
          </w:p>
        </w:tc>
      </w:tr>
      <w:tr>
        <w:tblPrEx>
          <w:tblW w:w="5000" w:type="pct"/>
          <w:jc w:val="center"/>
          <w:tblCellMar>
            <w:left w:w="0" w:type="dxa"/>
            <w:right w:w="0" w:type="dxa"/>
          </w:tblCellMar>
          <w:tblLook w:val="04A0"/>
        </w:tblPrEx>
        <w:trPr>
          <w:divId w:val="6"/>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pPr>
              <w:bidi w:val="0"/>
              <w:spacing w:after="0" w:line="240" w:lineRule="auto"/>
              <w:rPr>
                <w:rFonts w:ascii="Times" w:hAnsi="Times" w:cs="Times"/>
                <w:b/>
                <w:bCs/>
                <w:sz w:val="22"/>
                <w:szCs w:val="22"/>
              </w:rPr>
            </w:pPr>
            <w:r w:rsidR="003651EF">
              <w:rPr>
                <w:rFonts w:ascii="Times" w:hAnsi="Times" w:cs="Times"/>
                <w:sz w:val="20"/>
                <w:szCs w:val="20"/>
              </w:rPr>
              <w:t xml:space="preserve"> </w:t>
            </w:r>
            <w:r w:rsidRPr="003651EF" w:rsidR="003651EF">
              <w:rPr>
                <w:rFonts w:ascii="Times" w:hAnsi="Times" w:cs="Times"/>
                <w:sz w:val="20"/>
                <w:szCs w:val="20"/>
              </w:rPr>
              <w:t>Február 2017</w:t>
            </w:r>
          </w:p>
        </w:tc>
      </w:tr>
    </w:tbl>
    <w:p w:rsidR="00325440" w:rsidP="00C579E9">
      <w:pPr>
        <w:pStyle w:val="NormalWeb"/>
        <w:bidi w:val="0"/>
        <w:spacing w:before="0" w:beforeAutospacing="0" w:after="0" w:afterAutospacing="0"/>
        <w:rPr>
          <w:rFonts w:ascii="Times New Roman" w:hAnsi="Times New Roman"/>
          <w:bCs/>
          <w:sz w:val="22"/>
          <w:szCs w:val="22"/>
        </w:rPr>
      </w:pPr>
    </w:p>
    <w:p w:rsidR="00A82FA4"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rsidP="00984ECD">
            <w:pPr>
              <w:bidi w:val="0"/>
              <w:spacing w:after="0" w:line="240" w:lineRule="auto"/>
              <w:jc w:val="both"/>
              <w:rPr>
                <w:rFonts w:ascii="Times" w:hAnsi="Times" w:cs="Times"/>
                <w:sz w:val="20"/>
                <w:szCs w:val="20"/>
              </w:rPr>
            </w:pPr>
            <w:r w:rsidRPr="00D37A38" w:rsidR="00D37A38">
              <w:rPr>
                <w:rFonts w:ascii="Times" w:hAnsi="Times" w:cs="Times"/>
                <w:sz w:val="20"/>
                <w:szCs w:val="20"/>
              </w:rPr>
              <w:t>Právny poriadok Slovenskej republiky v súčasnosti nedisponuje právnou úpravou, ktorá by umožňovala prepojenie systému obchodného registra v Slovenskej republike s inými obchodnými registrami alebo evidenciami, ako aj umožňovala vzájomnú výmenu zapisovaných údajov alebo poskytovanie uložených listín cez jednotný systém prepojenia takýchto registrov, ktorý by bol prístupný vo všetkých jazykoch Európskej únie.</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37A38" w:rsidP="00984ECD">
            <w:pPr>
              <w:bidi w:val="0"/>
              <w:spacing w:after="0" w:line="240" w:lineRule="auto"/>
              <w:jc w:val="both"/>
              <w:rPr>
                <w:rFonts w:ascii="Times" w:hAnsi="Times" w:cs="Times"/>
                <w:sz w:val="20"/>
                <w:szCs w:val="20"/>
              </w:rPr>
            </w:pPr>
            <w:r w:rsidRPr="00D37A38">
              <w:rPr>
                <w:rFonts w:ascii="Times" w:hAnsi="Times" w:cs="Times"/>
                <w:sz w:val="20"/>
                <w:szCs w:val="20"/>
              </w:rPr>
              <w:t xml:space="preserve">Povinnosť zavedenia systému prepojenia registrov, ako aj povinnosť zverejňovania </w:t>
            </w:r>
            <w:r w:rsidR="0071760C">
              <w:rPr>
                <w:rFonts w:ascii="Times" w:hAnsi="Times" w:cs="Times"/>
                <w:sz w:val="20"/>
                <w:szCs w:val="20"/>
              </w:rPr>
              <w:t>informácií o zapisovaných údajoch</w:t>
            </w:r>
            <w:r w:rsidRPr="00D37A38">
              <w:rPr>
                <w:rFonts w:ascii="Times" w:hAnsi="Times" w:cs="Times"/>
                <w:sz w:val="20"/>
                <w:szCs w:val="20"/>
              </w:rPr>
              <w:t xml:space="preserve"> a poskytovania uložených listín v elektronickej podobe vyplýva zo smernice Európskeho parlamentu a Rady č. 2012/17/EÚ z 13. júna 2012, ktorou sa mení a dopĺňa smernica Rady 89/666/EHS a smernice Európskeho parlamentu a Rady 2005/56/ES a 2009/101/ES, pokiaľ ide o prepojenie centrálnych registrov, obchodných registrov a registrov spoločností (ďalej len „smernica“).</w:t>
            </w:r>
          </w:p>
          <w:p w:rsidR="00A82FA4" w:rsidP="00984ECD">
            <w:pPr>
              <w:bidi w:val="0"/>
              <w:spacing w:after="0" w:line="240" w:lineRule="auto"/>
              <w:jc w:val="both"/>
              <w:rPr>
                <w:rFonts w:ascii="Times" w:hAnsi="Times" w:cs="Times"/>
                <w:sz w:val="20"/>
                <w:szCs w:val="20"/>
              </w:rPr>
            </w:pPr>
            <w:r w:rsidRPr="00D37A38" w:rsidR="00D37A38">
              <w:rPr>
                <w:rFonts w:ascii="Times" w:hAnsi="Times" w:cs="Times"/>
                <w:sz w:val="20"/>
                <w:szCs w:val="20"/>
              </w:rPr>
              <w:t xml:space="preserve">Z tohto dôvodu je nevyhnutné, aby požiadavky smernice boli </w:t>
            </w:r>
            <w:r w:rsidRPr="000772D7" w:rsidR="000772D7">
              <w:rPr>
                <w:rFonts w:ascii="Times" w:hAnsi="Times" w:cs="Times"/>
                <w:sz w:val="20"/>
                <w:szCs w:val="20"/>
              </w:rPr>
              <w:t>doplnené</w:t>
            </w:r>
            <w:r w:rsidR="000772D7">
              <w:rPr>
                <w:rFonts w:ascii="Times" w:hAnsi="Times" w:cs="Times"/>
                <w:sz w:val="20"/>
                <w:szCs w:val="20"/>
              </w:rPr>
              <w:t xml:space="preserve"> </w:t>
            </w:r>
            <w:r w:rsidRPr="00D37A38" w:rsidR="00D37A38">
              <w:rPr>
                <w:rFonts w:ascii="Times" w:hAnsi="Times" w:cs="Times"/>
                <w:sz w:val="20"/>
                <w:szCs w:val="20"/>
              </w:rPr>
              <w:t>do právneho poriadku Slovenskej republiky, konkrétne do zákona  č. 530/2003 Z. z. o obchodnom registri a o zmene a doplnení niektorých zákonov v znení neskorších predpisov.</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rsidP="00984ECD">
            <w:pPr>
              <w:bidi w:val="0"/>
              <w:spacing w:after="0" w:line="240" w:lineRule="auto"/>
              <w:rPr>
                <w:rFonts w:ascii="Times" w:hAnsi="Times" w:cs="Times"/>
                <w:sz w:val="20"/>
                <w:szCs w:val="20"/>
              </w:rPr>
            </w:pPr>
            <w:r>
              <w:rPr>
                <w:rFonts w:ascii="Times" w:hAnsi="Times" w:cs="Times"/>
                <w:sz w:val="20"/>
                <w:szCs w:val="20"/>
              </w:rPr>
              <w:t xml:space="preserve">Ministerstvo spravodlivosti </w:t>
            </w:r>
            <w:r w:rsidR="00984ECD">
              <w:rPr>
                <w:rFonts w:ascii="Times" w:hAnsi="Times" w:cs="Times"/>
                <w:sz w:val="20"/>
                <w:szCs w:val="20"/>
              </w:rPr>
              <w:t xml:space="preserve">Slovenskej republiky, registrové </w:t>
            </w:r>
            <w:r>
              <w:rPr>
                <w:rFonts w:ascii="Times" w:hAnsi="Times" w:cs="Times"/>
                <w:sz w:val="20"/>
                <w:szCs w:val="20"/>
              </w:rPr>
              <w:t xml:space="preserve">súdy, fyzické </w:t>
            </w:r>
            <w:r w:rsidR="00D37A38">
              <w:rPr>
                <w:rFonts w:ascii="Times" w:hAnsi="Times" w:cs="Times"/>
                <w:sz w:val="20"/>
                <w:szCs w:val="20"/>
              </w:rPr>
              <w:t xml:space="preserve">a právnické </w:t>
            </w:r>
            <w:r>
              <w:rPr>
                <w:rFonts w:ascii="Times" w:hAnsi="Times" w:cs="Times"/>
                <w:sz w:val="20"/>
                <w:szCs w:val="20"/>
              </w:rPr>
              <w:t xml:space="preserve">osoby </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rsidP="00D37A38">
            <w:pPr>
              <w:bidi w:val="0"/>
              <w:spacing w:after="0" w:line="240" w:lineRule="auto"/>
              <w:rPr>
                <w:rFonts w:ascii="Times" w:hAnsi="Times" w:cs="Times"/>
                <w:sz w:val="20"/>
                <w:szCs w:val="20"/>
              </w:rPr>
            </w:pPr>
            <w:r>
              <w:rPr>
                <w:rFonts w:ascii="Times" w:hAnsi="Times" w:cs="Times"/>
                <w:sz w:val="20"/>
                <w:szCs w:val="20"/>
              </w:rPr>
              <w:t xml:space="preserve">Alternatívne riešenia neboli posudzované nakoľko </w:t>
            </w:r>
            <w:r w:rsidR="00D37A38">
              <w:rPr>
                <w:rFonts w:ascii="Times" w:hAnsi="Times" w:cs="Times"/>
                <w:sz w:val="20"/>
                <w:szCs w:val="20"/>
              </w:rPr>
              <w:t>transpozičná povinnosť je jasne vymedzená a musí byť pre</w:t>
            </w:r>
            <w:r>
              <w:rPr>
                <w:rFonts w:ascii="Times" w:hAnsi="Times" w:cs="Times"/>
                <w:sz w:val="20"/>
                <w:szCs w:val="20"/>
              </w:rPr>
              <w:t>mietnut</w:t>
            </w:r>
            <w:r w:rsidR="00D37A38">
              <w:rPr>
                <w:rFonts w:ascii="Times" w:hAnsi="Times" w:cs="Times"/>
                <w:sz w:val="20"/>
                <w:szCs w:val="20"/>
              </w:rPr>
              <w:t>á</w:t>
            </w:r>
            <w:r>
              <w:rPr>
                <w:rFonts w:ascii="Times" w:hAnsi="Times" w:cs="Times"/>
                <w:sz w:val="20"/>
                <w:szCs w:val="20"/>
              </w:rPr>
              <w:t xml:space="preserve"> do návrhu zákona.</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rsidP="00984ECD">
            <w:pPr>
              <w:bidi w:val="0"/>
              <w:spacing w:after="0" w:line="240" w:lineRule="auto"/>
              <w:rPr>
                <w:rFonts w:ascii="Times" w:hAnsi="Times" w:cs="Times"/>
                <w:sz w:val="20"/>
                <w:szCs w:val="20"/>
              </w:rPr>
            </w:pPr>
            <w:r w:rsidRPr="00984ECD">
              <w:rPr>
                <w:rFonts w:ascii="Times" w:hAnsi="Times" w:cs="Times"/>
                <w:sz w:val="20"/>
                <w:szCs w:val="20"/>
              </w:rPr>
              <w:t>Predpokladá sa prijatie/zmena vykonávacích predpisov?</w:t>
            </w:r>
            <w:r>
              <w:rPr>
                <w:rFonts w:ascii="Times" w:hAnsi="Times" w:cs="Times"/>
                <w:sz w:val="20"/>
                <w:szCs w:val="20"/>
              </w:rPr>
              <w:t xml:space="preserve">                </w:t>
            </w:r>
            <w:r w:rsidRPr="00984ECD">
              <w:rPr>
                <w:rFonts w:ascii="Wingdings 2" w:hAnsi="Wingdings 2" w:cs="Times"/>
                <w:sz w:val="28"/>
                <w:szCs w:val="28"/>
              </w:rPr>
              <w:t xml:space="preserve">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pPr>
              <w:bidi w:val="0"/>
              <w:spacing w:after="0" w:line="240" w:lineRule="auto"/>
              <w:rPr>
                <w:rFonts w:ascii="Times" w:hAnsi="Times" w:cs="Times"/>
                <w:sz w:val="20"/>
                <w:szCs w:val="20"/>
              </w:rPr>
            </w:pPr>
            <w:r w:rsidR="00D37A38">
              <w:rPr>
                <w:rFonts w:ascii="Times" w:hAnsi="Times" w:cs="Times"/>
                <w:sz w:val="20"/>
                <w:szCs w:val="20"/>
              </w:rPr>
              <w:t xml:space="preserve">Ide o transpozíciu </w:t>
            </w:r>
            <w:r w:rsidRPr="00D37A38" w:rsidR="00D37A38">
              <w:rPr>
                <w:rFonts w:ascii="Times" w:hAnsi="Times" w:cs="Times"/>
                <w:sz w:val="20"/>
                <w:szCs w:val="20"/>
              </w:rPr>
              <w:t xml:space="preserve">smernice Európskeho parlamentu a Rady č. 2012/17/EÚ z 13. júna 2012, ktorou sa mení a dopĺňa smernica Rady 89/666/EHS a smernice Európskeho </w:t>
            </w:r>
            <w:r w:rsidRPr="00B44DE3" w:rsidR="00D37A38">
              <w:rPr>
                <w:rFonts w:ascii="Times" w:hAnsi="Times" w:cs="Times"/>
                <w:sz w:val="20"/>
                <w:szCs w:val="20"/>
              </w:rPr>
              <w:t>parlamentu a Rady 2005/56/ES a 2009/101/ES.</w:t>
            </w:r>
          </w:p>
        </w:tc>
      </w:tr>
      <w:tr>
        <w:tblPrEx>
          <w:tblW w:w="5000" w:type="pct"/>
          <w:jc w:val="center"/>
          <w:tblCellMar>
            <w:left w:w="0" w:type="dxa"/>
            <w:right w:w="0" w:type="dxa"/>
          </w:tblCellMar>
          <w:tblLook w:val="04A0"/>
        </w:tblPrEx>
        <w:trPr>
          <w:divId w:val="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3"/>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pPr>
              <w:bidi w:val="0"/>
              <w:spacing w:after="0" w:line="240" w:lineRule="auto"/>
              <w:rPr>
                <w:rFonts w:ascii="Times" w:hAnsi="Times" w:cs="Times"/>
                <w:sz w:val="20"/>
                <w:szCs w:val="20"/>
              </w:rPr>
            </w:pPr>
            <w:r>
              <w:rPr>
                <w:rFonts w:ascii="Times" w:hAnsi="Times" w:cs="Times"/>
                <w:sz w:val="20"/>
                <w:szCs w:val="20"/>
              </w:rPr>
              <w:t>.</w:t>
            </w: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A82FA4"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7"/>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7"/>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2FA4">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7"/>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rsidRPr="00AD2B6E">
            <w:pPr>
              <w:bidi w:val="0"/>
              <w:spacing w:after="0" w:line="240" w:lineRule="auto"/>
              <w:rPr>
                <w:rFonts w:ascii="Times" w:hAnsi="Times" w:cs="Times"/>
                <w:sz w:val="20"/>
                <w:szCs w:val="20"/>
              </w:rPr>
            </w:pPr>
            <w:r>
              <w:rPr>
                <w:rFonts w:ascii="Times" w:hAnsi="Times" w:cs="Times"/>
                <w:sz w:val="20"/>
                <w:szCs w:val="20"/>
              </w:rPr>
              <w:t> </w:t>
            </w:r>
            <w:r w:rsidR="001D62E2">
              <w:rPr>
                <w:rFonts w:ascii="Times" w:hAnsi="Times" w:cs="Times"/>
                <w:sz w:val="20"/>
                <w:szCs w:val="20"/>
              </w:rPr>
              <w:t xml:space="preserve"> </w:t>
            </w:r>
            <w:r w:rsidR="001D62E2">
              <w:rPr>
                <w:rFonts w:ascii="Wingdings 2" w:hAnsi="Wingdings 2" w:cs="Times"/>
                <w:sz w:val="20"/>
                <w:szCs w:val="20"/>
              </w:rPr>
              <w:t>S</w:t>
            </w:r>
            <w:r w:rsidR="001D62E2">
              <w:rPr>
                <w:rFonts w:ascii="Times" w:hAnsi="Times" w:cs="Times"/>
                <w:sz w:val="20"/>
                <w:szCs w:val="20"/>
              </w:rPr>
              <w:t xml:space="preserve">     </w:t>
            </w:r>
            <w:r w:rsidRPr="00AD2B6E">
              <w:rPr>
                <w:rFonts w:ascii="Times" w:hAnsi="Times" w:cs="Times"/>
                <w:sz w:val="20"/>
                <w:szCs w:val="20"/>
              </w:rPr>
              <w:t>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rsidP="001D62E2">
            <w:pPr>
              <w:bidi w:val="0"/>
              <w:spacing w:after="0" w:line="240" w:lineRule="auto"/>
              <w:rPr>
                <w:rFonts w:ascii="Times" w:hAnsi="Times" w:cs="Times"/>
                <w:sz w:val="20"/>
                <w:szCs w:val="20"/>
              </w:rPr>
            </w:pPr>
            <w:r>
              <w:rPr>
                <w:rFonts w:ascii="Times" w:hAnsi="Times" w:cs="Times"/>
                <w:sz w:val="20"/>
                <w:szCs w:val="20"/>
              </w:rPr>
              <w:t> </w:t>
            </w:r>
            <w:r w:rsidR="001D62E2">
              <w:rPr>
                <w:rFonts w:ascii="Times" w:hAnsi="Times" w:cs="Times"/>
                <w:sz w:val="20"/>
                <w:szCs w:val="20"/>
              </w:rPr>
              <w:t xml:space="preserve"> </w:t>
            </w:r>
            <w:r w:rsidR="001D62E2">
              <w:rPr>
                <w:rFonts w:ascii="Wingdings 2" w:hAnsi="Wingdings 2" w:cs="Times"/>
                <w:sz w:val="28"/>
                <w:szCs w:val="28"/>
              </w:rPr>
              <w:t>*</w:t>
            </w:r>
            <w:r w:rsidR="001D62E2">
              <w:rPr>
                <w:rFonts w:ascii="Times" w:hAnsi="Times" w:cs="Times"/>
                <w:sz w:val="20"/>
                <w:szCs w:val="20"/>
              </w:rPr>
              <w:t xml:space="preserve">     </w:t>
            </w:r>
            <w:r>
              <w:rPr>
                <w:rFonts w:ascii="Times" w:hAnsi="Times" w:cs="Times"/>
                <w:sz w:val="20"/>
                <w:szCs w:val="20"/>
              </w:rPr>
              <w:t>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7"/>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2FA4">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sidR="003651EF">
              <w:rPr>
                <w:rFonts w:ascii="Times" w:hAnsi="Times" w:cs="Times"/>
                <w:sz w:val="20"/>
                <w:szCs w:val="20"/>
              </w:rPr>
              <w:t xml:space="preserve"> </w:t>
            </w:r>
            <w:r w:rsidR="003651EF">
              <w:rPr>
                <w:rFonts w:ascii="Wingdings 2" w:hAnsi="Wingdings 2" w:cs="Times"/>
                <w:sz w:val="20"/>
                <w:szCs w:val="20"/>
              </w:rPr>
              <w:t>S</w:t>
            </w:r>
            <w:r w:rsidR="007E4D5D">
              <w:rPr>
                <w:rFonts w:ascii="Times" w:hAnsi="Times" w:cs="Times"/>
                <w:sz w:val="20"/>
                <w:szCs w:val="20"/>
              </w:rPr>
              <w:t>   </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rsidP="001D62E2">
            <w:pPr>
              <w:bidi w:val="0"/>
              <w:spacing w:after="0" w:line="240" w:lineRule="auto"/>
              <w:rPr>
                <w:rFonts w:ascii="Times" w:hAnsi="Times" w:cs="Times"/>
                <w:sz w:val="20"/>
                <w:szCs w:val="20"/>
              </w:rPr>
            </w:pPr>
            <w:r>
              <w:rPr>
                <w:rFonts w:ascii="Times" w:hAnsi="Times" w:cs="Times"/>
                <w:sz w:val="20"/>
                <w:szCs w:val="20"/>
              </w:rPr>
              <w:t> </w:t>
            </w:r>
            <w:r w:rsidR="007E4D5D">
              <w:rPr>
                <w:rFonts w:ascii="Times" w:hAnsi="Times" w:cs="Times"/>
                <w:sz w:val="20"/>
                <w:szCs w:val="20"/>
              </w:rPr>
              <w:t xml:space="preserve"> </w:t>
            </w:r>
            <w:r w:rsidR="007E4D5D">
              <w:rPr>
                <w:rFonts w:ascii="Wingdings 2" w:hAnsi="Wingdings 2" w:cs="Times"/>
                <w:sz w:val="20"/>
                <w:szCs w:val="20"/>
              </w:rPr>
              <w:t>S</w:t>
            </w:r>
            <w:r w:rsidR="007E4D5D">
              <w:rPr>
                <w:rFonts w:ascii="Times" w:hAnsi="Times" w:cs="Times"/>
                <w:sz w:val="20"/>
                <w:szCs w:val="20"/>
              </w:rPr>
              <w:t xml:space="preserve"> </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7"/>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sidR="003651EF">
              <w:rPr>
                <w:rFonts w:ascii="Times" w:hAnsi="Times" w:cs="Times"/>
                <w:sz w:val="20"/>
                <w:szCs w:val="20"/>
              </w:rPr>
              <w:t xml:space="preserve"> </w:t>
            </w:r>
            <w:r w:rsidR="003651EF">
              <w:rPr>
                <w:rFonts w:ascii="Wingdings 2" w:hAnsi="Wingdings 2" w:cs="Times"/>
                <w:sz w:val="20"/>
                <w:szCs w:val="20"/>
              </w:rPr>
              <w:t>S</w:t>
            </w:r>
            <w:r w:rsidR="003651EF">
              <w:rPr>
                <w:rFonts w:ascii="Times" w:hAnsi="Times" w:cs="Times"/>
                <w:sz w:val="20"/>
                <w:szCs w:val="20"/>
              </w:rPr>
              <w:t xml:space="preserve">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2FA4">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2FA4">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2FA4">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rsidP="001D62E2">
            <w:pPr>
              <w:bidi w:val="0"/>
              <w:spacing w:after="0" w:line="240" w:lineRule="auto"/>
              <w:rPr>
                <w:rFonts w:ascii="Times" w:hAnsi="Times" w:cs="Times"/>
                <w:sz w:val="20"/>
                <w:szCs w:val="20"/>
              </w:rPr>
            </w:pPr>
            <w:r>
              <w:rPr>
                <w:rFonts w:ascii="Times" w:hAnsi="Times" w:cs="Times"/>
                <w:sz w:val="20"/>
                <w:szCs w:val="20"/>
              </w:rPr>
              <w:t> </w:t>
            </w:r>
            <w:r w:rsidR="00D37A38">
              <w:rPr>
                <w:rFonts w:ascii="Times" w:hAnsi="Times" w:cs="Times"/>
                <w:sz w:val="20"/>
                <w:szCs w:val="20"/>
              </w:rPr>
              <w:t xml:space="preserve"> </w:t>
            </w:r>
            <w:r w:rsidR="00D37A38">
              <w:rPr>
                <w:rFonts w:ascii="Wingdings 2" w:hAnsi="Wingdings 2" w:cs="Times"/>
                <w:sz w:val="20"/>
                <w:szCs w:val="20"/>
              </w:rPr>
              <w:t>S</w:t>
            </w:r>
            <w:r w:rsidR="00D37A38">
              <w:rPr>
                <w:rFonts w:ascii="Times" w:hAnsi="Times" w:cs="Times"/>
                <w:sz w:val="20"/>
                <w:szCs w:val="20"/>
              </w:rPr>
              <w:t xml:space="preserve"> </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sidR="00D37A38">
              <w:rPr>
                <w:rFonts w:ascii="Times" w:hAnsi="Times" w:cs="Times"/>
                <w:sz w:val="20"/>
                <w:szCs w:val="20"/>
              </w:rPr>
              <w:t xml:space="preserve"> </w:t>
            </w:r>
            <w:r w:rsidR="00D37A38">
              <w:rPr>
                <w:rFonts w:ascii="Wingdings 2" w:hAnsi="Wingdings 2" w:cs="Times"/>
                <w:sz w:val="28"/>
                <w:szCs w:val="28"/>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7"/>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2FA4">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br/>
              <w:t> </w:t>
            </w:r>
            <w:r w:rsidR="00D37A38">
              <w:rPr>
                <w:rFonts w:ascii="Times" w:hAnsi="Times" w:cs="Times"/>
                <w:sz w:val="20"/>
                <w:szCs w:val="20"/>
              </w:rPr>
              <w:t xml:space="preserve">  </w:t>
            </w:r>
            <w:r w:rsidR="007E4D5D">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br/>
              <w:t> </w:t>
            </w:r>
            <w:r w:rsidR="007E4D5D">
              <w:rPr>
                <w:rFonts w:ascii="Times" w:hAnsi="Times" w:cs="Times"/>
                <w:sz w:val="20"/>
                <w:szCs w:val="20"/>
              </w:rPr>
              <w:t xml:space="preserve"> </w:t>
            </w:r>
            <w:r w:rsidR="007E4D5D">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7"/>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sidR="00D37A38">
              <w:rPr>
                <w:rFonts w:ascii="Times" w:hAnsi="Times" w:cs="Times"/>
                <w:sz w:val="20"/>
                <w:szCs w:val="20"/>
              </w:rPr>
              <w:t xml:space="preserve">  </w:t>
            </w:r>
            <w:r w:rsidR="007E4D5D">
              <w:rPr>
                <w:rFonts w:ascii="Wingdings 2" w:hAnsi="Wingdings 2" w:cs="Times"/>
                <w:sz w:val="28"/>
                <w:szCs w:val="28"/>
              </w:rPr>
              <w:t>*</w:t>
            </w:r>
            <w:r w:rsidR="00D37A38">
              <w:rPr>
                <w:rFonts w:ascii="Wingdings 2" w:hAnsi="Wingdings 2" w:cs="Times"/>
                <w:sz w:val="20"/>
                <w:szCs w:val="20"/>
              </w:rPr>
              <w:t xml:space="preserve">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w:t>
            </w:r>
            <w:r w:rsidR="00A130D7">
              <w:rPr>
                <w:rFonts w:ascii="Times" w:hAnsi="Times" w:cs="Times"/>
                <w:sz w:val="20"/>
                <w:szCs w:val="20"/>
              </w:rPr>
              <w:t xml:space="preserve"> </w:t>
            </w:r>
            <w:r w:rsidR="00A130D7">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2FA4">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A82FA4"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06E74" w:rsidRPr="007E4D5D" w:rsidP="001D62E2">
            <w:pPr>
              <w:bidi w:val="0"/>
              <w:spacing w:after="0" w:line="240" w:lineRule="auto"/>
              <w:jc w:val="both"/>
              <w:rPr>
                <w:rFonts w:ascii="Times" w:hAnsi="Times" w:cs="Times"/>
                <w:bCs/>
                <w:sz w:val="22"/>
                <w:szCs w:val="22"/>
              </w:rPr>
            </w:pPr>
            <w:r w:rsidRPr="001D62E2" w:rsidR="001D62E2">
              <w:rPr>
                <w:rFonts w:ascii="Times" w:hAnsi="Times" w:cs="Times"/>
                <w:bCs/>
                <w:sz w:val="22"/>
                <w:szCs w:val="22"/>
              </w:rPr>
              <w:t>Finančné krytie návrhu je zabezpečené v rozpočte kapitoly Ministerstvo spravodlivosti Slovenskej republiky.</w:t>
            </w:r>
            <w:r>
              <w:rPr>
                <w:rFonts w:ascii="Times" w:hAnsi="Times" w:cs="Times"/>
                <w:bCs/>
                <w:sz w:val="22"/>
                <w:szCs w:val="22"/>
              </w:rPr>
              <w:t xml:space="preserve"> </w:t>
            </w:r>
            <w:r w:rsidRPr="00406E74">
              <w:rPr>
                <w:rFonts w:ascii="Times" w:hAnsi="Times" w:cs="Times"/>
                <w:bCs/>
                <w:sz w:val="22"/>
                <w:szCs w:val="22"/>
              </w:rPr>
              <w:t xml:space="preserve">Negatívny vplyv na rozpočet </w:t>
            </w:r>
            <w:r>
              <w:rPr>
                <w:rFonts w:ascii="Times" w:hAnsi="Times" w:cs="Times"/>
                <w:bCs/>
                <w:sz w:val="22"/>
                <w:szCs w:val="22"/>
              </w:rPr>
              <w:t>súvisiaci s</w:t>
            </w:r>
            <w:r w:rsidRPr="00406E74">
              <w:rPr>
                <w:rFonts w:ascii="Times" w:hAnsi="Times" w:cs="Times"/>
                <w:bCs/>
                <w:sz w:val="22"/>
                <w:szCs w:val="22"/>
              </w:rPr>
              <w:t xml:space="preserve"> vypusten</w:t>
            </w:r>
            <w:r>
              <w:rPr>
                <w:rFonts w:ascii="Times" w:hAnsi="Times" w:cs="Times"/>
                <w:bCs/>
                <w:sz w:val="22"/>
                <w:szCs w:val="22"/>
              </w:rPr>
              <w:t>ím</w:t>
            </w:r>
            <w:r w:rsidRPr="00406E74">
              <w:rPr>
                <w:rFonts w:ascii="Times" w:hAnsi="Times" w:cs="Times"/>
                <w:bCs/>
                <w:sz w:val="22"/>
                <w:szCs w:val="22"/>
              </w:rPr>
              <w:t xml:space="preserve"> poplatkov za elektronické poskytovanie listín a potvrdení v oblasti príjmov kapitoly Všeobecná pokladničná správa nie je možné kvantifikovať.</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84ECD" w:rsidRPr="00984ECD" w:rsidP="00984ECD">
            <w:pPr>
              <w:bidi w:val="0"/>
              <w:spacing w:after="0" w:line="240" w:lineRule="auto"/>
              <w:rPr>
                <w:rFonts w:ascii="Times New Roman" w:hAnsi="Times New Roman" w:eastAsiaTheme="minorEastAsia" w:hint="default"/>
                <w:noProof/>
                <w:sz w:val="20"/>
                <w:szCs w:val="20"/>
              </w:rPr>
            </w:pPr>
            <w:r w:rsidRPr="00984ECD">
              <w:rPr>
                <w:rFonts w:ascii="Times New Roman" w:hAnsi="Times New Roman" w:eastAsiaTheme="minorEastAsia" w:hint="default"/>
                <w:noProof/>
                <w:sz w:val="20"/>
                <w:szCs w:val="20"/>
              </w:rPr>
              <w:t>JUDr. Viera Gaschová</w:t>
            </w:r>
            <w:r w:rsidRPr="00984ECD">
              <w:rPr>
                <w:rFonts w:ascii="Times New Roman" w:hAnsi="Times New Roman" w:eastAsiaTheme="minorEastAsia" w:hint="default"/>
                <w:noProof/>
                <w:sz w:val="20"/>
                <w:szCs w:val="20"/>
              </w:rPr>
              <w:t xml:space="preserve"> Bač</w:t>
            </w:r>
            <w:r w:rsidRPr="00984ECD">
              <w:rPr>
                <w:rFonts w:ascii="Times New Roman" w:hAnsi="Times New Roman" w:eastAsiaTheme="minorEastAsia" w:hint="default"/>
                <w:noProof/>
                <w:sz w:val="20"/>
                <w:szCs w:val="20"/>
              </w:rPr>
              <w:t>ová</w:t>
            </w:r>
          </w:p>
          <w:p w:rsidR="00984ECD" w:rsidRPr="00984ECD" w:rsidP="00984ECD">
            <w:pPr>
              <w:bidi w:val="0"/>
              <w:spacing w:after="0" w:line="240" w:lineRule="auto"/>
              <w:rPr>
                <w:rFonts w:ascii="Times New Roman" w:hAnsi="Times New Roman" w:eastAsiaTheme="minorEastAsia" w:hint="default"/>
                <w:noProof/>
                <w:sz w:val="20"/>
                <w:szCs w:val="20"/>
              </w:rPr>
            </w:pPr>
            <w:r w:rsidRPr="00984ECD">
              <w:rPr>
                <w:rFonts w:ascii="Times New Roman" w:hAnsi="Times New Roman" w:eastAsiaTheme="minorEastAsia" w:hint="default"/>
                <w:noProof/>
                <w:sz w:val="20"/>
                <w:szCs w:val="20"/>
              </w:rPr>
              <w:t>Odbor legislatí</w:t>
            </w:r>
            <w:r w:rsidRPr="00984ECD">
              <w:rPr>
                <w:rFonts w:ascii="Times New Roman" w:hAnsi="Times New Roman" w:eastAsiaTheme="minorEastAsia" w:hint="default"/>
                <w:noProof/>
                <w:sz w:val="20"/>
                <w:szCs w:val="20"/>
              </w:rPr>
              <w:t>vy obč</w:t>
            </w:r>
            <w:r w:rsidRPr="00984ECD">
              <w:rPr>
                <w:rFonts w:ascii="Times New Roman" w:hAnsi="Times New Roman" w:eastAsiaTheme="minorEastAsia" w:hint="default"/>
                <w:noProof/>
                <w:sz w:val="20"/>
                <w:szCs w:val="20"/>
              </w:rPr>
              <w:t>ianskeho a </w:t>
            </w:r>
            <w:r w:rsidRPr="00984ECD">
              <w:rPr>
                <w:rFonts w:ascii="Times New Roman" w:hAnsi="Times New Roman" w:eastAsiaTheme="minorEastAsia" w:hint="default"/>
                <w:noProof/>
                <w:sz w:val="20"/>
                <w:szCs w:val="20"/>
              </w:rPr>
              <w:t>obchodné</w:t>
            </w:r>
            <w:r w:rsidRPr="00984ECD">
              <w:rPr>
                <w:rFonts w:ascii="Times New Roman" w:hAnsi="Times New Roman" w:eastAsiaTheme="minorEastAsia" w:hint="default"/>
                <w:noProof/>
                <w:sz w:val="20"/>
                <w:szCs w:val="20"/>
              </w:rPr>
              <w:t>ho prá</w:t>
            </w:r>
            <w:r w:rsidRPr="00984ECD">
              <w:rPr>
                <w:rFonts w:ascii="Times New Roman" w:hAnsi="Times New Roman" w:eastAsiaTheme="minorEastAsia" w:hint="default"/>
                <w:noProof/>
                <w:sz w:val="20"/>
                <w:szCs w:val="20"/>
              </w:rPr>
              <w:t xml:space="preserve">va </w:t>
            </w:r>
          </w:p>
          <w:p w:rsidR="00984ECD" w:rsidRPr="00984ECD" w:rsidP="00984ECD">
            <w:pPr>
              <w:bidi w:val="0"/>
              <w:spacing w:after="0" w:line="240" w:lineRule="auto"/>
              <w:rPr>
                <w:rFonts w:ascii="Times New Roman" w:hAnsi="Times New Roman" w:eastAsiaTheme="minorEastAsia" w:hint="default"/>
                <w:noProof/>
                <w:sz w:val="20"/>
                <w:szCs w:val="20"/>
              </w:rPr>
            </w:pPr>
            <w:r w:rsidRPr="00984ECD">
              <w:rPr>
                <w:rFonts w:ascii="Times New Roman" w:hAnsi="Times New Roman" w:eastAsiaTheme="minorEastAsia" w:hint="default"/>
                <w:noProof/>
                <w:sz w:val="20"/>
                <w:szCs w:val="20"/>
              </w:rPr>
              <w:t>Ministerstvo spravodlivosti Slovenskej republiky</w:t>
            </w:r>
          </w:p>
          <w:p w:rsidR="00984ECD" w:rsidRPr="00984ECD" w:rsidP="00984ECD">
            <w:pPr>
              <w:bidi w:val="0"/>
              <w:spacing w:after="0" w:line="240" w:lineRule="auto"/>
              <w:rPr>
                <w:rFonts w:ascii="Times New Roman" w:hAnsi="Times New Roman" w:eastAsiaTheme="minorEastAsia" w:hint="default"/>
                <w:noProof/>
                <w:sz w:val="20"/>
                <w:szCs w:val="20"/>
              </w:rPr>
            </w:pPr>
            <w:r w:rsidRPr="00984ECD">
              <w:rPr>
                <w:rFonts w:ascii="Times New Roman" w:hAnsi="Times New Roman" w:eastAsiaTheme="minorEastAsia" w:hint="default"/>
                <w:noProof/>
                <w:sz w:val="20"/>
                <w:szCs w:val="20"/>
              </w:rPr>
              <w:t>Tel.: 02/ 888 91 143</w:t>
            </w:r>
          </w:p>
          <w:p w:rsidR="00984ECD" w:rsidRPr="00984ECD" w:rsidP="00984ECD">
            <w:pPr>
              <w:bidi w:val="0"/>
              <w:spacing w:after="0" w:line="240" w:lineRule="auto"/>
              <w:rPr>
                <w:rFonts w:ascii="Times New Roman" w:hAnsi="Times New Roman" w:eastAsiaTheme="minorEastAsia" w:hint="default"/>
                <w:noProof/>
                <w:sz w:val="20"/>
                <w:szCs w:val="20"/>
              </w:rPr>
            </w:pPr>
            <w:r w:rsidRPr="00984ECD">
              <w:rPr>
                <w:rFonts w:ascii="Times New Roman" w:hAnsi="Times New Roman" w:eastAsiaTheme="minorEastAsia" w:hint="default"/>
                <w:noProof/>
                <w:sz w:val="20"/>
                <w:szCs w:val="20"/>
              </w:rPr>
              <w:t>Fax: 02/ 888 91 606</w:t>
            </w:r>
          </w:p>
          <w:p w:rsidR="00984ECD" w:rsidRPr="00984ECD" w:rsidP="00984ECD">
            <w:pPr>
              <w:bidi w:val="0"/>
              <w:spacing w:after="0" w:line="240" w:lineRule="auto"/>
              <w:rPr>
                <w:rFonts w:ascii="Times New Roman" w:hAnsi="Times New Roman" w:eastAsiaTheme="minorEastAsia"/>
                <w:noProof/>
                <w:sz w:val="20"/>
                <w:szCs w:val="20"/>
              </w:rPr>
            </w:pPr>
            <w:r w:rsidRPr="00984ECD">
              <w:rPr>
                <w:rFonts w:ascii="Times New Roman" w:hAnsi="Times New Roman" w:eastAsiaTheme="minorEastAsia" w:hint="default"/>
                <w:noProof/>
                <w:sz w:val="20"/>
                <w:szCs w:val="20"/>
              </w:rPr>
              <w:t xml:space="preserve">Mail: </w:t>
            </w:r>
            <w:hyperlink r:id="rId5" w:history="1">
              <w:r w:rsidRPr="00984ECD">
                <w:rPr>
                  <w:rStyle w:val="Hyperlink"/>
                  <w:rFonts w:ascii="Times New Roman" w:hAnsi="Times New Roman" w:eastAsiaTheme="minorEastAsia"/>
                  <w:noProof/>
                  <w:sz w:val="20"/>
                  <w:szCs w:val="20"/>
                </w:rPr>
                <w:t>vierka.</w:t>
              </w:r>
              <w:r w:rsidRPr="00984ECD">
                <w:rPr>
                  <w:rStyle w:val="Hyperlink"/>
                  <w:rFonts w:ascii="Times New Roman" w:hAnsi="Times New Roman" w:eastAsiaTheme="minorEastAsia"/>
                  <w:noProof/>
                  <w:sz w:val="20"/>
                  <w:szCs w:val="20"/>
                </w:rPr>
                <w:t>bacova@justice.sk</w:t>
              </w:r>
            </w:hyperlink>
          </w:p>
          <w:p w:rsidR="00A82FA4" w:rsidRPr="00B44DE3">
            <w:pPr>
              <w:bidi w:val="0"/>
              <w:spacing w:after="0" w:line="240" w:lineRule="auto"/>
              <w:rPr>
                <w:rFonts w:ascii="Times" w:hAnsi="Times" w:cs="Times"/>
                <w:color w:val="FF0000"/>
                <w:sz w:val="20"/>
                <w:szCs w:val="20"/>
              </w:rPr>
            </w:pP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82FA4">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2FA4">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2"/>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E025A4" w:rsidP="003651EF">
            <w:pPr>
              <w:bidi w:val="0"/>
              <w:spacing w:after="0" w:line="240" w:lineRule="auto"/>
              <w:jc w:val="both"/>
              <w:rPr>
                <w:rFonts w:ascii="Times New Roman" w:hAnsi="Times New Roman"/>
                <w:sz w:val="22"/>
                <w:szCs w:val="22"/>
              </w:rPr>
            </w:pPr>
          </w:p>
          <w:p w:rsidR="00A82FA4" w:rsidRPr="00E025A4" w:rsidP="003651EF">
            <w:pPr>
              <w:bidi w:val="0"/>
              <w:spacing w:after="0" w:line="240" w:lineRule="auto"/>
              <w:jc w:val="both"/>
              <w:rPr>
                <w:rFonts w:ascii="Times New Roman" w:hAnsi="Times New Roman"/>
                <w:sz w:val="22"/>
                <w:szCs w:val="22"/>
              </w:rPr>
            </w:pPr>
            <w:r w:rsidRPr="00E025A4" w:rsidR="00A130D7">
              <w:rPr>
                <w:rFonts w:ascii="Times New Roman" w:hAnsi="Times New Roman"/>
                <w:sz w:val="22"/>
                <w:szCs w:val="22"/>
              </w:rPr>
              <w:t xml:space="preserve">Návrh zákona bol predložený na predbežné pripomienkové konanie dňa 11. januára 2017. Stála pracovná komisia Legislatívnej rady vlády Slovenskej republiky na posudzovanie vybraných vplyvov </w:t>
            </w:r>
            <w:r w:rsidRPr="00E025A4" w:rsidR="003651EF">
              <w:rPr>
                <w:rFonts w:ascii="Times New Roman" w:hAnsi="Times New Roman"/>
                <w:sz w:val="22"/>
                <w:szCs w:val="22"/>
              </w:rPr>
              <w:t xml:space="preserve">zaslala dňa 25. </w:t>
            </w:r>
            <w:r w:rsidRPr="00E025A4" w:rsidR="00464788">
              <w:rPr>
                <w:rFonts w:ascii="Times New Roman" w:hAnsi="Times New Roman"/>
                <w:sz w:val="22"/>
                <w:szCs w:val="22"/>
              </w:rPr>
              <w:t>j</w:t>
            </w:r>
            <w:r w:rsidRPr="00E025A4" w:rsidR="003651EF">
              <w:rPr>
                <w:rFonts w:ascii="Times New Roman" w:hAnsi="Times New Roman"/>
                <w:sz w:val="22"/>
                <w:szCs w:val="22"/>
              </w:rPr>
              <w:t>anuára 2017 k  predloženému materiálu stanovisko, v ktorom si uplatnila:</w:t>
            </w:r>
          </w:p>
          <w:p w:rsidR="003651EF" w:rsidRPr="00E025A4" w:rsidP="003651EF">
            <w:pPr>
              <w:tabs>
                <w:tab w:val="center" w:pos="6379"/>
              </w:tabs>
              <w:bidi w:val="0"/>
              <w:spacing w:after="0" w:line="240" w:lineRule="auto"/>
              <w:ind w:right="-2"/>
              <w:jc w:val="both"/>
              <w:rPr>
                <w:rFonts w:ascii="Times New Roman" w:hAnsi="Times New Roman"/>
                <w:sz w:val="22"/>
                <w:szCs w:val="22"/>
              </w:rPr>
            </w:pPr>
            <w:r w:rsidRPr="00E025A4">
              <w:rPr>
                <w:rFonts w:ascii="Times New Roman" w:hAnsi="Times New Roman"/>
                <w:sz w:val="22"/>
                <w:szCs w:val="22"/>
              </w:rPr>
              <w:t xml:space="preserve">„Stála pracovná komisia na posudzovanie vybraných vplyvov vyjadruje </w:t>
            </w:r>
            <w:r w:rsidRPr="00E025A4">
              <w:rPr>
                <w:rFonts w:ascii="Times New Roman" w:hAnsi="Times New Roman"/>
                <w:sz w:val="22"/>
                <w:szCs w:val="22"/>
                <w:u w:val="single"/>
              </w:rPr>
              <w:t>nesúhlasné stanovisko</w:t>
            </w:r>
            <w:r w:rsidRPr="00E025A4">
              <w:rPr>
                <w:rFonts w:ascii="Times New Roman" w:hAnsi="Times New Roman"/>
                <w:sz w:val="22"/>
                <w:szCs w:val="22"/>
              </w:rPr>
              <w:t xml:space="preserve"> s materiálom predloženým na predbežné pripomienkové konanie s odporúčaním na jeho dopracovanie podľa pripomienok v bode II.“</w:t>
            </w:r>
          </w:p>
          <w:p w:rsidR="003651EF" w:rsidRPr="00E025A4" w:rsidP="003651EF">
            <w:pPr>
              <w:bidi w:val="0"/>
              <w:spacing w:after="200" w:line="276" w:lineRule="auto"/>
              <w:rPr>
                <w:rFonts w:ascii="Times New Roman" w:hAnsi="Times New Roman"/>
                <w:sz w:val="22"/>
                <w:szCs w:val="22"/>
              </w:rPr>
            </w:pPr>
            <w:r w:rsidRPr="00E025A4">
              <w:rPr>
                <w:rFonts w:ascii="Times New Roman" w:hAnsi="Times New Roman"/>
                <w:sz w:val="22"/>
                <w:szCs w:val="22"/>
              </w:rPr>
              <w:t>Pripomienky:</w:t>
            </w:r>
          </w:p>
          <w:p w:rsidR="003651EF" w:rsidRPr="00E025A4" w:rsidP="003651EF">
            <w:pPr>
              <w:bidi w:val="0"/>
              <w:spacing w:after="200" w:line="276" w:lineRule="auto"/>
              <w:rPr>
                <w:rFonts w:ascii="Times New Roman" w:hAnsi="Times New Roman"/>
                <w:sz w:val="22"/>
                <w:szCs w:val="22"/>
              </w:rPr>
            </w:pPr>
            <w:r w:rsidRPr="00E025A4">
              <w:rPr>
                <w:rFonts w:ascii="Times New Roman" w:hAnsi="Times New Roman"/>
                <w:sz w:val="22"/>
                <w:szCs w:val="22"/>
                <w:u w:val="single"/>
              </w:rPr>
              <w:t>K doložke vybraných vplyvov</w:t>
            </w:r>
            <w:r w:rsidRPr="00E025A4">
              <w:rPr>
                <w:rFonts w:ascii="Times New Roman" w:hAnsi="Times New Roman"/>
                <w:sz w:val="22"/>
                <w:szCs w:val="22"/>
              </w:rPr>
              <w:t>: Komisia odporúča predkladateľovi, aby v doložke vybraných vplyvov vyznačil predpokladaný termín predloženia materiálu na MPK a rokovanie vlády SR.</w:t>
            </w:r>
          </w:p>
          <w:p w:rsidR="003651EF" w:rsidRPr="00E025A4" w:rsidP="003651EF">
            <w:pPr>
              <w:bidi w:val="0"/>
              <w:spacing w:after="200" w:line="276" w:lineRule="auto"/>
              <w:rPr>
                <w:rFonts w:ascii="Times New Roman" w:hAnsi="Times New Roman"/>
                <w:sz w:val="22"/>
                <w:szCs w:val="22"/>
                <w:u w:val="single"/>
              </w:rPr>
            </w:pPr>
          </w:p>
          <w:p w:rsidR="003651EF" w:rsidRPr="00E025A4" w:rsidP="003651EF">
            <w:pPr>
              <w:tabs>
                <w:tab w:val="center" w:pos="6379"/>
              </w:tabs>
              <w:bidi w:val="0"/>
              <w:spacing w:after="0" w:line="240" w:lineRule="auto"/>
              <w:ind w:right="-2"/>
              <w:jc w:val="both"/>
              <w:rPr>
                <w:rFonts w:ascii="Times New Roman" w:hAnsi="Times New Roman"/>
                <w:sz w:val="22"/>
                <w:szCs w:val="22"/>
              </w:rPr>
            </w:pPr>
            <w:r w:rsidRPr="00E025A4">
              <w:rPr>
                <w:rFonts w:ascii="Times New Roman" w:hAnsi="Times New Roman"/>
                <w:sz w:val="22"/>
                <w:szCs w:val="22"/>
                <w:u w:val="single"/>
              </w:rPr>
              <w:t>K vplyvom na podnikateľské prostredie:</w:t>
            </w:r>
            <w:r w:rsidRPr="00E025A4">
              <w:rPr>
                <w:rFonts w:ascii="Arial" w:hAnsi="Arial" w:cs="Arial"/>
                <w:b/>
                <w:bCs/>
                <w:sz w:val="22"/>
                <w:szCs w:val="22"/>
              </w:rPr>
              <w:t xml:space="preserve"> </w:t>
            </w:r>
            <w:r w:rsidRPr="00E025A4">
              <w:rPr>
                <w:rFonts w:ascii="Times New Roman" w:hAnsi="Times New Roman"/>
                <w:sz w:val="22"/>
                <w:szCs w:val="22"/>
              </w:rPr>
              <w:t>Komisia považuje za potrebné, aby predkladateľ vyznačil existenciu vplyvov na podnikateľské prostredie, vrátane malých a stredných podnikov, v Doložke vybraných vplyvov a zároveň priložil Analýzu vplyvov na podnikateľské prostredie, v ktorej aspoň kvalitatívne vymedzí vplyv predpisu na podnikateľské subjekty.</w:t>
            </w:r>
          </w:p>
          <w:p w:rsidR="003651EF" w:rsidRPr="00E025A4" w:rsidP="003651EF">
            <w:pPr>
              <w:tabs>
                <w:tab w:val="center" w:pos="6379"/>
              </w:tabs>
              <w:bidi w:val="0"/>
              <w:spacing w:after="0" w:line="240" w:lineRule="auto"/>
              <w:ind w:right="-2"/>
              <w:jc w:val="both"/>
              <w:rPr>
                <w:rFonts w:ascii="Arial" w:hAnsi="Arial" w:cs="Arial"/>
                <w:bCs/>
                <w:sz w:val="22"/>
                <w:szCs w:val="22"/>
              </w:rPr>
            </w:pPr>
          </w:p>
          <w:p w:rsidR="003651EF" w:rsidRPr="00E025A4" w:rsidP="003651EF">
            <w:pPr>
              <w:tabs>
                <w:tab w:val="center" w:pos="6379"/>
              </w:tabs>
              <w:bidi w:val="0"/>
              <w:spacing w:after="0" w:line="240" w:lineRule="auto"/>
              <w:ind w:right="-2"/>
              <w:jc w:val="both"/>
              <w:rPr>
                <w:rFonts w:ascii="Times New Roman" w:hAnsi="Times New Roman"/>
                <w:sz w:val="22"/>
                <w:szCs w:val="22"/>
              </w:rPr>
            </w:pPr>
            <w:r w:rsidRPr="00E025A4">
              <w:rPr>
                <w:rFonts w:ascii="Times New Roman" w:hAnsi="Times New Roman"/>
                <w:sz w:val="22"/>
                <w:szCs w:val="22"/>
              </w:rPr>
              <w:t>Komisia navrhuje nasledovné stručné zachytenie vplyvu na podnikateľské prostredie, ktoré sprehľadňuje reálne vplyvy predloženého materiálu.</w:t>
            </w:r>
          </w:p>
          <w:p w:rsidR="003651EF" w:rsidRPr="00E025A4" w:rsidP="003651EF">
            <w:pPr>
              <w:tabs>
                <w:tab w:val="center" w:pos="6379"/>
              </w:tabs>
              <w:bidi w:val="0"/>
              <w:spacing w:after="0" w:line="240" w:lineRule="auto"/>
              <w:ind w:right="-2"/>
              <w:jc w:val="both"/>
              <w:rPr>
                <w:rFonts w:ascii="Times New Roman" w:hAnsi="Times New Roman"/>
                <w:sz w:val="22"/>
                <w:szCs w:val="22"/>
              </w:rPr>
            </w:pPr>
          </w:p>
          <w:p w:rsidR="003651EF" w:rsidRPr="00E025A4" w:rsidP="003651EF">
            <w:pPr>
              <w:numPr>
                <w:numId w:val="1"/>
              </w:numPr>
              <w:suppressAutoHyphens/>
              <w:bidi w:val="0"/>
              <w:spacing w:after="0" w:line="100" w:lineRule="atLeast"/>
              <w:ind w:right="-2"/>
              <w:jc w:val="both"/>
              <w:rPr>
                <w:rFonts w:ascii="Times New Roman" w:hAnsi="Times New Roman"/>
                <w:sz w:val="22"/>
                <w:szCs w:val="22"/>
              </w:rPr>
            </w:pPr>
            <w:r w:rsidRPr="00E025A4">
              <w:rPr>
                <w:rFonts w:ascii="Times New Roman" w:hAnsi="Times New Roman"/>
                <w:sz w:val="22"/>
                <w:szCs w:val="22"/>
              </w:rPr>
              <w:t>§ 12 ods. 3 novely zákona ruší súdny poplatok za poskytnutie potvrdenia o neexistencií určitého zápisu v obchodnom registri, čím dochádza k zníženiu priamych finančných nákladov pre dotknuté podnikateľské subjekty.</w:t>
            </w:r>
          </w:p>
          <w:p w:rsidR="003651EF" w:rsidRPr="00E025A4" w:rsidP="003651EF">
            <w:pPr>
              <w:numPr>
                <w:numId w:val="1"/>
              </w:numPr>
              <w:suppressAutoHyphens/>
              <w:bidi w:val="0"/>
              <w:spacing w:after="0" w:line="100" w:lineRule="atLeast"/>
              <w:ind w:right="-2"/>
              <w:jc w:val="both"/>
              <w:rPr>
                <w:rFonts w:ascii="Times New Roman" w:hAnsi="Times New Roman"/>
                <w:sz w:val="22"/>
                <w:szCs w:val="22"/>
              </w:rPr>
            </w:pPr>
            <w:r w:rsidRPr="00E025A4">
              <w:rPr>
                <w:rFonts w:ascii="Times New Roman" w:hAnsi="Times New Roman"/>
                <w:sz w:val="22"/>
                <w:szCs w:val="22"/>
              </w:rPr>
              <w:t>§ 12 ods. 6 novely zákona ruší súdny poplatok za vydanie elektronickej podoby uloženej listiny a tiež za vydanie elektronickej podoby potvrdenia o tom, že určitá listina nie je uložená v zbierke listín, čím dochádza k zníženiu priamych finančných nákladov pre dotknuté podnikateľské subjekty.</w:t>
            </w:r>
          </w:p>
          <w:p w:rsidR="003651EF" w:rsidRPr="00E025A4" w:rsidP="003651EF">
            <w:pPr>
              <w:tabs>
                <w:tab w:val="center" w:pos="6379"/>
              </w:tabs>
              <w:bidi w:val="0"/>
              <w:spacing w:after="0" w:line="240" w:lineRule="auto"/>
              <w:ind w:right="-2"/>
              <w:jc w:val="both"/>
              <w:rPr>
                <w:rFonts w:ascii="Times New Roman" w:hAnsi="Times New Roman"/>
                <w:sz w:val="22"/>
                <w:szCs w:val="22"/>
                <w:u w:val="single"/>
              </w:rPr>
            </w:pPr>
          </w:p>
          <w:p w:rsidR="003651EF" w:rsidRPr="00E025A4" w:rsidP="003651EF">
            <w:pPr>
              <w:tabs>
                <w:tab w:val="center" w:pos="6379"/>
              </w:tabs>
              <w:bidi w:val="0"/>
              <w:spacing w:after="0" w:line="240" w:lineRule="auto"/>
              <w:ind w:right="-2"/>
              <w:jc w:val="both"/>
              <w:rPr>
                <w:rFonts w:ascii="Times New Roman" w:hAnsi="Times New Roman"/>
                <w:sz w:val="22"/>
                <w:szCs w:val="22"/>
                <w:u w:val="single"/>
              </w:rPr>
            </w:pPr>
            <w:r w:rsidRPr="00E025A4">
              <w:rPr>
                <w:rFonts w:ascii="Times New Roman" w:hAnsi="Times New Roman"/>
                <w:sz w:val="22"/>
                <w:szCs w:val="22"/>
                <w:u w:val="single"/>
              </w:rPr>
              <w:t>K analýze vplyvov na informatizáciu:</w:t>
            </w:r>
          </w:p>
          <w:p w:rsidR="003651EF" w:rsidRPr="00E025A4" w:rsidP="003651EF">
            <w:pPr>
              <w:tabs>
                <w:tab w:val="center" w:pos="6379"/>
              </w:tabs>
              <w:bidi w:val="0"/>
              <w:spacing w:after="0" w:line="240" w:lineRule="auto"/>
              <w:ind w:right="-2"/>
              <w:jc w:val="both"/>
              <w:rPr>
                <w:rFonts w:ascii="Times New Roman" w:hAnsi="Times New Roman"/>
                <w:sz w:val="22"/>
                <w:szCs w:val="22"/>
              </w:rPr>
            </w:pPr>
            <w:r w:rsidRPr="00E025A4">
              <w:rPr>
                <w:rFonts w:ascii="Times New Roman" w:hAnsi="Times New Roman"/>
                <w:sz w:val="22"/>
                <w:szCs w:val="22"/>
              </w:rPr>
              <w:t xml:space="preserve">Komisia žiada predkladateľa, aby v rámci analýzy vplyvov na IS opísal použitie prostriedkov, ktoré deklaroval v analýze vplyvov na rozpočet VS: </w:t>
            </w:r>
          </w:p>
          <w:p w:rsidR="003651EF" w:rsidRPr="00E025A4" w:rsidP="003651EF">
            <w:pPr>
              <w:tabs>
                <w:tab w:val="center" w:pos="6379"/>
              </w:tabs>
              <w:bidi w:val="0"/>
              <w:spacing w:after="0" w:line="240" w:lineRule="auto"/>
              <w:ind w:right="-2"/>
              <w:jc w:val="both"/>
              <w:rPr>
                <w:rFonts w:ascii="Times New Roman" w:hAnsi="Times New Roman"/>
                <w:sz w:val="22"/>
                <w:szCs w:val="22"/>
              </w:rPr>
            </w:pPr>
            <w:r w:rsidRPr="00E025A4">
              <w:rPr>
                <w:rFonts w:ascii="Times New Roman" w:hAnsi="Times New Roman"/>
                <w:sz w:val="22"/>
                <w:szCs w:val="22"/>
              </w:rPr>
              <w:t>„Návrh vyvoláva požiadavku na zmenu informačného systému Obchodný register s odhadovaným celkovým vplyvom na rozpočet vo výške 1 603 523 eur, z toho softvér v sume 1 584 000 eur (2200 človekodní á 600 eur bez DPH), hardvér v sume 18 000 eur (1 server) a SW licencia v sume 1 523 eur.“</w:t>
            </w:r>
          </w:p>
          <w:p w:rsidR="003651EF" w:rsidRPr="00E025A4" w:rsidP="00464788">
            <w:pPr>
              <w:tabs>
                <w:tab w:val="center" w:pos="6379"/>
              </w:tabs>
              <w:bidi w:val="0"/>
              <w:spacing w:after="0" w:line="240" w:lineRule="auto"/>
              <w:ind w:right="-2"/>
              <w:jc w:val="both"/>
              <w:rPr>
                <w:rFonts w:ascii="Times New Roman" w:hAnsi="Times New Roman"/>
                <w:sz w:val="22"/>
                <w:szCs w:val="22"/>
                <w:u w:val="single"/>
              </w:rPr>
            </w:pPr>
          </w:p>
          <w:p w:rsidR="00464788" w:rsidRPr="00E025A4" w:rsidP="00464788">
            <w:pPr>
              <w:tabs>
                <w:tab w:val="center" w:pos="6379"/>
              </w:tabs>
              <w:bidi w:val="0"/>
              <w:spacing w:after="0" w:line="240" w:lineRule="auto"/>
              <w:ind w:right="-2"/>
              <w:jc w:val="both"/>
              <w:rPr>
                <w:rFonts w:ascii="Times New Roman" w:hAnsi="Times New Roman"/>
                <w:sz w:val="22"/>
                <w:szCs w:val="22"/>
                <w:u w:val="single"/>
              </w:rPr>
            </w:pPr>
            <w:r w:rsidRPr="00E025A4">
              <w:rPr>
                <w:rFonts w:ascii="Times New Roman" w:hAnsi="Times New Roman"/>
                <w:sz w:val="22"/>
                <w:szCs w:val="22"/>
                <w:u w:val="single"/>
              </w:rPr>
              <w:t>K analýze sociálnych vplyvov:</w:t>
            </w:r>
            <w:r w:rsidRPr="00E025A4">
              <w:rPr>
                <w:rFonts w:ascii="Times New Roman" w:hAnsi="Times New Roman"/>
                <w:sz w:val="22"/>
                <w:szCs w:val="22"/>
              </w:rPr>
              <w:t xml:space="preserve"> V analýze sociálnych vplyvov v súlade s metodickým postupom pre analýzu sociálnych vplyvov odporúča Komisia bez náhrady vypustiť hodnotenie uvedené v bode 4.1 tejto analýzy a ponechať len hodnotenie v bode 4.2.</w:t>
            </w:r>
          </w:p>
          <w:p w:rsidR="00464788" w:rsidRPr="00E025A4" w:rsidP="00464788">
            <w:pPr>
              <w:tabs>
                <w:tab w:val="center" w:pos="6379"/>
              </w:tabs>
              <w:suppressAutoHyphens/>
              <w:bidi w:val="0"/>
              <w:spacing w:after="0" w:line="100" w:lineRule="atLeast"/>
              <w:ind w:right="-2"/>
              <w:jc w:val="both"/>
              <w:rPr>
                <w:rFonts w:ascii="Times New Roman" w:hAnsi="Times New Roman"/>
                <w:sz w:val="22"/>
                <w:szCs w:val="22"/>
              </w:rPr>
            </w:pPr>
          </w:p>
          <w:p w:rsidR="00464788" w:rsidRPr="00E025A4" w:rsidP="00464788">
            <w:pPr>
              <w:tabs>
                <w:tab w:val="center" w:pos="6379"/>
              </w:tabs>
              <w:suppressAutoHyphens/>
              <w:bidi w:val="0"/>
              <w:spacing w:after="0" w:line="100" w:lineRule="atLeast"/>
              <w:ind w:right="-2"/>
              <w:jc w:val="both"/>
              <w:rPr>
                <w:rFonts w:ascii="Times New Roman" w:hAnsi="Times New Roman"/>
                <w:sz w:val="22"/>
                <w:szCs w:val="22"/>
              </w:rPr>
            </w:pPr>
            <w:r w:rsidRPr="00E025A4">
              <w:rPr>
                <w:rFonts w:ascii="Times New Roman" w:hAnsi="Times New Roman"/>
                <w:sz w:val="22"/>
                <w:szCs w:val="22"/>
              </w:rPr>
              <w:t>Predkladateľ zapracoval  pripomienky a odporúčania na úpravu uvedené v bode II stanoviska Komisie.</w:t>
            </w:r>
          </w:p>
          <w:p w:rsidR="003651EF" w:rsidRPr="00464788" w:rsidP="00464788">
            <w:pPr>
              <w:tabs>
                <w:tab w:val="center" w:pos="6379"/>
              </w:tabs>
              <w:bidi w:val="0"/>
              <w:spacing w:after="0" w:line="240" w:lineRule="auto"/>
              <w:ind w:right="-2"/>
              <w:jc w:val="both"/>
              <w:rPr>
                <w:rFonts w:ascii="Times New Roman" w:hAnsi="Times New Roman"/>
              </w:rPr>
            </w:pP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Wingdings 2">
    <w:panose1 w:val="00000000000000000000"/>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172EF"/>
    <w:multiLevelType w:val="hybridMultilevel"/>
    <w:tmpl w:val="02BC1D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0702"/>
    <w:rsid w:val="00041DE9"/>
    <w:rsid w:val="00042608"/>
    <w:rsid w:val="000457DA"/>
    <w:rsid w:val="00052109"/>
    <w:rsid w:val="0005425E"/>
    <w:rsid w:val="00062B7D"/>
    <w:rsid w:val="00065A30"/>
    <w:rsid w:val="000665C2"/>
    <w:rsid w:val="00071BF8"/>
    <w:rsid w:val="0007385D"/>
    <w:rsid w:val="000772D7"/>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1313"/>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4D02"/>
    <w:rsid w:val="001C561A"/>
    <w:rsid w:val="001C72B9"/>
    <w:rsid w:val="001D0486"/>
    <w:rsid w:val="001D16F9"/>
    <w:rsid w:val="001D1DD8"/>
    <w:rsid w:val="001D2927"/>
    <w:rsid w:val="001D376D"/>
    <w:rsid w:val="001D4C67"/>
    <w:rsid w:val="001D62E2"/>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04D63"/>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51EF"/>
    <w:rsid w:val="00366FF3"/>
    <w:rsid w:val="003716E6"/>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06E74"/>
    <w:rsid w:val="00411217"/>
    <w:rsid w:val="00412989"/>
    <w:rsid w:val="00412C4F"/>
    <w:rsid w:val="00413805"/>
    <w:rsid w:val="00414253"/>
    <w:rsid w:val="004168C2"/>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4788"/>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02"/>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5EBE"/>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86154"/>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60C"/>
    <w:rsid w:val="00717BE9"/>
    <w:rsid w:val="007215D2"/>
    <w:rsid w:val="00721DBB"/>
    <w:rsid w:val="00721F65"/>
    <w:rsid w:val="007220EB"/>
    <w:rsid w:val="00722BE6"/>
    <w:rsid w:val="00723CCB"/>
    <w:rsid w:val="00724335"/>
    <w:rsid w:val="007276A8"/>
    <w:rsid w:val="00730143"/>
    <w:rsid w:val="0073119A"/>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4D5D"/>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3585C"/>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53A0F"/>
    <w:rsid w:val="00961731"/>
    <w:rsid w:val="0096184D"/>
    <w:rsid w:val="009654C6"/>
    <w:rsid w:val="00965970"/>
    <w:rsid w:val="0096653D"/>
    <w:rsid w:val="009668BE"/>
    <w:rsid w:val="00970054"/>
    <w:rsid w:val="00973374"/>
    <w:rsid w:val="00984DA0"/>
    <w:rsid w:val="00984ECD"/>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4A3"/>
    <w:rsid w:val="00A12688"/>
    <w:rsid w:val="00A127B2"/>
    <w:rsid w:val="00A130D7"/>
    <w:rsid w:val="00A14BBE"/>
    <w:rsid w:val="00A15E45"/>
    <w:rsid w:val="00A24E99"/>
    <w:rsid w:val="00A259AB"/>
    <w:rsid w:val="00A25E3A"/>
    <w:rsid w:val="00A300E9"/>
    <w:rsid w:val="00A32A59"/>
    <w:rsid w:val="00A40F23"/>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2FA4"/>
    <w:rsid w:val="00A86688"/>
    <w:rsid w:val="00A92694"/>
    <w:rsid w:val="00A93B39"/>
    <w:rsid w:val="00A93CEC"/>
    <w:rsid w:val="00A93DF0"/>
    <w:rsid w:val="00A96ED3"/>
    <w:rsid w:val="00A9797F"/>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B6E"/>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543"/>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4DE3"/>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C6DAD"/>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4C9"/>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7D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37A38"/>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3E65"/>
    <w:rsid w:val="00DD7C88"/>
    <w:rsid w:val="00DE4572"/>
    <w:rsid w:val="00DE4DF0"/>
    <w:rsid w:val="00DE559A"/>
    <w:rsid w:val="00DE74C4"/>
    <w:rsid w:val="00DF08A7"/>
    <w:rsid w:val="00DF176B"/>
    <w:rsid w:val="00DF3B08"/>
    <w:rsid w:val="00E01674"/>
    <w:rsid w:val="00E025A4"/>
    <w:rsid w:val="00E04068"/>
    <w:rsid w:val="00E0622F"/>
    <w:rsid w:val="00E10EA1"/>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684D"/>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00"/>
    <w:rsid w:val="00F4013B"/>
    <w:rsid w:val="00F40744"/>
    <w:rsid w:val="00F43E15"/>
    <w:rsid w:val="00F46C4E"/>
    <w:rsid w:val="00F507D7"/>
    <w:rsid w:val="00F5213E"/>
    <w:rsid w:val="00F530E4"/>
    <w:rsid w:val="00F57467"/>
    <w:rsid w:val="00F61282"/>
    <w:rsid w:val="00F66819"/>
    <w:rsid w:val="00F704C6"/>
    <w:rsid w:val="00F7422E"/>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0952"/>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 w:type="character" w:styleId="Hyperlink">
    <w:name w:val="Hyperlink"/>
    <w:basedOn w:val="DefaultParagraphFont"/>
    <w:uiPriority w:val="99"/>
    <w:semiHidden/>
    <w:unhideWhenUsed/>
    <w:rsid w:val="00984ECD"/>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ierka.bacova@justice.sk"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30.6.2016 18:11:13"/>
    <f:field ref="objchangedby" par="" text="Administrator, System"/>
    <f:field ref="objmodifiedat" par="" text="30.6.2016 18:11:1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34</TotalTime>
  <Pages>3</Pages>
  <Words>1027</Words>
  <Characters>5854</Characters>
  <Application>Microsoft Office Word</Application>
  <DocSecurity>0</DocSecurity>
  <Lines>0</Lines>
  <Paragraphs>0</Paragraphs>
  <ScaleCrop>false</ScaleCrop>
  <Company>UVSR</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MINAROVICOVA Martina</cp:lastModifiedBy>
  <cp:revision>8</cp:revision>
  <dcterms:created xsi:type="dcterms:W3CDTF">2017-01-11T11:59:00Z</dcterms:created>
  <dcterms:modified xsi:type="dcterms:W3CDTF">2017-02-23T13:31:00Z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COO.2145.1000.3.1486412</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1. 7. 2016</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7/2005 Z. z. o konkurze a reštrukturalizácii a o zmene a doplnení niektorých zákonov v znení neskorších predpi</vt:lpwstr>
  </property>
  <property fmtid="{D5CDD505-2E9C-101B-9397-08002B2CF9AE}" pid="32" name="FSC#SKEDITIONSLOVLEX@103.510:AttrStrListDocPropTextPredklSpravy">
    <vt:lpwstr>&lt;p style="text-align: justify;"&gt;Ministerstvo spravodlivosti Slovenskej republiky predkladá do pripomienkového konania návrh zákona, ktorým sa mení a&amp;nbsp;dopĺňa zákon&amp;nbsp; č. 7/2005 Z. z. o konkurze a reštrukturalizácii a o zmene a doplnení niektorých zá</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LP/2016/691</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podpredsedníčku vlády a ministerku spravodlivosti Slovenskej republiky</vt:lpwstr>
  </property>
  <property fmtid="{D5CDD505-2E9C-101B-9397-08002B2CF9AE}" pid="123" name="FSC#SKEDITIONSLOVLEX@103.510:funkciaZodpPredDativ">
    <vt:lpwstr>podpredsedníčke vlády a ministerke spravodlivosti Slovenskej republiky</vt:lpwstr>
  </property>
  <property fmtid="{D5CDD505-2E9C-101B-9397-08002B2CF9AE}" pid="124" name="FSC#SKEDITIONSLOVLEX@103.510:legoblast">
    <vt:lpwstr>Konkurz a reštrukturalizácia_x000D__x000D_Obchodné právo_x000D__x000D_Občianske súdne konanie_x000D__x000D_Občianske právo</vt:lpwstr>
  </property>
  <property fmtid="{D5CDD505-2E9C-101B-9397-08002B2CF9AE}" pid="125" name="FSC#SKEDITIONSLOVLEX@103.510:nazovpredpis">
    <vt:lpwstr>, ktorým sa mení a dopĺňa zákon č. 7/2005 Z. z. o konkurze a reštrukturalizácii a o zmene a doplnení niektorých zákonov v znení neskorších predpisov a ktorým sa mení a dopĺňa zákon č. 327/2005 Z. z. o poskytovaní právnej pomoci osobám v materiálnej núdzi</vt:lpwstr>
  </property>
  <property fmtid="{D5CDD505-2E9C-101B-9397-08002B2CF9AE}" pid="126" name="FSC#SKEDITIONSLOVLEX@103.510:nazovpredpis1">
    <vt:lpwstr>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7/2005 Z. z. o konkurze a reštrukturalizácii a o zmene a doplnení niektorých zákonov v znení neskorších predpisov a ktorým sa mení a dopĺňa zákon č. 327/2005 Z. z. o poskytovaní právnej pomoci osobám v materiálnej </vt:lpwstr>
  </property>
  <property fmtid="{D5CDD505-2E9C-101B-9397-08002B2CF9AE}" pid="132" name="FSC#SKEDITIONSLOVLEX@103.510:plnynazovpredpis1">
    <vt:lpwstr>núdzi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JUDr. Juraj Palúš</vt:lpwstr>
  </property>
  <property fmtid="{D5CDD505-2E9C-101B-9397-08002B2CF9AE}" pid="138" name="FSC#SKEDITIONSLOVLEX@103.510:predkladateliaObalSD">
    <vt:lpwstr>Lucia Žitňanská_x000D__x000D_podpredsedníčka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44640/2016/100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width="100%"&gt;_&lt;tbody&gt;__&lt;tr&gt;___&lt;td colspan="5" style="width:100.0%;height:37px;"&gt;___&lt;h2 align="center"&gt;Správa o účasti verejnosti na tvorbe právneho predpisu&lt;/h2&gt;___&lt;h2&gt;Scenár 3: Verejnosť sa z</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spravodlivosti Slovenskej republiky</vt:lpwstr>
  </property>
  <property fmtid="{D5CDD505-2E9C-101B-9397-08002B2CF9AE}" pid="151" name="FSC#SKEDITIONSLOVLEX@103.510:zodppredkladatel">
    <vt:lpwstr>Lucia Žitňanská</vt:lpwstr>
  </property>
</Properties>
</file>