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2D3B" w:rsidRPr="00001507" w:rsidP="00742D3B">
      <w:pPr>
        <w:bidi w:val="0"/>
        <w:spacing w:after="0" w:line="240" w:lineRule="auto"/>
        <w:jc w:val="center"/>
        <w:rPr>
          <w:rFonts w:ascii="Times New Roman" w:hAnsi="Times New Roman"/>
          <w:b/>
          <w:spacing w:val="30"/>
          <w:sz w:val="24"/>
          <w:szCs w:val="24"/>
        </w:rPr>
      </w:pPr>
      <w:r w:rsidRPr="00001507">
        <w:rPr>
          <w:rFonts w:ascii="Times New Roman" w:hAnsi="Times New Roman"/>
          <w:b/>
          <w:spacing w:val="30"/>
          <w:sz w:val="24"/>
          <w:szCs w:val="24"/>
        </w:rPr>
        <w:t xml:space="preserve">NÁRODNÁ RADA SLOVENSKEJ REPUBLIKY </w:t>
      </w:r>
    </w:p>
    <w:p w:rsidR="00742D3B" w:rsidRPr="00001507" w:rsidP="00742D3B">
      <w:pPr>
        <w:pBdr>
          <w:bottom w:val="single" w:sz="12" w:space="3" w:color="auto"/>
        </w:pBdr>
        <w:bidi w:val="0"/>
        <w:spacing w:after="0" w:line="240" w:lineRule="auto"/>
        <w:jc w:val="center"/>
        <w:rPr>
          <w:rFonts w:ascii="Times New Roman" w:hAnsi="Times New Roman"/>
          <w:spacing w:val="30"/>
          <w:sz w:val="24"/>
          <w:szCs w:val="24"/>
        </w:rPr>
      </w:pPr>
      <w:r w:rsidRPr="00001507">
        <w:rPr>
          <w:rFonts w:ascii="Times New Roman" w:hAnsi="Times New Roman"/>
          <w:spacing w:val="30"/>
          <w:sz w:val="24"/>
          <w:szCs w:val="24"/>
        </w:rPr>
        <w:t>VII. volebné obdobie</w:t>
      </w:r>
    </w:p>
    <w:p w:rsidR="00742D3B" w:rsidRPr="00176E5D" w:rsidP="00742D3B">
      <w:pPr>
        <w:bidi w:val="0"/>
        <w:spacing w:after="0" w:line="240" w:lineRule="auto"/>
        <w:jc w:val="center"/>
        <w:rPr>
          <w:rFonts w:ascii="Times New Roman" w:hAnsi="Times New Roman"/>
          <w:spacing w:val="30"/>
          <w:sz w:val="24"/>
          <w:szCs w:val="24"/>
          <w:highlight w:val="yellow"/>
        </w:rPr>
      </w:pPr>
    </w:p>
    <w:p w:rsidR="00742D3B" w:rsidRPr="00BC2C44" w:rsidP="00742D3B">
      <w:pPr>
        <w:bidi w:val="0"/>
        <w:spacing w:after="0" w:line="240" w:lineRule="auto"/>
        <w:jc w:val="center"/>
        <w:rPr>
          <w:rFonts w:ascii="Times New Roman" w:hAnsi="Times New Roman"/>
          <w:spacing w:val="30"/>
          <w:sz w:val="24"/>
          <w:szCs w:val="24"/>
        </w:rPr>
      </w:pPr>
    </w:p>
    <w:p w:rsidR="00742D3B" w:rsidRPr="00050935" w:rsidP="00742D3B">
      <w:pPr>
        <w:bidi w:val="0"/>
        <w:spacing w:after="0" w:line="240" w:lineRule="auto"/>
        <w:jc w:val="center"/>
        <w:rPr>
          <w:rFonts w:ascii="Times New Roman" w:hAnsi="Times New Roman"/>
          <w:b/>
          <w:spacing w:val="30"/>
          <w:sz w:val="24"/>
          <w:szCs w:val="24"/>
        </w:rPr>
      </w:pPr>
      <w:r w:rsidRPr="00BC2C44" w:rsidR="00BC2C44">
        <w:rPr>
          <w:rFonts w:ascii="Times New Roman" w:hAnsi="Times New Roman"/>
          <w:b/>
          <w:spacing w:val="30"/>
          <w:sz w:val="24"/>
          <w:szCs w:val="24"/>
        </w:rPr>
        <w:t>443</w:t>
      </w:r>
    </w:p>
    <w:p w:rsidR="00742D3B" w:rsidRPr="00050935" w:rsidP="00742D3B">
      <w:pPr>
        <w:bidi w:val="0"/>
        <w:spacing w:after="0" w:line="240" w:lineRule="auto"/>
        <w:jc w:val="center"/>
        <w:rPr>
          <w:rFonts w:ascii="Times New Roman" w:hAnsi="Times New Roman"/>
          <w:b/>
          <w:spacing w:val="30"/>
          <w:sz w:val="24"/>
          <w:szCs w:val="24"/>
        </w:rPr>
      </w:pPr>
    </w:p>
    <w:p w:rsidR="00742D3B" w:rsidRPr="00050935" w:rsidP="00742D3B">
      <w:pPr>
        <w:bidi w:val="0"/>
        <w:spacing w:after="0" w:line="240" w:lineRule="auto"/>
        <w:jc w:val="center"/>
        <w:rPr>
          <w:rFonts w:ascii="Times New Roman" w:hAnsi="Times New Roman"/>
          <w:b/>
          <w:spacing w:val="30"/>
          <w:sz w:val="24"/>
          <w:szCs w:val="24"/>
        </w:rPr>
      </w:pPr>
    </w:p>
    <w:p w:rsidR="00742D3B" w:rsidRPr="00050935" w:rsidP="00742D3B">
      <w:pPr>
        <w:bidi w:val="0"/>
        <w:spacing w:after="0" w:line="240" w:lineRule="auto"/>
        <w:jc w:val="center"/>
        <w:rPr>
          <w:rFonts w:ascii="Times New Roman" w:hAnsi="Times New Roman"/>
          <w:b/>
          <w:spacing w:val="30"/>
          <w:sz w:val="24"/>
          <w:szCs w:val="24"/>
        </w:rPr>
      </w:pPr>
      <w:r w:rsidRPr="00050935">
        <w:rPr>
          <w:rFonts w:ascii="Times New Roman" w:hAnsi="Times New Roman"/>
          <w:b/>
          <w:spacing w:val="30"/>
          <w:sz w:val="24"/>
          <w:szCs w:val="24"/>
        </w:rPr>
        <w:t xml:space="preserve">VLÁDNY NÁVRH </w:t>
      </w:r>
    </w:p>
    <w:p w:rsidR="00742D3B" w:rsidRPr="00050935" w:rsidP="00742D3B">
      <w:pPr>
        <w:bidi w:val="0"/>
        <w:spacing w:after="0" w:line="240" w:lineRule="auto"/>
        <w:jc w:val="center"/>
        <w:rPr>
          <w:rFonts w:ascii="Times New Roman" w:hAnsi="Times New Roman"/>
          <w:b/>
          <w:spacing w:val="30"/>
          <w:sz w:val="24"/>
          <w:szCs w:val="24"/>
        </w:rPr>
      </w:pPr>
    </w:p>
    <w:p w:rsidR="00742D3B" w:rsidRPr="00050935" w:rsidP="00742D3B">
      <w:pPr>
        <w:bidi w:val="0"/>
        <w:spacing w:after="0" w:line="240" w:lineRule="auto"/>
        <w:jc w:val="center"/>
        <w:rPr>
          <w:rFonts w:ascii="Times New Roman" w:hAnsi="Times New Roman"/>
          <w:b/>
          <w:spacing w:val="30"/>
          <w:sz w:val="24"/>
          <w:szCs w:val="24"/>
        </w:rPr>
      </w:pPr>
    </w:p>
    <w:p w:rsidR="00742D3B" w:rsidRPr="00050935" w:rsidP="00742D3B">
      <w:pPr>
        <w:bidi w:val="0"/>
        <w:spacing w:after="0" w:line="240" w:lineRule="auto"/>
        <w:jc w:val="center"/>
        <w:rPr>
          <w:rFonts w:ascii="Times New Roman" w:hAnsi="Times New Roman"/>
          <w:b/>
          <w:spacing w:val="30"/>
          <w:sz w:val="24"/>
          <w:szCs w:val="24"/>
        </w:rPr>
      </w:pPr>
      <w:r w:rsidRPr="00050935">
        <w:rPr>
          <w:rFonts w:ascii="Times New Roman" w:hAnsi="Times New Roman"/>
          <w:b/>
          <w:spacing w:val="30"/>
          <w:sz w:val="24"/>
          <w:szCs w:val="24"/>
        </w:rPr>
        <w:t>Z á k o n</w:t>
      </w:r>
    </w:p>
    <w:p w:rsidR="00742D3B" w:rsidRPr="00050935" w:rsidP="00742D3B">
      <w:pPr>
        <w:bidi w:val="0"/>
        <w:spacing w:after="0" w:line="240" w:lineRule="auto"/>
        <w:jc w:val="center"/>
        <w:rPr>
          <w:rFonts w:ascii="Times New Roman" w:hAnsi="Times New Roman"/>
          <w:spacing w:val="30"/>
          <w:sz w:val="24"/>
          <w:szCs w:val="24"/>
        </w:rPr>
      </w:pPr>
    </w:p>
    <w:p w:rsidR="00742D3B" w:rsidRPr="00050935" w:rsidP="00742D3B">
      <w:pPr>
        <w:bidi w:val="0"/>
        <w:spacing w:after="0" w:line="240" w:lineRule="auto"/>
        <w:jc w:val="center"/>
        <w:rPr>
          <w:rFonts w:ascii="Times New Roman" w:hAnsi="Times New Roman"/>
          <w:spacing w:val="30"/>
          <w:sz w:val="24"/>
          <w:szCs w:val="24"/>
        </w:rPr>
      </w:pPr>
    </w:p>
    <w:p w:rsidR="00742D3B" w:rsidRPr="00050935" w:rsidP="00742D3B">
      <w:pPr>
        <w:bidi w:val="0"/>
        <w:spacing w:after="0" w:line="240" w:lineRule="auto"/>
        <w:jc w:val="center"/>
        <w:rPr>
          <w:rFonts w:ascii="Times New Roman" w:hAnsi="Times New Roman"/>
          <w:sz w:val="24"/>
          <w:szCs w:val="24"/>
        </w:rPr>
      </w:pPr>
      <w:r w:rsidRPr="00050935">
        <w:rPr>
          <w:rFonts w:ascii="Times New Roman" w:hAnsi="Times New Roman"/>
          <w:sz w:val="24"/>
          <w:szCs w:val="24"/>
        </w:rPr>
        <w:t>z ... 2017,</w:t>
      </w:r>
    </w:p>
    <w:p w:rsidR="00742D3B" w:rsidRPr="00750AB4" w:rsidP="00742D3B">
      <w:pPr>
        <w:bidi w:val="0"/>
        <w:spacing w:after="0" w:line="240" w:lineRule="auto"/>
        <w:jc w:val="both"/>
        <w:rPr>
          <w:rFonts w:ascii="Times New Roman" w:hAnsi="Times New Roman"/>
          <w:sz w:val="24"/>
          <w:szCs w:val="24"/>
        </w:rPr>
      </w:pPr>
    </w:p>
    <w:p w:rsidR="00742D3B" w:rsidRPr="00750AB4" w:rsidP="00742D3B">
      <w:pPr>
        <w:bidi w:val="0"/>
        <w:spacing w:after="0" w:line="240" w:lineRule="auto"/>
        <w:jc w:val="both"/>
        <w:rPr>
          <w:rFonts w:ascii="Times New Roman" w:hAnsi="Times New Roman"/>
          <w:sz w:val="24"/>
          <w:szCs w:val="24"/>
        </w:rPr>
      </w:pPr>
    </w:p>
    <w:p w:rsidR="00742D3B" w:rsidRPr="00105265" w:rsidP="00742D3B">
      <w:pPr>
        <w:bidi w:val="0"/>
        <w:spacing w:after="0" w:line="240" w:lineRule="auto"/>
        <w:jc w:val="center"/>
        <w:rPr>
          <w:rFonts w:ascii="Times New Roman" w:hAnsi="Times New Roman"/>
          <w:b/>
          <w:sz w:val="24"/>
          <w:szCs w:val="24"/>
        </w:rPr>
      </w:pPr>
      <w:r w:rsidRPr="00105265">
        <w:rPr>
          <w:rFonts w:ascii="Times New Roman" w:hAnsi="Times New Roman"/>
          <w:b/>
          <w:sz w:val="24"/>
          <w:szCs w:val="24"/>
        </w:rPr>
        <w:t>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w:t>
      </w:r>
    </w:p>
    <w:p w:rsidR="00742D3B" w:rsidRPr="00105265" w:rsidP="00742D3B">
      <w:pPr>
        <w:bidi w:val="0"/>
        <w:spacing w:after="0" w:line="240" w:lineRule="auto"/>
        <w:jc w:val="both"/>
        <w:rPr>
          <w:rFonts w:ascii="Times New Roman" w:hAnsi="Times New Roman"/>
          <w:sz w:val="24"/>
          <w:szCs w:val="24"/>
        </w:rPr>
      </w:pPr>
    </w:p>
    <w:p w:rsidR="00742D3B" w:rsidRPr="00105265" w:rsidP="00742D3B">
      <w:pPr>
        <w:bidi w:val="0"/>
        <w:spacing w:after="0" w:line="240" w:lineRule="auto"/>
        <w:ind w:firstLine="709"/>
        <w:jc w:val="both"/>
        <w:rPr>
          <w:rFonts w:ascii="Times New Roman" w:hAnsi="Times New Roman"/>
          <w:sz w:val="24"/>
          <w:szCs w:val="24"/>
        </w:rPr>
      </w:pPr>
      <w:r w:rsidRPr="00105265">
        <w:rPr>
          <w:rFonts w:ascii="Times New Roman" w:hAnsi="Times New Roman"/>
          <w:sz w:val="24"/>
          <w:szCs w:val="24"/>
        </w:rPr>
        <w:t>Národná rada Slovenskej republiky sa uzniesla na tomto zákone:</w:t>
      </w:r>
    </w:p>
    <w:p w:rsidR="00742D3B" w:rsidRPr="00105265" w:rsidP="00742D3B">
      <w:pPr>
        <w:pStyle w:val="51Abs"/>
        <w:bidi w:val="0"/>
        <w:spacing w:before="0" w:line="240" w:lineRule="auto"/>
        <w:ind w:firstLine="0"/>
        <w:rPr>
          <w:rFonts w:ascii="Times New Roman" w:hAnsi="Times New Roman"/>
          <w:color w:val="auto"/>
          <w:sz w:val="24"/>
          <w:szCs w:val="24"/>
          <w:lang w:val="sk-SK"/>
        </w:rPr>
      </w:pPr>
    </w:p>
    <w:p w:rsidR="00DF20DB" w:rsidRPr="00105265" w:rsidP="00DF20DB">
      <w:pPr>
        <w:pStyle w:val="51Abs"/>
        <w:bidi w:val="0"/>
        <w:spacing w:before="0" w:line="240" w:lineRule="auto"/>
        <w:ind w:firstLine="0"/>
        <w:jc w:val="center"/>
        <w:rPr>
          <w:rFonts w:ascii="Times New Roman" w:hAnsi="Times New Roman"/>
          <w:b/>
          <w:color w:val="auto"/>
          <w:sz w:val="24"/>
          <w:szCs w:val="24"/>
          <w:lang w:val="sk-SK"/>
        </w:rPr>
      </w:pPr>
      <w:r w:rsidRPr="00105265">
        <w:rPr>
          <w:rFonts w:ascii="Times New Roman" w:hAnsi="Times New Roman"/>
          <w:b/>
          <w:color w:val="auto"/>
          <w:sz w:val="24"/>
          <w:szCs w:val="24"/>
          <w:lang w:val="sk-SK"/>
        </w:rPr>
        <w:t>Čl. I</w:t>
      </w:r>
    </w:p>
    <w:p w:rsidR="00DF20DB" w:rsidRPr="00105265" w:rsidP="00DF20DB">
      <w:pPr>
        <w:pStyle w:val="51Abs"/>
        <w:bidi w:val="0"/>
        <w:spacing w:before="0" w:line="240" w:lineRule="auto"/>
        <w:ind w:firstLine="0"/>
        <w:rPr>
          <w:rFonts w:ascii="Times New Roman" w:hAnsi="Times New Roman"/>
          <w:b/>
          <w:color w:val="auto"/>
          <w:sz w:val="24"/>
          <w:szCs w:val="24"/>
          <w:lang w:val="sk-SK"/>
        </w:rPr>
      </w:pPr>
    </w:p>
    <w:p w:rsidR="00DF20DB" w:rsidRPr="00105265" w:rsidP="00DF20DB">
      <w:pPr>
        <w:pStyle w:val="51Abs"/>
        <w:bidi w:val="0"/>
        <w:spacing w:before="0" w:line="240" w:lineRule="auto"/>
        <w:ind w:firstLine="708"/>
        <w:rPr>
          <w:rFonts w:ascii="Times New Roman" w:hAnsi="Times New Roman"/>
          <w:color w:val="auto"/>
          <w:sz w:val="24"/>
          <w:szCs w:val="24"/>
          <w:lang w:val="sk-SK"/>
        </w:rPr>
      </w:pPr>
      <w:r w:rsidRPr="00105265">
        <w:rPr>
          <w:rFonts w:ascii="Times New Roman" w:hAnsi="Times New Roman"/>
          <w:color w:val="auto"/>
          <w:sz w:val="24"/>
          <w:szCs w:val="24"/>
          <w:lang w:val="sk-SK"/>
        </w:rPr>
        <w:t>Zákon č. 530/2003 Z. z. o obchodnom registri a o zmene a doplnení niektorých zákonov v znení zákona</w:t>
      </w:r>
      <w:r w:rsidRPr="00105265">
        <w:rPr>
          <w:rFonts w:ascii="Times New Roman" w:hAnsi="Times New Roman"/>
          <w:sz w:val="24"/>
          <w:szCs w:val="24"/>
          <w:lang w:val="sk-SK"/>
        </w:rPr>
        <w:t xml:space="preserve"> </w:t>
      </w:r>
      <w:r w:rsidRPr="00105265">
        <w:rPr>
          <w:rFonts w:ascii="Times New Roman" w:hAnsi="Times New Roman"/>
          <w:color w:val="auto"/>
          <w:sz w:val="24"/>
          <w:szCs w:val="24"/>
          <w:lang w:val="sk-SK"/>
        </w:rPr>
        <w:t>č. 432/2004 Z . z., zákona č. 562/2004 Z. z., zákona č. 24/2007 Z. z., zákona č. 657/2007 Z. z., zákona č. 659/2007 Z. z., zákona č. 447/2008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a zákona č. 125/2016 Z. z. sa mení a dopĺňa takto:</w:t>
      </w:r>
    </w:p>
    <w:p w:rsidR="00DF20DB" w:rsidRPr="00105265" w:rsidP="00DF20DB">
      <w:pPr>
        <w:pStyle w:val="51Abs"/>
        <w:bidi w:val="0"/>
        <w:spacing w:before="0" w:line="240" w:lineRule="auto"/>
        <w:ind w:firstLine="0"/>
        <w:rPr>
          <w:rFonts w:ascii="Times New Roman" w:hAnsi="Times New Roman"/>
          <w:color w:val="auto"/>
          <w:sz w:val="24"/>
          <w:szCs w:val="24"/>
          <w:lang w:val="sk-SK"/>
        </w:rPr>
      </w:pPr>
    </w:p>
    <w:p w:rsidR="00DF20DB" w:rsidRPr="00105265" w:rsidP="00DF20DB">
      <w:pPr>
        <w:pStyle w:val="51Abs"/>
        <w:bidi w:val="0"/>
        <w:spacing w:before="0" w:line="240" w:lineRule="auto"/>
        <w:ind w:firstLine="0"/>
        <w:rPr>
          <w:rFonts w:ascii="Times New Roman" w:hAnsi="Times New Roman"/>
          <w:color w:val="auto"/>
          <w:sz w:val="24"/>
          <w:szCs w:val="24"/>
          <w:lang w:val="sk-SK"/>
        </w:rPr>
      </w:pPr>
      <w:r w:rsidRPr="00105265">
        <w:rPr>
          <w:rFonts w:ascii="Times New Roman" w:hAnsi="Times New Roman"/>
          <w:b/>
          <w:color w:val="auto"/>
          <w:sz w:val="24"/>
          <w:szCs w:val="24"/>
          <w:lang w:val="sk-SK"/>
        </w:rPr>
        <w:t>1.</w:t>
      </w:r>
      <w:r w:rsidRPr="00105265">
        <w:rPr>
          <w:rFonts w:ascii="Times New Roman" w:hAnsi="Times New Roman"/>
          <w:color w:val="auto"/>
          <w:sz w:val="24"/>
          <w:szCs w:val="24"/>
          <w:lang w:val="sk-SK"/>
        </w:rPr>
        <w:t xml:space="preserve"> </w:t>
      </w:r>
      <w:r w:rsidRPr="00105265">
        <w:rPr>
          <w:rFonts w:ascii="Times New Roman" w:hAnsi="Times New Roman"/>
          <w:sz w:val="24"/>
          <w:szCs w:val="24"/>
          <w:lang w:val="sk-SK"/>
        </w:rPr>
        <w:t>V § 3 ods. 3 druhej vete sa slová „podpísanú zaručeným elektronickým podpisom</w:t>
      </w:r>
      <w:hyperlink r:id="rId4" w:anchor="poznamky.poznamka-5aa" w:tooltip="Odkaz na predpis alebo ustanovenie" w:history="1">
        <w:r w:rsidRPr="00105265">
          <w:rPr>
            <w:rFonts w:ascii="Times New Roman" w:hAnsi="Times New Roman"/>
            <w:sz w:val="24"/>
            <w:szCs w:val="24"/>
            <w:vertAlign w:val="superscript"/>
            <w:lang w:val="sk-SK"/>
          </w:rPr>
          <w:t>5aa</w:t>
        </w:r>
        <w:r w:rsidRPr="00105265">
          <w:rPr>
            <w:rFonts w:ascii="Times New Roman" w:hAnsi="Times New Roman"/>
            <w:sz w:val="24"/>
            <w:szCs w:val="24"/>
            <w:lang w:val="sk-SK"/>
          </w:rPr>
          <w:t>)</w:t>
        </w:r>
      </w:hyperlink>
      <w:r w:rsidRPr="00105265">
        <w:rPr>
          <w:rFonts w:ascii="Times New Roman" w:hAnsi="Times New Roman"/>
          <w:sz w:val="24"/>
          <w:szCs w:val="24"/>
          <w:lang w:val="sk-SK"/>
        </w:rPr>
        <w:t xml:space="preserve"> osoby oprávnenej na podanie návrhu podľa </w:t>
      </w:r>
      <w:hyperlink r:id="rId4" w:anchor="paragraf-5" w:tooltip="Odkaz na predpis alebo ustanovenie" w:history="1">
        <w:r w:rsidRPr="00105265">
          <w:rPr>
            <w:rFonts w:ascii="Times New Roman" w:hAnsi="Times New Roman"/>
            <w:sz w:val="24"/>
            <w:szCs w:val="24"/>
            <w:lang w:val="sk-SK"/>
          </w:rPr>
          <w:t>§ 5</w:t>
        </w:r>
      </w:hyperlink>
      <w:r w:rsidRPr="00105265">
        <w:rPr>
          <w:rFonts w:ascii="Times New Roman" w:hAnsi="Times New Roman"/>
          <w:sz w:val="24"/>
          <w:szCs w:val="24"/>
          <w:lang w:val="sk-SK"/>
        </w:rPr>
        <w:t xml:space="preserve"> alebo, ak sa listina ukladá bez návrhu, osoby oprávnenej“  nahrádzajú slovami „autorizovanú</w:t>
      </w:r>
      <w:r w:rsidRPr="00105265">
        <w:rPr>
          <w:rFonts w:ascii="Times New Roman" w:hAnsi="Times New Roman"/>
          <w:sz w:val="24"/>
          <w:szCs w:val="24"/>
          <w:vertAlign w:val="superscript"/>
          <w:lang w:val="sk-SK"/>
        </w:rPr>
        <w:t>5aa</w:t>
      </w:r>
      <w:r w:rsidRPr="00105265">
        <w:rPr>
          <w:rFonts w:ascii="Times New Roman" w:hAnsi="Times New Roman"/>
          <w:sz w:val="24"/>
          <w:szCs w:val="24"/>
          <w:lang w:val="sk-SK"/>
        </w:rPr>
        <w:t xml:space="preserve">) osobou oprávnenou na podanie návrhu podľa </w:t>
      </w:r>
      <w:hyperlink r:id="rId4" w:anchor="paragraf-5" w:tooltip="Odkaz na predpis alebo ustanovenie" w:history="1">
        <w:r w:rsidRPr="00105265">
          <w:rPr>
            <w:rFonts w:ascii="Times New Roman" w:hAnsi="Times New Roman"/>
            <w:sz w:val="24"/>
            <w:szCs w:val="24"/>
            <w:lang w:val="sk-SK"/>
          </w:rPr>
          <w:t>§ 5</w:t>
        </w:r>
      </w:hyperlink>
      <w:r w:rsidRPr="00105265">
        <w:rPr>
          <w:rFonts w:ascii="Times New Roman" w:hAnsi="Times New Roman"/>
          <w:sz w:val="24"/>
          <w:szCs w:val="24"/>
          <w:lang w:val="sk-SK"/>
        </w:rPr>
        <w:t xml:space="preserve"> alebo, ak sa listina ukladá bez návrhu, osobou oprávnenou“.</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Poznámka pod čiarou k odkazu 5aa znie:</w:t>
      </w:r>
    </w:p>
    <w:p w:rsidR="00DF20DB" w:rsidRPr="00105265" w:rsidP="00DF20DB">
      <w:pPr>
        <w:pStyle w:val="FootnoteText"/>
        <w:bidi w:val="0"/>
        <w:jc w:val="both"/>
        <w:rPr>
          <w:rFonts w:ascii="Times New Roman" w:hAnsi="Times New Roman"/>
          <w:sz w:val="24"/>
          <w:szCs w:val="24"/>
          <w:lang w:eastAsia="de-DE"/>
        </w:rPr>
      </w:pPr>
      <w:r w:rsidRPr="00105265">
        <w:rPr>
          <w:rFonts w:ascii="Times New Roman" w:hAnsi="Times New Roman"/>
          <w:sz w:val="24"/>
          <w:szCs w:val="24"/>
          <w:lang w:eastAsia="de-DE"/>
        </w:rPr>
        <w:t>„</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 23 zákona č. 305/2013 Z. z. o elektronickej podobe výkonu pôsobnosti orgánov verejnej moci a o zmene a doplnení niektorých zákonov (zákon o e-Governmente) v znení zákona č. 273/2015 Z. z.“.</w:t>
      </w:r>
    </w:p>
    <w:p w:rsidR="00DF20DB" w:rsidRPr="00105265" w:rsidP="00DF20DB">
      <w:pPr>
        <w:pStyle w:val="FootnoteText"/>
        <w:bidi w:val="0"/>
        <w:jc w:val="both"/>
        <w:rPr>
          <w:rFonts w:ascii="Times New Roman" w:hAnsi="Times New Roman"/>
          <w:sz w:val="24"/>
          <w:szCs w:val="24"/>
          <w:lang w:eastAsia="de-DE"/>
        </w:rPr>
      </w:pPr>
    </w:p>
    <w:p w:rsidR="00DF20DB" w:rsidRPr="00105265" w:rsidP="00DF20DB">
      <w:pPr>
        <w:pStyle w:val="FootnoteText"/>
        <w:bidi w:val="0"/>
        <w:jc w:val="both"/>
        <w:rPr>
          <w:rFonts w:ascii="Times New Roman" w:hAnsi="Times New Roman"/>
          <w:sz w:val="24"/>
          <w:szCs w:val="24"/>
          <w:lang w:eastAsia="de-DE"/>
        </w:rPr>
      </w:pPr>
      <w:r w:rsidRPr="00105265">
        <w:rPr>
          <w:rFonts w:ascii="Times New Roman" w:hAnsi="Times New Roman"/>
          <w:b/>
          <w:sz w:val="24"/>
          <w:szCs w:val="24"/>
          <w:lang w:eastAsia="de-DE"/>
        </w:rPr>
        <w:t>2.</w:t>
      </w:r>
      <w:r w:rsidRPr="00105265">
        <w:rPr>
          <w:rFonts w:ascii="Times New Roman" w:hAnsi="Times New Roman"/>
          <w:sz w:val="24"/>
          <w:szCs w:val="24"/>
          <w:lang w:eastAsia="de-DE"/>
        </w:rPr>
        <w:t xml:space="preserve"> V § 3 ods. 3 tretej vete sa slová „podpísaná zaručeným elektronickým podpisom osoby oprávnenej na podanie návrhu podľa </w:t>
      </w:r>
      <w:hyperlink r:id="rId4" w:anchor="paragraf-5" w:tooltip="Odkaz na predpis alebo ustanovenie" w:history="1">
        <w:r w:rsidRPr="00105265">
          <w:rPr>
            <w:rFonts w:ascii="Times New Roman" w:hAnsi="Times New Roman"/>
            <w:sz w:val="24"/>
            <w:szCs w:val="24"/>
            <w:lang w:eastAsia="de-DE"/>
          </w:rPr>
          <w:t>§ 5</w:t>
        </w:r>
      </w:hyperlink>
      <w:r w:rsidRPr="00105265">
        <w:rPr>
          <w:rFonts w:ascii="Times New Roman" w:hAnsi="Times New Roman"/>
          <w:sz w:val="24"/>
          <w:szCs w:val="24"/>
          <w:lang w:eastAsia="de-DE"/>
        </w:rPr>
        <w:t xml:space="preserve"> alebo, ak sa listina ukladá bez návrhu, osoby oprávnenej“ nahrádzajú slovami „autorizovaná</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xml:space="preserve">) osobou oprávnenou na podanie návrhu podľa </w:t>
      </w:r>
      <w:hyperlink r:id="rId4" w:anchor="paragraf-5" w:tooltip="Odkaz na predpis alebo ustanovenie" w:history="1">
        <w:r w:rsidRPr="00105265">
          <w:rPr>
            <w:rFonts w:ascii="Times New Roman" w:hAnsi="Times New Roman"/>
            <w:sz w:val="24"/>
            <w:szCs w:val="24"/>
            <w:lang w:eastAsia="de-DE"/>
          </w:rPr>
          <w:t>§ 5</w:t>
        </w:r>
      </w:hyperlink>
      <w:r w:rsidRPr="00105265">
        <w:rPr>
          <w:rFonts w:ascii="Times New Roman" w:hAnsi="Times New Roman"/>
          <w:sz w:val="24"/>
          <w:szCs w:val="24"/>
          <w:lang w:eastAsia="de-DE"/>
        </w:rPr>
        <w:t xml:space="preserve"> alebo, ak sa listina ukladá bez návrhu, osobou oprávnenou“.</w:t>
      </w:r>
    </w:p>
    <w:p w:rsidR="00DF20DB" w:rsidRPr="00105265" w:rsidP="00DF20DB">
      <w:pPr>
        <w:pStyle w:val="FootnoteText"/>
        <w:bidi w:val="0"/>
        <w:jc w:val="both"/>
        <w:rPr>
          <w:rFonts w:ascii="Times New Roman" w:hAnsi="Times New Roman"/>
          <w:sz w:val="24"/>
          <w:szCs w:val="24"/>
          <w:lang w:eastAsia="de-DE"/>
        </w:rPr>
      </w:pPr>
    </w:p>
    <w:p w:rsidR="00DF20DB" w:rsidRPr="00105265" w:rsidP="00DF20DB">
      <w:pPr>
        <w:pStyle w:val="FootnoteText"/>
        <w:bidi w:val="0"/>
        <w:jc w:val="both"/>
        <w:rPr>
          <w:rFonts w:ascii="Times New Roman" w:hAnsi="Times New Roman"/>
          <w:sz w:val="24"/>
          <w:szCs w:val="24"/>
          <w:lang w:eastAsia="de-DE"/>
        </w:rPr>
      </w:pPr>
      <w:r w:rsidRPr="00105265">
        <w:rPr>
          <w:rFonts w:ascii="Times New Roman" w:hAnsi="Times New Roman"/>
          <w:b/>
          <w:sz w:val="24"/>
          <w:szCs w:val="24"/>
          <w:lang w:eastAsia="de-DE"/>
        </w:rPr>
        <w:t>3.</w:t>
      </w:r>
      <w:r w:rsidRPr="00105265">
        <w:rPr>
          <w:rFonts w:ascii="Times New Roman" w:hAnsi="Times New Roman"/>
          <w:sz w:val="24"/>
          <w:szCs w:val="24"/>
          <w:lang w:eastAsia="de-DE"/>
        </w:rPr>
        <w:t xml:space="preserve"> V § 5a ods. 1 druhej vete sa slová „podpísaný zaručeným elektronickým podpisom</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navrhovateľa“ nahrádzajú slovami „autorizovaný</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navrhovateľom“.</w:t>
      </w:r>
    </w:p>
    <w:p w:rsidR="00DF20DB" w:rsidRPr="00105265" w:rsidP="00DF20DB">
      <w:pPr>
        <w:pStyle w:val="FootnoteText"/>
        <w:bidi w:val="0"/>
        <w:jc w:val="both"/>
        <w:rPr>
          <w:rFonts w:ascii="Times New Roman" w:hAnsi="Times New Roman"/>
          <w:sz w:val="24"/>
          <w:szCs w:val="24"/>
          <w:lang w:eastAsia="de-DE"/>
        </w:rPr>
      </w:pPr>
    </w:p>
    <w:p w:rsidR="00DF20DB" w:rsidRPr="00105265" w:rsidP="00DF20DB">
      <w:pPr>
        <w:pStyle w:val="FootnoteText"/>
        <w:bidi w:val="0"/>
        <w:jc w:val="both"/>
        <w:rPr>
          <w:rFonts w:ascii="Times New Roman" w:hAnsi="Times New Roman"/>
          <w:sz w:val="24"/>
          <w:szCs w:val="24"/>
          <w:lang w:eastAsia="de-DE"/>
        </w:rPr>
      </w:pPr>
      <w:r w:rsidRPr="00105265">
        <w:rPr>
          <w:rFonts w:ascii="Times New Roman" w:hAnsi="Times New Roman"/>
          <w:b/>
          <w:sz w:val="24"/>
          <w:szCs w:val="24"/>
          <w:lang w:eastAsia="de-DE"/>
        </w:rPr>
        <w:t>4.</w:t>
      </w:r>
      <w:r w:rsidRPr="00105265">
        <w:rPr>
          <w:rFonts w:ascii="Times New Roman" w:hAnsi="Times New Roman"/>
          <w:sz w:val="24"/>
          <w:szCs w:val="24"/>
          <w:lang w:eastAsia="de-DE"/>
        </w:rPr>
        <w:t xml:space="preserve"> V § 5b odsek 2 znie:</w:t>
      </w: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„(2) Návrh na zápis podľa odseku 1 musí byť autorizovaný</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jednotným kontaktným miestom alebo prevádzkovateľom informačného systému živnostenského podnikania, inak naň registrový súd neprihliada.“.</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rPr>
      </w:pPr>
      <w:r w:rsidRPr="00105265">
        <w:rPr>
          <w:rFonts w:ascii="Times New Roman" w:hAnsi="Times New Roman"/>
          <w:b/>
          <w:sz w:val="24"/>
          <w:szCs w:val="24"/>
          <w:lang w:eastAsia="de-DE"/>
        </w:rPr>
        <w:t>5.</w:t>
      </w:r>
      <w:r w:rsidRPr="00105265">
        <w:rPr>
          <w:rFonts w:ascii="Times New Roman" w:hAnsi="Times New Roman"/>
          <w:sz w:val="24"/>
          <w:szCs w:val="24"/>
          <w:lang w:eastAsia="de-DE"/>
        </w:rPr>
        <w:t xml:space="preserve"> </w:t>
      </w:r>
      <w:r w:rsidRPr="00105265">
        <w:rPr>
          <w:rFonts w:ascii="Times New Roman" w:hAnsi="Times New Roman"/>
          <w:sz w:val="24"/>
          <w:szCs w:val="24"/>
        </w:rPr>
        <w:t>V § 5d ods. 1 písm. a) sa slová „podpíše ich zaručeným elektronickým podpisom“ nahrádzajú slovami „autorizuje ich“.</w:t>
      </w:r>
    </w:p>
    <w:p w:rsidR="00DF20DB" w:rsidRPr="00105265" w:rsidP="00DF20DB">
      <w:pPr>
        <w:pStyle w:val="Normlny"/>
        <w:bidi w:val="0"/>
        <w:jc w:val="both"/>
        <w:rPr>
          <w:rFonts w:ascii="Times New Roman" w:hAnsi="Times New Roman"/>
          <w:sz w:val="24"/>
          <w:szCs w:val="24"/>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b/>
          <w:sz w:val="24"/>
          <w:szCs w:val="24"/>
        </w:rPr>
        <w:t>6.</w:t>
      </w:r>
      <w:r w:rsidRPr="00105265">
        <w:rPr>
          <w:rFonts w:ascii="Times New Roman" w:hAnsi="Times New Roman"/>
          <w:sz w:val="24"/>
          <w:szCs w:val="24"/>
        </w:rPr>
        <w:t xml:space="preserve"> V § 5d ods. 1 písm. b) sa slová „podpísané zaručeným elektronickým podpisom“ nahrádzajú slovami „autorizované </w:t>
      </w:r>
      <w:r w:rsidRPr="00105265">
        <w:rPr>
          <w:rFonts w:ascii="Times New Roman" w:hAnsi="Times New Roman"/>
          <w:sz w:val="24"/>
          <w:szCs w:val="24"/>
          <w:vertAlign w:val="superscript"/>
        </w:rPr>
        <w:t>5aa</w:t>
      </w:r>
      <w:r w:rsidRPr="00105265">
        <w:rPr>
          <w:rFonts w:ascii="Times New Roman" w:hAnsi="Times New Roman"/>
          <w:sz w:val="24"/>
          <w:szCs w:val="24"/>
        </w:rPr>
        <w:t>)“.</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b/>
          <w:sz w:val="24"/>
          <w:szCs w:val="24"/>
          <w:lang w:eastAsia="de-DE"/>
        </w:rPr>
        <w:t>7.</w:t>
      </w:r>
      <w:r w:rsidRPr="00105265">
        <w:rPr>
          <w:rFonts w:ascii="Times New Roman" w:hAnsi="Times New Roman"/>
          <w:sz w:val="24"/>
          <w:szCs w:val="24"/>
          <w:lang w:eastAsia="de-DE"/>
        </w:rPr>
        <w:t xml:space="preserve"> Za § 8b sa vkladá § 8c, ktorý znie:</w:t>
      </w:r>
    </w:p>
    <w:p w:rsidR="00DF20DB" w:rsidRPr="00105265" w:rsidP="00DF20DB">
      <w:pPr>
        <w:pStyle w:val="Normlny"/>
        <w:bidi w:val="0"/>
        <w:jc w:val="center"/>
        <w:rPr>
          <w:rFonts w:ascii="Times New Roman" w:hAnsi="Times New Roman"/>
          <w:sz w:val="24"/>
          <w:szCs w:val="24"/>
          <w:lang w:eastAsia="de-DE"/>
        </w:rPr>
      </w:pPr>
    </w:p>
    <w:p w:rsidR="00DF20DB" w:rsidRPr="00105265" w:rsidP="00DF20DB">
      <w:pPr>
        <w:pStyle w:val="Normlny"/>
        <w:bidi w:val="0"/>
        <w:jc w:val="center"/>
        <w:rPr>
          <w:rFonts w:ascii="Times New Roman" w:hAnsi="Times New Roman"/>
          <w:sz w:val="24"/>
          <w:szCs w:val="24"/>
          <w:lang w:eastAsia="de-DE"/>
        </w:rPr>
      </w:pPr>
      <w:r w:rsidRPr="00105265">
        <w:rPr>
          <w:rFonts w:ascii="Times New Roman" w:hAnsi="Times New Roman"/>
          <w:sz w:val="24"/>
          <w:szCs w:val="24"/>
          <w:lang w:eastAsia="de-DE"/>
        </w:rPr>
        <w:t>„§ 8c</w:t>
      </w:r>
    </w:p>
    <w:p w:rsidR="00DF20DB" w:rsidRPr="00105265" w:rsidP="00DF20DB">
      <w:pPr>
        <w:pStyle w:val="Normlny"/>
        <w:bidi w:val="0"/>
        <w:jc w:val="center"/>
        <w:rPr>
          <w:rFonts w:ascii="Times New Roman" w:hAnsi="Times New Roman"/>
          <w:b/>
          <w:sz w:val="24"/>
          <w:szCs w:val="24"/>
          <w:lang w:eastAsia="de-DE"/>
        </w:rPr>
      </w:pPr>
    </w:p>
    <w:p w:rsidR="00DF20DB" w:rsidRPr="00105265" w:rsidP="00DF20DB">
      <w:pPr>
        <w:bidi w:val="0"/>
        <w:spacing w:after="0" w:line="240" w:lineRule="auto"/>
        <w:ind w:firstLine="708"/>
        <w:jc w:val="both"/>
        <w:rPr>
          <w:rFonts w:ascii="Times New Roman" w:hAnsi="Times New Roman"/>
          <w:sz w:val="24"/>
          <w:szCs w:val="24"/>
          <w:lang w:eastAsia="de-DE"/>
        </w:rPr>
      </w:pPr>
      <w:r w:rsidRPr="00105265">
        <w:rPr>
          <w:rFonts w:ascii="Times New Roman" w:hAnsi="Times New Roman"/>
          <w:sz w:val="24"/>
          <w:szCs w:val="24"/>
          <w:lang w:eastAsia="de-DE"/>
        </w:rPr>
        <w:t>(1) Súd aj bez návrhu vykoná výmaz podniku zahraničnej osoby alebo organizačnej zložky podniku zahraničnej osoby, ak zahraničný obchodný register alebo iná evidencia, v ktorej je zahraničná osoba zapísaná, alebo v ktorej je zahraničná osoba povinná ukladať listiny, zverejní prostredníctvom systému prepojenia centrálnych registrov, obchodných registrov a registrov spoločností (ďalej len „systém prepojenia registrov“), že došlo k zániku alebo k výmazu zapísanej zahraničnej osoby; to neplatí, ak zánik alebo výmaz zahraničnej osoby zo zahraničného obchodného registra alebo z inej evidencie, v ktorej je zahraničná osoba zapísaná, alebo v ktorej je zahraničná osoba povinná ukladať listiny, nastali v dôsledku zmeny právnej formy dotknutej zahraničnej osoby, zlúčenia, splynutia alebo rozdelenia zahraničnej osoby alebo cezhraničného premiestnenia jej sídla zapísaného v zahraničnom obchodnom registri alebo v inej evidencii.</w:t>
      </w:r>
    </w:p>
    <w:p w:rsidR="00DF20DB" w:rsidRPr="00105265" w:rsidP="00DF20DB">
      <w:pPr>
        <w:bidi w:val="0"/>
        <w:spacing w:after="0" w:line="240" w:lineRule="auto"/>
        <w:ind w:firstLine="708"/>
        <w:jc w:val="both"/>
        <w:rPr>
          <w:rFonts w:ascii="Times New Roman" w:hAnsi="Times New Roman"/>
          <w:sz w:val="24"/>
          <w:szCs w:val="24"/>
          <w:lang w:eastAsia="de-DE"/>
        </w:rPr>
      </w:pPr>
    </w:p>
    <w:p w:rsidR="00DF20DB" w:rsidRPr="00105265" w:rsidP="00DF20DB">
      <w:pPr>
        <w:bidi w:val="0"/>
        <w:spacing w:after="0" w:line="240" w:lineRule="auto"/>
        <w:ind w:firstLine="708"/>
        <w:jc w:val="both"/>
        <w:rPr>
          <w:rFonts w:ascii="Times New Roman" w:hAnsi="Times New Roman"/>
          <w:sz w:val="24"/>
          <w:szCs w:val="24"/>
          <w:lang w:eastAsia="de-DE"/>
        </w:rPr>
      </w:pPr>
      <w:r w:rsidRPr="00105265">
        <w:rPr>
          <w:rFonts w:ascii="Times New Roman" w:hAnsi="Times New Roman"/>
          <w:sz w:val="24"/>
          <w:szCs w:val="24"/>
          <w:lang w:eastAsia="de-DE"/>
        </w:rPr>
        <w:t>(2) Potvrdenie o vykonaní výmazu pri výmaze podniku zahraničnej osoby alebo organizačnej zložky podniku zahraničnej osoby podľa odseku 1 sa nevydáva.“.</w:t>
      </w:r>
    </w:p>
    <w:p w:rsidR="00DF20DB" w:rsidRPr="00105265" w:rsidP="00DF20DB">
      <w:pPr>
        <w:bidi w:val="0"/>
        <w:spacing w:after="0" w:line="240" w:lineRule="auto"/>
        <w:jc w:val="both"/>
        <w:rPr>
          <w:rFonts w:ascii="Times New Roman" w:hAnsi="Times New Roman"/>
          <w:sz w:val="24"/>
          <w:szCs w:val="24"/>
          <w:lang w:eastAsia="de-DE"/>
        </w:rPr>
      </w:pP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b/>
          <w:sz w:val="24"/>
          <w:szCs w:val="24"/>
          <w:lang w:eastAsia="de-DE"/>
        </w:rPr>
        <w:t>8.</w:t>
      </w:r>
      <w:r w:rsidRPr="00105265">
        <w:rPr>
          <w:rFonts w:ascii="Times New Roman" w:hAnsi="Times New Roman"/>
          <w:sz w:val="24"/>
          <w:szCs w:val="24"/>
          <w:lang w:eastAsia="de-DE"/>
        </w:rPr>
        <w:t xml:space="preserve"> V § 10 sa za odsek 2 vkladajú nové odseky 3 a 4, ktoré znejú:</w:t>
      </w: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„(3) Registrový súd sprístupňuje v elektronickej podobe zapisované údaje a  uložené listiny aj prostredníctvom systému prepojenia registrov vo forme podľa osobitného predpisu.</w:t>
      </w:r>
      <w:r w:rsidRPr="00105265">
        <w:rPr>
          <w:rFonts w:ascii="Times New Roman" w:hAnsi="Times New Roman"/>
          <w:sz w:val="24"/>
          <w:szCs w:val="24"/>
          <w:vertAlign w:val="superscript"/>
          <w:lang w:eastAsia="de-DE"/>
        </w:rPr>
        <w:t>16a</w:t>
      </w:r>
      <w:r w:rsidRPr="00105265">
        <w:rPr>
          <w:rFonts w:ascii="Times New Roman" w:hAnsi="Times New Roman"/>
          <w:sz w:val="24"/>
          <w:szCs w:val="24"/>
          <w:lang w:eastAsia="de-DE"/>
        </w:rPr>
        <w:t>)</w:t>
      </w:r>
    </w:p>
    <w:p w:rsidR="00DF20DB" w:rsidRPr="00105265" w:rsidP="00DF20DB">
      <w:pPr>
        <w:bidi w:val="0"/>
        <w:spacing w:after="0" w:line="240" w:lineRule="auto"/>
        <w:jc w:val="both"/>
        <w:rPr>
          <w:rFonts w:ascii="Times New Roman" w:hAnsi="Times New Roman"/>
          <w:sz w:val="24"/>
          <w:szCs w:val="24"/>
          <w:lang w:eastAsia="de-DE"/>
        </w:rPr>
      </w:pP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(4) Zapisovaný údaj o dátume vstupu do likvidácie, dátume skončenia likvidácie, dátume vyhlásenia konkurzu a dátume ukončenia konkurzného konania registrový súd sprístupní prostredníctvom systému prepojenia registrov bezodplatne a bezodkladne po ich zapísaní.“.</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Doterajšie odseky 3 až 6 sa označujú ako odseky 5 až 8.</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Poznámka pod čiarou k odkazu 16a znie:</w:t>
      </w: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w:t>
      </w:r>
      <w:r w:rsidRPr="00105265">
        <w:rPr>
          <w:rFonts w:ascii="Times New Roman" w:hAnsi="Times New Roman"/>
          <w:sz w:val="24"/>
          <w:szCs w:val="24"/>
          <w:vertAlign w:val="superscript"/>
          <w:lang w:eastAsia="de-DE"/>
        </w:rPr>
        <w:t>16a</w:t>
      </w:r>
      <w:r w:rsidRPr="00105265">
        <w:rPr>
          <w:rFonts w:ascii="Times New Roman" w:hAnsi="Times New Roman"/>
          <w:sz w:val="24"/>
          <w:szCs w:val="24"/>
          <w:lang w:eastAsia="de-DE"/>
        </w:rPr>
        <w:t>) Vykonávacie nariadenie Komisie (EÚ) 2015/884 z 8. júna 2015, ktorým sa stanovujú technické špecifikácie a postupy potrebné pre systém prepojenia registrov stanovený smernicou Európskeho parlamentu a Rady 2009/101/ES (Ú. v. EÚ L 144, 10.6.2015).“.</w:t>
      </w:r>
    </w:p>
    <w:p w:rsidR="00DF20DB" w:rsidRPr="00105265" w:rsidP="00DF20DB">
      <w:pPr>
        <w:bidi w:val="0"/>
        <w:spacing w:after="0" w:line="240" w:lineRule="auto"/>
        <w:jc w:val="both"/>
        <w:rPr>
          <w:rFonts w:ascii="Times New Roman" w:hAnsi="Times New Roman"/>
          <w:sz w:val="24"/>
          <w:szCs w:val="24"/>
          <w:lang w:eastAsia="de-DE"/>
        </w:rPr>
      </w:pP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b/>
          <w:sz w:val="24"/>
          <w:szCs w:val="24"/>
          <w:lang w:eastAsia="de-DE"/>
        </w:rPr>
        <w:t>9.</w:t>
      </w:r>
      <w:r w:rsidRPr="00105265">
        <w:rPr>
          <w:rFonts w:ascii="Times New Roman" w:hAnsi="Times New Roman"/>
          <w:sz w:val="24"/>
          <w:szCs w:val="24"/>
          <w:lang w:eastAsia="de-DE"/>
        </w:rPr>
        <w:t xml:space="preserve"> V § 10 ods. 7 sa za slovo „oznámi“ vkladajú slová „prostredníctvom systému prepojenia registrov“.</w:t>
      </w:r>
    </w:p>
    <w:p w:rsidR="00DF20DB" w:rsidP="00DF20DB">
      <w:pPr>
        <w:bidi w:val="0"/>
        <w:spacing w:after="0" w:line="240" w:lineRule="auto"/>
        <w:jc w:val="both"/>
        <w:rPr>
          <w:rFonts w:ascii="Times New Roman" w:hAnsi="Times New Roman"/>
          <w:sz w:val="24"/>
          <w:szCs w:val="24"/>
          <w:lang w:eastAsia="de-DE"/>
        </w:rPr>
      </w:pPr>
    </w:p>
    <w:p w:rsidR="00DF20DB" w:rsidRPr="00105265" w:rsidP="00DF20DB">
      <w:pPr>
        <w:bidi w:val="0"/>
        <w:spacing w:after="0" w:line="240" w:lineRule="auto"/>
        <w:jc w:val="both"/>
        <w:rPr>
          <w:rFonts w:ascii="Times New Roman" w:hAnsi="Times New Roman"/>
          <w:sz w:val="24"/>
          <w:szCs w:val="24"/>
          <w:lang w:eastAsia="de-DE"/>
        </w:rPr>
      </w:pP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b/>
          <w:sz w:val="24"/>
          <w:szCs w:val="24"/>
          <w:lang w:eastAsia="de-DE"/>
        </w:rPr>
        <w:t>10.</w:t>
      </w:r>
      <w:r w:rsidRPr="00105265">
        <w:rPr>
          <w:rFonts w:ascii="Times New Roman" w:hAnsi="Times New Roman"/>
          <w:sz w:val="24"/>
          <w:szCs w:val="24"/>
          <w:lang w:eastAsia="de-DE"/>
        </w:rPr>
        <w:t xml:space="preserve"> V § 10 sa za odsek 7 vkladá nový odsek 8, ktorý znie:</w:t>
      </w: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„(8) Ak pri cezhraničnom zlúčení alebo cezhraničnom splynutí zanikne slovenská  zúčastnená spoločnosť,  registrový súd zapíše zmeny pri zanikajúcej slovenskej zúčastnenej spoločnosti až po prijatí oznámenia, že cezhraničné zlúčenie alebo cezhraničné splynutie nadobudlo účinnosť prostredníctvom systému prepojenia registrov.“.</w:t>
      </w:r>
    </w:p>
    <w:p w:rsidR="00DF20DB" w:rsidRPr="00105265" w:rsidP="00DF20DB">
      <w:pPr>
        <w:bidi w:val="0"/>
        <w:spacing w:after="0" w:line="240" w:lineRule="auto"/>
        <w:jc w:val="both"/>
        <w:rPr>
          <w:rFonts w:ascii="Times New Roman" w:hAnsi="Times New Roman"/>
          <w:sz w:val="24"/>
          <w:szCs w:val="24"/>
          <w:lang w:eastAsia="de-DE"/>
        </w:rPr>
      </w:pP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Doterajší odsek 8 sa označuje ako odsek 9.</w:t>
      </w:r>
    </w:p>
    <w:p w:rsidR="00DF20DB" w:rsidRPr="00105265" w:rsidP="00DF20DB">
      <w:pPr>
        <w:bidi w:val="0"/>
        <w:spacing w:after="0" w:line="240" w:lineRule="auto"/>
        <w:jc w:val="both"/>
        <w:rPr>
          <w:rFonts w:ascii="Times New Roman" w:hAnsi="Times New Roman"/>
          <w:sz w:val="24"/>
          <w:szCs w:val="24"/>
          <w:lang w:eastAsia="de-DE"/>
        </w:rPr>
      </w:pP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b/>
          <w:sz w:val="24"/>
          <w:szCs w:val="24"/>
          <w:lang w:eastAsia="de-DE"/>
        </w:rPr>
        <w:t>11.</w:t>
      </w:r>
      <w:r w:rsidRPr="00105265">
        <w:rPr>
          <w:rFonts w:ascii="Times New Roman" w:hAnsi="Times New Roman"/>
          <w:sz w:val="24"/>
          <w:szCs w:val="24"/>
          <w:lang w:eastAsia="de-DE"/>
        </w:rPr>
        <w:t xml:space="preserve"> </w:t>
      </w:r>
      <w:r w:rsidRPr="006632CB">
        <w:rPr>
          <w:rFonts w:ascii="Times New Roman" w:hAnsi="Times New Roman"/>
          <w:sz w:val="24"/>
          <w:szCs w:val="24"/>
          <w:lang w:eastAsia="de-DE"/>
        </w:rPr>
        <w:t>V celom texte § 12 ods. 3 sa slová „zaručeným elektronickým podpisom podľa odseku 10“ nahrádzajú slovami „kvalifikovanou elektronickou pečaťou</w:t>
      </w:r>
      <w:r w:rsidRPr="00C63B4F">
        <w:rPr>
          <w:rFonts w:ascii="Times New Roman" w:hAnsi="Times New Roman"/>
          <w:sz w:val="24"/>
          <w:szCs w:val="24"/>
          <w:vertAlign w:val="superscript"/>
          <w:lang w:eastAsia="de-DE"/>
        </w:rPr>
        <w:t>21aa</w:t>
      </w:r>
      <w:r w:rsidRPr="006632CB">
        <w:rPr>
          <w:rFonts w:ascii="Times New Roman" w:hAnsi="Times New Roman"/>
          <w:sz w:val="24"/>
          <w:szCs w:val="24"/>
          <w:lang w:eastAsia="de-DE"/>
        </w:rPr>
        <w:t>) podľa odseku 12“.</w:t>
      </w:r>
    </w:p>
    <w:p w:rsidR="00DF20DB" w:rsidRPr="00105265" w:rsidP="00DF20DB">
      <w:pPr>
        <w:tabs>
          <w:tab w:val="left" w:pos="851"/>
        </w:tabs>
        <w:bidi w:val="0"/>
        <w:spacing w:after="0" w:line="240" w:lineRule="auto"/>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Poznámka pod čiarou k odkazu 21aa znie:</w:t>
      </w: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w:t>
      </w:r>
      <w:r w:rsidRPr="004E7CF7">
        <w:rPr>
          <w:rFonts w:ascii="Times New Roman" w:hAnsi="Times New Roman"/>
          <w:sz w:val="24"/>
          <w:szCs w:val="24"/>
          <w:vertAlign w:val="superscript"/>
          <w:lang w:eastAsia="de-DE"/>
        </w:rPr>
        <w:t>21aa</w:t>
      </w:r>
      <w:r w:rsidRPr="00105265">
        <w:rPr>
          <w:rFonts w:ascii="Times New Roman" w:hAnsi="Times New Roman"/>
          <w:sz w:val="24"/>
          <w:szCs w:val="24"/>
          <w:lang w:eastAsia="de-DE"/>
        </w:rPr>
        <w:t>) Čl. 3 ods. 27 nariadenia Európskeho parlamentu a Rady (EÚ) č. 910/2014 o elektronickej identifikácii a dôveryhodných službách pre elektronické transakcie na vnútornom trhu a o zrušení smernice 1999/93/ES (Ú. v. EÚ L 257, 28.8.2014).“.</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b/>
          <w:sz w:val="24"/>
          <w:szCs w:val="24"/>
          <w:lang w:eastAsia="de-DE"/>
        </w:rPr>
        <w:t>12.</w:t>
      </w:r>
      <w:r w:rsidRPr="00105265">
        <w:rPr>
          <w:rFonts w:ascii="Times New Roman" w:hAnsi="Times New Roman"/>
          <w:sz w:val="24"/>
          <w:szCs w:val="24"/>
          <w:lang w:eastAsia="de-DE"/>
        </w:rPr>
        <w:t xml:space="preserve"> V § 12 sa za odsek 3 vkladá nový odsek 4, ktorý znie:</w:t>
      </w: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„(4) O vydanie výpisu z obchodného registra možno žiadať aj prostredníctvom systému prepojenia registrov.“.</w:t>
      </w:r>
    </w:p>
    <w:p w:rsidR="00DF20DB" w:rsidRPr="00105265" w:rsidP="00DF20DB">
      <w:pPr>
        <w:bidi w:val="0"/>
        <w:spacing w:after="0" w:line="240" w:lineRule="auto"/>
        <w:jc w:val="both"/>
        <w:rPr>
          <w:rFonts w:ascii="Times New Roman" w:hAnsi="Times New Roman"/>
          <w:strike/>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Doterajšie odseky 4 až 11 sa označujú ako odseky 5 až 12.</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b/>
          <w:sz w:val="24"/>
          <w:szCs w:val="24"/>
          <w:lang w:eastAsia="de-DE"/>
        </w:rPr>
        <w:t>13.</w:t>
      </w:r>
      <w:r w:rsidRPr="00105265">
        <w:rPr>
          <w:rFonts w:ascii="Times New Roman" w:hAnsi="Times New Roman"/>
          <w:sz w:val="24"/>
          <w:szCs w:val="24"/>
          <w:lang w:eastAsia="de-DE"/>
        </w:rPr>
        <w:t xml:space="preserve"> V § 12 ods. 6 tretej vete sa slová „zaručeným elektronickým podpisom podľa odseku 10 do piatich pracovných dní odo dňa, keď súdu prišla informácia o zaplatení súdneho poplatku“ nahrádzajú slovami „kvalifikovanou elektronickou pečaťou</w:t>
      </w:r>
      <w:r w:rsidRPr="00105265">
        <w:rPr>
          <w:rFonts w:ascii="Times New Roman" w:hAnsi="Times New Roman"/>
          <w:sz w:val="24"/>
          <w:szCs w:val="24"/>
          <w:vertAlign w:val="superscript"/>
          <w:lang w:eastAsia="de-DE"/>
        </w:rPr>
        <w:t xml:space="preserve"> 21aa</w:t>
      </w:r>
      <w:r w:rsidRPr="00105265">
        <w:rPr>
          <w:rFonts w:ascii="Times New Roman" w:hAnsi="Times New Roman"/>
          <w:sz w:val="24"/>
          <w:szCs w:val="24"/>
          <w:lang w:eastAsia="de-DE"/>
        </w:rPr>
        <w:t>)  podľa odseku 12 do piatich pracovných dní odo dňa, keď súdu bola doručená žiadosť elektronickými prostriedkami, a to bezodplatne“.</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b/>
          <w:sz w:val="24"/>
          <w:szCs w:val="24"/>
          <w:lang w:eastAsia="de-DE"/>
        </w:rPr>
        <w:t>14.</w:t>
      </w:r>
      <w:r w:rsidRPr="00105265">
        <w:rPr>
          <w:rFonts w:ascii="Times New Roman" w:hAnsi="Times New Roman"/>
          <w:sz w:val="24"/>
          <w:szCs w:val="24"/>
          <w:lang w:eastAsia="de-DE"/>
        </w:rPr>
        <w:t xml:space="preserve"> V § 12 sa za odsek 6 vkladá nový odsek 7, ktorý znie:</w:t>
      </w:r>
    </w:p>
    <w:p w:rsidR="00DF20DB" w:rsidRPr="00105265" w:rsidP="00DF20DB">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„(7) O vydanie kópie uloženej listiny alebo o vydanie potvrdenia o tom, že určitá listina nie je uložená v zbierke listín, možno žiadať aj prostredníctvom systému prepojenia registrov.“.</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Doterajšie odseky 7 až 12 sa označujú ako odseky 8 až 13.</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Normlny"/>
        <w:bidi w:val="0"/>
        <w:jc w:val="both"/>
        <w:rPr>
          <w:rFonts w:ascii="Times New Roman" w:hAnsi="Times New Roman"/>
          <w:sz w:val="24"/>
          <w:szCs w:val="24"/>
          <w:lang w:eastAsia="de-DE"/>
        </w:rPr>
      </w:pPr>
      <w:r w:rsidRPr="00105265">
        <w:rPr>
          <w:rFonts w:ascii="Times New Roman" w:hAnsi="Times New Roman"/>
          <w:b/>
          <w:sz w:val="24"/>
          <w:szCs w:val="24"/>
          <w:lang w:eastAsia="de-DE"/>
        </w:rPr>
        <w:t>15.</w:t>
      </w:r>
      <w:r w:rsidRPr="00105265">
        <w:rPr>
          <w:rFonts w:ascii="Times New Roman" w:hAnsi="Times New Roman"/>
          <w:sz w:val="24"/>
          <w:szCs w:val="24"/>
          <w:lang w:eastAsia="de-DE"/>
        </w:rPr>
        <w:t xml:space="preserve"> V § 12 ods. 12 sa slová „určeným zaručeným elektronickým podpisom“ nahrádzajú slovami „určenou kvalifikovanou elektronickou pečaťou</w:t>
      </w:r>
      <w:r w:rsidRPr="00105265">
        <w:rPr>
          <w:rFonts w:ascii="Times New Roman" w:hAnsi="Times New Roman"/>
          <w:sz w:val="24"/>
          <w:szCs w:val="24"/>
          <w:vertAlign w:val="superscript"/>
          <w:lang w:eastAsia="de-DE"/>
        </w:rPr>
        <w:t xml:space="preserve"> 21aa</w:t>
      </w:r>
      <w:r w:rsidRPr="00105265">
        <w:rPr>
          <w:rFonts w:ascii="Times New Roman" w:hAnsi="Times New Roman"/>
          <w:sz w:val="24"/>
          <w:szCs w:val="24"/>
          <w:lang w:eastAsia="de-DE"/>
        </w:rPr>
        <w:t>)“.</w:t>
      </w:r>
    </w:p>
    <w:p w:rsidR="00DF20DB" w:rsidP="00DF20DB">
      <w:pPr>
        <w:pStyle w:val="Normlny"/>
        <w:bidi w:val="0"/>
        <w:jc w:val="both"/>
        <w:rPr>
          <w:rFonts w:ascii="Times New Roman" w:hAnsi="Times New Roman"/>
          <w:sz w:val="24"/>
          <w:szCs w:val="24"/>
          <w:lang w:eastAsia="de-DE"/>
        </w:rPr>
      </w:pPr>
    </w:p>
    <w:p w:rsidR="00DF20DB" w:rsidRPr="00265A64" w:rsidP="00DF20DB">
      <w:pPr>
        <w:pStyle w:val="Normlny"/>
        <w:bidi w:val="0"/>
        <w:jc w:val="both"/>
        <w:rPr>
          <w:rFonts w:ascii="Times New Roman" w:hAnsi="Times New Roman"/>
          <w:sz w:val="24"/>
          <w:szCs w:val="24"/>
          <w:lang w:eastAsia="de-DE"/>
        </w:rPr>
      </w:pPr>
      <w:r w:rsidRPr="00265A64">
        <w:rPr>
          <w:rFonts w:ascii="Times New Roman" w:hAnsi="Times New Roman"/>
          <w:b/>
          <w:sz w:val="24"/>
          <w:szCs w:val="24"/>
          <w:lang w:eastAsia="de-DE"/>
        </w:rPr>
        <w:t>16.</w:t>
      </w:r>
      <w:r>
        <w:rPr>
          <w:rFonts w:ascii="Times New Roman" w:hAnsi="Times New Roman"/>
          <w:sz w:val="24"/>
          <w:szCs w:val="24"/>
          <w:lang w:eastAsia="de-DE"/>
        </w:rPr>
        <w:t xml:space="preserve"> </w:t>
      </w:r>
      <w:r w:rsidRPr="00265A64">
        <w:rPr>
          <w:rFonts w:ascii="Times New Roman" w:hAnsi="Times New Roman"/>
          <w:sz w:val="24"/>
          <w:szCs w:val="24"/>
          <w:lang w:eastAsia="de-DE"/>
        </w:rPr>
        <w:t>§ 13 sa dopĺňa odsekom 5, ktorý znie:</w:t>
      </w:r>
    </w:p>
    <w:p w:rsidR="00DF20DB" w:rsidP="00DF20DB">
      <w:pPr>
        <w:pStyle w:val="Normlny"/>
        <w:bidi w:val="0"/>
        <w:jc w:val="both"/>
        <w:rPr>
          <w:rFonts w:ascii="Times New Roman" w:hAnsi="Times New Roman"/>
          <w:sz w:val="24"/>
          <w:szCs w:val="24"/>
          <w:lang w:eastAsia="de-DE"/>
        </w:rPr>
      </w:pPr>
      <w:r w:rsidRPr="00265A64">
        <w:rPr>
          <w:rFonts w:ascii="Times New Roman" w:hAnsi="Times New Roman"/>
          <w:sz w:val="24"/>
          <w:szCs w:val="24"/>
          <w:lang w:eastAsia="de-DE"/>
        </w:rPr>
        <w:t xml:space="preserve">„(5) </w:t>
      </w:r>
      <w:r w:rsidRPr="002539DF">
        <w:rPr>
          <w:rFonts w:ascii="Times New Roman" w:hAnsi="Times New Roman"/>
          <w:sz w:val="24"/>
          <w:szCs w:val="24"/>
          <w:lang w:eastAsia="de-DE"/>
        </w:rPr>
        <w:t>Na účely sprístupňovania údajov prostredníctvom systému prepojenia registrov podľa tohto zákona sa pre zapísané osoby používa jedinečný identifikačný znak.</w:t>
      </w:r>
      <w:r w:rsidRPr="00265A64">
        <w:rPr>
          <w:rFonts w:ascii="Times New Roman" w:hAnsi="Times New Roman"/>
          <w:sz w:val="24"/>
          <w:szCs w:val="24"/>
          <w:lang w:eastAsia="de-DE"/>
        </w:rPr>
        <w:t xml:space="preserve">“.  </w:t>
      </w:r>
    </w:p>
    <w:p w:rsidR="00DF20DB" w:rsidRPr="00105265" w:rsidP="00DF20DB">
      <w:pPr>
        <w:pStyle w:val="Normlny"/>
        <w:bidi w:val="0"/>
        <w:jc w:val="both"/>
        <w:rPr>
          <w:rFonts w:ascii="Times New Roman" w:hAnsi="Times New Roman"/>
          <w:sz w:val="24"/>
          <w:szCs w:val="24"/>
          <w:lang w:eastAsia="de-DE"/>
        </w:rPr>
      </w:pPr>
    </w:p>
    <w:p w:rsidR="00DF20DB" w:rsidRPr="00105265" w:rsidP="00DF20DB">
      <w:pPr>
        <w:pStyle w:val="51Abs"/>
        <w:bidi w:val="0"/>
        <w:spacing w:before="0" w:line="240" w:lineRule="auto"/>
        <w:ind w:firstLine="0"/>
        <w:jc w:val="center"/>
        <w:rPr>
          <w:rFonts w:ascii="Times New Roman" w:hAnsi="Times New Roman"/>
          <w:b/>
          <w:color w:val="auto"/>
          <w:sz w:val="24"/>
          <w:szCs w:val="24"/>
          <w:lang w:val="sk-SK"/>
        </w:rPr>
      </w:pPr>
      <w:r w:rsidRPr="00105265">
        <w:rPr>
          <w:rFonts w:ascii="Times New Roman" w:hAnsi="Times New Roman"/>
          <w:b/>
          <w:color w:val="auto"/>
          <w:sz w:val="24"/>
          <w:szCs w:val="24"/>
          <w:lang w:val="sk-SK"/>
        </w:rPr>
        <w:t>Čl. II</w:t>
      </w:r>
    </w:p>
    <w:p w:rsidR="00DF20DB" w:rsidRPr="00105265" w:rsidP="00DF20DB">
      <w:pPr>
        <w:bidi w:val="0"/>
        <w:spacing w:after="0" w:line="240" w:lineRule="auto"/>
        <w:jc w:val="center"/>
        <w:rPr>
          <w:rFonts w:ascii="Times New Roman" w:hAnsi="Times New Roman"/>
          <w:b/>
          <w:sz w:val="24"/>
          <w:szCs w:val="24"/>
        </w:rPr>
      </w:pPr>
    </w:p>
    <w:p w:rsidR="00DF20DB" w:rsidRPr="00105265" w:rsidP="00DF20DB">
      <w:pPr>
        <w:bidi w:val="0"/>
        <w:spacing w:after="0" w:line="240" w:lineRule="auto"/>
        <w:ind w:firstLine="708"/>
        <w:jc w:val="both"/>
        <w:rPr>
          <w:rFonts w:ascii="Times New Roman" w:hAnsi="Times New Roman"/>
          <w:b/>
          <w:sz w:val="24"/>
          <w:szCs w:val="24"/>
        </w:rPr>
      </w:pPr>
      <w:r w:rsidRPr="00105265">
        <w:rPr>
          <w:rFonts w:ascii="Times New Roman" w:hAnsi="Times New Roman"/>
          <w:sz w:val="24"/>
          <w:szCs w:val="24"/>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a zákona č. 2/2017 Z. z. sa mení takto:</w:t>
      </w:r>
    </w:p>
    <w:p w:rsidR="00DF20DB" w:rsidRPr="00105265" w:rsidP="00DF20DB">
      <w:pPr>
        <w:bidi w:val="0"/>
        <w:spacing w:after="0" w:line="240" w:lineRule="auto"/>
        <w:jc w:val="both"/>
        <w:rPr>
          <w:rFonts w:ascii="Times New Roman" w:hAnsi="Times New Roman"/>
          <w:b/>
          <w:sz w:val="24"/>
          <w:szCs w:val="24"/>
        </w:rPr>
      </w:pPr>
    </w:p>
    <w:p w:rsidR="00DF20DB" w:rsidRPr="00105265" w:rsidP="00DF20DB">
      <w:pPr>
        <w:pStyle w:val="51Abs"/>
        <w:bidi w:val="0"/>
        <w:spacing w:before="0" w:line="240" w:lineRule="auto"/>
        <w:ind w:firstLine="0"/>
        <w:rPr>
          <w:rFonts w:ascii="Times New Roman" w:hAnsi="Times New Roman"/>
          <w:b/>
          <w:color w:val="auto"/>
          <w:sz w:val="24"/>
          <w:szCs w:val="24"/>
          <w:lang w:val="sk-SK"/>
        </w:rPr>
      </w:pPr>
      <w:r w:rsidRPr="00105265">
        <w:rPr>
          <w:rFonts w:ascii="Times New Roman" w:hAnsi="Times New Roman"/>
          <w:sz w:val="24"/>
          <w:szCs w:val="24"/>
          <w:lang w:val="sk-SK"/>
        </w:rPr>
        <w:t>V prílohe Sadzobník súdnych poplatkov v položke 24b sa vypúšťajú písmená c) a e).</w:t>
      </w:r>
    </w:p>
    <w:p w:rsidR="00DF20DB" w:rsidRPr="00105265" w:rsidP="00DF20DB">
      <w:pPr>
        <w:pStyle w:val="51Abs"/>
        <w:bidi w:val="0"/>
        <w:spacing w:before="0" w:line="240" w:lineRule="auto"/>
        <w:ind w:firstLine="0"/>
        <w:rPr>
          <w:rFonts w:ascii="Times New Roman" w:hAnsi="Times New Roman"/>
          <w:sz w:val="24"/>
          <w:szCs w:val="24"/>
          <w:lang w:val="sk-SK"/>
        </w:rPr>
      </w:pPr>
    </w:p>
    <w:p w:rsidR="00DF20DB" w:rsidRPr="00105265" w:rsidP="00DF20DB">
      <w:pPr>
        <w:pStyle w:val="51Abs"/>
        <w:bidi w:val="0"/>
        <w:spacing w:before="0" w:line="240" w:lineRule="auto"/>
        <w:ind w:firstLine="0"/>
        <w:rPr>
          <w:rFonts w:ascii="Times New Roman" w:hAnsi="Times New Roman"/>
          <w:sz w:val="24"/>
          <w:szCs w:val="24"/>
          <w:lang w:val="sk-SK"/>
        </w:rPr>
      </w:pPr>
      <w:r w:rsidRPr="00105265">
        <w:rPr>
          <w:rFonts w:ascii="Times New Roman" w:hAnsi="Times New Roman"/>
          <w:sz w:val="24"/>
          <w:szCs w:val="24"/>
          <w:lang w:val="sk-SK"/>
        </w:rPr>
        <w:t>Doterajšie písmeno d) sa označuje ako písmeno c).</w:t>
      </w:r>
    </w:p>
    <w:p w:rsidR="00DF20DB" w:rsidRPr="00105265" w:rsidP="00DF20DB">
      <w:pPr>
        <w:pStyle w:val="51Abs"/>
        <w:bidi w:val="0"/>
        <w:spacing w:before="0" w:line="240" w:lineRule="auto"/>
        <w:ind w:firstLine="0"/>
        <w:jc w:val="center"/>
        <w:rPr>
          <w:rFonts w:ascii="Times New Roman" w:hAnsi="Times New Roman"/>
          <w:b/>
          <w:color w:val="auto"/>
          <w:sz w:val="24"/>
          <w:szCs w:val="24"/>
          <w:lang w:val="sk-SK"/>
        </w:rPr>
      </w:pPr>
    </w:p>
    <w:p w:rsidR="00BC2C44" w:rsidP="00DF20DB">
      <w:pPr>
        <w:pStyle w:val="51Abs"/>
        <w:bidi w:val="0"/>
        <w:spacing w:before="0" w:line="240" w:lineRule="auto"/>
        <w:ind w:firstLine="0"/>
        <w:jc w:val="center"/>
        <w:rPr>
          <w:rFonts w:ascii="Times New Roman" w:hAnsi="Times New Roman"/>
          <w:b/>
          <w:color w:val="auto"/>
          <w:sz w:val="24"/>
          <w:szCs w:val="24"/>
          <w:lang w:val="sk-SK"/>
        </w:rPr>
      </w:pPr>
    </w:p>
    <w:p w:rsidR="00DF20DB" w:rsidRPr="00105265" w:rsidP="00DF20DB">
      <w:pPr>
        <w:pStyle w:val="51Abs"/>
        <w:bidi w:val="0"/>
        <w:spacing w:before="0" w:line="240" w:lineRule="auto"/>
        <w:ind w:firstLine="0"/>
        <w:jc w:val="center"/>
        <w:rPr>
          <w:rFonts w:ascii="Times New Roman" w:hAnsi="Times New Roman"/>
          <w:b/>
          <w:color w:val="auto"/>
          <w:sz w:val="24"/>
          <w:szCs w:val="24"/>
          <w:lang w:val="sk-SK"/>
        </w:rPr>
      </w:pPr>
      <w:r w:rsidRPr="00105265">
        <w:rPr>
          <w:rFonts w:ascii="Times New Roman" w:hAnsi="Times New Roman"/>
          <w:b/>
          <w:color w:val="auto"/>
          <w:sz w:val="24"/>
          <w:szCs w:val="24"/>
          <w:lang w:val="sk-SK"/>
        </w:rPr>
        <w:t>Čl. III</w:t>
      </w:r>
    </w:p>
    <w:p w:rsidR="00DF20DB" w:rsidRPr="00105265" w:rsidP="00DF20DB">
      <w:pPr>
        <w:pStyle w:val="51Abs"/>
        <w:bidi w:val="0"/>
        <w:spacing w:before="0" w:line="240" w:lineRule="auto"/>
        <w:ind w:firstLine="0"/>
        <w:jc w:val="center"/>
        <w:rPr>
          <w:rFonts w:ascii="Times New Roman" w:hAnsi="Times New Roman"/>
          <w:b/>
          <w:color w:val="auto"/>
          <w:sz w:val="24"/>
          <w:szCs w:val="24"/>
          <w:lang w:val="sk-SK"/>
        </w:rPr>
      </w:pPr>
    </w:p>
    <w:p w:rsidR="00844CB9" w:rsidRPr="00DF20DB" w:rsidP="00DF20DB">
      <w:pPr>
        <w:pStyle w:val="51Abs"/>
        <w:bidi w:val="0"/>
        <w:spacing w:before="0" w:line="240" w:lineRule="auto"/>
        <w:ind w:firstLine="708"/>
        <w:rPr>
          <w:rFonts w:ascii="Times New Roman" w:hAnsi="Times New Roman"/>
          <w:color w:val="auto"/>
          <w:sz w:val="24"/>
          <w:szCs w:val="24"/>
          <w:lang w:val="sk-SK"/>
        </w:rPr>
      </w:pPr>
      <w:r w:rsidRPr="00105265" w:rsidR="00DF20DB">
        <w:rPr>
          <w:rFonts w:ascii="Times New Roman" w:hAnsi="Times New Roman"/>
          <w:color w:val="auto"/>
          <w:sz w:val="24"/>
          <w:szCs w:val="24"/>
          <w:lang w:val="sk-SK"/>
        </w:rPr>
        <w:t>Tento zákon nadobúda účinnosť 1. júna 2017.</w:t>
      </w:r>
    </w:p>
    <w:sectPr w:rsidSect="00A41126">
      <w:footerReference w:type="default" r:id="rId5"/>
      <w:footnotePr>
        <w:pos w:val="beneathText"/>
      </w:footnotePr>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126" w:rsidRPr="00A41126" w:rsidP="00A41126">
    <w:pPr>
      <w:pStyle w:val="Footer"/>
      <w:bidi w:val="0"/>
      <w:spacing w:after="0" w:line="240" w:lineRule="auto"/>
      <w:jc w:val="center"/>
      <w:rPr>
        <w:rFonts w:ascii="Times New Roman" w:hAnsi="Times New Roman"/>
        <w:sz w:val="24"/>
        <w:szCs w:val="24"/>
      </w:rPr>
    </w:pPr>
    <w:r w:rsidRPr="00A41126">
      <w:rPr>
        <w:rFonts w:ascii="Times New Roman" w:hAnsi="Times New Roman"/>
        <w:sz w:val="24"/>
        <w:szCs w:val="24"/>
      </w:rPr>
      <w:fldChar w:fldCharType="begin"/>
    </w:r>
    <w:r w:rsidRPr="00A41126">
      <w:rPr>
        <w:rFonts w:ascii="Times New Roman" w:hAnsi="Times New Roman"/>
        <w:sz w:val="24"/>
        <w:szCs w:val="24"/>
      </w:rPr>
      <w:instrText>PAGE   \* MERGEFORMAT</w:instrText>
    </w:r>
    <w:r w:rsidRPr="00A41126">
      <w:rPr>
        <w:rFonts w:ascii="Times New Roman" w:hAnsi="Times New Roman"/>
        <w:sz w:val="24"/>
        <w:szCs w:val="24"/>
      </w:rPr>
      <w:fldChar w:fldCharType="separate"/>
    </w:r>
    <w:r w:rsidR="00224A7F">
      <w:rPr>
        <w:rFonts w:ascii="Times New Roman" w:hAnsi="Times New Roman"/>
        <w:noProof/>
        <w:sz w:val="24"/>
        <w:szCs w:val="24"/>
      </w:rPr>
      <w:t>4</w:t>
    </w:r>
    <w:r w:rsidRPr="00A41126">
      <w:rPr>
        <w:rFonts w:ascii="Times New Roman" w:hAnsi="Times New Roman"/>
        <w:sz w:val="24"/>
        <w:szCs w:val="24"/>
      </w:rPr>
      <w:fldChar w:fldCharType="end"/>
    </w:r>
  </w:p>
  <w:p w:rsidR="00CD4534" w:rsidRPr="00A41126" w:rsidP="00A41126">
    <w:pPr>
      <w:pStyle w:val="Footer"/>
      <w:bidi w:val="0"/>
      <w:spacing w:after="0" w:line="240" w:lineRule="auto"/>
      <w:rPr>
        <w:rFonts w:ascii="Times New Roman" w:hAnsi="Times New Roman"/>
        <w:sz w:val="24"/>
        <w:szCs w:val="24"/>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pos w:val="beneathText"/>
  </w:footnotePr>
  <w:compat/>
  <w:rsids>
    <w:rsidRoot w:val="00742D3B"/>
    <w:rsid w:val="00001507"/>
    <w:rsid w:val="00050935"/>
    <w:rsid w:val="00105265"/>
    <w:rsid w:val="00176E5D"/>
    <w:rsid w:val="00224A7F"/>
    <w:rsid w:val="00240159"/>
    <w:rsid w:val="002539DF"/>
    <w:rsid w:val="00265A64"/>
    <w:rsid w:val="003128AF"/>
    <w:rsid w:val="004E7CF7"/>
    <w:rsid w:val="006632CB"/>
    <w:rsid w:val="00742D3B"/>
    <w:rsid w:val="0074574F"/>
    <w:rsid w:val="00750AB4"/>
    <w:rsid w:val="00807A55"/>
    <w:rsid w:val="00844CB9"/>
    <w:rsid w:val="00A41126"/>
    <w:rsid w:val="00A44AE0"/>
    <w:rsid w:val="00BC2C44"/>
    <w:rsid w:val="00C63B4F"/>
    <w:rsid w:val="00CD4534"/>
    <w:rsid w:val="00DF20DB"/>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D3B"/>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742D3B"/>
    <w:pPr>
      <w:tabs>
        <w:tab w:val="center" w:pos="4536"/>
        <w:tab w:val="right" w:pos="9072"/>
      </w:tabs>
      <w:jc w:val="left"/>
    </w:pPr>
  </w:style>
  <w:style w:type="character" w:customStyle="1" w:styleId="PtaChar">
    <w:name w:val="Päta Char"/>
    <w:basedOn w:val="DefaultParagraphFont"/>
    <w:link w:val="Footer"/>
    <w:uiPriority w:val="99"/>
    <w:locked/>
    <w:rsid w:val="00742D3B"/>
    <w:rPr>
      <w:rFonts w:ascii="Calibri" w:hAnsi="Calibri" w:cs="Times New Roman"/>
      <w:rtl w:val="0"/>
      <w:cs w:val="0"/>
    </w:rPr>
  </w:style>
  <w:style w:type="paragraph" w:customStyle="1" w:styleId="51Abs">
    <w:name w:val="51_Abs"/>
    <w:basedOn w:val="Normal"/>
    <w:qFormat/>
    <w:rsid w:val="00742D3B"/>
    <w:pPr>
      <w:spacing w:before="80" w:after="0" w:line="220" w:lineRule="exact"/>
      <w:ind w:firstLine="397"/>
      <w:jc w:val="both"/>
    </w:pPr>
    <w:rPr>
      <w:rFonts w:ascii="Times New Roman" w:hAnsi="Times New Roman"/>
      <w:color w:val="000000"/>
      <w:sz w:val="20"/>
      <w:szCs w:val="20"/>
      <w:lang w:val="de-DE" w:eastAsia="de-DE"/>
    </w:rPr>
  </w:style>
  <w:style w:type="paragraph" w:customStyle="1" w:styleId="Normlny">
    <w:name w:val="_Normálny"/>
    <w:basedOn w:val="Normal"/>
    <w:rsid w:val="00742D3B"/>
    <w:pPr>
      <w:autoSpaceDE w:val="0"/>
      <w:autoSpaceDN w:val="0"/>
      <w:spacing w:after="0" w:line="240" w:lineRule="auto"/>
      <w:jc w:val="left"/>
    </w:pPr>
    <w:rPr>
      <w:rFonts w:ascii="Times New Roman" w:hAnsi="Times New Roman"/>
      <w:sz w:val="20"/>
      <w:szCs w:val="20"/>
    </w:rPr>
  </w:style>
  <w:style w:type="paragraph" w:styleId="FootnoteText">
    <w:name w:val="footnote text"/>
    <w:basedOn w:val="Normal"/>
    <w:link w:val="TextpoznmkypodiarouChar"/>
    <w:uiPriority w:val="99"/>
    <w:unhideWhenUsed/>
    <w:rsid w:val="00742D3B"/>
    <w:pPr>
      <w:spacing w:after="0" w:line="240" w:lineRule="auto"/>
      <w:jc w:val="left"/>
    </w:pPr>
    <w:rPr>
      <w:rFonts w:asciiTheme="minorHAnsi" w:hAnsiTheme="minorHAnsi"/>
      <w:sz w:val="20"/>
      <w:szCs w:val="20"/>
    </w:rPr>
  </w:style>
  <w:style w:type="character" w:customStyle="1" w:styleId="TextpoznmkypodiarouChar">
    <w:name w:val="Text poznámky pod čiarou Char"/>
    <w:basedOn w:val="DefaultParagraphFont"/>
    <w:link w:val="FootnoteText"/>
    <w:uiPriority w:val="99"/>
    <w:locked/>
    <w:rsid w:val="00742D3B"/>
    <w:rPr>
      <w:rFonts w:eastAsia="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3/530/2016070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4</Pages>
  <Words>1387</Words>
  <Characters>7907</Characters>
  <Application>Microsoft Office Word</Application>
  <DocSecurity>0</DocSecurity>
  <Lines>0</Lines>
  <Paragraphs>0</Paragraphs>
  <ScaleCrop>false</ScaleCrop>
  <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PALÚŠ Juraj</dc:creator>
  <cp:lastModifiedBy>BACOVA Vierka</cp:lastModifiedBy>
  <cp:revision>6</cp:revision>
  <dcterms:created xsi:type="dcterms:W3CDTF">2017-02-20T13:00:00Z</dcterms:created>
  <dcterms:modified xsi:type="dcterms:W3CDTF">2017-03-01T12:04:00Z</dcterms:modified>
</cp:coreProperties>
</file>