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6B82" w:rsidRPr="0005002D" w:rsidP="00F35A29">
      <w:pPr>
        <w:pStyle w:val="CM11"/>
        <w:bidi w:val="0"/>
        <w:jc w:val="center"/>
        <w:rPr>
          <w:b/>
          <w:bCs/>
          <w:sz w:val="44"/>
          <w:szCs w:val="44"/>
          <w:lang w:val="de-AT"/>
        </w:rPr>
      </w:pPr>
      <w:r w:rsidRPr="0005002D">
        <w:rPr>
          <w:b/>
          <w:bCs/>
          <w:sz w:val="44"/>
          <w:szCs w:val="44"/>
          <w:lang w:val="de-AT"/>
        </w:rPr>
        <w:t xml:space="preserve">VERTRAG </w:t>
      </w:r>
    </w:p>
    <w:p w:rsidR="00226B82" w:rsidRPr="0005002D" w:rsidP="00F35A29">
      <w:pPr>
        <w:pStyle w:val="CM11"/>
        <w:bidi w:val="0"/>
        <w:jc w:val="center"/>
        <w:rPr>
          <w:b/>
          <w:bCs/>
          <w:sz w:val="32"/>
          <w:szCs w:val="32"/>
          <w:lang w:val="de-AT"/>
        </w:rPr>
      </w:pPr>
      <w:r w:rsidRPr="0005002D">
        <w:rPr>
          <w:b/>
          <w:bCs/>
          <w:sz w:val="32"/>
          <w:szCs w:val="32"/>
          <w:lang w:val="de-AT"/>
        </w:rPr>
        <w:t xml:space="preserve">ZWISCHEN </w:t>
      </w:r>
    </w:p>
    <w:p w:rsidR="00F35A29" w:rsidRPr="0005002D" w:rsidP="00F35A29">
      <w:pPr>
        <w:pStyle w:val="CM11"/>
        <w:bidi w:val="0"/>
        <w:jc w:val="center"/>
        <w:rPr>
          <w:b/>
          <w:bCs/>
          <w:sz w:val="32"/>
          <w:szCs w:val="32"/>
          <w:lang w:val="de-AT"/>
        </w:rPr>
      </w:pPr>
      <w:r w:rsidRPr="0005002D">
        <w:rPr>
          <w:b/>
          <w:bCs/>
          <w:sz w:val="32"/>
          <w:szCs w:val="32"/>
          <w:lang w:val="de-AT"/>
        </w:rPr>
        <w:t>DER SLOWAKISCHEN REPUBLIK,</w:t>
      </w:r>
    </w:p>
    <w:p w:rsidR="00F35A29" w:rsidRPr="0005002D" w:rsidP="00F35A29">
      <w:pPr>
        <w:pStyle w:val="CM11"/>
        <w:bidi w:val="0"/>
        <w:jc w:val="center"/>
        <w:rPr>
          <w:b/>
          <w:bCs/>
          <w:sz w:val="32"/>
          <w:szCs w:val="32"/>
          <w:lang w:val="de-AT"/>
        </w:rPr>
      </w:pPr>
      <w:r w:rsidRPr="0005002D">
        <w:rPr>
          <w:b/>
          <w:bCs/>
          <w:sz w:val="32"/>
          <w:szCs w:val="32"/>
          <w:lang w:val="de-AT"/>
        </w:rPr>
        <w:t>DER TSCHECHISCHEN REPUBLIK</w:t>
      </w:r>
    </w:p>
    <w:p w:rsidR="00F35A29" w:rsidRPr="0005002D" w:rsidP="00F35A29">
      <w:pPr>
        <w:pStyle w:val="CM11"/>
        <w:bidi w:val="0"/>
        <w:jc w:val="center"/>
        <w:rPr>
          <w:b/>
          <w:bCs/>
          <w:sz w:val="32"/>
          <w:szCs w:val="32"/>
          <w:lang w:val="de-AT"/>
        </w:rPr>
      </w:pPr>
      <w:r w:rsidRPr="0005002D">
        <w:rPr>
          <w:b/>
          <w:bCs/>
          <w:sz w:val="32"/>
          <w:szCs w:val="32"/>
          <w:lang w:val="de-AT"/>
        </w:rPr>
        <w:t>UND</w:t>
      </w:r>
    </w:p>
    <w:p w:rsidR="00226B82" w:rsidRPr="0005002D" w:rsidP="00F35A29">
      <w:pPr>
        <w:pStyle w:val="CM11"/>
        <w:bidi w:val="0"/>
        <w:jc w:val="center"/>
        <w:rPr>
          <w:rFonts w:hint="default"/>
          <w:b/>
          <w:bCs/>
          <w:sz w:val="32"/>
          <w:szCs w:val="32"/>
          <w:lang w:val="de-AT"/>
        </w:rPr>
      </w:pPr>
      <w:r w:rsidRPr="0005002D">
        <w:rPr>
          <w:rFonts w:hint="default"/>
          <w:b/>
          <w:bCs/>
          <w:sz w:val="32"/>
          <w:szCs w:val="32"/>
          <w:lang w:val="de-AT"/>
        </w:rPr>
        <w:t>DER REPUBLIK Ö</w:t>
      </w:r>
      <w:r w:rsidRPr="0005002D">
        <w:rPr>
          <w:rFonts w:hint="default"/>
          <w:b/>
          <w:bCs/>
          <w:sz w:val="32"/>
          <w:szCs w:val="32"/>
          <w:lang w:val="de-AT"/>
        </w:rPr>
        <w:t xml:space="preserve">STERREICH </w:t>
      </w:r>
    </w:p>
    <w:p w:rsidR="00226B82" w:rsidRPr="0005002D" w:rsidP="00F35A29">
      <w:pPr>
        <w:pStyle w:val="CM11"/>
        <w:bidi w:val="0"/>
        <w:jc w:val="center"/>
        <w:rPr>
          <w:rFonts w:hint="default"/>
          <w:b/>
          <w:bCs/>
          <w:sz w:val="32"/>
          <w:szCs w:val="32"/>
          <w:lang w:val="de-AT"/>
        </w:rPr>
      </w:pPr>
      <w:r w:rsidRPr="0005002D">
        <w:rPr>
          <w:rFonts w:hint="default"/>
          <w:b/>
          <w:bCs/>
          <w:sz w:val="32"/>
          <w:szCs w:val="32"/>
          <w:lang w:val="de-AT"/>
        </w:rPr>
        <w:t>Ü</w:t>
      </w:r>
      <w:r w:rsidRPr="0005002D">
        <w:rPr>
          <w:rFonts w:hint="default"/>
          <w:b/>
          <w:bCs/>
          <w:sz w:val="32"/>
          <w:szCs w:val="32"/>
          <w:lang w:val="de-AT"/>
        </w:rPr>
        <w:t>BER DEN DREILÄ</w:t>
      </w:r>
      <w:r w:rsidRPr="0005002D">
        <w:rPr>
          <w:rFonts w:hint="default"/>
          <w:b/>
          <w:bCs/>
          <w:sz w:val="32"/>
          <w:szCs w:val="32"/>
          <w:lang w:val="de-AT"/>
        </w:rPr>
        <w:t>NDERGRENZPUNKT THAYA - MARCH</w:t>
      </w:r>
    </w:p>
    <w:p w:rsidR="00226B82" w:rsidRPr="0005002D" w:rsidP="00F35A29">
      <w:pPr>
        <w:pStyle w:val="CM11"/>
        <w:bidi w:val="0"/>
        <w:jc w:val="center"/>
        <w:rPr>
          <w:rFonts w:hint="default"/>
          <w:b/>
          <w:bCs/>
          <w:sz w:val="32"/>
          <w:szCs w:val="32"/>
          <w:lang w:val="de-AT"/>
        </w:rPr>
      </w:pPr>
    </w:p>
    <w:p w:rsidR="008D012F" w:rsidRPr="0005002D" w:rsidP="00F35A29">
      <w:pPr>
        <w:pStyle w:val="Default"/>
        <w:bidi w:val="0"/>
        <w:rPr>
          <w:lang w:val="de-AT"/>
        </w:rPr>
      </w:pPr>
    </w:p>
    <w:p w:rsidR="008D012F" w:rsidRPr="0005002D" w:rsidP="00F35A29">
      <w:pPr>
        <w:pStyle w:val="CM11"/>
        <w:bidi w:val="0"/>
        <w:jc w:val="both"/>
        <w:rPr>
          <w:lang w:val="de-AT"/>
        </w:rPr>
      </w:pPr>
      <w:r w:rsidRPr="0005002D" w:rsidR="00F277B3">
        <w:rPr>
          <w:lang w:val="de-AT"/>
        </w:rPr>
        <w:t xml:space="preserve">Die </w:t>
      </w:r>
      <w:r w:rsidRPr="0005002D">
        <w:rPr>
          <w:lang w:val="de-AT"/>
        </w:rPr>
        <w:t>Slowakische Republik</w:t>
      </w:r>
      <w:r w:rsidRPr="0005002D" w:rsidR="00A84DE2">
        <w:rPr>
          <w:lang w:val="de-AT"/>
        </w:rPr>
        <w:t>, die</w:t>
      </w:r>
      <w:r w:rsidRPr="0005002D">
        <w:rPr>
          <w:lang w:val="de-AT"/>
        </w:rPr>
        <w:t xml:space="preserve"> Tschechische Republik</w:t>
      </w:r>
      <w:r w:rsidRPr="0005002D" w:rsidR="00A84DE2">
        <w:rPr>
          <w:lang w:val="de-AT"/>
        </w:rPr>
        <w:t xml:space="preserve"> und die</w:t>
      </w:r>
      <w:r w:rsidRPr="0005002D">
        <w:rPr>
          <w:rFonts w:hint="default"/>
          <w:lang w:val="de-AT"/>
        </w:rPr>
        <w:t xml:space="preserve"> Republik Ö</w:t>
      </w:r>
      <w:r w:rsidRPr="0005002D">
        <w:rPr>
          <w:rFonts w:hint="default"/>
          <w:lang w:val="de-AT"/>
        </w:rPr>
        <w:t>sterreich</w:t>
      </w:r>
      <w:r w:rsidRPr="0005002D" w:rsidR="00A84DE2">
        <w:rPr>
          <w:lang w:val="de-AT"/>
        </w:rPr>
        <w:t xml:space="preserve"> </w:t>
      </w:r>
      <w:r w:rsidRPr="0005002D" w:rsidR="00F277B3">
        <w:rPr>
          <w:lang w:val="de-AT"/>
        </w:rPr>
        <w:t xml:space="preserve">(in der Folge </w:t>
      </w:r>
      <w:r w:rsidRPr="0005002D" w:rsidR="00F277B3">
        <w:rPr>
          <w:rFonts w:hint="default"/>
          <w:lang w:val="de-AT"/>
        </w:rPr>
        <w:t>„</w:t>
      </w:r>
      <w:r w:rsidRPr="0005002D" w:rsidR="00F277B3">
        <w:rPr>
          <w:rFonts w:hint="default"/>
          <w:lang w:val="de-AT"/>
        </w:rPr>
        <w:t>Vertragsstaaten“</w:t>
      </w:r>
      <w:r w:rsidRPr="0005002D">
        <w:rPr>
          <w:lang w:val="de-AT"/>
        </w:rPr>
        <w:t>)</w:t>
      </w:r>
    </w:p>
    <w:p w:rsidR="008D012F" w:rsidRPr="0005002D" w:rsidP="00F35A29">
      <w:pPr>
        <w:pStyle w:val="Default"/>
        <w:bidi w:val="0"/>
        <w:rPr>
          <w:lang w:val="de-AT"/>
        </w:rPr>
      </w:pPr>
    </w:p>
    <w:p w:rsidR="008D012F" w:rsidRPr="0005002D" w:rsidP="00F35A29">
      <w:pPr>
        <w:pStyle w:val="CM11"/>
        <w:bidi w:val="0"/>
        <w:jc w:val="both"/>
        <w:rPr>
          <w:lang w:val="de-AT"/>
        </w:rPr>
      </w:pPr>
      <w:r w:rsidRPr="0005002D" w:rsidR="00FD3A35">
        <w:rPr>
          <w:rFonts w:hint="default"/>
          <w:lang w:val="de-AT"/>
        </w:rPr>
        <w:t>unter Bedachtnahme auf die geltenden Vertragsdokumente ü</w:t>
      </w:r>
      <w:r w:rsidRPr="0005002D" w:rsidR="00FD3A35">
        <w:rPr>
          <w:rFonts w:hint="default"/>
          <w:lang w:val="de-AT"/>
        </w:rPr>
        <w:t xml:space="preserve">ber die Staatsgrenze zwischen den Vertragsstaaten, </w:t>
      </w:r>
      <w:r w:rsidRPr="0005002D" w:rsidR="008E5B77">
        <w:rPr>
          <w:lang w:val="de-AT"/>
        </w:rPr>
        <w:t xml:space="preserve">vom Wunsche </w:t>
      </w:r>
      <w:r w:rsidRPr="0005002D" w:rsidR="00F277B3">
        <w:rPr>
          <w:lang w:val="de-AT"/>
        </w:rPr>
        <w:t>die Staatsgrenze zwischen den Staaten deutlich erkennbar zu erhalten und die damit im Zusammenhang stehenden Fragen z</w:t>
      </w:r>
      <w:r w:rsidRPr="0005002D" w:rsidR="00F277B3">
        <w:rPr>
          <w:lang w:val="de-AT"/>
        </w:rPr>
        <w:t>u regeln, sowie in der Absicht, die freundschaftliche Zusammenarbeit zwischen den</w:t>
      </w:r>
      <w:r w:rsidRPr="0005002D" w:rsidR="00FC0329">
        <w:rPr>
          <w:lang w:val="de-AT"/>
        </w:rPr>
        <w:t> </w:t>
      </w:r>
      <w:r w:rsidRPr="0005002D" w:rsidR="008E5B77">
        <w:rPr>
          <w:lang w:val="de-AT"/>
        </w:rPr>
        <w:t>Vertragss</w:t>
      </w:r>
      <w:r w:rsidRPr="0005002D">
        <w:rPr>
          <w:lang w:val="de-AT"/>
        </w:rPr>
        <w:t>taaten zu vertiefen,</w:t>
      </w:r>
    </w:p>
    <w:p w:rsidR="008D012F" w:rsidRPr="0005002D" w:rsidP="00F35A29">
      <w:pPr>
        <w:pStyle w:val="CM11"/>
        <w:bidi w:val="0"/>
        <w:jc w:val="both"/>
        <w:rPr>
          <w:lang w:val="de-AT"/>
        </w:rPr>
      </w:pPr>
    </w:p>
    <w:p w:rsidR="008D012F" w:rsidRPr="0005002D" w:rsidP="00F35A29">
      <w:pPr>
        <w:pStyle w:val="CM11"/>
        <w:bidi w:val="0"/>
        <w:jc w:val="both"/>
        <w:rPr>
          <w:lang w:val="de-AT"/>
        </w:rPr>
      </w:pPr>
      <w:r w:rsidRPr="0005002D" w:rsidR="00F277B3">
        <w:rPr>
          <w:lang w:val="de-AT"/>
        </w:rPr>
        <w:t>unter Bedachtnahme des gemeinsamen Vorhabens, die Staatsgrenze</w:t>
      </w:r>
      <w:r w:rsidRPr="0005002D" w:rsidR="0048299F">
        <w:rPr>
          <w:lang w:val="de-AT"/>
        </w:rPr>
        <w:t xml:space="preserve"> </w:t>
      </w:r>
      <w:r w:rsidRPr="0005002D" w:rsidR="00062C85">
        <w:rPr>
          <w:rFonts w:hint="default"/>
          <w:lang w:val="de-AT"/>
        </w:rPr>
        <w:t>an den Flü</w:t>
      </w:r>
      <w:r w:rsidRPr="0005002D" w:rsidR="00062C85">
        <w:rPr>
          <w:rFonts w:hint="default"/>
          <w:lang w:val="de-AT"/>
        </w:rPr>
        <w:t>ssen Thaya und March</w:t>
      </w:r>
      <w:r w:rsidRPr="0005002D">
        <w:rPr>
          <w:lang w:val="de-AT"/>
        </w:rPr>
        <w:t xml:space="preserve"> als unbeweglich festzulegen,</w:t>
      </w:r>
    </w:p>
    <w:p w:rsidR="008D012F" w:rsidRPr="0005002D" w:rsidP="00F35A29">
      <w:pPr>
        <w:pStyle w:val="CM11"/>
        <w:bidi w:val="0"/>
        <w:jc w:val="both"/>
        <w:rPr>
          <w:lang w:val="de-AT"/>
        </w:rPr>
      </w:pPr>
    </w:p>
    <w:p w:rsidR="00F277B3" w:rsidRPr="0005002D" w:rsidP="00F35A29">
      <w:pPr>
        <w:pStyle w:val="CM11"/>
        <w:bidi w:val="0"/>
        <w:jc w:val="both"/>
        <w:rPr>
          <w:lang w:val="de-AT"/>
        </w:rPr>
      </w:pPr>
      <w:r w:rsidRPr="0005002D">
        <w:rPr>
          <w:lang w:val="de-AT"/>
        </w:rPr>
        <w:t xml:space="preserve">haben Folgendes vereinbart: </w:t>
      </w:r>
    </w:p>
    <w:p w:rsidR="008D012F" w:rsidRPr="0005002D" w:rsidP="00F35A29">
      <w:pPr>
        <w:pStyle w:val="Default"/>
        <w:bidi w:val="0"/>
        <w:rPr>
          <w:lang w:val="de-AT"/>
        </w:rPr>
      </w:pPr>
    </w:p>
    <w:p w:rsidR="008D012F" w:rsidRPr="0005002D" w:rsidP="00F35A29">
      <w:pPr>
        <w:pStyle w:val="Default"/>
        <w:bidi w:val="0"/>
        <w:rPr>
          <w:lang w:val="de-AT"/>
        </w:rPr>
      </w:pPr>
    </w:p>
    <w:p w:rsidR="008D012F" w:rsidRPr="0005002D" w:rsidP="00F35A29">
      <w:pPr>
        <w:pStyle w:val="CM10"/>
        <w:bidi w:val="0"/>
        <w:jc w:val="center"/>
        <w:rPr>
          <w:b/>
          <w:bCs/>
          <w:lang w:val="de-AT"/>
        </w:rPr>
      </w:pPr>
      <w:r w:rsidRPr="0005002D" w:rsidR="00FC0329">
        <w:rPr>
          <w:b/>
          <w:bCs/>
          <w:lang w:val="de-AT"/>
        </w:rPr>
        <w:t>ARTIKEL</w:t>
      </w:r>
      <w:r w:rsidRPr="0005002D" w:rsidR="0048299F">
        <w:rPr>
          <w:b/>
          <w:bCs/>
          <w:lang w:val="de-AT"/>
        </w:rPr>
        <w:t xml:space="preserve"> 1</w:t>
      </w:r>
    </w:p>
    <w:p w:rsidR="00FC0329" w:rsidRPr="0005002D" w:rsidP="00F35A29">
      <w:pPr>
        <w:pStyle w:val="CM10"/>
        <w:tabs>
          <w:tab w:val="left" w:pos="142"/>
          <w:tab w:val="left" w:pos="284"/>
        </w:tabs>
        <w:bidi w:val="0"/>
        <w:ind w:left="142"/>
        <w:jc w:val="both"/>
        <w:rPr>
          <w:color w:val="000000"/>
          <w:lang w:val="de-AT"/>
        </w:rPr>
      </w:pPr>
    </w:p>
    <w:p w:rsidR="00FC0329" w:rsidRPr="0005002D" w:rsidP="00F35A29">
      <w:pPr>
        <w:pStyle w:val="CM10"/>
        <w:numPr>
          <w:numId w:val="4"/>
        </w:numPr>
        <w:tabs>
          <w:tab w:val="left" w:pos="0"/>
        </w:tabs>
        <w:bidi w:val="0"/>
        <w:ind w:left="284" w:hanging="284"/>
        <w:jc w:val="both"/>
        <w:rPr>
          <w:lang w:val="de-AT"/>
        </w:rPr>
      </w:pPr>
      <w:r w:rsidRPr="0005002D" w:rsidR="00F277B3">
        <w:rPr>
          <w:rFonts w:hint="default"/>
          <w:lang w:val="de-AT"/>
        </w:rPr>
        <w:t>Der Dreilä</w:t>
      </w:r>
      <w:r w:rsidRPr="0005002D" w:rsidR="00F277B3">
        <w:rPr>
          <w:rFonts w:hint="default"/>
          <w:lang w:val="de-AT"/>
        </w:rPr>
        <w:t>ndergrenzpunkt Thaya -</w:t>
      </w:r>
      <w:r w:rsidRPr="0005002D" w:rsidR="00062C85">
        <w:rPr>
          <w:lang w:val="de-AT"/>
        </w:rPr>
        <w:t xml:space="preserve"> </w:t>
      </w:r>
      <w:r w:rsidRPr="0005002D" w:rsidR="00F277B3">
        <w:rPr>
          <w:rFonts w:hint="default"/>
          <w:lang w:val="de-AT"/>
        </w:rPr>
        <w:t>March ist der gemeinsame Grenzpunkt zwischen den Vertragsstaaten und wird als unbeweglich festgelegt. Er befindet sich im Flussbett der March im Einmü</w:t>
      </w:r>
      <w:r w:rsidRPr="0005002D" w:rsidR="00F277B3">
        <w:rPr>
          <w:rFonts w:hint="default"/>
          <w:lang w:val="de-AT"/>
        </w:rPr>
        <w:t xml:space="preserve">ndungsbereich der Thaya in die </w:t>
      </w:r>
      <w:r w:rsidRPr="0005002D" w:rsidR="00F277B3">
        <w:rPr>
          <w:rFonts w:hint="default"/>
          <w:lang w:val="de-AT"/>
        </w:rPr>
        <w:t>March am Zusammenstoß</w:t>
      </w:r>
      <w:r w:rsidRPr="0005002D" w:rsidR="00F277B3">
        <w:rPr>
          <w:rFonts w:hint="default"/>
          <w:lang w:val="de-AT"/>
        </w:rPr>
        <w:t xml:space="preserve"> der Gebiete</w:t>
      </w:r>
      <w:r w:rsidRPr="0005002D" w:rsidR="005A469F">
        <w:rPr>
          <w:rFonts w:hint="default"/>
          <w:lang w:val="de-AT"/>
        </w:rPr>
        <w:t xml:space="preserve"> der tschechischen Gemeinde Lanž</w:t>
      </w:r>
      <w:r w:rsidRPr="0005002D" w:rsidR="00F277B3">
        <w:rPr>
          <w:rFonts w:hint="default"/>
          <w:lang w:val="de-AT"/>
        </w:rPr>
        <w:t>hot, der ö</w:t>
      </w:r>
      <w:r w:rsidRPr="0005002D" w:rsidR="00F277B3">
        <w:rPr>
          <w:rFonts w:hint="default"/>
          <w:lang w:val="de-AT"/>
        </w:rPr>
        <w:t>sterreichischen Gemeinde Hohenau an der March und de</w:t>
      </w:r>
      <w:r w:rsidRPr="0005002D" w:rsidR="008D012F">
        <w:rPr>
          <w:lang w:val="de-AT"/>
        </w:rPr>
        <w:t>r slowakischen Gemeinde Sekule.</w:t>
      </w:r>
    </w:p>
    <w:p w:rsidR="00FC0329" w:rsidRPr="0005002D" w:rsidP="00F35A29">
      <w:pPr>
        <w:pStyle w:val="Default"/>
        <w:bidi w:val="0"/>
        <w:rPr>
          <w:lang w:val="de-AT"/>
        </w:rPr>
      </w:pPr>
    </w:p>
    <w:p w:rsidR="00FC0329" w:rsidRPr="0005002D" w:rsidP="00F35A29">
      <w:pPr>
        <w:pStyle w:val="CM10"/>
        <w:numPr>
          <w:numId w:val="4"/>
        </w:numPr>
        <w:tabs>
          <w:tab w:val="left" w:pos="0"/>
        </w:tabs>
        <w:bidi w:val="0"/>
        <w:ind w:left="284" w:hanging="284"/>
        <w:jc w:val="both"/>
        <w:rPr>
          <w:color w:val="002060"/>
          <w:lang w:val="de-AT"/>
        </w:rPr>
      </w:pPr>
      <w:r w:rsidRPr="0005002D" w:rsidR="00F277B3">
        <w:rPr>
          <w:rFonts w:hint="default"/>
          <w:lang w:val="de-AT"/>
        </w:rPr>
        <w:t>Die Lage des Dreilä</w:t>
      </w:r>
      <w:r w:rsidRPr="0005002D" w:rsidR="00F277B3">
        <w:rPr>
          <w:rFonts w:hint="default"/>
          <w:lang w:val="de-AT"/>
        </w:rPr>
        <w:t>ndergrenzpunktes Thaya -</w:t>
      </w:r>
      <w:r w:rsidRPr="0005002D" w:rsidR="00062C85">
        <w:rPr>
          <w:lang w:val="de-AT"/>
        </w:rPr>
        <w:t xml:space="preserve"> </w:t>
      </w:r>
      <w:r w:rsidRPr="0005002D" w:rsidR="00F277B3">
        <w:rPr>
          <w:lang w:val="de-AT"/>
        </w:rPr>
        <w:t xml:space="preserve">March </w:t>
      </w:r>
      <w:r w:rsidRPr="0005002D" w:rsidR="004D607B">
        <w:rPr>
          <w:lang w:val="de-AT"/>
        </w:rPr>
        <w:t xml:space="preserve">wird durch die technischen </w:t>
      </w:r>
      <w:r w:rsidRPr="0005002D" w:rsidR="00236A3F">
        <w:rPr>
          <w:lang w:val="de-AT"/>
        </w:rPr>
        <w:t>Dokumente und zwar</w:t>
      </w:r>
      <w:r w:rsidRPr="0005002D" w:rsidR="004D607B">
        <w:rPr>
          <w:rFonts w:hint="default"/>
          <w:lang w:val="de-AT"/>
        </w:rPr>
        <w:t xml:space="preserve"> Ü</w:t>
      </w:r>
      <w:r w:rsidRPr="0005002D" w:rsidR="004D607B">
        <w:rPr>
          <w:rFonts w:hint="default"/>
          <w:lang w:val="de-AT"/>
        </w:rPr>
        <w:t xml:space="preserve">bersichtsplan </w:t>
      </w:r>
      <w:r w:rsidRPr="0005002D" w:rsidR="00236A3F">
        <w:rPr>
          <w:lang w:val="de-AT"/>
        </w:rPr>
        <w:t xml:space="preserve">- </w:t>
      </w:r>
      <w:r w:rsidRPr="0005002D" w:rsidR="004D607B">
        <w:rPr>
          <w:lang w:val="de-AT"/>
        </w:rPr>
        <w:t>Anla</w:t>
      </w:r>
      <w:r w:rsidRPr="0005002D" w:rsidR="005A469F">
        <w:rPr>
          <w:lang w:val="de-AT"/>
        </w:rPr>
        <w:t xml:space="preserve">ge 1, Lageplan </w:t>
      </w:r>
      <w:r w:rsidRPr="0005002D" w:rsidR="00236A3F">
        <w:rPr>
          <w:lang w:val="de-AT"/>
        </w:rPr>
        <w:t>- Anlage 2</w:t>
      </w:r>
      <w:r w:rsidRPr="0005002D" w:rsidR="005A469F">
        <w:rPr>
          <w:lang w:val="de-AT"/>
        </w:rPr>
        <w:t xml:space="preserve"> und </w:t>
      </w:r>
      <w:r w:rsidRPr="0005002D" w:rsidR="004D607B">
        <w:rPr>
          <w:lang w:val="de-AT"/>
        </w:rPr>
        <w:t>Koordinaten</w:t>
      </w:r>
      <w:r w:rsidRPr="0005002D" w:rsidR="005A469F">
        <w:rPr>
          <w:lang w:val="de-AT"/>
        </w:rPr>
        <w:t>-</w:t>
      </w:r>
      <w:r w:rsidRPr="0005002D" w:rsidR="004D607B">
        <w:rPr>
          <w:rFonts w:hint="default"/>
          <w:lang w:val="de-AT"/>
        </w:rPr>
        <w:t xml:space="preserve"> und Hö</w:t>
      </w:r>
      <w:r w:rsidRPr="0005002D" w:rsidR="004D607B">
        <w:rPr>
          <w:rFonts w:hint="default"/>
          <w:lang w:val="de-AT"/>
        </w:rPr>
        <w:t xml:space="preserve">henverzeichnis </w:t>
      </w:r>
      <w:r w:rsidRPr="0005002D" w:rsidR="00236A3F">
        <w:rPr>
          <w:lang w:val="de-AT"/>
        </w:rPr>
        <w:t>- Anlage 3</w:t>
      </w:r>
      <w:r w:rsidRPr="0005002D" w:rsidR="004D607B">
        <w:rPr>
          <w:lang w:val="de-AT"/>
        </w:rPr>
        <w:t xml:space="preserve"> bestimmt.</w:t>
      </w:r>
      <w:r w:rsidRPr="0005002D" w:rsidR="004D607B">
        <w:rPr>
          <w:color w:val="FF0000"/>
          <w:lang w:val="de-AT"/>
        </w:rPr>
        <w:t xml:space="preserve"> </w:t>
      </w:r>
      <w:r w:rsidRPr="0005002D" w:rsidR="00F277B3">
        <w:rPr>
          <w:lang w:val="de-AT"/>
        </w:rPr>
        <w:t>Die Anlagen sind ein integrierter Bestandteil dieses Vertrags</w:t>
      </w:r>
      <w:r w:rsidRPr="0005002D" w:rsidR="00F277B3">
        <w:rPr>
          <w:color w:val="002060"/>
          <w:lang w:val="de-AT"/>
        </w:rPr>
        <w:t>.</w:t>
      </w:r>
    </w:p>
    <w:p w:rsidR="00FC0329" w:rsidRPr="0005002D" w:rsidP="00F35A29">
      <w:pPr>
        <w:pStyle w:val="Default"/>
        <w:bidi w:val="0"/>
        <w:rPr>
          <w:lang w:val="de-AT"/>
        </w:rPr>
      </w:pPr>
    </w:p>
    <w:p w:rsidR="00703B72" w:rsidRPr="0005002D" w:rsidP="0005002D">
      <w:pPr>
        <w:pStyle w:val="CM10"/>
        <w:numPr>
          <w:numId w:val="4"/>
        </w:numPr>
        <w:tabs>
          <w:tab w:val="left" w:pos="0"/>
        </w:tabs>
        <w:bidi w:val="0"/>
        <w:ind w:left="284" w:hanging="284"/>
        <w:jc w:val="both"/>
        <w:rPr>
          <w:lang w:val="de-AT"/>
        </w:rPr>
      </w:pPr>
      <w:r w:rsidRPr="0005002D" w:rsidR="00F277B3">
        <w:rPr>
          <w:rFonts w:hint="default"/>
          <w:lang w:val="de-AT"/>
        </w:rPr>
        <w:t>Der Dreilä</w:t>
      </w:r>
      <w:r w:rsidRPr="0005002D" w:rsidR="00F277B3">
        <w:rPr>
          <w:rFonts w:hint="default"/>
          <w:lang w:val="de-AT"/>
        </w:rPr>
        <w:t>ndergrenzpunkt Thaya -</w:t>
      </w:r>
      <w:r w:rsidRPr="0005002D" w:rsidR="004D607B">
        <w:rPr>
          <w:lang w:val="de-AT"/>
        </w:rPr>
        <w:t xml:space="preserve"> </w:t>
      </w:r>
      <w:r w:rsidRPr="0005002D" w:rsidR="00F277B3">
        <w:rPr>
          <w:lang w:val="de-AT"/>
        </w:rPr>
        <w:t xml:space="preserve">March </w:t>
      </w:r>
      <w:r w:rsidRPr="0005002D" w:rsidR="00D927F7">
        <w:rPr>
          <w:lang w:val="de-AT"/>
        </w:rPr>
        <w:t xml:space="preserve">wird </w:t>
      </w:r>
      <w:r w:rsidRPr="0005002D" w:rsidR="00F277B3">
        <w:rPr>
          <w:lang w:val="de-AT"/>
        </w:rPr>
        <w:t xml:space="preserve">durch drei Grenzzeichen indirekt vermarkt, davon </w:t>
      </w:r>
      <w:r w:rsidRPr="0005002D" w:rsidR="00D927F7">
        <w:rPr>
          <w:lang w:val="de-AT"/>
        </w:rPr>
        <w:t xml:space="preserve">ist </w:t>
      </w:r>
      <w:r w:rsidRPr="0005002D" w:rsidR="00F277B3">
        <w:rPr>
          <w:rFonts w:hint="default"/>
          <w:lang w:val="de-AT"/>
        </w:rPr>
        <w:t>eines auf dem Gebiet der Tschechischen Republik, eines auf dem Gebiet der Republik Ö</w:t>
      </w:r>
      <w:r w:rsidRPr="0005002D" w:rsidR="00F277B3">
        <w:rPr>
          <w:rFonts w:hint="default"/>
          <w:lang w:val="de-AT"/>
        </w:rPr>
        <w:t xml:space="preserve">sterreich und eines auf dem Gebiet der Slowakischen Republik. </w:t>
      </w:r>
    </w:p>
    <w:p w:rsidR="00FC0329" w:rsidRPr="0005002D" w:rsidP="00F35A29">
      <w:pPr>
        <w:pStyle w:val="CM10"/>
        <w:bidi w:val="0"/>
        <w:jc w:val="center"/>
        <w:rPr>
          <w:b/>
          <w:bCs/>
          <w:lang w:val="de-AT"/>
        </w:rPr>
      </w:pPr>
      <w:r w:rsidRPr="0005002D" w:rsidR="00226B82">
        <w:rPr>
          <w:b/>
          <w:bCs/>
          <w:lang w:val="de-AT"/>
        </w:rPr>
        <w:t>ARTIKEL</w:t>
      </w:r>
      <w:r w:rsidRPr="0005002D" w:rsidR="004D607B">
        <w:rPr>
          <w:b/>
          <w:bCs/>
          <w:lang w:val="de-AT"/>
        </w:rPr>
        <w:t xml:space="preserve"> 2</w:t>
      </w:r>
    </w:p>
    <w:p w:rsidR="00F35A29" w:rsidRPr="0005002D" w:rsidP="00F35A29">
      <w:pPr>
        <w:pStyle w:val="Default"/>
        <w:bidi w:val="0"/>
        <w:rPr>
          <w:lang w:val="de-AT"/>
        </w:rPr>
      </w:pPr>
    </w:p>
    <w:p w:rsidR="00357201" w:rsidRPr="0005002D" w:rsidP="00F35A29">
      <w:pPr>
        <w:pStyle w:val="CM10"/>
        <w:bidi w:val="0"/>
        <w:jc w:val="both"/>
        <w:rPr>
          <w:lang w:val="de-AT"/>
        </w:rPr>
      </w:pPr>
      <w:r w:rsidRPr="0005002D" w:rsidR="00F277B3">
        <w:rPr>
          <w:lang w:val="de-AT"/>
        </w:rPr>
        <w:t>Die auf der Grundlage der Bestimmungen bilate</w:t>
      </w:r>
      <w:r w:rsidRPr="0005002D" w:rsidR="00F277B3">
        <w:rPr>
          <w:lang w:val="de-AT"/>
        </w:rPr>
        <w:t>raler zwischen den Vertrags</w:t>
      </w:r>
      <w:r w:rsidRPr="0005002D" w:rsidR="006E0FDA">
        <w:rPr>
          <w:lang w:val="de-AT"/>
        </w:rPr>
        <w:t xml:space="preserve">staaten </w:t>
      </w:r>
      <w:r w:rsidRPr="0005002D" w:rsidR="00F277B3">
        <w:rPr>
          <w:rFonts w:hint="default"/>
          <w:lang w:val="de-AT"/>
        </w:rPr>
        <w:t>geschlossenen Staatsgrenzverträ</w:t>
      </w:r>
      <w:r w:rsidRPr="0005002D" w:rsidR="00F277B3">
        <w:rPr>
          <w:rFonts w:hint="default"/>
          <w:lang w:val="de-AT"/>
        </w:rPr>
        <w:t>ge zustä</w:t>
      </w:r>
      <w:r w:rsidRPr="0005002D" w:rsidR="00F277B3">
        <w:rPr>
          <w:rFonts w:hint="default"/>
          <w:lang w:val="de-AT"/>
        </w:rPr>
        <w:t>ndigen Behö</w:t>
      </w:r>
      <w:r w:rsidRPr="0005002D" w:rsidR="00F277B3">
        <w:rPr>
          <w:rFonts w:hint="default"/>
          <w:lang w:val="de-AT"/>
        </w:rPr>
        <w:t>rden der Vertrags</w:t>
      </w:r>
      <w:r w:rsidRPr="0005002D" w:rsidR="00CD71AE">
        <w:rPr>
          <w:lang w:val="de-AT"/>
        </w:rPr>
        <w:t xml:space="preserve">staaten </w:t>
      </w:r>
      <w:r w:rsidRPr="0005002D" w:rsidR="00F277B3">
        <w:rPr>
          <w:lang w:val="de-AT"/>
        </w:rPr>
        <w:t>(in der</w:t>
      </w:r>
      <w:r w:rsidRPr="0005002D" w:rsidR="00F35A29">
        <w:rPr>
          <w:lang w:val="de-AT"/>
        </w:rPr>
        <w:t> </w:t>
      </w:r>
      <w:r w:rsidRPr="0005002D" w:rsidR="00F277B3">
        <w:rPr>
          <w:lang w:val="de-AT"/>
        </w:rPr>
        <w:t>Folge</w:t>
      </w:r>
      <w:r w:rsidRPr="0005002D" w:rsidR="00F277B3">
        <w:rPr>
          <w:strike/>
          <w:lang w:val="de-AT"/>
        </w:rPr>
        <w:t xml:space="preserve"> </w:t>
      </w:r>
      <w:r w:rsidRPr="0005002D" w:rsidR="008D012F">
        <w:rPr>
          <w:rFonts w:hint="default"/>
          <w:lang w:val="de-AT"/>
        </w:rPr>
        <w:t>„</w:t>
      </w:r>
      <w:r w:rsidRPr="0005002D" w:rsidR="008D012F">
        <w:rPr>
          <w:rFonts w:hint="default"/>
          <w:lang w:val="de-AT"/>
        </w:rPr>
        <w:t>zustä</w:t>
      </w:r>
      <w:r w:rsidRPr="0005002D" w:rsidR="008D012F">
        <w:rPr>
          <w:rFonts w:hint="default"/>
          <w:lang w:val="de-AT"/>
        </w:rPr>
        <w:t>ndige Behö</w:t>
      </w:r>
      <w:r w:rsidRPr="0005002D" w:rsidR="008D012F">
        <w:rPr>
          <w:rFonts w:hint="default"/>
          <w:lang w:val="de-AT"/>
        </w:rPr>
        <w:t>rden“</w:t>
      </w:r>
      <w:r w:rsidRPr="0005002D" w:rsidR="00F277B3">
        <w:rPr>
          <w:rFonts w:hint="default"/>
          <w:lang w:val="de-AT"/>
        </w:rPr>
        <w:t>) fü</w:t>
      </w:r>
      <w:r w:rsidRPr="0005002D" w:rsidR="00F277B3">
        <w:rPr>
          <w:rFonts w:hint="default"/>
          <w:lang w:val="de-AT"/>
        </w:rPr>
        <w:t>hren im Bedarfsfall eine gemeinsame Kontrolle der Vermarkung des Dreilä</w:t>
      </w:r>
      <w:r w:rsidRPr="0005002D" w:rsidR="00F277B3">
        <w:rPr>
          <w:rFonts w:hint="default"/>
          <w:lang w:val="de-AT"/>
        </w:rPr>
        <w:t>ndergrenzpunktes Thaya -March durch.</w:t>
      </w:r>
    </w:p>
    <w:p w:rsidR="009C1EFF" w:rsidRPr="0005002D" w:rsidP="009C1EFF">
      <w:pPr>
        <w:pStyle w:val="Default"/>
        <w:bidi w:val="0"/>
        <w:rPr>
          <w:lang w:val="de-AT"/>
        </w:rPr>
      </w:pPr>
    </w:p>
    <w:p w:rsidR="009C1EFF" w:rsidRPr="0005002D" w:rsidP="009C1EFF">
      <w:pPr>
        <w:pStyle w:val="Default"/>
        <w:bidi w:val="0"/>
        <w:rPr>
          <w:lang w:val="de-AT"/>
        </w:rPr>
      </w:pPr>
    </w:p>
    <w:p w:rsidR="00326165" w:rsidRPr="0005002D" w:rsidP="00F35A29">
      <w:pPr>
        <w:pStyle w:val="CM2"/>
        <w:bidi w:val="0"/>
        <w:spacing w:line="240" w:lineRule="auto"/>
        <w:jc w:val="center"/>
        <w:rPr>
          <w:b/>
          <w:lang w:val="de-AT"/>
        </w:rPr>
      </w:pPr>
      <w:r w:rsidRPr="0005002D" w:rsidR="00226B82">
        <w:rPr>
          <w:b/>
          <w:lang w:val="de-AT"/>
        </w:rPr>
        <w:t>ARTIKEL</w:t>
      </w:r>
      <w:r w:rsidRPr="0005002D">
        <w:rPr>
          <w:b/>
          <w:lang w:val="de-AT"/>
        </w:rPr>
        <w:t xml:space="preserve"> 3</w:t>
      </w:r>
    </w:p>
    <w:p w:rsidR="00326165" w:rsidRPr="0005002D" w:rsidP="00F35A29">
      <w:pPr>
        <w:pStyle w:val="Default"/>
        <w:bidi w:val="0"/>
        <w:rPr>
          <w:lang w:val="de-AT"/>
        </w:rPr>
      </w:pPr>
    </w:p>
    <w:p w:rsidR="00326165" w:rsidRPr="0005002D" w:rsidP="00F35A29">
      <w:pPr>
        <w:pStyle w:val="CM2"/>
        <w:bidi w:val="0"/>
        <w:spacing w:line="240" w:lineRule="auto"/>
        <w:jc w:val="both"/>
        <w:rPr>
          <w:rFonts w:hint="default"/>
          <w:lang w:val="de-AT"/>
        </w:rPr>
      </w:pPr>
      <w:r w:rsidRPr="0005002D">
        <w:rPr>
          <w:rFonts w:hint="default"/>
          <w:lang w:val="de-AT"/>
        </w:rPr>
        <w:t>Allfä</w:t>
      </w:r>
      <w:r w:rsidRPr="0005002D">
        <w:rPr>
          <w:rFonts w:hint="default"/>
          <w:lang w:val="de-AT"/>
        </w:rPr>
        <w:t>llige Meinungsverschiedenheiten betreffend die Auslegung und Durchfü</w:t>
      </w:r>
      <w:r w:rsidRPr="0005002D">
        <w:rPr>
          <w:rFonts w:hint="default"/>
          <w:lang w:val="de-AT"/>
        </w:rPr>
        <w:t>hrung dieses Vertrags werden durch direkte Konsultationen zwischen den zustä</w:t>
      </w:r>
      <w:r w:rsidRPr="0005002D">
        <w:rPr>
          <w:rFonts w:hint="default"/>
          <w:lang w:val="de-AT"/>
        </w:rPr>
        <w:t>ndigen Behö</w:t>
      </w:r>
      <w:r w:rsidRPr="0005002D">
        <w:rPr>
          <w:rFonts w:hint="default"/>
          <w:lang w:val="de-AT"/>
        </w:rPr>
        <w:t>rden beigelegt. Falls sie auf diese Art und Weise nicht gelö</w:t>
      </w:r>
      <w:r w:rsidRPr="0005002D">
        <w:rPr>
          <w:rFonts w:hint="default"/>
          <w:lang w:val="de-AT"/>
        </w:rPr>
        <w:t>st werden kö</w:t>
      </w:r>
      <w:r w:rsidRPr="0005002D">
        <w:rPr>
          <w:rFonts w:hint="default"/>
          <w:lang w:val="de-AT"/>
        </w:rPr>
        <w:t xml:space="preserve">nnen, </w:t>
      </w:r>
      <w:r w:rsidRPr="0005002D">
        <w:rPr>
          <w:rFonts w:hint="default"/>
          <w:lang w:val="de-AT"/>
        </w:rPr>
        <w:t>werden sie auf diplomatischem Wege geregelt.</w:t>
      </w:r>
    </w:p>
    <w:p w:rsidR="00326165" w:rsidRPr="0005002D" w:rsidP="00F35A29">
      <w:pPr>
        <w:pStyle w:val="CM2"/>
        <w:bidi w:val="0"/>
        <w:spacing w:line="240" w:lineRule="auto"/>
        <w:jc w:val="both"/>
        <w:rPr>
          <w:rFonts w:hint="default"/>
          <w:lang w:val="de-AT"/>
        </w:rPr>
      </w:pPr>
    </w:p>
    <w:p w:rsidR="0051490A" w:rsidRPr="0005002D" w:rsidP="0051490A">
      <w:pPr>
        <w:pStyle w:val="Default"/>
        <w:bidi w:val="0"/>
        <w:rPr>
          <w:lang w:val="de-AT"/>
        </w:rPr>
      </w:pPr>
    </w:p>
    <w:p w:rsidR="00326165" w:rsidRPr="0005002D" w:rsidP="00F35A29">
      <w:pPr>
        <w:pStyle w:val="CM2"/>
        <w:bidi w:val="0"/>
        <w:spacing w:line="240" w:lineRule="auto"/>
        <w:jc w:val="center"/>
        <w:rPr>
          <w:b/>
          <w:lang w:val="de-AT"/>
        </w:rPr>
      </w:pPr>
      <w:r w:rsidRPr="0005002D" w:rsidR="00226B82">
        <w:rPr>
          <w:b/>
          <w:lang w:val="de-AT"/>
        </w:rPr>
        <w:t>ARTIKEL</w:t>
      </w:r>
      <w:r w:rsidRPr="0005002D">
        <w:rPr>
          <w:b/>
          <w:lang w:val="de-AT"/>
        </w:rPr>
        <w:t xml:space="preserve"> 4</w:t>
      </w:r>
    </w:p>
    <w:p w:rsidR="00326165" w:rsidRPr="0005002D" w:rsidP="00F35A29">
      <w:pPr>
        <w:pStyle w:val="Default"/>
        <w:bidi w:val="0"/>
        <w:rPr>
          <w:lang w:val="de-AT"/>
        </w:rPr>
      </w:pPr>
    </w:p>
    <w:p w:rsidR="00326165" w:rsidRPr="0005002D" w:rsidP="007A6F42">
      <w:pPr>
        <w:pStyle w:val="CM2"/>
        <w:numPr>
          <w:numId w:val="3"/>
        </w:numPr>
        <w:bidi w:val="0"/>
        <w:spacing w:line="240" w:lineRule="auto"/>
        <w:ind w:left="284" w:hanging="284"/>
        <w:jc w:val="both"/>
        <w:rPr>
          <w:rFonts w:hint="default"/>
          <w:lang w:val="de-AT"/>
        </w:rPr>
      </w:pPr>
      <w:r w:rsidRPr="0005002D">
        <w:rPr>
          <w:rFonts w:hint="default"/>
          <w:lang w:val="de-AT"/>
        </w:rPr>
        <w:t>Dieser Vertrag bedarf der Ratifikation. Der Depositä</w:t>
      </w:r>
      <w:r w:rsidRPr="0005002D">
        <w:rPr>
          <w:rFonts w:hint="default"/>
          <w:lang w:val="de-AT"/>
        </w:rPr>
        <w:t xml:space="preserve">r der Ratifikationsurkunden ist die Regierung der Tschechischen Republik, die Hinterlegung jeder Ratifikationsurkunde den anderen Vertragsstaaten </w:t>
      </w:r>
      <w:r w:rsidRPr="0005002D">
        <w:rPr>
          <w:rFonts w:hint="default"/>
          <w:lang w:val="de-AT"/>
        </w:rPr>
        <w:t>unverzü</w:t>
      </w:r>
      <w:r w:rsidRPr="0005002D">
        <w:rPr>
          <w:rFonts w:hint="default"/>
          <w:lang w:val="de-AT"/>
        </w:rPr>
        <w:t>glich notifiziert. Dieser Vertrag tritt am ersten Tag des zweiten auf die Hinterlegung der letzten Ratifikationsurkunde folgenden Monats in Kraft.</w:t>
      </w:r>
    </w:p>
    <w:p w:rsidR="00326165" w:rsidRPr="0005002D" w:rsidP="007A6F42">
      <w:pPr>
        <w:pStyle w:val="CM2"/>
        <w:bidi w:val="0"/>
        <w:spacing w:line="240" w:lineRule="auto"/>
        <w:ind w:left="284" w:hanging="284"/>
        <w:jc w:val="both"/>
        <w:rPr>
          <w:lang w:val="de-AT"/>
        </w:rPr>
      </w:pPr>
      <w:r w:rsidRPr="0005002D">
        <w:rPr>
          <w:lang w:val="de-AT"/>
        </w:rPr>
        <w:t xml:space="preserve"> </w:t>
      </w:r>
    </w:p>
    <w:p w:rsidR="00F277B3" w:rsidRPr="0005002D" w:rsidP="007A6F42">
      <w:pPr>
        <w:pStyle w:val="CM2"/>
        <w:numPr>
          <w:numId w:val="3"/>
        </w:numPr>
        <w:bidi w:val="0"/>
        <w:spacing w:line="240" w:lineRule="auto"/>
        <w:ind w:left="284" w:hanging="284"/>
        <w:jc w:val="both"/>
        <w:rPr>
          <w:lang w:val="de-AT"/>
        </w:rPr>
      </w:pPr>
      <w:r w:rsidRPr="0005002D">
        <w:rPr>
          <w:lang w:val="de-AT"/>
        </w:rPr>
        <w:t xml:space="preserve">Dieser Vertrag wird auf unbestimmte Zeit geschlossen. </w:t>
      </w:r>
    </w:p>
    <w:p w:rsidR="00326165" w:rsidRPr="0005002D" w:rsidP="007A6F42">
      <w:pPr>
        <w:pStyle w:val="Default"/>
        <w:bidi w:val="0"/>
        <w:ind w:left="284" w:hanging="284"/>
        <w:rPr>
          <w:lang w:val="de-AT"/>
        </w:rPr>
      </w:pPr>
    </w:p>
    <w:p w:rsidR="00F277B3" w:rsidRPr="0005002D" w:rsidP="007A6F42">
      <w:pPr>
        <w:pStyle w:val="Default"/>
        <w:numPr>
          <w:numId w:val="3"/>
        </w:numPr>
        <w:bidi w:val="0"/>
        <w:ind w:left="284" w:hanging="284"/>
        <w:jc w:val="both"/>
        <w:rPr>
          <w:color w:val="auto"/>
          <w:lang w:val="de-AT"/>
        </w:rPr>
      </w:pPr>
      <w:r w:rsidRPr="0005002D">
        <w:rPr>
          <w:color w:val="auto"/>
          <w:lang w:val="de-AT"/>
        </w:rPr>
        <w:t>Dieser Vertrag kann aufgrund einer gegenseit</w:t>
      </w:r>
      <w:r w:rsidRPr="0005002D">
        <w:rPr>
          <w:color w:val="auto"/>
          <w:lang w:val="de-AT"/>
        </w:rPr>
        <w:t>igen Absprache der Vertrags</w:t>
      </w:r>
      <w:r w:rsidRPr="0005002D" w:rsidR="00D1023A">
        <w:rPr>
          <w:color w:val="auto"/>
          <w:lang w:val="de-AT"/>
        </w:rPr>
        <w:t>staaten</w:t>
      </w:r>
      <w:r w:rsidRPr="0005002D">
        <w:rPr>
          <w:rFonts w:hint="default"/>
          <w:color w:val="auto"/>
          <w:lang w:val="de-AT"/>
        </w:rPr>
        <w:t xml:space="preserve"> geä</w:t>
      </w:r>
      <w:r w:rsidRPr="0005002D">
        <w:rPr>
          <w:rFonts w:hint="default"/>
          <w:color w:val="auto"/>
          <w:lang w:val="de-AT"/>
        </w:rPr>
        <w:t>ndert und ergä</w:t>
      </w:r>
      <w:r w:rsidRPr="0005002D">
        <w:rPr>
          <w:rFonts w:hint="default"/>
          <w:color w:val="auto"/>
          <w:lang w:val="de-AT"/>
        </w:rPr>
        <w:t>nzt werden. Die Verä</w:t>
      </w:r>
      <w:r w:rsidRPr="0005002D">
        <w:rPr>
          <w:rFonts w:hint="default"/>
          <w:color w:val="auto"/>
          <w:lang w:val="de-AT"/>
        </w:rPr>
        <w:t>nderungen und Ergä</w:t>
      </w:r>
      <w:r w:rsidRPr="0005002D">
        <w:rPr>
          <w:rFonts w:hint="default"/>
          <w:color w:val="auto"/>
          <w:lang w:val="de-AT"/>
        </w:rPr>
        <w:t>nzungen mü</w:t>
      </w:r>
      <w:r w:rsidRPr="0005002D">
        <w:rPr>
          <w:rFonts w:hint="default"/>
          <w:color w:val="auto"/>
          <w:lang w:val="de-AT"/>
        </w:rPr>
        <w:t>ssen in schriftlicher Form ausgefü</w:t>
      </w:r>
      <w:r w:rsidRPr="0005002D">
        <w:rPr>
          <w:rFonts w:hint="default"/>
          <w:color w:val="auto"/>
          <w:lang w:val="de-AT"/>
        </w:rPr>
        <w:t>hrt werden</w:t>
      </w:r>
      <w:r w:rsidRPr="0005002D" w:rsidR="003A0A33">
        <w:rPr>
          <w:color w:val="auto"/>
          <w:lang w:val="de-AT"/>
        </w:rPr>
        <w:t xml:space="preserve"> und treten nach de</w:t>
      </w:r>
      <w:r w:rsidRPr="0005002D" w:rsidR="00DD4F75">
        <w:rPr>
          <w:color w:val="auto"/>
          <w:lang w:val="de-AT"/>
        </w:rPr>
        <w:t>m</w:t>
      </w:r>
      <w:r w:rsidRPr="0005002D" w:rsidR="00BD7BE7">
        <w:rPr>
          <w:color w:val="auto"/>
          <w:lang w:val="de-AT"/>
        </w:rPr>
        <w:t xml:space="preserve"> in Absatz </w:t>
      </w:r>
      <w:r w:rsidRPr="0005002D" w:rsidR="00195F40">
        <w:rPr>
          <w:color w:val="auto"/>
          <w:lang w:val="de-AT"/>
        </w:rPr>
        <w:t>1</w:t>
      </w:r>
      <w:r w:rsidRPr="0005002D" w:rsidR="00BD7BE7">
        <w:rPr>
          <w:color w:val="auto"/>
          <w:lang w:val="de-AT"/>
        </w:rPr>
        <w:t xml:space="preserve"> genannten Verfahren</w:t>
      </w:r>
      <w:r w:rsidRPr="0005002D" w:rsidR="00195F40">
        <w:rPr>
          <w:color w:val="auto"/>
          <w:lang w:val="de-AT"/>
        </w:rPr>
        <w:t xml:space="preserve"> in Kraft</w:t>
      </w:r>
      <w:r w:rsidRPr="0005002D">
        <w:rPr>
          <w:color w:val="auto"/>
          <w:lang w:val="de-AT"/>
        </w:rPr>
        <w:t xml:space="preserve">. </w:t>
      </w:r>
    </w:p>
    <w:p w:rsidR="00F277B3" w:rsidRPr="0005002D" w:rsidP="00F35A29">
      <w:pPr>
        <w:pStyle w:val="Default"/>
        <w:bidi w:val="0"/>
        <w:rPr>
          <w:color w:val="auto"/>
          <w:lang w:val="de-AT"/>
        </w:rPr>
      </w:pPr>
    </w:p>
    <w:p w:rsidR="002B3D3B" w:rsidRPr="0005002D" w:rsidP="00F35A29">
      <w:pPr>
        <w:pStyle w:val="Default"/>
        <w:bidi w:val="0"/>
        <w:rPr>
          <w:color w:val="auto"/>
          <w:lang w:val="de-AT"/>
        </w:rPr>
      </w:pPr>
    </w:p>
    <w:p w:rsidR="007B2B14" w:rsidP="007B2B14">
      <w:pPr>
        <w:pStyle w:val="CM9"/>
        <w:bidi w:val="0"/>
        <w:jc w:val="both"/>
        <w:rPr>
          <w:lang w:val="de-AT"/>
        </w:rPr>
      </w:pPr>
      <w:r>
        <w:rPr>
          <w:lang w:val="de-AT"/>
        </w:rPr>
        <w:t>Geschehen zu Wien am 29. 9. 2015</w:t>
      </w:r>
      <w:r w:rsidRPr="0005002D" w:rsidR="00F277B3">
        <w:rPr>
          <w:lang w:val="de-AT"/>
        </w:rPr>
        <w:t xml:space="preserve"> in drei Urschriften, </w:t>
      </w:r>
      <w:r w:rsidRPr="0005002D" w:rsidR="00177583">
        <w:rPr>
          <w:lang w:val="de-AT"/>
        </w:rPr>
        <w:t>wobei alle Fassungen</w:t>
      </w:r>
      <w:r w:rsidRPr="0005002D" w:rsidR="00F277B3">
        <w:rPr>
          <w:lang w:val="de-AT"/>
        </w:rPr>
        <w:t xml:space="preserve"> in </w:t>
      </w:r>
      <w:r w:rsidRPr="0005002D" w:rsidR="002B3D3B">
        <w:rPr>
          <w:lang w:val="de-AT"/>
        </w:rPr>
        <w:t xml:space="preserve">slowakischer, tschechischer und </w:t>
      </w:r>
      <w:r w:rsidRPr="0005002D" w:rsidR="009B3C6D">
        <w:rPr>
          <w:lang w:val="de-AT"/>
        </w:rPr>
        <w:t>deutscher</w:t>
      </w:r>
      <w:r w:rsidRPr="0005002D" w:rsidR="002B3D3B">
        <w:rPr>
          <w:lang w:val="de-AT"/>
        </w:rPr>
        <w:t xml:space="preserve"> </w:t>
      </w:r>
      <w:r w:rsidRPr="0005002D" w:rsidR="00177583">
        <w:rPr>
          <w:lang w:val="de-AT"/>
        </w:rPr>
        <w:t>Sprache</w:t>
      </w:r>
      <w:r w:rsidRPr="0005002D" w:rsidR="00F277B3">
        <w:rPr>
          <w:rFonts w:hint="default"/>
          <w:lang w:val="de-AT"/>
        </w:rPr>
        <w:t xml:space="preserve"> gleichermaß</w:t>
      </w:r>
      <w:r w:rsidRPr="0005002D" w:rsidR="00F277B3">
        <w:rPr>
          <w:rFonts w:hint="default"/>
          <w:lang w:val="de-AT"/>
        </w:rPr>
        <w:t>en authentisch sind</w:t>
      </w:r>
      <w:r w:rsidRPr="0005002D" w:rsidR="00A870D1">
        <w:rPr>
          <w:lang w:val="de-AT"/>
        </w:rPr>
        <w:t>.</w:t>
      </w:r>
    </w:p>
    <w:p w:rsidR="007B2B14" w:rsidP="00F35A29">
      <w:pPr>
        <w:pStyle w:val="Default"/>
        <w:bidi w:val="0"/>
        <w:rPr>
          <w:color w:val="auto"/>
          <w:lang w:val="de-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8"/>
        <w:gridCol w:w="4038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B2B14" w:rsidP="007B2B14">
            <w:pPr>
              <w:pStyle w:val="Default"/>
              <w:bidi w:val="0"/>
              <w:jc w:val="center"/>
              <w:rPr>
                <w:rFonts w:hint="default"/>
                <w:color w:val="auto"/>
                <w:lang w:val="de-AT"/>
              </w:rPr>
            </w:pPr>
            <w:r>
              <w:rPr>
                <w:rFonts w:hint="default"/>
                <w:color w:val="auto"/>
                <w:lang w:val="de-AT"/>
              </w:rPr>
              <w:t>v. r. Juraj Macháč</w:t>
            </w:r>
          </w:p>
        </w:tc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B2B14" w:rsidP="007B2B14">
            <w:pPr>
              <w:pStyle w:val="Default"/>
              <w:bidi w:val="0"/>
              <w:jc w:val="center"/>
              <w:rPr>
                <w:rFonts w:hint="default"/>
                <w:color w:val="auto"/>
                <w:lang w:val="de-AT"/>
              </w:rPr>
            </w:pPr>
            <w:r>
              <w:rPr>
                <w:rFonts w:hint="default"/>
                <w:color w:val="auto"/>
                <w:lang w:val="de-AT"/>
              </w:rPr>
              <w:t>v. r. Jan Sechter</w:t>
            </w:r>
          </w:p>
        </w:tc>
      </w:tr>
      <w:tr>
        <w:tblPrEx>
          <w:tblW w:w="0" w:type="auto"/>
          <w:tblLook w:val="04A0"/>
        </w:tblPrEx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B2B14" w:rsidRPr="007B2B14" w:rsidP="007B2B14">
            <w:pPr>
              <w:pStyle w:val="Default"/>
              <w:bidi w:val="0"/>
              <w:jc w:val="center"/>
              <w:rPr>
                <w:rFonts w:hint="default"/>
                <w:b/>
                <w:color w:val="auto"/>
                <w:lang w:val="de-AT"/>
              </w:rPr>
            </w:pPr>
            <w:r w:rsidRPr="007B2B14">
              <w:rPr>
                <w:rFonts w:hint="default"/>
                <w:b/>
                <w:color w:val="auto"/>
                <w:lang w:val="de-AT"/>
              </w:rPr>
              <w:t>FÜ</w:t>
            </w:r>
            <w:r w:rsidRPr="007B2B14">
              <w:rPr>
                <w:rFonts w:hint="default"/>
                <w:b/>
                <w:color w:val="auto"/>
                <w:lang w:val="de-AT"/>
              </w:rPr>
              <w:t>R DIE</w:t>
            </w:r>
          </w:p>
        </w:tc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B2B14" w:rsidRPr="007B2B14" w:rsidP="007B2B14">
            <w:pPr>
              <w:pStyle w:val="Default"/>
              <w:bidi w:val="0"/>
              <w:jc w:val="center"/>
              <w:rPr>
                <w:rFonts w:hint="default"/>
                <w:b/>
                <w:color w:val="auto"/>
                <w:lang w:val="de-AT"/>
              </w:rPr>
            </w:pPr>
            <w:r w:rsidRPr="007B2B14">
              <w:rPr>
                <w:rFonts w:hint="default"/>
                <w:b/>
                <w:color w:val="auto"/>
                <w:lang w:val="de-AT"/>
              </w:rPr>
              <w:t>FÜ</w:t>
            </w:r>
            <w:r w:rsidRPr="007B2B14">
              <w:rPr>
                <w:rFonts w:hint="default"/>
                <w:b/>
                <w:color w:val="auto"/>
                <w:lang w:val="de-AT"/>
              </w:rPr>
              <w:t>R DIE</w:t>
            </w:r>
          </w:p>
        </w:tc>
      </w:tr>
      <w:tr>
        <w:tblPrEx>
          <w:tblW w:w="0" w:type="auto"/>
          <w:tblLook w:val="04A0"/>
        </w:tblPrEx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B2B14" w:rsidRPr="007B2B14" w:rsidP="007B2B14">
            <w:pPr>
              <w:pStyle w:val="Default"/>
              <w:bidi w:val="0"/>
              <w:jc w:val="center"/>
              <w:rPr>
                <w:b/>
                <w:color w:val="auto"/>
                <w:lang w:val="de-AT"/>
              </w:rPr>
            </w:pPr>
            <w:r w:rsidRPr="007B2B14">
              <w:rPr>
                <w:b/>
                <w:color w:val="auto"/>
                <w:lang w:val="de-AT"/>
              </w:rPr>
              <w:t>SLOWAKISCHE REPUBLIK</w:t>
            </w:r>
          </w:p>
        </w:tc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B2B14" w:rsidRPr="007B2B14" w:rsidP="007B2B14">
            <w:pPr>
              <w:pStyle w:val="Default"/>
              <w:bidi w:val="0"/>
              <w:jc w:val="center"/>
              <w:rPr>
                <w:b/>
                <w:color w:val="auto"/>
                <w:lang w:val="de-AT"/>
              </w:rPr>
            </w:pPr>
            <w:r w:rsidRPr="007B2B14">
              <w:rPr>
                <w:b/>
                <w:color w:val="auto"/>
                <w:lang w:val="de-AT"/>
              </w:rPr>
              <w:t>TSCHECHISCHE REPUBLIK</w:t>
            </w:r>
          </w:p>
        </w:tc>
      </w:tr>
    </w:tbl>
    <w:p w:rsidR="007B2B14" w:rsidP="007B2B14">
      <w:pPr>
        <w:pStyle w:val="Default"/>
        <w:bidi w:val="0"/>
        <w:jc w:val="center"/>
        <w:rPr>
          <w:color w:val="auto"/>
          <w:lang w:val="de-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6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B2B14" w:rsidRPr="007B2B14" w:rsidP="007B2B14">
            <w:pPr>
              <w:pStyle w:val="Default"/>
              <w:bidi w:val="0"/>
              <w:jc w:val="center"/>
              <w:rPr>
                <w:color w:val="auto"/>
                <w:lang w:val="en-US"/>
              </w:rPr>
            </w:pPr>
            <w:r w:rsidRPr="007B2B14">
              <w:rPr>
                <w:color w:val="auto"/>
                <w:lang w:val="en-US"/>
              </w:rPr>
              <w:t xml:space="preserve">v. r. Elisabeth Tichy - </w:t>
            </w:r>
            <w:r w:rsidRPr="007B2B14">
              <w:rPr>
                <w:color w:val="auto"/>
                <w:lang w:val="en-US"/>
              </w:rPr>
              <w:t>Fisslberger</w:t>
            </w:r>
          </w:p>
        </w:tc>
      </w:tr>
      <w:tr>
        <w:tblPrEx>
          <w:tblW w:w="0" w:type="auto"/>
          <w:tblLook w:val="04A0"/>
        </w:tblPrEx>
        <w:tc>
          <w:tcPr>
            <w:tcW w:w="8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B2B14" w:rsidRPr="007B2B14" w:rsidP="007B2B14">
            <w:pPr>
              <w:pStyle w:val="Default"/>
              <w:bidi w:val="0"/>
              <w:jc w:val="center"/>
              <w:rPr>
                <w:rFonts w:hint="default"/>
                <w:b/>
                <w:color w:val="auto"/>
                <w:lang w:val="en-US"/>
              </w:rPr>
            </w:pPr>
            <w:r w:rsidRPr="007B2B14">
              <w:rPr>
                <w:rFonts w:hint="default"/>
                <w:b/>
                <w:color w:val="auto"/>
                <w:lang w:val="en-US"/>
              </w:rPr>
              <w:t>FÜ</w:t>
            </w:r>
            <w:r w:rsidRPr="007B2B14">
              <w:rPr>
                <w:rFonts w:hint="default"/>
                <w:b/>
                <w:color w:val="auto"/>
                <w:lang w:val="en-US"/>
              </w:rPr>
              <w:t>R DIE</w:t>
            </w:r>
          </w:p>
        </w:tc>
      </w:tr>
      <w:tr>
        <w:tblPrEx>
          <w:tblW w:w="0" w:type="auto"/>
          <w:tblLook w:val="04A0"/>
        </w:tblPrEx>
        <w:tc>
          <w:tcPr>
            <w:tcW w:w="8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B2B14" w:rsidRPr="007B2B14" w:rsidP="007B2B14">
            <w:pPr>
              <w:pStyle w:val="Default"/>
              <w:bidi w:val="0"/>
              <w:jc w:val="center"/>
              <w:rPr>
                <w:rFonts w:hint="default"/>
                <w:b/>
                <w:color w:val="auto"/>
                <w:lang w:val="en-US"/>
              </w:rPr>
            </w:pPr>
            <w:r w:rsidRPr="007B2B14">
              <w:rPr>
                <w:rFonts w:hint="default"/>
                <w:b/>
                <w:color w:val="auto"/>
                <w:lang w:val="en-US"/>
              </w:rPr>
              <w:t>REPUBLIK Ö</w:t>
            </w:r>
            <w:r w:rsidRPr="007B2B14">
              <w:rPr>
                <w:rFonts w:hint="default"/>
                <w:b/>
                <w:color w:val="auto"/>
                <w:lang w:val="en-US"/>
              </w:rPr>
              <w:t>STERREICH</w:t>
            </w:r>
          </w:p>
        </w:tc>
      </w:tr>
    </w:tbl>
    <w:p w:rsidR="009D574E" w:rsidRPr="007B2B14" w:rsidP="00057121">
      <w:pPr>
        <w:pStyle w:val="Default"/>
        <w:bidi w:val="0"/>
        <w:jc w:val="both"/>
        <w:rPr>
          <w:b/>
          <w:color w:val="auto"/>
          <w:lang w:val="en-US"/>
        </w:rPr>
      </w:pPr>
    </w:p>
    <w:sectPr w:rsidSect="00FC0329">
      <w:pgSz w:w="11906" w:h="16838"/>
      <w:pgMar w:top="1985" w:right="1985" w:bottom="1985" w:left="1985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952"/>
    <w:multiLevelType w:val="hybridMultilevel"/>
    <w:tmpl w:val="FFF27D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91C2C46"/>
    <w:multiLevelType w:val="hybridMultilevel"/>
    <w:tmpl w:val="C3B0F2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2AD3A3E"/>
    <w:multiLevelType w:val="hybridMultilevel"/>
    <w:tmpl w:val="C1044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5A044D7"/>
    <w:multiLevelType w:val="hybridMultilevel"/>
    <w:tmpl w:val="4EF0AD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F277B3"/>
    <w:rsid w:val="0002361C"/>
    <w:rsid w:val="000367C5"/>
    <w:rsid w:val="0005002D"/>
    <w:rsid w:val="00057121"/>
    <w:rsid w:val="00062C85"/>
    <w:rsid w:val="00083D45"/>
    <w:rsid w:val="00091DF1"/>
    <w:rsid w:val="000A6B6B"/>
    <w:rsid w:val="00164C64"/>
    <w:rsid w:val="00177583"/>
    <w:rsid w:val="00191274"/>
    <w:rsid w:val="00195F40"/>
    <w:rsid w:val="001A6E93"/>
    <w:rsid w:val="001B1622"/>
    <w:rsid w:val="00205610"/>
    <w:rsid w:val="00226B82"/>
    <w:rsid w:val="00236A3F"/>
    <w:rsid w:val="00266E8B"/>
    <w:rsid w:val="002721E3"/>
    <w:rsid w:val="00291A4D"/>
    <w:rsid w:val="002B3D3B"/>
    <w:rsid w:val="0032289E"/>
    <w:rsid w:val="00323B48"/>
    <w:rsid w:val="00326165"/>
    <w:rsid w:val="00357201"/>
    <w:rsid w:val="00362177"/>
    <w:rsid w:val="00362339"/>
    <w:rsid w:val="003A0A33"/>
    <w:rsid w:val="003A1629"/>
    <w:rsid w:val="00426322"/>
    <w:rsid w:val="0045394C"/>
    <w:rsid w:val="0048299F"/>
    <w:rsid w:val="00494544"/>
    <w:rsid w:val="00494BFB"/>
    <w:rsid w:val="004D607B"/>
    <w:rsid w:val="004E0FCE"/>
    <w:rsid w:val="0051490A"/>
    <w:rsid w:val="00564D0E"/>
    <w:rsid w:val="005A469F"/>
    <w:rsid w:val="005C26CF"/>
    <w:rsid w:val="005C4818"/>
    <w:rsid w:val="005C73A6"/>
    <w:rsid w:val="005F44F8"/>
    <w:rsid w:val="00623724"/>
    <w:rsid w:val="006B0B57"/>
    <w:rsid w:val="006C1C56"/>
    <w:rsid w:val="006D3838"/>
    <w:rsid w:val="006D5766"/>
    <w:rsid w:val="006D6F29"/>
    <w:rsid w:val="006E0FDA"/>
    <w:rsid w:val="006E3F62"/>
    <w:rsid w:val="00700136"/>
    <w:rsid w:val="007012EB"/>
    <w:rsid w:val="00703B72"/>
    <w:rsid w:val="00741DF3"/>
    <w:rsid w:val="00747839"/>
    <w:rsid w:val="007731C3"/>
    <w:rsid w:val="007A6F42"/>
    <w:rsid w:val="007B2B14"/>
    <w:rsid w:val="007E54C5"/>
    <w:rsid w:val="007F57F8"/>
    <w:rsid w:val="00891EA4"/>
    <w:rsid w:val="008D012F"/>
    <w:rsid w:val="008E5B77"/>
    <w:rsid w:val="00900CB5"/>
    <w:rsid w:val="00977BEF"/>
    <w:rsid w:val="009A21F2"/>
    <w:rsid w:val="009A4E7F"/>
    <w:rsid w:val="009B3C6D"/>
    <w:rsid w:val="009C1EFF"/>
    <w:rsid w:val="009D574E"/>
    <w:rsid w:val="00A07C4D"/>
    <w:rsid w:val="00A44961"/>
    <w:rsid w:val="00A73EAD"/>
    <w:rsid w:val="00A84DE2"/>
    <w:rsid w:val="00A870D1"/>
    <w:rsid w:val="00B62073"/>
    <w:rsid w:val="00B67EFF"/>
    <w:rsid w:val="00B947A7"/>
    <w:rsid w:val="00BB7408"/>
    <w:rsid w:val="00BC06F3"/>
    <w:rsid w:val="00BC166E"/>
    <w:rsid w:val="00BC5BA7"/>
    <w:rsid w:val="00BD7BE7"/>
    <w:rsid w:val="00C0751D"/>
    <w:rsid w:val="00C4291E"/>
    <w:rsid w:val="00C7567B"/>
    <w:rsid w:val="00CA00F1"/>
    <w:rsid w:val="00CD71AE"/>
    <w:rsid w:val="00D0643B"/>
    <w:rsid w:val="00D1023A"/>
    <w:rsid w:val="00D13E0F"/>
    <w:rsid w:val="00D61AAA"/>
    <w:rsid w:val="00D65C8B"/>
    <w:rsid w:val="00D927F7"/>
    <w:rsid w:val="00DB2F77"/>
    <w:rsid w:val="00DD4F75"/>
    <w:rsid w:val="00E106C7"/>
    <w:rsid w:val="00EE3E73"/>
    <w:rsid w:val="00F1777A"/>
    <w:rsid w:val="00F277B3"/>
    <w:rsid w:val="00F35A29"/>
    <w:rsid w:val="00F4334E"/>
    <w:rsid w:val="00F95263"/>
    <w:rsid w:val="00FA4638"/>
    <w:rsid w:val="00FC0329"/>
    <w:rsid w:val="00FD3A35"/>
    <w:rsid w:val="00FD4800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17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de-DE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77B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de-DE" w:eastAsia="de-DE" w:bidi="ar-SA"/>
    </w:rPr>
  </w:style>
  <w:style w:type="paragraph" w:customStyle="1" w:styleId="CM9">
    <w:name w:val="CM9"/>
    <w:basedOn w:val="Default"/>
    <w:next w:val="Default"/>
    <w:uiPriority w:val="99"/>
    <w:rsid w:val="00F277B3"/>
    <w:pPr>
      <w:jc w:val="lef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F277B3"/>
    <w:pPr>
      <w:jc w:val="lef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F277B3"/>
    <w:pPr>
      <w:spacing w:line="260" w:lineRule="atLeast"/>
      <w:jc w:val="lef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F277B3"/>
    <w:pPr>
      <w:jc w:val="lef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F277B3"/>
    <w:pPr>
      <w:jc w:val="left"/>
    </w:pPr>
    <w:rPr>
      <w:color w:val="auto"/>
    </w:rPr>
  </w:style>
  <w:style w:type="paragraph" w:styleId="Header">
    <w:name w:val="header"/>
    <w:basedOn w:val="Normal"/>
    <w:link w:val="HlavikaChar"/>
    <w:uiPriority w:val="99"/>
    <w:semiHidden/>
    <w:unhideWhenUsed/>
    <w:rsid w:val="0017758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177583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semiHidden/>
    <w:unhideWhenUsed/>
    <w:rsid w:val="0017758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177583"/>
    <w:rPr>
      <w:rFonts w:cs="Times New Roman"/>
      <w:sz w:val="22"/>
      <w:szCs w:val="22"/>
      <w:rtl w:val="0"/>
      <w:cs w:val="0"/>
      <w:lang w:val="x-none" w:eastAsia="en-US"/>
    </w:rPr>
  </w:style>
  <w:style w:type="table" w:styleId="TableGrid">
    <w:name w:val="Table Grid"/>
    <w:basedOn w:val="TableNormal"/>
    <w:uiPriority w:val="59"/>
    <w:rsid w:val="007B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11F9-99FB-4E3C-9474-47759BFD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488</Words>
  <Characters>2788</Characters>
  <Application>Microsoft Office Word</Application>
  <DocSecurity>0</DocSecurity>
  <Lines>0</Lines>
  <Paragraphs>0</Paragraphs>
  <ScaleCrop>false</ScaleCrop>
  <Company>BM.I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SETZER Wolfgang (BMI-I/2)</dc:creator>
  <cp:lastModifiedBy>Gašparíková, Jarmila</cp:lastModifiedBy>
  <cp:revision>2</cp:revision>
  <cp:lastPrinted>2013-05-23T16:46:00Z</cp:lastPrinted>
  <dcterms:created xsi:type="dcterms:W3CDTF">2017-02-23T11:36:00Z</dcterms:created>
  <dcterms:modified xsi:type="dcterms:W3CDTF">2017-02-23T11:36:00Z</dcterms:modified>
</cp:coreProperties>
</file>