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795C" w:rsidP="009B795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9B795C" w:rsidP="009B795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9B795C" w:rsidP="009B795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9B795C" w:rsidP="009B795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19. schôdza výboru                                                                                                     </w:t>
      </w:r>
    </w:p>
    <w:p w:rsidR="009B795C" w:rsidP="009B795C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CRD-2013/2016</w:t>
      </w:r>
    </w:p>
    <w:p w:rsidR="009B795C" w:rsidP="009B795C">
      <w:pPr>
        <w:bidi w:val="0"/>
        <w:rPr>
          <w:rFonts w:ascii="Times New Roman" w:hAnsi="Times New Roman"/>
          <w:b/>
          <w:szCs w:val="24"/>
        </w:rPr>
      </w:pPr>
    </w:p>
    <w:p w:rsidR="009B795C" w:rsidP="009B795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64</w:t>
      </w:r>
    </w:p>
    <w:p w:rsidR="009B795C" w:rsidP="009B795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9B795C" w:rsidP="009B795C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9B795C" w:rsidP="009B795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9B795C" w:rsidP="009B795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31. januára 2017</w:t>
      </w:r>
    </w:p>
    <w:p w:rsidR="009B795C" w:rsidP="009B795C">
      <w:pPr>
        <w:bidi w:val="0"/>
        <w:jc w:val="center"/>
        <w:rPr>
          <w:rFonts w:ascii="Times New Roman" w:hAnsi="Times New Roman"/>
          <w:szCs w:val="24"/>
        </w:rPr>
      </w:pPr>
    </w:p>
    <w:p w:rsidR="009B795C" w:rsidRPr="00397840" w:rsidP="009B795C">
      <w:pPr>
        <w:bidi w:val="0"/>
        <w:jc w:val="both"/>
        <w:rPr>
          <w:rFonts w:ascii="Times New Roman" w:hAnsi="Times New Roman"/>
          <w:szCs w:val="24"/>
        </w:rPr>
      </w:pPr>
      <w:r w:rsidRPr="00397840">
        <w:rPr>
          <w:rFonts w:ascii="Times New Roman" w:hAnsi="Times New Roman"/>
          <w:b/>
          <w:szCs w:val="24"/>
        </w:rPr>
        <w:t xml:space="preserve">k návrhu 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</w:t>
      </w:r>
      <w:r>
        <w:rPr>
          <w:rFonts w:ascii="Times New Roman" w:hAnsi="Times New Roman"/>
          <w:b/>
          <w:szCs w:val="24"/>
        </w:rPr>
        <w:t xml:space="preserve"> </w:t>
      </w:r>
      <w:r w:rsidRPr="00397840">
        <w:rPr>
          <w:rFonts w:ascii="Times New Roman" w:hAnsi="Times New Roman"/>
          <w:b/>
          <w:bCs/>
          <w:szCs w:val="24"/>
        </w:rPr>
        <w:t>(tlač 305)</w:t>
      </w:r>
      <w:r w:rsidRPr="00397840">
        <w:rPr>
          <w:rFonts w:ascii="Times New Roman" w:hAnsi="Times New Roman"/>
          <w:bCs/>
          <w:szCs w:val="24"/>
        </w:rPr>
        <w:t xml:space="preserve"> – druhé čítanie</w:t>
      </w:r>
    </w:p>
    <w:p w:rsidR="009B795C" w:rsidP="009B795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B795C" w:rsidP="009B795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9B795C" w:rsidP="009B795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9B795C" w:rsidP="009B795C">
      <w:pPr>
        <w:bidi w:val="0"/>
        <w:jc w:val="both"/>
        <w:rPr>
          <w:rFonts w:ascii="Times New Roman" w:hAnsi="Times New Roman"/>
          <w:szCs w:val="24"/>
        </w:rPr>
      </w:pPr>
    </w:p>
    <w:p w:rsidR="009B795C" w:rsidP="009B795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9B795C" w:rsidRPr="00AF4F67" w:rsidP="009B795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F4F67">
        <w:rPr>
          <w:rFonts w:ascii="Times New Roman" w:hAnsi="Times New Roman"/>
          <w:szCs w:val="24"/>
        </w:rPr>
        <w:t xml:space="preserve">            návrh</w:t>
      </w:r>
      <w:r w:rsidRPr="00397840">
        <w:rPr>
          <w:rFonts w:ascii="Times New Roman" w:hAnsi="Times New Roman"/>
          <w:szCs w:val="24"/>
        </w:rPr>
        <w:t xml:space="preserve"> 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</w:t>
      </w:r>
      <w:r w:rsidRPr="00397840">
        <w:rPr>
          <w:rFonts w:ascii="Times New Roman" w:hAnsi="Times New Roman"/>
          <w:bCs/>
          <w:szCs w:val="24"/>
        </w:rPr>
        <w:t>(tlač 305);</w:t>
      </w:r>
    </w:p>
    <w:p w:rsidR="009B795C" w:rsidP="009B795C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9B795C" w:rsidP="009B795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9B795C" w:rsidP="009B795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AF4F67">
        <w:rPr>
          <w:rFonts w:ascii="Times New Roman" w:hAnsi="Times New Roman"/>
          <w:szCs w:val="24"/>
        </w:rPr>
        <w:t xml:space="preserve">                  s  návrhom </w:t>
      </w:r>
      <w:r w:rsidRPr="00397840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</w:t>
      </w:r>
      <w:r w:rsidRPr="00397840">
        <w:rPr>
          <w:rFonts w:ascii="Times New Roman" w:hAnsi="Times New Roman"/>
          <w:bCs/>
          <w:szCs w:val="24"/>
        </w:rPr>
        <w:t>(tlač 305);</w:t>
      </w:r>
    </w:p>
    <w:p w:rsidR="009B795C" w:rsidP="009B795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B795C" w:rsidP="009B795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9B795C" w:rsidP="009B795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9B795C" w:rsidP="009B795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návrh</w:t>
      </w:r>
      <w:r w:rsidRPr="00AF4F67">
        <w:rPr>
          <w:rFonts w:ascii="Times New Roman" w:hAnsi="Times New Roman"/>
          <w:szCs w:val="24"/>
        </w:rPr>
        <w:t xml:space="preserve"> </w:t>
      </w:r>
      <w:r w:rsidRPr="00397840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</w:t>
      </w:r>
      <w:r w:rsidRPr="00397840">
        <w:rPr>
          <w:rFonts w:ascii="Times New Roman" w:hAnsi="Times New Roman"/>
          <w:bCs/>
          <w:szCs w:val="24"/>
        </w:rPr>
        <w:t>(tlač 305)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s pripomienkami, </w:t>
      </w:r>
      <w:r w:rsidRPr="00BF4DF8">
        <w:rPr>
          <w:rFonts w:ascii="Times New Roman" w:hAnsi="Times New Roman"/>
          <w:szCs w:val="24"/>
        </w:rPr>
        <w:t>ktoré sú uvedené v prílohe tohto uznesenia;</w:t>
      </w:r>
    </w:p>
    <w:p w:rsidR="009B795C" w:rsidP="009B795C">
      <w:pPr>
        <w:bidi w:val="0"/>
        <w:jc w:val="both"/>
        <w:rPr>
          <w:rFonts w:ascii="Times New Roman" w:hAnsi="Times New Roman"/>
          <w:szCs w:val="24"/>
        </w:rPr>
      </w:pPr>
    </w:p>
    <w:p w:rsidR="009B795C" w:rsidP="009B795C">
      <w:pPr>
        <w:pStyle w:val="Body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B795C" w:rsidP="009B795C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 w:rsidR="00DF306E">
        <w:rPr>
          <w:rFonts w:ascii="Times New Roman" w:hAnsi="Times New Roman"/>
          <w:b/>
          <w:szCs w:val="24"/>
        </w:rPr>
        <w:t xml:space="preserve">   Stanislav Drobný</w:t>
      </w:r>
      <w:r w:rsidR="00BF56AC">
        <w:rPr>
          <w:rFonts w:ascii="Times New Roman" w:hAnsi="Times New Roman"/>
          <w:b/>
          <w:szCs w:val="24"/>
        </w:rPr>
        <w:t>, v.r.</w:t>
      </w:r>
    </w:p>
    <w:p w:rsidR="009B795C" w:rsidP="009B795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A33A0">
        <w:rPr>
          <w:rFonts w:ascii="Times New Roman" w:hAnsi="Times New Roman"/>
          <w:szCs w:val="24"/>
        </w:rPr>
        <w:t>podp</w:t>
      </w:r>
      <w:r>
        <w:rPr>
          <w:rFonts w:ascii="Times New Roman" w:hAnsi="Times New Roman"/>
          <w:szCs w:val="24"/>
        </w:rPr>
        <w:t xml:space="preserve">redseda výboru </w:t>
      </w:r>
    </w:p>
    <w:p w:rsidR="009B795C" w:rsidP="009B795C">
      <w:pPr>
        <w:bidi w:val="0"/>
        <w:rPr>
          <w:rFonts w:ascii="Times New Roman" w:hAnsi="Times New Roman"/>
          <w:szCs w:val="24"/>
        </w:rPr>
      </w:pPr>
      <w:r w:rsidR="00DF306E">
        <w:rPr>
          <w:rFonts w:ascii="Times New Roman" w:hAnsi="Times New Roman"/>
          <w:b/>
          <w:szCs w:val="24"/>
        </w:rPr>
        <w:t>Dušan  B u b l a v</w:t>
      </w:r>
      <w:r w:rsidR="00BF56AC">
        <w:rPr>
          <w:rFonts w:ascii="Times New Roman" w:hAnsi="Times New Roman"/>
          <w:b/>
          <w:szCs w:val="24"/>
        </w:rPr>
        <w:t> </w:t>
      </w:r>
      <w:r w:rsidR="00DF306E">
        <w:rPr>
          <w:rFonts w:ascii="Times New Roman" w:hAnsi="Times New Roman"/>
          <w:b/>
          <w:szCs w:val="24"/>
        </w:rPr>
        <w:t>ý</w:t>
      </w:r>
      <w:r w:rsidR="00BF56AC">
        <w:rPr>
          <w:rFonts w:ascii="Times New Roman" w:hAnsi="Times New Roman"/>
          <w:b/>
          <w:szCs w:val="24"/>
        </w:rPr>
        <w:t>, v.r.</w:t>
      </w:r>
    </w:p>
    <w:p w:rsidR="009B795C" w:rsidP="009B795C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</w:t>
      </w:r>
    </w:p>
    <w:p w:rsidR="009B795C" w:rsidP="009B795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  <w:r w:rsidR="00EA2780">
        <w:rPr>
          <w:rFonts w:ascii="Times New Roman" w:hAnsi="Times New Roman"/>
          <w:szCs w:val="24"/>
        </w:rPr>
        <w:t>Príloha k uzn. č. 64 – tlač 305</w:t>
      </w:r>
    </w:p>
    <w:p w:rsidR="009B795C" w:rsidP="009B795C">
      <w:pPr>
        <w:bidi w:val="0"/>
        <w:rPr>
          <w:rFonts w:ascii="Times New Roman" w:hAnsi="Times New Roman"/>
          <w:szCs w:val="24"/>
        </w:rPr>
      </w:pPr>
    </w:p>
    <w:p w:rsidR="009B795C" w:rsidP="009B795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Pozmeňujúce a doplňujúce návrhy</w:t>
      </w:r>
    </w:p>
    <w:p w:rsidR="009B795C" w:rsidP="009B795C">
      <w:pPr>
        <w:bidi w:val="0"/>
        <w:jc w:val="both"/>
        <w:rPr>
          <w:rFonts w:ascii="Times New Roman" w:hAnsi="Times New Roman"/>
          <w:b/>
          <w:bCs/>
          <w:szCs w:val="24"/>
        </w:rPr>
      </w:pPr>
      <w:r w:rsidRPr="00397840">
        <w:rPr>
          <w:rFonts w:ascii="Times New Roman" w:hAnsi="Times New Roman"/>
          <w:b/>
          <w:szCs w:val="24"/>
        </w:rPr>
        <w:t xml:space="preserve">k návrhu 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</w:t>
      </w:r>
      <w:r w:rsidRPr="00397840">
        <w:rPr>
          <w:rFonts w:ascii="Times New Roman" w:hAnsi="Times New Roman"/>
          <w:b/>
          <w:bCs/>
          <w:szCs w:val="24"/>
        </w:rPr>
        <w:t>(tlač 305)</w:t>
      </w:r>
    </w:p>
    <w:p w:rsidR="009B795C" w:rsidP="009B795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___________________________________________________________________________</w:t>
      </w:r>
    </w:p>
    <w:p w:rsidR="009B795C" w:rsidP="009B795C">
      <w:pPr>
        <w:bidi w:val="0"/>
        <w:rPr>
          <w:rFonts w:ascii="Times New Roman" w:hAnsi="Times New Roman"/>
          <w:szCs w:val="24"/>
        </w:rPr>
      </w:pPr>
    </w:p>
    <w:p w:rsidR="009B795C" w:rsidP="00EA2780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EA2780">
        <w:rPr>
          <w:rFonts w:ascii="Times New Roman" w:hAnsi="Times New Roman"/>
          <w:szCs w:val="24"/>
        </w:rPr>
        <w:t xml:space="preserve">                  </w:t>
      </w:r>
    </w:p>
    <w:p w:rsidR="009B795C" w:rsidRPr="00EA2780" w:rsidP="00EA2780">
      <w:pPr>
        <w:pStyle w:val="ListParagraph"/>
        <w:numPr>
          <w:numId w:val="3"/>
        </w:numPr>
        <w:bidi w:val="0"/>
        <w:spacing w:after="160" w:line="360" w:lineRule="auto"/>
        <w:rPr>
          <w:rFonts w:ascii="Times New Roman" w:hAnsi="Times New Roman"/>
          <w:sz w:val="24"/>
          <w:szCs w:val="24"/>
        </w:rPr>
      </w:pPr>
      <w:r w:rsidRPr="00EA2780">
        <w:rPr>
          <w:rFonts w:ascii="Times New Roman" w:hAnsi="Times New Roman"/>
          <w:sz w:val="24"/>
          <w:szCs w:val="24"/>
        </w:rPr>
        <w:t>V čl. I bode 1 sa vypúšťa slovo „násobku“.</w:t>
      </w:r>
    </w:p>
    <w:p w:rsidR="009B795C" w:rsidP="00EA2780">
      <w:pPr>
        <w:bidi w:val="0"/>
        <w:ind w:left="283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Formulačná úprava za účelom jednoznačnosti výkladu ustanovenia; vypustenie nadbytočného slova.</w:t>
      </w:r>
    </w:p>
    <w:p w:rsidR="00EA2780" w:rsidP="00EA2780">
      <w:pPr>
        <w:bidi w:val="0"/>
        <w:ind w:left="2832"/>
        <w:jc w:val="both"/>
        <w:rPr>
          <w:rFonts w:ascii="Times New Roman" w:hAnsi="Times New Roman"/>
          <w:szCs w:val="24"/>
        </w:rPr>
      </w:pPr>
    </w:p>
    <w:p w:rsidR="009B795C" w:rsidP="009B795C">
      <w:pPr>
        <w:bidi w:val="0"/>
        <w:ind w:left="4536"/>
        <w:jc w:val="both"/>
        <w:rPr>
          <w:rFonts w:ascii="Times New Roman" w:hAnsi="Times New Roman"/>
          <w:szCs w:val="24"/>
        </w:rPr>
      </w:pPr>
    </w:p>
    <w:p w:rsidR="009B795C" w:rsidRPr="00EA2780" w:rsidP="00EA2780">
      <w:pPr>
        <w:pStyle w:val="ListParagraph"/>
        <w:numPr>
          <w:numId w:val="3"/>
        </w:numPr>
        <w:bidi w:val="0"/>
        <w:spacing w:after="160" w:line="360" w:lineRule="auto"/>
        <w:rPr>
          <w:rFonts w:ascii="Times New Roman" w:hAnsi="Times New Roman"/>
          <w:sz w:val="24"/>
          <w:szCs w:val="24"/>
        </w:rPr>
      </w:pPr>
      <w:r w:rsidRPr="00EA2780">
        <w:rPr>
          <w:rFonts w:ascii="Times New Roman" w:hAnsi="Times New Roman"/>
          <w:sz w:val="24"/>
          <w:szCs w:val="24"/>
        </w:rPr>
        <w:t>V čl. I sa za bod 9 dopĺňajú nové body 10 a 11, ktoré znejú:</w:t>
      </w:r>
    </w:p>
    <w:p w:rsidR="009B795C" w:rsidRPr="002956AC" w:rsidP="009B795C">
      <w:pPr>
        <w:pStyle w:val="ListParagraph"/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„10. V § 172 ods. 1</w:t>
      </w:r>
      <w:r w:rsidRPr="002956AC">
        <w:rPr>
          <w:rFonts w:ascii="Times New Roman" w:hAnsi="Times New Roman"/>
          <w:sz w:val="24"/>
          <w:szCs w:val="24"/>
        </w:rPr>
        <w:t xml:space="preserve"> sa za písmeno b) vkladá nové písmeno c), ktoré znie:</w:t>
      </w:r>
    </w:p>
    <w:p w:rsidR="009B795C" w:rsidP="009B795C">
      <w:pPr>
        <w:pStyle w:val="ListParagraph"/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2956AC">
        <w:rPr>
          <w:rFonts w:ascii="Times New Roman" w:hAnsi="Times New Roman"/>
          <w:sz w:val="24"/>
          <w:szCs w:val="24"/>
        </w:rPr>
        <w:t>„c) ktorý ku kandidátnej listine n</w:t>
      </w:r>
      <w:r>
        <w:rPr>
          <w:rFonts w:ascii="Times New Roman" w:hAnsi="Times New Roman"/>
          <w:sz w:val="24"/>
          <w:szCs w:val="24"/>
        </w:rPr>
        <w:t>epripojil vyhlásenie podľa § 171</w:t>
      </w:r>
      <w:r w:rsidRPr="002956AC">
        <w:rPr>
          <w:rFonts w:ascii="Times New Roman" w:hAnsi="Times New Roman"/>
          <w:sz w:val="24"/>
          <w:szCs w:val="24"/>
        </w:rPr>
        <w:t xml:space="preserve"> ods. 5 p</w:t>
      </w:r>
      <w:r>
        <w:rPr>
          <w:rFonts w:ascii="Times New Roman" w:hAnsi="Times New Roman"/>
          <w:sz w:val="24"/>
          <w:szCs w:val="24"/>
        </w:rPr>
        <w:t>ísm. a) alebo ods. 8,“.</w:t>
      </w:r>
    </w:p>
    <w:p w:rsidR="009B795C" w:rsidP="009B795C">
      <w:pPr>
        <w:pStyle w:val="ListParagraph"/>
        <w:bidi w:val="0"/>
        <w:ind w:firstLine="360"/>
        <w:rPr>
          <w:rFonts w:ascii="Times New Roman" w:hAnsi="Times New Roman"/>
          <w:sz w:val="24"/>
          <w:szCs w:val="24"/>
        </w:rPr>
      </w:pPr>
      <w:r w:rsidRPr="008B2A99">
        <w:rPr>
          <w:rFonts w:ascii="Times New Roman" w:hAnsi="Times New Roman"/>
          <w:sz w:val="24"/>
          <w:szCs w:val="24"/>
        </w:rPr>
        <w:t>Doterajšie písmená c) až e) sa označujú ako písmená d) až f).</w:t>
      </w:r>
    </w:p>
    <w:p w:rsidR="009B795C" w:rsidP="009B795C">
      <w:pPr>
        <w:pStyle w:val="ListParagraph"/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9B795C" w:rsidRPr="00560BE4" w:rsidP="009B795C">
      <w:pPr>
        <w:pStyle w:val="ListParagraph"/>
        <w:bidi w:val="0"/>
        <w:spacing w:line="360" w:lineRule="auto"/>
        <w:ind w:left="1080" w:firstLine="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560BE4">
        <w:rPr>
          <w:rFonts w:ascii="Times New Roman" w:hAnsi="Times New Roman"/>
          <w:sz w:val="24"/>
          <w:szCs w:val="24"/>
        </w:rPr>
        <w:t>V § 17</w:t>
      </w:r>
      <w:r>
        <w:rPr>
          <w:rFonts w:ascii="Times New Roman" w:hAnsi="Times New Roman"/>
          <w:sz w:val="24"/>
          <w:szCs w:val="24"/>
        </w:rPr>
        <w:t>7</w:t>
      </w:r>
      <w:r w:rsidRPr="00560BE4">
        <w:rPr>
          <w:rFonts w:ascii="Times New Roman" w:hAnsi="Times New Roman"/>
          <w:sz w:val="24"/>
          <w:szCs w:val="24"/>
        </w:rPr>
        <w:t xml:space="preserve"> ods. 1 sa za písmeno b) vkladá nové písmeno c), ktoré znie:</w:t>
      </w:r>
    </w:p>
    <w:p w:rsidR="009B795C" w:rsidRPr="00560BE4" w:rsidP="009B795C">
      <w:pPr>
        <w:pStyle w:val="ListParagraph"/>
        <w:bidi w:val="0"/>
        <w:ind w:left="1080"/>
        <w:rPr>
          <w:rFonts w:ascii="Times New Roman" w:hAnsi="Times New Roman"/>
          <w:sz w:val="24"/>
          <w:szCs w:val="24"/>
        </w:rPr>
      </w:pPr>
      <w:r w:rsidRPr="00560BE4">
        <w:rPr>
          <w:rFonts w:ascii="Times New Roman" w:hAnsi="Times New Roman"/>
          <w:sz w:val="24"/>
          <w:szCs w:val="24"/>
        </w:rPr>
        <w:t>„c) ktorý ku kandidátnej listine n</w:t>
      </w:r>
      <w:r>
        <w:rPr>
          <w:rFonts w:ascii="Times New Roman" w:hAnsi="Times New Roman"/>
          <w:sz w:val="24"/>
          <w:szCs w:val="24"/>
        </w:rPr>
        <w:t>epripojil vyhlásenie podľa § 176 ods. 4</w:t>
      </w:r>
      <w:r w:rsidRPr="00560BE4">
        <w:rPr>
          <w:rFonts w:ascii="Times New Roman" w:hAnsi="Times New Roman"/>
          <w:sz w:val="24"/>
          <w:szCs w:val="24"/>
        </w:rPr>
        <w:t xml:space="preserve"> písm. a) </w:t>
      </w:r>
      <w:r>
        <w:rPr>
          <w:rFonts w:ascii="Times New Roman" w:hAnsi="Times New Roman"/>
          <w:sz w:val="24"/>
          <w:szCs w:val="24"/>
        </w:rPr>
        <w:t>alebo ods. 7</w:t>
      </w:r>
      <w:r w:rsidRPr="00560BE4">
        <w:rPr>
          <w:rFonts w:ascii="Times New Roman" w:hAnsi="Times New Roman"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>.</w:t>
      </w:r>
    </w:p>
    <w:p w:rsidR="009B795C" w:rsidP="009B795C">
      <w:pPr>
        <w:pStyle w:val="ListParagraph"/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560BE4">
        <w:rPr>
          <w:rFonts w:ascii="Times New Roman" w:hAnsi="Times New Roman"/>
          <w:sz w:val="24"/>
          <w:szCs w:val="24"/>
        </w:rPr>
        <w:t>Doterajšie písmená c) až e) sa označujú ako písmená d) až f).</w:t>
      </w:r>
      <w:r>
        <w:rPr>
          <w:rFonts w:ascii="Times New Roman" w:hAnsi="Times New Roman"/>
          <w:sz w:val="24"/>
          <w:szCs w:val="24"/>
        </w:rPr>
        <w:t>“.</w:t>
      </w:r>
    </w:p>
    <w:p w:rsidR="009B795C" w:rsidP="009B795C">
      <w:pPr>
        <w:pStyle w:val="ListParagraph"/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9B795C" w:rsidRPr="00EA2780" w:rsidP="00EA2780">
      <w:pPr>
        <w:bidi w:val="0"/>
        <w:ind w:left="2832"/>
        <w:jc w:val="both"/>
        <w:rPr>
          <w:rFonts w:ascii="Times New Roman" w:hAnsi="Times New Roman"/>
          <w:szCs w:val="24"/>
        </w:rPr>
      </w:pPr>
      <w:r w:rsidRPr="00EA2780">
        <w:rPr>
          <w:rFonts w:ascii="Times New Roman" w:hAnsi="Times New Roman"/>
          <w:szCs w:val="24"/>
        </w:rPr>
        <w:t>Zjednotenie podmienok registrácie kandidátov pre voľby do orgánov samosprávy obcí s podmienkami registrácie  kandidátov pre voľby do samosprávnych krajov (čl. I, body 4 a 5).</w:t>
      </w:r>
    </w:p>
    <w:p w:rsidR="00592849" w:rsidRPr="00EA2780" w:rsidP="00EA2780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9B795C">
        <w:rPr>
          <w:rFonts w:ascii="Times New Roman" w:hAnsi="Times New Roman"/>
          <w:szCs w:val="24"/>
        </w:rPr>
        <w:t xml:space="preserve"> </w:t>
      </w:r>
      <w:r w:rsidR="00EA2780">
        <w:rPr>
          <w:rFonts w:ascii="Times New Roman" w:hAnsi="Times New Roman"/>
          <w:szCs w:val="24"/>
        </w:rPr>
        <w:t xml:space="preserve">                               </w:t>
      </w:r>
    </w:p>
    <w:p w:rsidR="00EA2780" w:rsidRPr="00EA2780" w:rsidP="00EA2780">
      <w:pPr>
        <w:pStyle w:val="ListParagraph"/>
        <w:numPr>
          <w:numId w:val="3"/>
        </w:numPr>
        <w:bidi w:val="0"/>
        <w:spacing w:before="240"/>
        <w:rPr>
          <w:rFonts w:ascii="Times New Roman" w:hAnsi="Times New Roman"/>
          <w:sz w:val="24"/>
          <w:szCs w:val="24"/>
        </w:rPr>
      </w:pPr>
      <w:r w:rsidRPr="00EA2780">
        <w:rPr>
          <w:rFonts w:ascii="Times New Roman" w:hAnsi="Times New Roman"/>
          <w:sz w:val="24"/>
          <w:szCs w:val="24"/>
        </w:rPr>
        <w:t xml:space="preserve">V čl. II sa za bod 1 vkladá  nový bod 2, ktorý znie: </w:t>
      </w:r>
    </w:p>
    <w:p w:rsidR="00EA2780" w:rsidP="00EA2780">
      <w:pPr>
        <w:pStyle w:val="ListParagraph"/>
        <w:bidi w:val="0"/>
        <w:spacing w:before="240"/>
        <w:ind w:left="927"/>
        <w:jc w:val="both"/>
        <w:rPr>
          <w:rFonts w:ascii="Times New Roman" w:hAnsi="Times New Roman"/>
          <w:sz w:val="24"/>
          <w:szCs w:val="24"/>
        </w:rPr>
      </w:pPr>
      <w:r w:rsidRPr="00EA278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2. V § 7 sa za prvú vetu vkladá nová druhá veta, ktorá znie: „Na limit nákladov politickej strany sa primerane vzťahuje aj § 3 ods. 1 druhá veta.“ a na konci sa pripájajú tieto vety: „Politická strana je povinná zverejniť na svojom webovom sídle správu o prostriedkoch, ktoré vynaložila na volebnú kampaň v členení  podľa §3 ods. 8, a doručiť ju ministerstvu vnútra v listinnej podobe a elektronickej podobe do 30 dní po vykonaní volieb. Ministerstvo vnútra zverejní správu podľa predchádzajúcej vety na svojom webovom sídle do 30 dní od jej doručenia a je prístupná verejnosti na päť rokov. “.“.</w:t>
      </w:r>
    </w:p>
    <w:p w:rsidR="00EA2780" w:rsidP="00EA2780">
      <w:pPr>
        <w:bidi w:val="0"/>
        <w:spacing w:before="240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body sa primerane prečíslujú.</w:t>
      </w:r>
    </w:p>
    <w:p w:rsidR="00EA2780" w:rsidP="00EA2780">
      <w:pPr>
        <w:bidi w:val="0"/>
        <w:ind w:left="2832" w:firstLine="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 príprave novely zákona analýza ustanovení ukázala, že pravidlá pre započítavanie nákladov na volebnú kampaň a ich vykazovanie  nie sú rovnaké pre všetky voľby a kandidujúce subjekty. Takéto pravidlá chýbajú predovšetkým v ustanovení § 7 upravujúcom  výšku limitov pre voľby do orgánov územnej samosprávy.</w:t>
      </w:r>
    </w:p>
    <w:p w:rsidR="00EA2780" w:rsidP="00EA2780">
      <w:pPr>
        <w:bidi w:val="0"/>
        <w:ind w:left="2832" w:firstLine="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Navrhované úpravy odstraňujú tento nedostatok  a vytvárajú rovnaké podmienky pre všetky druhy volieb a všetky kandidujúce subjekty. Pokiaľ ide o vykazovanie prostriedkov vynaložených na kampaň vytvárajú sa rovnaké podmienky pre politické strany, ostatné kandidujúce subjekty ako aj tretie strany.  Keďže lehota 180 dní pri zohľadnené všetkých lehôt v súvislosti s tohtoročnými voľbami do VÚC začala plynúť už v januári, bolo by právne neisté čo všetko je potrebné do nákladov započítavať. Túto lehotu odporúčame preto primerane skrátiť v nadväznosti na účinnosť navrhovanej novely zákona.</w:t>
      </w:r>
    </w:p>
    <w:p w:rsidR="00EA2780" w:rsidP="00EA2780">
      <w:pPr>
        <w:bidi w:val="0"/>
        <w:ind w:left="2832" w:firstLine="3"/>
        <w:jc w:val="both"/>
        <w:rPr>
          <w:rFonts w:ascii="Times New Roman" w:hAnsi="Times New Roman"/>
          <w:szCs w:val="24"/>
        </w:rPr>
      </w:pPr>
    </w:p>
    <w:p w:rsidR="00EA2780" w:rsidP="00EA2780">
      <w:pPr>
        <w:pStyle w:val="ListParagraph"/>
        <w:numPr>
          <w:numId w:val="3"/>
        </w:numPr>
        <w:bidi w:val="0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II sa za bod 2 dopĺňa nový bod 3 , ktorý znie: </w:t>
      </w:r>
    </w:p>
    <w:p w:rsidR="00EA2780" w:rsidP="00EA278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A2780" w:rsidP="00EA2780">
      <w:pPr>
        <w:pStyle w:val="ListParagraph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„3. Za § 21 sa vkladá § 22, ktorý znie:</w:t>
      </w:r>
    </w:p>
    <w:p w:rsidR="00EA2780" w:rsidP="00EA278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A2780" w:rsidP="00EA2780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„§22</w:t>
      </w:r>
    </w:p>
    <w:p w:rsidR="00EA2780" w:rsidP="00EA2780">
      <w:pPr>
        <w:pStyle w:val="ListParagraph"/>
        <w:bidi w:val="0"/>
        <w:jc w:val="both"/>
        <w:rPr>
          <w:rFonts w:ascii="Times New Roman" w:hAnsi="Times New Roman"/>
          <w:szCs w:val="28"/>
        </w:rPr>
      </w:pPr>
    </w:p>
    <w:p w:rsidR="00EA2780" w:rsidP="00EA278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limitu nákladov politickej strany na volebnú kampaň  vo  voľbách  do orgánov vyšších územných celkov v roku 2017 sa započítavajú prostriedky vynaložené politickou stranou od 15. marca 2017.“.“.</w:t>
      </w:r>
    </w:p>
    <w:p w:rsidR="00EA2780" w:rsidP="00EA278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EA2780" w:rsidP="00EA2780">
      <w:pPr>
        <w:bidi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>V súvislosti s vložením nových bodov sa primerane upraví úvodná veta zákona v čl. II.</w:t>
      </w:r>
    </w:p>
    <w:p w:rsidR="00EA2780" w:rsidP="00EA278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EA2780" w:rsidP="00EA2780">
      <w:pPr>
        <w:bidi w:val="0"/>
        <w:ind w:left="2832" w:firstLine="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 príprave novely zákona analýza ustanovení ukázala, že pravidlá pre započítavanie nákladov na volebnú kampaň a ich vykazovanie  nie sú rovnaké pre všetky voľby a kandidujúce subjekty. Takéto pravidlá chýbajú predovšetkým v ustanovení § 7 upravujúcom  výšku limitov pre voľby do orgánov územnej samosprávy.</w:t>
      </w:r>
    </w:p>
    <w:p w:rsidR="00EA2780" w:rsidP="00EA2780">
      <w:pPr>
        <w:bidi w:val="0"/>
        <w:ind w:left="283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Navrhované úpravy odstraňujú tento nedostatok  a vytvárajú rovnaké podmienky pre všetky druhy volieb a všetky kandidujúce subjekty. Pokiaľ ide o vykazovanie prostriedkov vynaložených na kampaň vytvárajú sa rovnaké podmienky pre politické strany, ostatné kandidujúce subjekty ako aj tretie strany.  Keďže lehota 180 dní pri zohľadnené všetkých lehôt v súvislosti s tohtoročnými voľbami do VÚC začala plynúť už v januári, bolo by právne neisté čo všetko je potrebné do nákladov započítavať. Túto lehotu odporúčame preto primerane skrátiť v nadväznosti na účinnosť navrhovanej novely zákona.</w:t>
      </w:r>
    </w:p>
    <w:p w:rsidR="00EA278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77B"/>
    <w:multiLevelType w:val="hybridMultilevel"/>
    <w:tmpl w:val="866434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DC37D88"/>
    <w:multiLevelType w:val="hybridMultilevel"/>
    <w:tmpl w:val="9A043B26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">
    <w:nsid w:val="43BD7328"/>
    <w:multiLevelType w:val="hybridMultilevel"/>
    <w:tmpl w:val="91B2F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3964"/>
    <w:rsid w:val="002956AC"/>
    <w:rsid w:val="002A33A0"/>
    <w:rsid w:val="00397840"/>
    <w:rsid w:val="00413964"/>
    <w:rsid w:val="00560BE4"/>
    <w:rsid w:val="00592849"/>
    <w:rsid w:val="008B2A99"/>
    <w:rsid w:val="00900DC5"/>
    <w:rsid w:val="009B795C"/>
    <w:rsid w:val="00AF4F67"/>
    <w:rsid w:val="00BF4DF8"/>
    <w:rsid w:val="00BF56AC"/>
    <w:rsid w:val="00DF306E"/>
    <w:rsid w:val="00EA2780"/>
    <w:rsid w:val="00F648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9B795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B795C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B795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B795C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B795C"/>
    <w:pPr>
      <w:ind w:left="720"/>
      <w:contextualSpacing/>
      <w:jc w:val="left"/>
    </w:pPr>
    <w:rPr>
      <w:sz w:val="28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A278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A278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1079</Words>
  <Characters>6152</Characters>
  <Application>Microsoft Office Word</Application>
  <DocSecurity>0</DocSecurity>
  <Lines>0</Lines>
  <Paragraphs>0</Paragraphs>
  <ScaleCrop>false</ScaleCrop>
  <Company>Kancelaria NRSR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2017-01-31T14:25:00Z</cp:lastPrinted>
  <dcterms:created xsi:type="dcterms:W3CDTF">2017-01-30T10:00:00Z</dcterms:created>
  <dcterms:modified xsi:type="dcterms:W3CDTF">2017-02-09T15:15:00Z</dcterms:modified>
</cp:coreProperties>
</file>