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B33" w:rsidRPr="001132B8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 w:rsidR="004C53F3">
        <w:rPr>
          <w:rFonts w:ascii="Book Antiqua" w:hAnsi="Book Antiqua"/>
          <w:sz w:val="22"/>
          <w:szCs w:val="22"/>
        </w:rPr>
        <w:t>z ... 2017</w:t>
      </w:r>
      <w:r w:rsidRPr="001132B8">
        <w:rPr>
          <w:rFonts w:ascii="Book Antiqua" w:hAnsi="Book Antiqua"/>
          <w:sz w:val="22"/>
          <w:szCs w:val="22"/>
        </w:rPr>
        <w:t>,</w:t>
      </w:r>
    </w:p>
    <w:p w:rsidR="00C52B33" w:rsidRPr="001132B8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52B33" w:rsidRPr="001132B8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  <w:r w:rsidRPr="001132B8" w:rsidR="004C53F3">
        <w:rPr>
          <w:rFonts w:ascii="Book Antiqua" w:hAnsi="Book Antiqua"/>
          <w:b/>
          <w:sz w:val="22"/>
          <w:szCs w:val="22"/>
        </w:rPr>
        <w:t>ktorým sa </w:t>
      </w:r>
      <w:r w:rsidRPr="001132B8" w:rsidR="00CB4543">
        <w:rPr>
          <w:rFonts w:ascii="Book Antiqua" w:hAnsi="Book Antiqua"/>
          <w:b/>
          <w:sz w:val="22"/>
          <w:szCs w:val="22"/>
        </w:rPr>
        <w:t xml:space="preserve">mení a </w:t>
      </w:r>
      <w:r w:rsidRPr="001132B8" w:rsidR="004C53F3">
        <w:rPr>
          <w:rFonts w:ascii="Book Antiqua" w:hAnsi="Book Antiqua"/>
          <w:b/>
          <w:sz w:val="22"/>
          <w:szCs w:val="22"/>
        </w:rPr>
        <w:t xml:space="preserve">dopĺňa zákon č. </w:t>
      </w:r>
      <w:r w:rsidRPr="001132B8" w:rsidR="008E38CC">
        <w:rPr>
          <w:rFonts w:ascii="Book Antiqua" w:hAnsi="Book Antiqua"/>
          <w:b/>
          <w:sz w:val="22"/>
          <w:szCs w:val="22"/>
        </w:rPr>
        <w:t>570/2005</w:t>
      </w:r>
      <w:r w:rsidRPr="001132B8">
        <w:rPr>
          <w:rFonts w:ascii="Book Antiqua" w:hAnsi="Book Antiqua"/>
          <w:b/>
          <w:sz w:val="22"/>
          <w:szCs w:val="22"/>
        </w:rPr>
        <w:t xml:space="preserve"> Z. z. </w:t>
      </w:r>
      <w:r w:rsidRPr="001132B8" w:rsidR="008E38CC">
        <w:rPr>
          <w:rFonts w:ascii="Book Antiqua" w:hAnsi="Book Antiqua"/>
          <w:b/>
          <w:sz w:val="22"/>
          <w:szCs w:val="22"/>
        </w:rPr>
        <w:t>o brannej povinnosti a o zmene a doplnení niektorých zákonov</w:t>
      </w:r>
      <w:r w:rsidRPr="001132B8">
        <w:rPr>
          <w:rFonts w:ascii="Book Antiqua" w:hAnsi="Book Antiqua"/>
          <w:b/>
          <w:sz w:val="22"/>
          <w:szCs w:val="22"/>
          <w:u w:color="000000"/>
        </w:rPr>
        <w:t xml:space="preserve"> v znení neskorších predpisov</w:t>
      </w:r>
    </w:p>
    <w:p w:rsidR="00C52B33" w:rsidRPr="001132B8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</w:p>
    <w:p w:rsidR="00C52B33" w:rsidRPr="001132B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C52B33" w:rsidRPr="001132B8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b/>
          <w:sz w:val="22"/>
          <w:szCs w:val="22"/>
        </w:rPr>
        <w:t>Čl. I</w:t>
      </w:r>
    </w:p>
    <w:p w:rsidR="00C52B33" w:rsidRPr="001132B8" w:rsidP="00A45D0B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1132B8" w:rsidR="00A40307">
        <w:rPr>
          <w:rFonts w:ascii="Book Antiqua" w:hAnsi="Book Antiqua"/>
          <w:bCs/>
          <w:sz w:val="22"/>
          <w:szCs w:val="22"/>
        </w:rPr>
        <w:t xml:space="preserve">Zákon č. </w:t>
      </w:r>
      <w:r w:rsidRPr="001132B8" w:rsidR="008E38CC">
        <w:rPr>
          <w:rFonts w:ascii="Book Antiqua" w:hAnsi="Book Antiqua"/>
          <w:bCs/>
          <w:sz w:val="22"/>
          <w:szCs w:val="22"/>
        </w:rPr>
        <w:t>570/2005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 </w:t>
      </w:r>
      <w:r w:rsidRPr="001132B8" w:rsidR="008E38CC">
        <w:rPr>
          <w:rFonts w:ascii="Book Antiqua" w:hAnsi="Book Antiqua"/>
          <w:bCs/>
          <w:sz w:val="22"/>
          <w:szCs w:val="22"/>
        </w:rPr>
        <w:t>o brannej povinnosti a o zmene a doplnení niektorých zákonov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v znení zákona č. </w:t>
      </w:r>
      <w:r w:rsidRPr="001132B8" w:rsidR="008E38CC">
        <w:rPr>
          <w:rFonts w:ascii="Book Antiqua" w:hAnsi="Book Antiqua"/>
          <w:bCs/>
          <w:sz w:val="22"/>
          <w:szCs w:val="22"/>
        </w:rPr>
        <w:t>333/2007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 </w:t>
      </w:r>
      <w:r w:rsidRPr="001132B8" w:rsidR="008E38CC">
        <w:rPr>
          <w:rFonts w:ascii="Book Antiqua" w:hAnsi="Book Antiqua"/>
          <w:bCs/>
          <w:sz w:val="22"/>
          <w:szCs w:val="22"/>
        </w:rPr>
        <w:t>518/2007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 </w:t>
      </w:r>
      <w:r w:rsidRPr="001132B8" w:rsidR="008E38CC">
        <w:rPr>
          <w:rFonts w:ascii="Book Antiqua" w:hAnsi="Book Antiqua"/>
          <w:bCs/>
          <w:sz w:val="22"/>
          <w:szCs w:val="22"/>
        </w:rPr>
        <w:t>452/2008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</w:t>
      </w:r>
      <w:r w:rsidRPr="001132B8" w:rsidR="008E38CC">
        <w:rPr>
          <w:rFonts w:ascii="Book Antiqua" w:hAnsi="Book Antiqua"/>
          <w:bCs/>
          <w:sz w:val="22"/>
          <w:szCs w:val="22"/>
        </w:rPr>
        <w:t> 59/2009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 z., zákona č. </w:t>
      </w:r>
      <w:r w:rsidRPr="001132B8" w:rsidR="008E38CC">
        <w:rPr>
          <w:rFonts w:ascii="Book Antiqua" w:hAnsi="Book Antiqua"/>
          <w:bCs/>
          <w:sz w:val="22"/>
          <w:szCs w:val="22"/>
        </w:rPr>
        <w:t>473/2009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 </w:t>
      </w:r>
      <w:r w:rsidRPr="001132B8" w:rsidR="008E38CC">
        <w:rPr>
          <w:rFonts w:ascii="Book Antiqua" w:hAnsi="Book Antiqua"/>
          <w:bCs/>
          <w:sz w:val="22"/>
          <w:szCs w:val="22"/>
        </w:rPr>
        <w:t>106/2011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 </w:t>
      </w:r>
      <w:r w:rsidRPr="001132B8" w:rsidR="008E38CC">
        <w:rPr>
          <w:rFonts w:ascii="Book Antiqua" w:hAnsi="Book Antiqua"/>
          <w:bCs/>
          <w:sz w:val="22"/>
          <w:szCs w:val="22"/>
        </w:rPr>
        <w:t>220/2011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</w:t>
      </w:r>
      <w:r w:rsidRPr="001132B8" w:rsidR="000800DF">
        <w:rPr>
          <w:rFonts w:ascii="Book Antiqua" w:hAnsi="Book Antiqua"/>
          <w:bCs/>
          <w:sz w:val="22"/>
          <w:szCs w:val="22"/>
        </w:rPr>
        <w:t>. </w:t>
      </w:r>
      <w:r w:rsidRPr="001132B8" w:rsidR="008E38CC">
        <w:rPr>
          <w:rFonts w:ascii="Book Antiqua" w:hAnsi="Book Antiqua"/>
          <w:bCs/>
          <w:sz w:val="22"/>
          <w:szCs w:val="22"/>
        </w:rPr>
        <w:t xml:space="preserve">345/2012 Z. z., zákona 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č. </w:t>
      </w:r>
      <w:r w:rsidRPr="001132B8" w:rsidR="008E38CC">
        <w:rPr>
          <w:rFonts w:ascii="Book Antiqua" w:hAnsi="Book Antiqua"/>
          <w:bCs/>
          <w:sz w:val="22"/>
          <w:szCs w:val="22"/>
        </w:rPr>
        <w:t>176/2015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 Z. z., zákona č. </w:t>
      </w:r>
      <w:r w:rsidRPr="001132B8" w:rsidR="008E38CC">
        <w:rPr>
          <w:rFonts w:ascii="Book Antiqua" w:hAnsi="Book Antiqua"/>
          <w:bCs/>
          <w:sz w:val="22"/>
          <w:szCs w:val="22"/>
        </w:rPr>
        <w:t xml:space="preserve">281/2015 Z. z. </w:t>
      </w:r>
      <w:r w:rsidRPr="001132B8" w:rsidR="00CB4543">
        <w:rPr>
          <w:rFonts w:ascii="Book Antiqua" w:hAnsi="Book Antiqua"/>
          <w:bCs/>
          <w:sz w:val="22"/>
          <w:szCs w:val="22"/>
        </w:rPr>
        <w:t xml:space="preserve">a </w:t>
      </w:r>
      <w:r w:rsidRPr="001132B8" w:rsidR="00F32185">
        <w:rPr>
          <w:rFonts w:ascii="Book Antiqua" w:hAnsi="Book Antiqua"/>
          <w:bCs/>
          <w:sz w:val="22"/>
          <w:szCs w:val="22"/>
        </w:rPr>
        <w:t>zákona č.</w:t>
      </w:r>
      <w:r w:rsidRPr="001132B8" w:rsidR="008E38CC">
        <w:rPr>
          <w:rFonts w:ascii="Book Antiqua" w:hAnsi="Book Antiqua"/>
          <w:bCs/>
          <w:sz w:val="22"/>
          <w:szCs w:val="22"/>
        </w:rPr>
        <w:t> 378</w:t>
      </w:r>
      <w:r w:rsidRPr="001132B8" w:rsidR="00F32185">
        <w:rPr>
          <w:rFonts w:ascii="Book Antiqua" w:hAnsi="Book Antiqua"/>
          <w:bCs/>
          <w:sz w:val="22"/>
          <w:szCs w:val="22"/>
        </w:rPr>
        <w:t xml:space="preserve">/2015 Z. </w:t>
      </w:r>
      <w:r w:rsidRPr="001132B8" w:rsidR="00CB4543">
        <w:rPr>
          <w:rFonts w:ascii="Book Antiqua" w:hAnsi="Book Antiqua"/>
          <w:bCs/>
          <w:sz w:val="22"/>
          <w:szCs w:val="22"/>
        </w:rPr>
        <w:t>z.</w:t>
      </w:r>
      <w:r w:rsidRPr="001132B8" w:rsidR="00F32185">
        <w:rPr>
          <w:rFonts w:ascii="Book Antiqua" w:hAnsi="Book Antiqua"/>
          <w:bCs/>
          <w:sz w:val="22"/>
          <w:szCs w:val="22"/>
        </w:rPr>
        <w:t xml:space="preserve"> </w:t>
      </w:r>
      <w:r w:rsidRPr="001132B8" w:rsidR="00A40307">
        <w:rPr>
          <w:rFonts w:ascii="Book Antiqua" w:hAnsi="Book Antiqua"/>
          <w:bCs/>
          <w:sz w:val="22"/>
          <w:szCs w:val="22"/>
        </w:rPr>
        <w:t xml:space="preserve">sa </w:t>
      </w:r>
      <w:r w:rsidRPr="001132B8" w:rsidR="00CB4543">
        <w:rPr>
          <w:rFonts w:ascii="Book Antiqua" w:hAnsi="Book Antiqua"/>
          <w:bCs/>
          <w:sz w:val="22"/>
          <w:szCs w:val="22"/>
        </w:rPr>
        <w:t xml:space="preserve">mení a </w:t>
      </w:r>
      <w:r w:rsidRPr="001132B8" w:rsidR="00A40307">
        <w:rPr>
          <w:rFonts w:ascii="Book Antiqua" w:hAnsi="Book Antiqua"/>
          <w:bCs/>
          <w:sz w:val="22"/>
          <w:szCs w:val="22"/>
        </w:rPr>
        <w:t>dopĺňa takto:</w:t>
      </w:r>
    </w:p>
    <w:p w:rsidR="00A40307" w:rsidRPr="001132B8" w:rsidP="00A40307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:rsidR="002F51C6" w:rsidP="000B563E">
      <w:pPr>
        <w:pStyle w:val="ListParagraph"/>
        <w:numPr>
          <w:numId w:val="4"/>
        </w:numPr>
        <w:bidi w:val="0"/>
        <w:spacing w:before="120" w:after="120" w:line="276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1132B8" w:rsidR="001132B8">
        <w:rPr>
          <w:rFonts w:ascii="Book Antiqua" w:hAnsi="Book Antiqua"/>
          <w:sz w:val="22"/>
          <w:szCs w:val="22"/>
        </w:rPr>
        <w:t xml:space="preserve">V § 21 </w:t>
      </w:r>
      <w:r w:rsidR="000B563E">
        <w:rPr>
          <w:rFonts w:ascii="Book Antiqua" w:hAnsi="Book Antiqua"/>
          <w:sz w:val="22"/>
          <w:szCs w:val="22"/>
        </w:rPr>
        <w:t>ods</w:t>
      </w:r>
      <w:r>
        <w:rPr>
          <w:rFonts w:ascii="Book Antiqua" w:hAnsi="Book Antiqua"/>
          <w:sz w:val="22"/>
          <w:szCs w:val="22"/>
        </w:rPr>
        <w:t>ek</w:t>
      </w:r>
      <w:r w:rsidR="000B563E">
        <w:rPr>
          <w:rFonts w:ascii="Book Antiqua" w:hAnsi="Book Antiqua"/>
          <w:sz w:val="22"/>
          <w:szCs w:val="22"/>
        </w:rPr>
        <w:t xml:space="preserve"> 12 </w:t>
      </w:r>
      <w:r>
        <w:rPr>
          <w:rFonts w:ascii="Book Antiqua" w:hAnsi="Book Antiqua"/>
          <w:sz w:val="22"/>
          <w:szCs w:val="22"/>
        </w:rPr>
        <w:t xml:space="preserve">znie: </w:t>
      </w:r>
    </w:p>
    <w:p w:rsidR="00D340D3" w:rsidP="002F51C6">
      <w:pPr>
        <w:pStyle w:val="ListParagraph"/>
        <w:bidi w:val="0"/>
        <w:spacing w:before="120" w:after="120" w:line="276" w:lineRule="auto"/>
        <w:ind w:left="861"/>
        <w:contextualSpacing w:val="0"/>
        <w:jc w:val="both"/>
        <w:rPr>
          <w:rFonts w:ascii="Book Antiqua" w:hAnsi="Book Antiqua"/>
          <w:sz w:val="22"/>
          <w:szCs w:val="22"/>
        </w:rPr>
      </w:pPr>
      <w:r w:rsidR="002F51C6">
        <w:rPr>
          <w:rFonts w:ascii="Book Antiqua" w:hAnsi="Book Antiqua"/>
          <w:sz w:val="22"/>
          <w:szCs w:val="22"/>
        </w:rPr>
        <w:t>„</w:t>
      </w:r>
      <w:r w:rsidR="003A28AD">
        <w:rPr>
          <w:rFonts w:ascii="Book Antiqua" w:hAnsi="Book Antiqua"/>
          <w:sz w:val="22"/>
          <w:szCs w:val="22"/>
        </w:rPr>
        <w:t xml:space="preserve">(12) </w:t>
      </w:r>
      <w:r w:rsidR="00593F23">
        <w:rPr>
          <w:rFonts w:ascii="Book Antiqua" w:hAnsi="Book Antiqua"/>
          <w:sz w:val="22"/>
          <w:szCs w:val="22"/>
        </w:rPr>
        <w:t>Vojak</w:t>
      </w:r>
      <w:r w:rsidR="0027638D">
        <w:rPr>
          <w:rFonts w:ascii="Book Antiqua" w:hAnsi="Book Antiqua"/>
          <w:sz w:val="22"/>
          <w:szCs w:val="22"/>
        </w:rPr>
        <w:t>a</w:t>
      </w:r>
      <w:r w:rsidR="002F51C6">
        <w:rPr>
          <w:rFonts w:ascii="Book Antiqua" w:hAnsi="Book Antiqua"/>
          <w:sz w:val="22"/>
          <w:szCs w:val="22"/>
        </w:rPr>
        <w:t xml:space="preserve"> v zálohe </w:t>
      </w:r>
      <w:r w:rsidR="0027638D">
        <w:rPr>
          <w:rFonts w:ascii="Book Antiqua" w:hAnsi="Book Antiqua"/>
          <w:sz w:val="22"/>
          <w:szCs w:val="22"/>
        </w:rPr>
        <w:t>možno</w:t>
      </w:r>
      <w:r w:rsidR="00593F23">
        <w:rPr>
          <w:rFonts w:ascii="Book Antiqua" w:hAnsi="Book Antiqua"/>
          <w:sz w:val="22"/>
          <w:szCs w:val="22"/>
        </w:rPr>
        <w:t xml:space="preserve"> mimoriadne vym</w:t>
      </w:r>
      <w:r w:rsidR="0027638D">
        <w:rPr>
          <w:rFonts w:ascii="Book Antiqua" w:hAnsi="Book Antiqua"/>
          <w:sz w:val="22"/>
          <w:szCs w:val="22"/>
        </w:rPr>
        <w:t>enovať alebo mimoriadne povýšiť</w:t>
      </w:r>
      <w:r w:rsidR="00593F23">
        <w:rPr>
          <w:rFonts w:ascii="Book Antiqua" w:hAnsi="Book Antiqua"/>
          <w:sz w:val="22"/>
          <w:szCs w:val="22"/>
        </w:rPr>
        <w:t xml:space="preserve"> do vojenskej hodnosti o jeden </w:t>
      </w:r>
      <w:r w:rsidR="005344C5">
        <w:rPr>
          <w:rFonts w:ascii="Book Antiqua" w:hAnsi="Book Antiqua"/>
          <w:sz w:val="22"/>
          <w:szCs w:val="22"/>
        </w:rPr>
        <w:t>stupeň vyššej, než akú dosiahol</w:t>
      </w:r>
      <w:r w:rsidR="0027638D">
        <w:rPr>
          <w:rFonts w:ascii="Book Antiqua" w:hAnsi="Book Antiqua"/>
          <w:sz w:val="22"/>
          <w:szCs w:val="22"/>
        </w:rPr>
        <w:t xml:space="preserve">. Vojenskou hodnosťou sa vyjadruje pripravenosť vojaka v zálohe na výkon funkcie, do ktorej má byť ustanovený. </w:t>
      </w:r>
      <w:r w:rsidR="009F4A34">
        <w:rPr>
          <w:rFonts w:ascii="Book Antiqua" w:hAnsi="Book Antiqua"/>
          <w:sz w:val="22"/>
          <w:szCs w:val="22"/>
        </w:rPr>
        <w:t xml:space="preserve">Vojaka v zálohe nemožno mimoriadne vymenovať </w:t>
      </w:r>
      <w:r w:rsidR="0027638D">
        <w:rPr>
          <w:rFonts w:ascii="Book Antiqua" w:hAnsi="Book Antiqua"/>
          <w:sz w:val="22"/>
          <w:szCs w:val="22"/>
        </w:rPr>
        <w:t xml:space="preserve">do vojenskej hodnosti </w:t>
      </w:r>
      <w:r w:rsidR="009F4A34">
        <w:rPr>
          <w:rFonts w:ascii="Book Antiqua" w:hAnsi="Book Antiqua"/>
          <w:sz w:val="22"/>
          <w:szCs w:val="22"/>
        </w:rPr>
        <w:t>alebo mi</w:t>
      </w:r>
      <w:r w:rsidR="00924C61">
        <w:rPr>
          <w:rFonts w:ascii="Book Antiqua" w:hAnsi="Book Antiqua"/>
          <w:sz w:val="22"/>
          <w:szCs w:val="22"/>
        </w:rPr>
        <w:t>moriadne povýšiť</w:t>
      </w:r>
      <w:r w:rsidR="009F4A34">
        <w:rPr>
          <w:rFonts w:ascii="Book Antiqua" w:hAnsi="Book Antiqua"/>
          <w:sz w:val="22"/>
          <w:szCs w:val="22"/>
        </w:rPr>
        <w:t xml:space="preserve"> do vojenskej hodnosti</w:t>
      </w:r>
      <w:r w:rsidR="00924C61">
        <w:rPr>
          <w:rFonts w:ascii="Book Antiqua" w:hAnsi="Book Antiqua"/>
          <w:sz w:val="22"/>
          <w:szCs w:val="22"/>
        </w:rPr>
        <w:t xml:space="preserve"> počas výkonu funkcie podľa § 17 ods. 1.</w:t>
      </w:r>
      <w:r w:rsidR="002F51C6">
        <w:rPr>
          <w:rFonts w:ascii="Book Antiqua" w:hAnsi="Book Antiqua"/>
          <w:sz w:val="22"/>
          <w:szCs w:val="22"/>
        </w:rPr>
        <w:t>“</w:t>
      </w:r>
      <w:r w:rsidR="008B7929">
        <w:rPr>
          <w:rFonts w:ascii="Book Antiqua" w:hAnsi="Book Antiqua"/>
          <w:sz w:val="22"/>
          <w:szCs w:val="22"/>
        </w:rPr>
        <w:t xml:space="preserve">. </w:t>
      </w:r>
    </w:p>
    <w:p w:rsidR="008B5261" w:rsidRPr="001132B8" w:rsidP="00D340D3">
      <w:pPr>
        <w:pStyle w:val="ListParagraph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z w:val="22"/>
          <w:szCs w:val="22"/>
        </w:rPr>
        <w:t>Za § 22b sa vkladá § 22ba, ktorý vrátane nadpisu znie:</w:t>
      </w:r>
    </w:p>
    <w:p w:rsidR="008B5261" w:rsidP="008B5261">
      <w:pPr>
        <w:pStyle w:val="ListParagraph"/>
        <w:bidi w:val="0"/>
        <w:spacing w:before="120" w:line="276" w:lineRule="auto"/>
        <w:ind w:left="861"/>
        <w:jc w:val="both"/>
        <w:rPr>
          <w:rFonts w:ascii="Book Antiqua" w:hAnsi="Book Antiqua"/>
          <w:sz w:val="22"/>
          <w:szCs w:val="22"/>
        </w:rPr>
      </w:pPr>
    </w:p>
    <w:p w:rsidR="008B5261" w:rsidRPr="001132B8" w:rsidP="008B526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z w:val="22"/>
          <w:szCs w:val="22"/>
        </w:rPr>
        <w:t>„</w:t>
      </w:r>
      <w:r w:rsidRPr="001132B8">
        <w:rPr>
          <w:rFonts w:ascii="Book Antiqua" w:hAnsi="Book Antiqua"/>
          <w:b/>
          <w:sz w:val="22"/>
          <w:szCs w:val="22"/>
        </w:rPr>
        <w:t>§ 22ba</w:t>
      </w:r>
    </w:p>
    <w:p w:rsidR="008B5261" w:rsidP="008B526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1132B8">
        <w:rPr>
          <w:rFonts w:ascii="Book Antiqua" w:hAnsi="Book Antiqua"/>
          <w:b/>
          <w:sz w:val="22"/>
          <w:szCs w:val="22"/>
        </w:rPr>
        <w:t>Prechodné ustanoveni</w:t>
      </w:r>
      <w:r w:rsidR="00BC5B31">
        <w:rPr>
          <w:rFonts w:ascii="Book Antiqua" w:hAnsi="Book Antiqua"/>
          <w:b/>
          <w:sz w:val="22"/>
          <w:szCs w:val="22"/>
        </w:rPr>
        <w:t>a</w:t>
      </w:r>
      <w:r w:rsidRPr="001132B8">
        <w:rPr>
          <w:rFonts w:ascii="Book Antiqua" w:hAnsi="Book Antiqua"/>
          <w:b/>
          <w:sz w:val="22"/>
          <w:szCs w:val="22"/>
        </w:rPr>
        <w:t xml:space="preserve"> k úpravám účinným od 1. júla 2017</w:t>
      </w:r>
    </w:p>
    <w:p w:rsidR="00530160" w:rsidRPr="00530160" w:rsidP="003A28AD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Vojenské hodnosti vojakov v zálohe dosiahnuté alebo priznané mimoriadnym povýšením alebo mimoriadnym vymenovaním</w:t>
      </w:r>
      <w:r w:rsidR="006B5C5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podľa zákona účinného do 30. júna 2017 sa považujú za vojenské hodnosti dosiahnuté alebo priznané podľa </w:t>
      </w:r>
      <w:r w:rsidR="00BC5B31">
        <w:rPr>
          <w:rFonts w:ascii="Book Antiqua" w:hAnsi="Book Antiqua" w:cs="Segoe UI"/>
          <w:sz w:val="22"/>
          <w:szCs w:val="22"/>
          <w:shd w:val="clear" w:color="auto" w:fill="FFFFFF"/>
        </w:rPr>
        <w:t>zákona účinného od 1. júla 2017.</w:t>
      </w:r>
    </w:p>
    <w:p w:rsidR="003A28AD" w:rsidP="003A28AD">
      <w:pPr>
        <w:numPr>
          <w:numId w:val="3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Ustanovenie odseku 1 sa nevzťahuje na vojakov v zálohe, ktorí vojenskú hodnosť </w:t>
      </w:r>
      <w:r w:rsidR="006B5C5D">
        <w:rPr>
          <w:rFonts w:ascii="Book Antiqua" w:hAnsi="Book Antiqua" w:cs="Segoe UI"/>
          <w:sz w:val="22"/>
          <w:szCs w:val="22"/>
          <w:shd w:val="clear" w:color="auto" w:fill="FFFFFF"/>
        </w:rPr>
        <w:t>dosiahli alebo im bola priznaná</w:t>
      </w: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mimoriadnym vymenovaním alebo mimoriadnym povýšením </w:t>
      </w:r>
      <w:r w:rsidR="00F30C82">
        <w:rPr>
          <w:rFonts w:ascii="Book Antiqua" w:hAnsi="Book Antiqua" w:cs="Segoe UI"/>
          <w:sz w:val="22"/>
          <w:szCs w:val="22"/>
          <w:shd w:val="clear" w:color="auto" w:fill="FFFFFF"/>
        </w:rPr>
        <w:t>počas</w:t>
      </w:r>
      <w:r w:rsidR="006B5C5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>v</w:t>
      </w:r>
      <w:r w:rsidR="00F30C82">
        <w:rPr>
          <w:rFonts w:ascii="Book Antiqua" w:hAnsi="Book Antiqua" w:cs="Segoe UI"/>
          <w:sz w:val="22"/>
          <w:szCs w:val="22"/>
          <w:shd w:val="clear" w:color="auto" w:fill="FFFFFF"/>
        </w:rPr>
        <w:t>ý</w:t>
      </w: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>kon</w:t>
      </w:r>
      <w:r w:rsidR="00F30C82">
        <w:rPr>
          <w:rFonts w:ascii="Book Antiqua" w:hAnsi="Book Antiqua" w:cs="Segoe UI"/>
          <w:sz w:val="22"/>
          <w:szCs w:val="22"/>
          <w:shd w:val="clear" w:color="auto" w:fill="FFFFFF"/>
        </w:rPr>
        <w:t>u</w:t>
      </w: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funkci</w:t>
      </w:r>
      <w:r w:rsidR="00F30C82">
        <w:rPr>
          <w:rFonts w:ascii="Book Antiqua" w:hAnsi="Book Antiqua" w:cs="Segoe UI"/>
          <w:sz w:val="22"/>
          <w:szCs w:val="22"/>
          <w:shd w:val="clear" w:color="auto" w:fill="FFFFFF"/>
        </w:rPr>
        <w:t>e</w:t>
      </w:r>
      <w:r w:rsidR="00DD498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podľa § 17 ods. 1</w:t>
      </w:r>
      <w:r w:rsidR="00CB53DD">
        <w:rPr>
          <w:rFonts w:ascii="Book Antiqua" w:hAnsi="Book Antiqua" w:cs="Segoe UI"/>
          <w:sz w:val="22"/>
          <w:szCs w:val="22"/>
          <w:shd w:val="clear" w:color="auto" w:fill="FFFFFF"/>
        </w:rPr>
        <w:t>;</w:t>
      </w:r>
      <w:r w:rsidR="00BC5B3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CB53DD">
        <w:rPr>
          <w:rFonts w:ascii="Book Antiqua" w:hAnsi="Book Antiqua" w:cs="Segoe UI"/>
          <w:sz w:val="22"/>
          <w:szCs w:val="22"/>
          <w:shd w:val="clear" w:color="auto" w:fill="FFFFFF"/>
        </w:rPr>
        <w:t>v</w:t>
      </w:r>
      <w:r w:rsidR="00AD3420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takom </w:t>
      </w:r>
      <w:r w:rsidR="00BC5B31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prípade patrí vojakovi v zálohe vojenská hodnosť </w:t>
      </w:r>
      <w:r w:rsidR="00FF119F">
        <w:rPr>
          <w:rFonts w:ascii="Book Antiqua" w:hAnsi="Book Antiqua" w:cs="Segoe UI"/>
          <w:sz w:val="22"/>
          <w:szCs w:val="22"/>
          <w:shd w:val="clear" w:color="auto" w:fill="FFFFFF"/>
        </w:rPr>
        <w:t>dosiahnutá</w:t>
      </w:r>
      <w:r w:rsidR="00BC5B31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pred mimoriadnym vymenovaním alebo mimoriadnym povýšením. </w:t>
      </w:r>
    </w:p>
    <w:p w:rsidR="00D37E40" w:rsidRPr="001132B8" w:rsidP="00007A20">
      <w:pPr>
        <w:bidi w:val="0"/>
        <w:spacing w:before="120" w:line="276" w:lineRule="auto"/>
        <w:ind w:left="851" w:hanging="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C52B33" w:rsidRPr="001132B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32B8" w:rsidR="004C7C7A">
        <w:rPr>
          <w:rFonts w:ascii="Book Antiqua" w:hAnsi="Book Antiqua"/>
          <w:b/>
          <w:sz w:val="22"/>
          <w:szCs w:val="22"/>
        </w:rPr>
        <w:t xml:space="preserve">Čl. </w:t>
      </w:r>
      <w:r w:rsidRPr="001132B8">
        <w:rPr>
          <w:rFonts w:ascii="Book Antiqua" w:hAnsi="Book Antiqua"/>
          <w:b/>
          <w:sz w:val="22"/>
          <w:szCs w:val="22"/>
        </w:rPr>
        <w:t>II</w:t>
      </w:r>
    </w:p>
    <w:p w:rsidR="00C52B33" w:rsidRPr="001132B8">
      <w:pPr>
        <w:bidi w:val="0"/>
        <w:spacing w:before="120" w:line="276" w:lineRule="auto"/>
        <w:ind w:firstLine="851"/>
        <w:rPr>
          <w:rFonts w:ascii="Book Antiqua" w:hAnsi="Book Antiqua"/>
          <w:sz w:val="22"/>
          <w:szCs w:val="22"/>
        </w:rPr>
      </w:pPr>
      <w:r w:rsidRPr="001132B8">
        <w:rPr>
          <w:rFonts w:ascii="Book Antiqua" w:hAnsi="Book Antiqua"/>
          <w:sz w:val="22"/>
          <w:szCs w:val="22"/>
        </w:rPr>
        <w:t>Tento zá</w:t>
      </w:r>
      <w:r w:rsidRPr="001132B8" w:rsidR="004D1530">
        <w:rPr>
          <w:rFonts w:ascii="Book Antiqua" w:hAnsi="Book Antiqua"/>
          <w:sz w:val="22"/>
          <w:szCs w:val="22"/>
        </w:rPr>
        <w:t>kon nadobúda účinnosť 1. júla</w:t>
      </w:r>
      <w:r w:rsidRPr="001132B8">
        <w:rPr>
          <w:rFonts w:ascii="Book Antiqua" w:hAnsi="Book Antiqua"/>
          <w:sz w:val="22"/>
          <w:szCs w:val="22"/>
        </w:rPr>
        <w:t xml:space="preserve"> 2017.</w:t>
      </w:r>
    </w:p>
    <w:sectPr>
      <w:type w:val="continuous"/>
      <w:pgSz w:w="11906" w:h="16838"/>
      <w:pgMar w:top="1695" w:right="1418" w:bottom="1695" w:left="1418" w:header="708" w:footer="708" w:gutter="0"/>
      <w:lnNumType w:distance="0"/>
      <w:cols w:space="708"/>
      <w:formProt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CCBC64"/>
    <w:lvl w:ilvl="0">
      <w:start w:val="1"/>
      <w:numFmt w:val="decimal"/>
      <w:lvlText w:val="%1."/>
      <w:lvlJc w:val="left"/>
      <w:pPr>
        <w:ind w:left="708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28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88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8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8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28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88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2">
    <w:nsid w:val="0B8F2229"/>
    <w:multiLevelType w:val="hybridMultilevel"/>
    <w:tmpl w:val="CAACA05E"/>
    <w:lvl w:ilvl="0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3">
    <w:nsid w:val="44FB0335"/>
    <w:multiLevelType w:val="hybridMultilevel"/>
    <w:tmpl w:val="CCAA31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7A1E7C"/>
    <w:multiLevelType w:val="hybridMultilevel"/>
    <w:tmpl w:val="FCD2CDCC"/>
    <w:lvl w:ilvl="0">
      <w:start w:val="1"/>
      <w:numFmt w:val="decimal"/>
      <w:lvlText w:val="%1."/>
      <w:lvlJc w:val="left"/>
      <w:pPr>
        <w:ind w:left="861" w:hanging="435"/>
      </w:pPr>
      <w:rPr>
        <w:rFonts w:ascii="Book Antiqua" w:hAnsi="Book Antiqua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4D061B66"/>
    <w:multiLevelType w:val="hybridMultilevel"/>
    <w:tmpl w:val="7784676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54E4088D"/>
    <w:multiLevelType w:val="hybridMultilevel"/>
    <w:tmpl w:val="FCD2CDCC"/>
    <w:lvl w:ilvl="0">
      <w:start w:val="1"/>
      <w:numFmt w:val="decimal"/>
      <w:lvlText w:val="%1."/>
      <w:lvlJc w:val="left"/>
      <w:pPr>
        <w:ind w:left="861" w:hanging="435"/>
      </w:pPr>
      <w:rPr>
        <w:rFonts w:ascii="Book Antiqua" w:hAnsi="Book Antiqua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601F4B85"/>
    <w:multiLevelType w:val="hybridMultilevel"/>
    <w:tmpl w:val="C7D0FEF6"/>
    <w:lvl w:ilvl="0">
      <w:start w:val="1"/>
      <w:numFmt w:val="lowerLetter"/>
      <w:lvlText w:val="%1)"/>
      <w:lvlJc w:val="left"/>
      <w:pPr>
        <w:ind w:left="12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81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6A10"/>
    <w:rsid w:val="00007A20"/>
    <w:rsid w:val="00016002"/>
    <w:rsid w:val="000307E7"/>
    <w:rsid w:val="000800DF"/>
    <w:rsid w:val="000B563E"/>
    <w:rsid w:val="000C3449"/>
    <w:rsid w:val="001132B8"/>
    <w:rsid w:val="00165F65"/>
    <w:rsid w:val="0017289A"/>
    <w:rsid w:val="001A08D9"/>
    <w:rsid w:val="001E1388"/>
    <w:rsid w:val="00212E41"/>
    <w:rsid w:val="0027638D"/>
    <w:rsid w:val="00287B6A"/>
    <w:rsid w:val="002E7D86"/>
    <w:rsid w:val="002F51C6"/>
    <w:rsid w:val="0036076D"/>
    <w:rsid w:val="00373045"/>
    <w:rsid w:val="0037383C"/>
    <w:rsid w:val="003A1CA0"/>
    <w:rsid w:val="003A28AD"/>
    <w:rsid w:val="003A3F6D"/>
    <w:rsid w:val="003B1AB6"/>
    <w:rsid w:val="003F7053"/>
    <w:rsid w:val="0041722B"/>
    <w:rsid w:val="00490E99"/>
    <w:rsid w:val="00494031"/>
    <w:rsid w:val="004C53F3"/>
    <w:rsid w:val="004C7C7A"/>
    <w:rsid w:val="004D1530"/>
    <w:rsid w:val="004F29A4"/>
    <w:rsid w:val="00530160"/>
    <w:rsid w:val="005344C5"/>
    <w:rsid w:val="00560F72"/>
    <w:rsid w:val="00593F23"/>
    <w:rsid w:val="005A7951"/>
    <w:rsid w:val="00657870"/>
    <w:rsid w:val="0067772E"/>
    <w:rsid w:val="00682A63"/>
    <w:rsid w:val="00694ED0"/>
    <w:rsid w:val="006A7078"/>
    <w:rsid w:val="006B5C5D"/>
    <w:rsid w:val="007317B4"/>
    <w:rsid w:val="00802621"/>
    <w:rsid w:val="00877687"/>
    <w:rsid w:val="008A462F"/>
    <w:rsid w:val="008A4EF8"/>
    <w:rsid w:val="008B5261"/>
    <w:rsid w:val="008B7929"/>
    <w:rsid w:val="008E38CC"/>
    <w:rsid w:val="00912D98"/>
    <w:rsid w:val="00924C61"/>
    <w:rsid w:val="009549E8"/>
    <w:rsid w:val="009F4A34"/>
    <w:rsid w:val="009F5854"/>
    <w:rsid w:val="00A33439"/>
    <w:rsid w:val="00A40307"/>
    <w:rsid w:val="00A45D0B"/>
    <w:rsid w:val="00A50C8D"/>
    <w:rsid w:val="00A644D4"/>
    <w:rsid w:val="00A82496"/>
    <w:rsid w:val="00AA0064"/>
    <w:rsid w:val="00AD3420"/>
    <w:rsid w:val="00AD571F"/>
    <w:rsid w:val="00AD6A10"/>
    <w:rsid w:val="00AE7927"/>
    <w:rsid w:val="00B2161E"/>
    <w:rsid w:val="00B30A66"/>
    <w:rsid w:val="00B5433A"/>
    <w:rsid w:val="00B90012"/>
    <w:rsid w:val="00BC5B31"/>
    <w:rsid w:val="00BF48C6"/>
    <w:rsid w:val="00C27E8B"/>
    <w:rsid w:val="00C52B33"/>
    <w:rsid w:val="00CB4543"/>
    <w:rsid w:val="00CB53DD"/>
    <w:rsid w:val="00D17BAC"/>
    <w:rsid w:val="00D2328E"/>
    <w:rsid w:val="00D340D3"/>
    <w:rsid w:val="00D37E40"/>
    <w:rsid w:val="00D40ED4"/>
    <w:rsid w:val="00D644C8"/>
    <w:rsid w:val="00D94EBF"/>
    <w:rsid w:val="00DA0B85"/>
    <w:rsid w:val="00DD4985"/>
    <w:rsid w:val="00E206C4"/>
    <w:rsid w:val="00E3389E"/>
    <w:rsid w:val="00F30C82"/>
    <w:rsid w:val="00F32185"/>
    <w:rsid w:val="00F44431"/>
    <w:rsid w:val="00FA1948"/>
    <w:rsid w:val="00FB7A15"/>
    <w:rsid w:val="00FD3405"/>
    <w:rsid w:val="00FE1C1E"/>
    <w:rsid w:val="00FF11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qFormat/>
    <w:pPr>
      <w:keepNext/>
      <w:widowControl/>
      <w:tabs>
        <w:tab w:val="left" w:pos="864"/>
      </w:tabs>
      <w:ind w:left="432" w:hanging="432"/>
      <w:jc w:val="left"/>
      <w:outlineLvl w:val="0"/>
    </w:pPr>
    <w:rPr>
      <w:rFonts w:ascii="Arial" w:hAnsi="Calibri"/>
      <w:b/>
      <w:bCs/>
      <w:caps/>
      <w:kern w:val="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9"/>
    <w:locked/>
    <w:rPr>
      <w:rFonts w:ascii="Arial" w:eastAsia="Times New Roman"/>
      <w:b/>
      <w:caps/>
    </w:rPr>
  </w:style>
  <w:style w:type="character" w:customStyle="1" w:styleId="Pe4taChar">
    <w:name w:val="Päe4ta Char"/>
    <w:uiPriority w:val="99"/>
    <w:rPr>
      <w:rFonts w:ascii="Times New Roman" w:eastAsia="Times New Roman"/>
    </w:rPr>
  </w:style>
  <w:style w:type="character" w:customStyle="1" w:styleId="Textpozne1mkypode8iarouChar">
    <w:name w:val="Text poznáe1mky pod če8iarou Char"/>
    <w:uiPriority w:val="99"/>
    <w:rPr>
      <w:rFonts w:ascii="Times New Roman" w:eastAsia="Times New Roman"/>
      <w:sz w:val="20"/>
    </w:rPr>
  </w:style>
  <w:style w:type="character" w:styleId="FootnoteReference">
    <w:name w:val="footnote reference"/>
    <w:uiPriority w:val="99"/>
    <w:rPr>
      <w:rFonts w:eastAsia="Times New Roman"/>
      <w:vertAlign w:val="superscript"/>
    </w:rPr>
  </w:style>
  <w:style w:type="character" w:customStyle="1" w:styleId="Hlavie8kaChar">
    <w:name w:val="Hlaviče8ka Char"/>
    <w:uiPriority w:val="99"/>
    <w:rPr>
      <w:rFonts w:ascii="Times New Roman" w:eastAsia="Times New Roman"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  <w:rPr>
      <w:kern w:val="0"/>
    </w:rPr>
  </w:style>
  <w:style w:type="paragraph" w:styleId="List">
    <w:name w:val="List"/>
    <w:basedOn w:val="Telotextu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Pe4ta">
    <w:name w:val="Päe4ta"/>
    <w:basedOn w:val="Normal"/>
    <w:uiPriority w:val="99"/>
    <w:pPr>
      <w:widowControl/>
      <w:tabs>
        <w:tab w:val="center" w:pos="4536"/>
        <w:tab w:val="right" w:pos="9072"/>
      </w:tabs>
      <w:jc w:val="left"/>
    </w:pPr>
    <w:rPr>
      <w:kern w:val="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Pr>
      <w:rFonts w:ascii="Times New Roman" w:eastAsia="Times New Roman" w:hAnsi="Liberation Serif"/>
      <w:kern w:val="1"/>
      <w:sz w:val="20"/>
    </w:rPr>
  </w:style>
  <w:style w:type="paragraph" w:customStyle="1" w:styleId="Hlavie8ka">
    <w:name w:val="Hlaviče8ka"/>
    <w:basedOn w:val="Normal"/>
    <w:uiPriority w:val="99"/>
    <w:pPr>
      <w:tabs>
        <w:tab w:val="center" w:pos="4536"/>
        <w:tab w:val="right" w:pos="9072"/>
      </w:tabs>
      <w:jc w:val="left"/>
    </w:pPr>
    <w:rPr>
      <w:kern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  <w:jc w:val="left"/>
    </w:pPr>
    <w:rPr>
      <w:kern w:val="0"/>
    </w:rPr>
  </w:style>
  <w:style w:type="character" w:customStyle="1" w:styleId="apple-converted-space">
    <w:name w:val="apple-converted-space"/>
    <w:basedOn w:val="DefaultParagraphFont"/>
    <w:rsid w:val="004C53F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306</Words>
  <Characters>1573</Characters>
  <Application>Microsoft Office Word</Application>
  <DocSecurity>0</DocSecurity>
  <Lines>0</Lines>
  <Paragraphs>0</Paragraphs>
  <ScaleCrop>false</ScaleCrop>
  <Company>Kancelaria NR SR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galinata</cp:lastModifiedBy>
  <cp:revision>2</cp:revision>
  <cp:lastPrinted>2017-01-25T15:46:00Z</cp:lastPrinted>
  <dcterms:created xsi:type="dcterms:W3CDTF">2017-01-25T15:46:00Z</dcterms:created>
  <dcterms:modified xsi:type="dcterms:W3CDTF">2017-01-25T15:46:00Z</dcterms:modified>
</cp:coreProperties>
</file>