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52807">
        <w:rPr>
          <w:sz w:val="22"/>
          <w:szCs w:val="22"/>
        </w:rPr>
        <w:t>89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52807">
        <w:t>397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5280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A52807">
        <w:rPr>
          <w:rFonts w:cs="Arial"/>
          <w:szCs w:val="22"/>
        </w:rPr>
        <w:t>ústavný zákon č. 493/2011 Z. z. o rozpočtovej zodpovednosti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30CE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30CE1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A52807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30CE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A52807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430CE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0CE1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52807"/>
    <w:rsid w:val="00AA3DED"/>
    <w:rsid w:val="00AB4082"/>
    <w:rsid w:val="00B20ACA"/>
    <w:rsid w:val="00B7263F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071EE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2017-01-17T11:47:00Z</cp:lastPrinted>
  <dcterms:created xsi:type="dcterms:W3CDTF">2017-01-18T10:21:00Z</dcterms:created>
  <dcterms:modified xsi:type="dcterms:W3CDTF">2017-01-18T10:21:00Z</dcterms:modified>
</cp:coreProperties>
</file>