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806D2">
        <w:rPr>
          <w:sz w:val="22"/>
          <w:szCs w:val="22"/>
        </w:rPr>
        <w:t>72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806D2">
        <w:t>388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806D2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4806D2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806D2">
        <w:rPr>
          <w:rFonts w:cs="Arial"/>
          <w:szCs w:val="22"/>
        </w:rPr>
        <w:t>Mariana KOTLEBU, Rastislava SCHLOSÁRA, Jána KECSKÉSA, Natálie GRAUSOVEJ a Jany NEHÉZOVEJ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4806D2">
        <w:rPr>
          <w:rFonts w:cs="Arial"/>
          <w:szCs w:val="22"/>
        </w:rPr>
        <w:t>zákon č. 355/2007 Z. z. o ochrane, podpore a rozvoji verejného zdravia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806D2">
        <w:rPr>
          <w:rFonts w:cs="Arial"/>
          <w:szCs w:val="22"/>
        </w:rPr>
        <w:t>371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806D2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F16C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F16CB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F16CB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4806D2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F16C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4806D2">
        <w:rPr>
          <w:rFonts w:ascii="Arial" w:hAnsi="Arial" w:cs="Arial"/>
          <w:b/>
          <w:bCs/>
          <w:sz w:val="22"/>
          <w:u w:val="single"/>
        </w:rPr>
        <w:t>do 17. marca 2017</w:t>
      </w:r>
      <w:r w:rsidR="004806D2">
        <w:rPr>
          <w:rFonts w:ascii="Arial" w:hAnsi="Arial" w:cs="Arial"/>
          <w:sz w:val="22"/>
        </w:rPr>
        <w:t xml:space="preserve"> a v gestorskom výbore </w:t>
      </w:r>
      <w:r w:rsidR="004806D2">
        <w:rPr>
          <w:rFonts w:ascii="Arial" w:hAnsi="Arial" w:cs="Arial"/>
          <w:b/>
          <w:bCs/>
          <w:sz w:val="22"/>
          <w:u w:val="single"/>
        </w:rPr>
        <w:t>do 20. marca 2017</w:t>
      </w:r>
      <w:r w:rsidR="004806D2">
        <w:rPr>
          <w:rFonts w:ascii="Arial" w:hAnsi="Arial" w:cs="Arial"/>
          <w:sz w:val="22"/>
        </w:rPr>
        <w:t>.</w:t>
      </w:r>
    </w:p>
    <w:p w:rsidR="004806D2" w:rsidP="004806D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0F16CB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0F16CB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06D2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816BB"/>
    <w:rsid w:val="007A051C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2017-01-16T10:19:00Z</cp:lastPrinted>
  <dcterms:created xsi:type="dcterms:W3CDTF">2017-01-18T10:18:00Z</dcterms:created>
  <dcterms:modified xsi:type="dcterms:W3CDTF">2017-01-18T10:18:00Z</dcterms:modified>
</cp:coreProperties>
</file>