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9B3727" w:rsidR="009B3727">
        <w:rPr>
          <w:rFonts w:hint="default"/>
        </w:rPr>
        <w:t>ktorý</w:t>
      </w:r>
      <w:r w:rsidRPr="009B3727" w:rsidR="009B3727">
        <w:rPr>
          <w:rFonts w:hint="default"/>
        </w:rPr>
        <w:t>m sa mení</w:t>
      </w:r>
      <w:r w:rsidRPr="009B3727" w:rsidR="009B3727">
        <w:rPr>
          <w:rFonts w:hint="default"/>
        </w:rPr>
        <w:t xml:space="preserve"> a dopĺň</w:t>
      </w:r>
      <w:r w:rsidRPr="009B3727" w:rsidR="009B3727">
        <w:rPr>
          <w:rFonts w:hint="default"/>
        </w:rPr>
        <w:t>a zá</w:t>
      </w:r>
      <w:r w:rsidRPr="009B3727" w:rsidR="009B3727">
        <w:rPr>
          <w:rFonts w:hint="default"/>
        </w:rPr>
        <w:t>kon č</w:t>
      </w:r>
      <w:r w:rsidRPr="009B3727" w:rsidR="009B3727">
        <w:rPr>
          <w:rFonts w:hint="default"/>
        </w:rPr>
        <w:t>. 50/1976 Zb. o ú</w:t>
      </w:r>
      <w:r w:rsidRPr="009B3727" w:rsidR="009B3727">
        <w:rPr>
          <w:rFonts w:hint="default"/>
        </w:rPr>
        <w:t>zemnom plá</w:t>
      </w:r>
      <w:r w:rsidRPr="009B3727" w:rsidR="009B3727">
        <w:rPr>
          <w:rFonts w:hint="default"/>
        </w:rPr>
        <w:t>novaní</w:t>
      </w:r>
      <w:r w:rsidRPr="009B3727" w:rsidR="009B3727">
        <w:rPr>
          <w:rFonts w:hint="default"/>
        </w:rPr>
        <w:t xml:space="preserve"> a stavebnom poriadku (stavebný</w:t>
      </w:r>
      <w:r w:rsidRPr="009B3727" w:rsidR="009B3727">
        <w:rPr>
          <w:rFonts w:hint="default"/>
        </w:rPr>
        <w:t xml:space="preserve"> zá</w:t>
      </w:r>
      <w:r w:rsidRPr="009B3727" w:rsidR="009B3727">
        <w:rPr>
          <w:rFonts w:hint="default"/>
        </w:rPr>
        <w:t>kon) v znení</w:t>
      </w:r>
      <w:r w:rsidRPr="009B3727" w:rsidR="009B3727">
        <w:rPr>
          <w:rFonts w:hint="default"/>
        </w:rPr>
        <w:t xml:space="preserve"> neskorší</w:t>
      </w:r>
      <w:r w:rsidRPr="009B3727" w:rsidR="009B3727">
        <w:rPr>
          <w:rFonts w:hint="default"/>
        </w:rPr>
        <w:t>ch predpisov</w:t>
      </w:r>
      <w:r w:rsidR="009B3727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9B3727" w:rsidP="0020104E">
      <w:pPr>
        <w:tabs>
          <w:tab w:val="num" w:pos="0"/>
        </w:tabs>
        <w:bidi w:val="0"/>
        <w:jc w:val="both"/>
        <w:rPr>
          <w:rFonts w:hint="default"/>
        </w:rPr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>
        <w:rPr>
          <w:rFonts w:hint="default"/>
        </w:rPr>
        <w:t>zá</w:t>
      </w:r>
      <w:r>
        <w:rPr>
          <w:rFonts w:hint="default"/>
        </w:rPr>
        <w:t>kon č</w:t>
      </w:r>
      <w:r w:rsidRPr="009B3727">
        <w:rPr>
          <w:rFonts w:hint="default"/>
        </w:rPr>
        <w:t>. 50/1976 Zb. o ú</w:t>
      </w:r>
      <w:r w:rsidRPr="009B3727">
        <w:rPr>
          <w:rFonts w:hint="default"/>
        </w:rPr>
        <w:t>zemnom plá</w:t>
      </w:r>
      <w:r w:rsidRPr="009B3727">
        <w:rPr>
          <w:rFonts w:hint="default"/>
        </w:rPr>
        <w:t>novaní</w:t>
      </w:r>
      <w:r w:rsidRPr="009B3727">
        <w:rPr>
          <w:rFonts w:hint="default"/>
        </w:rPr>
        <w:t xml:space="preserve"> a stavebnom poriadku (stavebný</w:t>
      </w:r>
      <w:r w:rsidRPr="009B3727">
        <w:rPr>
          <w:rFonts w:hint="default"/>
        </w:rPr>
        <w:t xml:space="preserve"> zá</w:t>
      </w:r>
      <w:r w:rsidRPr="009B3727">
        <w:rPr>
          <w:rFonts w:hint="default"/>
        </w:rPr>
        <w:t>kon) v znení</w:t>
      </w:r>
      <w:r w:rsidRPr="009B3727">
        <w:rPr>
          <w:rFonts w:hint="default"/>
        </w:rPr>
        <w:t xml:space="preserve"> neskorší</w:t>
      </w:r>
      <w:r w:rsidRPr="009B3727">
        <w:rPr>
          <w:rFonts w:hint="default"/>
        </w:rPr>
        <w:t>ch predpisov</w:t>
      </w:r>
      <w:r>
        <w:rPr>
          <w:rFonts w:hint="default"/>
        </w:rPr>
        <w:t xml:space="preserve"> stanovuje vyšší</w:t>
      </w:r>
      <w:r>
        <w:rPr>
          <w:rFonts w:hint="default"/>
        </w:rPr>
        <w:t xml:space="preserve">m </w:t>
      </w:r>
      <w:r>
        <w:rPr>
          <w:rFonts w:hint="default"/>
        </w:rPr>
        <w:t>ú</w:t>
      </w:r>
      <w:r>
        <w:rPr>
          <w:rFonts w:hint="default"/>
        </w:rPr>
        <w:t>zemný</w:t>
      </w:r>
      <w:r>
        <w:rPr>
          <w:rFonts w:hint="default"/>
        </w:rPr>
        <w:t>m celkom vý</w:t>
      </w:r>
      <w:r>
        <w:rPr>
          <w:rFonts w:hint="default"/>
        </w:rPr>
        <w:t>znamné</w:t>
      </w:r>
      <w:r>
        <w:rPr>
          <w:rFonts w:hint="default"/>
        </w:rPr>
        <w:t xml:space="preserve"> kompetencie, je z </w:t>
      </w:r>
      <w:r>
        <w:rPr>
          <w:rFonts w:hint="default"/>
        </w:rPr>
        <w:t>legislatí</w:t>
      </w:r>
      <w:r>
        <w:rPr>
          <w:rFonts w:hint="default"/>
        </w:rPr>
        <w:t>vneho hľ</w:t>
      </w:r>
      <w:r>
        <w:rPr>
          <w:rFonts w:hint="default"/>
        </w:rPr>
        <w:t>adiska potrebné</w:t>
      </w:r>
      <w:r>
        <w:rPr>
          <w:rFonts w:hint="default"/>
        </w:rPr>
        <w:t xml:space="preserve"> tento zá</w:t>
      </w:r>
      <w:r>
        <w:rPr>
          <w:rFonts w:hint="default"/>
        </w:rPr>
        <w:t>kon novelizovať</w:t>
      </w:r>
      <w:r>
        <w:rPr>
          <w:rFonts w:hint="default"/>
        </w:rPr>
        <w:t xml:space="preserve"> tak, aby tieto kompetencie preš</w:t>
      </w:r>
      <w:r>
        <w:rPr>
          <w:rFonts w:hint="default"/>
        </w:rPr>
        <w:t>li na okresné</w:t>
      </w:r>
      <w:r>
        <w:rPr>
          <w:rFonts w:hint="default"/>
        </w:rPr>
        <w:t xml:space="preserve"> ú</w:t>
      </w:r>
      <w:r>
        <w:rPr>
          <w:rFonts w:hint="default"/>
        </w:rPr>
        <w:t>rady v </w:t>
      </w:r>
      <w:r>
        <w:rPr>
          <w:rFonts w:hint="default"/>
        </w:rPr>
        <w:t>sí</w:t>
      </w:r>
      <w:r>
        <w:rPr>
          <w:rFonts w:hint="default"/>
        </w:rPr>
        <w:t>dle kraja. Ich prenesenie priamo na obec a </w:t>
      </w:r>
      <w:r>
        <w:rPr>
          <w:rFonts w:hint="default"/>
        </w:rPr>
        <w:t>mestá</w:t>
      </w:r>
      <w:r>
        <w:rPr>
          <w:rFonts w:hint="default"/>
        </w:rPr>
        <w:t xml:space="preserve"> nie je mož</w:t>
      </w:r>
      <w:r>
        <w:rPr>
          <w:rFonts w:hint="default"/>
        </w:rPr>
        <w:t>né</w:t>
      </w:r>
      <w:r>
        <w:rPr>
          <w:rFonts w:hint="default"/>
        </w:rPr>
        <w:t xml:space="preserve"> vzhľ</w:t>
      </w:r>
      <w:r>
        <w:rPr>
          <w:rFonts w:hint="default"/>
        </w:rPr>
        <w:t>adom na systematiku stavebné</w:t>
      </w:r>
      <w:r>
        <w:rPr>
          <w:rFonts w:hint="default"/>
        </w:rPr>
        <w:t>ho zá</w:t>
      </w:r>
      <w:r>
        <w:rPr>
          <w:rFonts w:hint="default"/>
        </w:rPr>
        <w:t>ko</w:t>
      </w:r>
      <w:r>
        <w:rPr>
          <w:rFonts w:hint="default"/>
        </w:rPr>
        <w:t>n</w:t>
      </w:r>
      <w:r>
        <w:rPr>
          <w:rFonts w:hint="default"/>
        </w:rPr>
        <w:t>a (napr. mesto v </w:t>
      </w:r>
      <w:r>
        <w:rPr>
          <w:rFonts w:hint="default"/>
        </w:rPr>
        <w:t>sí</w:t>
      </w:r>
      <w:r>
        <w:rPr>
          <w:rFonts w:hint="default"/>
        </w:rPr>
        <w:t>dle kraja nemôž</w:t>
      </w:r>
      <w:r>
        <w:rPr>
          <w:rFonts w:hint="default"/>
        </w:rPr>
        <w:t>e schvaľ</w:t>
      </w:r>
      <w:r>
        <w:rPr>
          <w:rFonts w:hint="default"/>
        </w:rPr>
        <w:t>ovať</w:t>
      </w:r>
      <w:r>
        <w:rPr>
          <w:rFonts w:hint="default"/>
        </w:rPr>
        <w:t xml:space="preserve"> aj svoj vlastný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plá</w:t>
      </w:r>
      <w:r>
        <w:rPr>
          <w:rFonts w:hint="default"/>
        </w:rPr>
        <w:t>n, aj ú</w:t>
      </w:r>
      <w:r>
        <w:rPr>
          <w:rFonts w:hint="default"/>
        </w:rPr>
        <w:t>zemný</w:t>
      </w:r>
      <w:r>
        <w:rPr>
          <w:rFonts w:hint="default"/>
        </w:rPr>
        <w:t xml:space="preserve"> plá</w:t>
      </w:r>
      <w:r>
        <w:rPr>
          <w:rFonts w:hint="default"/>
        </w:rPr>
        <w:t>n regió</w:t>
      </w:r>
      <w:r>
        <w:rPr>
          <w:rFonts w:hint="default"/>
        </w:rPr>
        <w:t>nu).</w:t>
      </w:r>
    </w:p>
    <w:p w:rsidR="0020104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</w:t>
      </w:r>
      <w:r>
        <w:rPr>
          <w:rFonts w:hint="default"/>
        </w:rPr>
        <w:t xml:space="preserve"> </w:t>
      </w:r>
      <w:r>
        <w:rPr>
          <w:rFonts w:hint="default"/>
        </w:rPr>
        <w:t>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</w:t>
      </w:r>
      <w:r>
        <w:rPr>
          <w:rFonts w:hint="default"/>
        </w:rPr>
        <w:t>i</w:t>
      </w:r>
      <w:r>
        <w:rPr>
          <w:rFonts w:hint="default"/>
        </w:rPr>
        <w:t>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</w:t>
      </w:r>
      <w:r>
        <w:rPr>
          <w:rFonts w:hint="default"/>
        </w:rPr>
        <w:t>o</w:t>
      </w:r>
      <w:r>
        <w:rPr>
          <w:rFonts w:hint="default"/>
        </w:rPr>
        <w:t>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</w:t>
      </w:r>
      <w:r w:rsidR="00963DE5">
        <w:rPr>
          <w:rFonts w:hint="default"/>
        </w:rPr>
        <w:t xml:space="preserve">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9B3727">
        <w:rPr>
          <w:rFonts w:hint="default"/>
        </w:rPr>
        <w:t>stavebný</w:t>
      </w:r>
      <w:r w:rsidR="009B3727">
        <w:rPr>
          <w:rFonts w:hint="default"/>
        </w:rPr>
        <w:t xml:space="preserve"> </w:t>
      </w:r>
      <w:r w:rsidRPr="006E0E75" w:rsidR="006E0E75">
        <w:rPr>
          <w:rFonts w:hint="default"/>
        </w:rPr>
        <w:t>zá</w:t>
      </w:r>
      <w:r w:rsidRPr="006E0E75" w:rsidR="006E0E75">
        <w:rPr>
          <w:rFonts w:hint="default"/>
        </w:rPr>
        <w:t xml:space="preserve">kon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</w:t>
      </w:r>
      <w:r>
        <w:rPr>
          <w:rFonts w:hint="default"/>
        </w:rPr>
        <w:t>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9B3727">
        <w:rPr>
          <w:rFonts w:hint="default"/>
          <w:b/>
        </w:rPr>
        <w:t>1 až</w:t>
      </w:r>
      <w:r w:rsidR="009B3727">
        <w:rPr>
          <w:rFonts w:hint="default"/>
          <w:b/>
        </w:rPr>
        <w:t xml:space="preserve"> 8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zá</w:t>
      </w:r>
      <w:r w:rsidR="006E0E75">
        <w:rPr>
          <w:rFonts w:hint="default"/>
        </w:rPr>
        <w:t>kona</w:t>
      </w:r>
      <w:r w:rsidR="009B3727">
        <w:t xml:space="preserve"> a k </w:t>
      </w:r>
      <w:r w:rsidR="009B3727">
        <w:rPr>
          <w:rFonts w:hint="default"/>
        </w:rPr>
        <w:t>ich nahradeniu okresný</w:t>
      </w:r>
      <w:r w:rsidR="009B3727">
        <w:rPr>
          <w:rFonts w:hint="default"/>
        </w:rPr>
        <w:t>mi ú</w:t>
      </w:r>
      <w:r w:rsidR="009B3727">
        <w:rPr>
          <w:rFonts w:hint="default"/>
        </w:rPr>
        <w:t>radmi v </w:t>
      </w:r>
      <w:r w:rsidR="009B3727">
        <w:rPr>
          <w:rFonts w:hint="default"/>
        </w:rPr>
        <w:t>sí</w:t>
      </w:r>
      <w:r w:rsidR="009B3727">
        <w:rPr>
          <w:rFonts w:hint="default"/>
        </w:rPr>
        <w:t xml:space="preserve">dle kraja, </w:t>
      </w:r>
      <w:r>
        <w:rPr>
          <w:rFonts w:hint="default"/>
        </w:rPr>
        <w:t>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 xml:space="preserve">ch </w:t>
      </w:r>
      <w:r w:rsidR="009B3727">
        <w:t>smeroch k </w:t>
      </w:r>
      <w:r w:rsidR="009B3727">
        <w:rPr>
          <w:rFonts w:hint="default"/>
        </w:rPr>
        <w:t>zmená</w:t>
      </w:r>
      <w:r w:rsidR="009B3727">
        <w:rPr>
          <w:rFonts w:hint="default"/>
        </w:rPr>
        <w:t>m nedochá</w:t>
      </w:r>
      <w:r w:rsidR="009B3727">
        <w:rPr>
          <w:rFonts w:hint="default"/>
        </w:rPr>
        <w:t>dza.</w:t>
      </w:r>
    </w:p>
    <w:p w:rsidR="009B3727" w:rsidP="00EE7B57">
      <w:pPr>
        <w:bidi w:val="0"/>
        <w:jc w:val="both"/>
      </w:pPr>
    </w:p>
    <w:p w:rsidR="009B3727" w:rsidRPr="00086589" w:rsidP="00EE7B57">
      <w:pPr>
        <w:bidi w:val="0"/>
        <w:jc w:val="both"/>
        <w:rPr>
          <w:b/>
        </w:rPr>
      </w:pPr>
      <w:r w:rsidRPr="00086589">
        <w:rPr>
          <w:b/>
        </w:rPr>
        <w:t>K bodu 9</w:t>
      </w:r>
    </w:p>
    <w:p w:rsidR="009B3727" w:rsidP="00EE7B57">
      <w:pPr>
        <w:bidi w:val="0"/>
        <w:jc w:val="both"/>
      </w:pPr>
    </w:p>
    <w:p w:rsidR="009B3727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mi ustanoveniami sa zabezpeč</w:t>
      </w:r>
      <w:r>
        <w:rPr>
          <w:rFonts w:hint="default"/>
        </w:rPr>
        <w:t>uje plynulý</w:t>
      </w:r>
      <w:r>
        <w:rPr>
          <w:rFonts w:hint="default"/>
        </w:rPr>
        <w:t xml:space="preserve"> prechod kom</w:t>
      </w:r>
      <w:r>
        <w:rPr>
          <w:rFonts w:hint="default"/>
        </w:rPr>
        <w:t>petencií</w:t>
      </w:r>
      <w:r>
        <w:rPr>
          <w:rFonts w:hint="default"/>
        </w:rPr>
        <w:t xml:space="preserve"> samosprá</w:t>
      </w:r>
      <w:r>
        <w:rPr>
          <w:rFonts w:hint="default"/>
        </w:rPr>
        <w:t>vnych krajov v </w:t>
      </w:r>
      <w:r>
        <w:rPr>
          <w:rFonts w:hint="default"/>
        </w:rPr>
        <w:t>oblasti stavebné</w:t>
      </w:r>
      <w:r>
        <w:rPr>
          <w:rFonts w:hint="default"/>
        </w:rPr>
        <w:t>ho zá</w:t>
      </w:r>
      <w:r>
        <w:rPr>
          <w:rFonts w:hint="default"/>
        </w:rPr>
        <w:t>kona na okresné</w:t>
      </w:r>
      <w:r>
        <w:rPr>
          <w:rFonts w:hint="default"/>
        </w:rPr>
        <w:t xml:space="preserve"> ú</w:t>
      </w:r>
      <w:r>
        <w:rPr>
          <w:rFonts w:hint="default"/>
        </w:rPr>
        <w:t>rady v </w:t>
      </w:r>
      <w:r>
        <w:rPr>
          <w:rFonts w:hint="default"/>
        </w:rPr>
        <w:t>sí</w:t>
      </w:r>
      <w:r>
        <w:rPr>
          <w:rFonts w:hint="default"/>
        </w:rPr>
        <w:t>dle krajov.</w:t>
      </w:r>
    </w:p>
    <w:p w:rsidR="00847A8E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D03CB8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</w:t>
      </w:r>
      <w:r w:rsidR="00694886">
        <w:rPr>
          <w:rFonts w:hint="default"/>
        </w:rPr>
        <w:t xml:space="preserve">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0B91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356EE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2EEF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3CB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55C91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23E4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A7DDE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D7959-AABC-45F8-A136-7DDBE239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525</Words>
  <Characters>2999</Characters>
  <Application>Microsoft Office Word</Application>
  <DocSecurity>0</DocSecurity>
  <Lines>0</Lines>
  <Paragraphs>0</Paragraphs>
  <ScaleCrop>false</ScaleCrop>
  <Company>HP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2017-01-13T15:13:00Z</dcterms:created>
  <dcterms:modified xsi:type="dcterms:W3CDTF">2017-01-13T15:15:00Z</dcterms:modified>
</cp:coreProperties>
</file>