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AE" w:rsidRPr="000922BE" w:rsidP="002A640E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 w:rsidRPr="000922BE" w:rsidR="003F61DE">
        <w:rPr>
          <w:rFonts w:ascii="Times New Roman" w:hAnsi="Times New Roman" w:cs="Times New Roman"/>
          <w:sz w:val="28"/>
          <w:szCs w:val="28"/>
          <w:u w:val="none"/>
        </w:rPr>
        <w:t>N</w:t>
      </w:r>
      <w:r w:rsidRPr="000922BE">
        <w:rPr>
          <w:rFonts w:ascii="Times New Roman" w:hAnsi="Times New Roman" w:cs="Times New Roman"/>
          <w:sz w:val="28"/>
          <w:szCs w:val="28"/>
          <w:u w:val="none"/>
        </w:rPr>
        <w:t>ÁRODNÁ</w:t>
      </w:r>
      <w:r w:rsidRPr="000922BE"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0922BE">
        <w:rPr>
          <w:rFonts w:ascii="Times New Roman" w:hAnsi="Times New Roman" w:cs="Times New Roman"/>
          <w:sz w:val="28"/>
          <w:szCs w:val="28"/>
          <w:u w:val="none"/>
        </w:rPr>
        <w:t>RADA</w:t>
      </w:r>
      <w:r w:rsidRPr="000922BE"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0922BE">
        <w:rPr>
          <w:rFonts w:ascii="Times New Roman" w:hAnsi="Times New Roman" w:cs="Times New Roman"/>
          <w:sz w:val="28"/>
          <w:szCs w:val="28"/>
          <w:u w:val="none"/>
        </w:rPr>
        <w:t>SLOVENSKEJ</w:t>
      </w:r>
      <w:r w:rsidRPr="000922BE"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0922BE">
        <w:rPr>
          <w:rFonts w:ascii="Times New Roman" w:hAnsi="Times New Roman" w:cs="Times New Roman"/>
          <w:sz w:val="28"/>
          <w:szCs w:val="28"/>
          <w:u w:val="none"/>
        </w:rPr>
        <w:t>REPUBLIKY</w:t>
      </w:r>
    </w:p>
    <w:p w:rsidR="00FC14AE" w:rsidRPr="000922B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RPr="000922B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922BE">
        <w:rPr>
          <w:rFonts w:ascii="Times New Roman" w:hAnsi="Times New Roman"/>
          <w:b/>
          <w:bCs/>
          <w:sz w:val="26"/>
          <w:szCs w:val="26"/>
        </w:rPr>
        <w:t>V</w:t>
      </w:r>
      <w:r w:rsidR="00F37D2C">
        <w:rPr>
          <w:rFonts w:ascii="Times New Roman" w:hAnsi="Times New Roman"/>
          <w:b/>
          <w:bCs/>
          <w:sz w:val="26"/>
          <w:szCs w:val="26"/>
        </w:rPr>
        <w:t>I</w:t>
      </w:r>
      <w:r w:rsidRPr="000922BE" w:rsidR="003738EB">
        <w:rPr>
          <w:rFonts w:ascii="Times New Roman" w:hAnsi="Times New Roman"/>
          <w:b/>
          <w:bCs/>
          <w:sz w:val="26"/>
          <w:szCs w:val="26"/>
        </w:rPr>
        <w:t>I</w:t>
      </w:r>
      <w:r w:rsidRPr="000922BE"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RPr="000922B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RPr="000922B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22BE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RPr="000922B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22BE">
        <w:rPr>
          <w:rFonts w:ascii="Times New Roman" w:hAnsi="Times New Roman"/>
          <w:b/>
          <w:bCs/>
          <w:sz w:val="28"/>
          <w:szCs w:val="28"/>
        </w:rPr>
        <w:t>z ................. 20</w:t>
      </w:r>
      <w:r w:rsidRPr="000922BE" w:rsidR="002B6F82">
        <w:rPr>
          <w:rFonts w:ascii="Times New Roman" w:hAnsi="Times New Roman"/>
          <w:b/>
          <w:bCs/>
          <w:sz w:val="28"/>
          <w:szCs w:val="28"/>
        </w:rPr>
        <w:t>1</w:t>
      </w:r>
      <w:r w:rsidR="00185CD3">
        <w:rPr>
          <w:rFonts w:ascii="Times New Roman" w:hAnsi="Times New Roman"/>
          <w:b/>
          <w:bCs/>
          <w:sz w:val="28"/>
          <w:szCs w:val="28"/>
        </w:rPr>
        <w:t>7</w:t>
      </w:r>
      <w:r w:rsidRPr="000922BE">
        <w:rPr>
          <w:rFonts w:ascii="Times New Roman" w:hAnsi="Times New Roman"/>
          <w:b/>
          <w:bCs/>
          <w:sz w:val="28"/>
          <w:szCs w:val="28"/>
        </w:rPr>
        <w:t>,</w:t>
      </w:r>
    </w:p>
    <w:p w:rsidR="000922B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31DF8" w:rsidR="00431DF8">
        <w:rPr>
          <w:rFonts w:ascii="Times New Roman" w:hAnsi="Times New Roman"/>
          <w:b/>
          <w:bCs/>
          <w:sz w:val="28"/>
          <w:szCs w:val="28"/>
        </w:rPr>
        <w:t>ktorým sa dopĺňa zákon Národnej rady Slovenskej republiky č. 171/1993 Z. z. o Policajnom zbore  v znení neskorších prepisov</w:t>
      </w:r>
    </w:p>
    <w:p w:rsidR="00431DF8" w:rsidRPr="000922BE" w:rsidP="001E1F77">
      <w:pPr>
        <w:bidi w:val="0"/>
        <w:jc w:val="center"/>
        <w:rPr>
          <w:rFonts w:ascii="Times New Roman" w:hAnsi="Times New Roman"/>
        </w:rPr>
      </w:pPr>
    </w:p>
    <w:p w:rsidR="00FC14AE" w:rsidRPr="000922BE" w:rsidP="001E1F77">
      <w:pPr>
        <w:bidi w:val="0"/>
        <w:jc w:val="center"/>
        <w:rPr>
          <w:rFonts w:ascii="Times New Roman" w:hAnsi="Times New Roman"/>
        </w:rPr>
      </w:pPr>
      <w:r w:rsidRPr="000922BE">
        <w:rPr>
          <w:rFonts w:ascii="Times New Roman" w:hAnsi="Times New Roman"/>
        </w:rPr>
        <w:t>Národná rada Slovenskej republiky sa uzniesla na tomto zákone:</w:t>
      </w:r>
    </w:p>
    <w:p w:rsidR="00FC14AE" w:rsidRPr="000922BE" w:rsidP="001E1F77">
      <w:pPr>
        <w:bidi w:val="0"/>
        <w:jc w:val="both"/>
        <w:rPr>
          <w:rFonts w:ascii="Times New Roman" w:hAnsi="Times New Roman"/>
        </w:rPr>
      </w:pPr>
    </w:p>
    <w:p w:rsidR="00675E8E" w:rsidRPr="000922BE" w:rsidP="00675E8E">
      <w:pPr>
        <w:bidi w:val="0"/>
        <w:jc w:val="center"/>
        <w:rPr>
          <w:rFonts w:ascii="Times New Roman" w:hAnsi="Times New Roman"/>
          <w:b/>
          <w:bCs/>
        </w:rPr>
      </w:pPr>
      <w:r w:rsidRPr="000922BE">
        <w:rPr>
          <w:rFonts w:ascii="Times New Roman" w:hAnsi="Times New Roman"/>
          <w:b/>
          <w:bCs/>
        </w:rPr>
        <w:t>Čl. I</w:t>
      </w:r>
    </w:p>
    <w:p w:rsidR="00675E8E" w:rsidRPr="000922BE" w:rsidP="00675E8E">
      <w:pPr>
        <w:bidi w:val="0"/>
        <w:rPr>
          <w:rFonts w:ascii="Times New Roman" w:hAnsi="Times New Roman"/>
        </w:rPr>
      </w:pPr>
    </w:p>
    <w:p w:rsidR="00431DF8" w:rsidRPr="00B71F1B" w:rsidP="000922BE">
      <w:pPr>
        <w:bidi w:val="0"/>
        <w:jc w:val="both"/>
        <w:rPr>
          <w:rFonts w:ascii="Times New Roman" w:hAnsi="Times New Roman"/>
        </w:rPr>
      </w:pPr>
      <w:r w:rsidRPr="00431DF8">
        <w:rPr>
          <w:rFonts w:ascii="Times New Roman" w:hAnsi="Times New Roman"/>
        </w:rPr>
        <w:t>Zákon Národnej rady Slovenskej republiky č. 171/1993 Z. z. o Policajnom zbore v znení zákona Národnej rady Slovenskej republiky č. 251/1994 Z. z., zákona Národnej rady Slovenskej republiky č. 233/1995 Z. z., zákona Národnej rady Slovenskej republiky č. 315/1996 Z. z., zákona č. 353/1997 Z. z., zákona č. 12/1998 Z. z., zákona č. 73/1998 Z. z., zákona č. 256/1998 Z. z., zákona č. 116/2000 Z. z., zákona č. 323/2000 Z. z., zákona č. 367/2000 Z. z., zákona č. 490/2001 Z. z., zákona č. 48/2002 Z. z., zákona č. 182/2002 Z. z., zákona č. 422/2002 Z. z., zákona č. 155/2003 Z. z., zákona č. 166/2003 Z. z., zákona č. 458/2003 Z. z., zákona č. 537/2004 Z. z., zákona č. 69/2005 Z. z., zákona č. 534/2005 Z. z., zákona č. 558/2005 Z. z., zákona č. 255/2006 Z. z., zákona č. 25/2007 Z. z., zákona č. 247/2007 Z. z., zákona č. 342/2007 Z. z., zákona č. 86/2008 Z. z., zákona č. 297/2008 Z. z., zákona č. 491/2008 Z. z., zákona č. 214/2009 Z. z., nálezu Ústavného súdu Slovenskej republiky č. 290/2009 Z. z., zákona č. 291/2009 Z. z., zákona č. 495/2009 Z. z., zákona č. 594/2009 Z. z., zákona č. 547/2010 Z. z., zákona č. 192/2011 Z. z., zákona č. 345/2012 Z. z., zákona č. 75/2013 Z. z., zákona č. 307/2014 Z. z., nálezu Ústavného súdu Slovenskej republiky č. 139/2015 Z.</w:t>
      </w:r>
      <w:r>
        <w:rPr>
          <w:rFonts w:ascii="Times New Roman" w:hAnsi="Times New Roman"/>
        </w:rPr>
        <w:t xml:space="preserve"> z., zákona č. 397/2015 Z. z., </w:t>
      </w:r>
      <w:r w:rsidRPr="00431DF8">
        <w:rPr>
          <w:rFonts w:ascii="Times New Roman" w:hAnsi="Times New Roman"/>
        </w:rPr>
        <w:t xml:space="preserve">zákona č. 444/2015 Z. z. </w:t>
      </w:r>
      <w:r>
        <w:rPr>
          <w:rFonts w:ascii="Times New Roman" w:hAnsi="Times New Roman"/>
        </w:rPr>
        <w:t xml:space="preserve">a zákona č. 125/2016 Z. z. </w:t>
      </w:r>
      <w:r w:rsidRPr="00431DF8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dopĺňa</w:t>
      </w:r>
      <w:r w:rsidRPr="00431DF8">
        <w:rPr>
          <w:rFonts w:ascii="Times New Roman" w:hAnsi="Times New Roman"/>
        </w:rPr>
        <w:t xml:space="preserve"> takto</w:t>
      </w:r>
      <w:r>
        <w:rPr>
          <w:rFonts w:ascii="Times New Roman" w:hAnsi="Times New Roman"/>
        </w:rPr>
        <w:t>:</w:t>
      </w:r>
    </w:p>
    <w:p w:rsidR="00431DF8" w:rsidRPr="00B71F1B" w:rsidP="000922BE">
      <w:pPr>
        <w:bidi w:val="0"/>
        <w:jc w:val="both"/>
        <w:rPr>
          <w:rFonts w:ascii="Times New Roman" w:hAnsi="Times New Roman"/>
        </w:rPr>
      </w:pPr>
    </w:p>
    <w:p w:rsidR="000046D2" w:rsidRPr="00B71F1B" w:rsidP="00431DF8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B71F1B">
        <w:rPr>
          <w:rFonts w:ascii="Times New Roman" w:hAnsi="Times New Roman"/>
        </w:rPr>
        <w:t>V § 42 sa dopĺňa ods. 3, ktorý znie:</w:t>
      </w:r>
    </w:p>
    <w:p w:rsidR="000046D2" w:rsidRPr="00B71F1B" w:rsidP="000046D2">
      <w:pPr>
        <w:bidi w:val="0"/>
        <w:ind w:left="720"/>
        <w:jc w:val="both"/>
        <w:rPr>
          <w:rFonts w:ascii="Times New Roman" w:hAnsi="Times New Roman"/>
        </w:rPr>
      </w:pPr>
      <w:r w:rsidRPr="00B71F1B">
        <w:rPr>
          <w:rFonts w:ascii="Times New Roman" w:hAnsi="Times New Roman"/>
        </w:rPr>
        <w:t>„(3) Osoba podľa odseku 1 a 2 nesmie byť umiestnená do uzavretých priestorov, ktoré nemajú primerané vybavenie, najmä nemajú priame osvetlenie, nemajú zariadenie na privolanie policajta a osoba v nich umiestnená nemá prístup k pitnej vode a k základným hygienickým potrebám (toaleta).“</w:t>
      </w:r>
    </w:p>
    <w:p w:rsidR="000046D2" w:rsidRPr="00B71F1B" w:rsidP="000046D2">
      <w:pPr>
        <w:bidi w:val="0"/>
        <w:ind w:left="720"/>
        <w:jc w:val="both"/>
        <w:rPr>
          <w:rFonts w:ascii="Times New Roman" w:hAnsi="Times New Roman"/>
        </w:rPr>
      </w:pPr>
    </w:p>
    <w:p w:rsidR="00431DF8" w:rsidRPr="00B71F1B" w:rsidP="00431DF8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B71F1B">
        <w:rPr>
          <w:rFonts w:ascii="Times New Roman" w:hAnsi="Times New Roman"/>
        </w:rPr>
        <w:t>V § 45 sa v ods. 2 dopĺňa druhá veta, ktorá znie:</w:t>
      </w:r>
    </w:p>
    <w:p w:rsidR="00431DF8" w:rsidRPr="00B71F1B" w:rsidP="00431DF8">
      <w:pPr>
        <w:bidi w:val="0"/>
        <w:ind w:left="720"/>
        <w:jc w:val="both"/>
        <w:rPr>
          <w:rFonts w:ascii="Times New Roman" w:hAnsi="Times New Roman"/>
        </w:rPr>
      </w:pPr>
      <w:r w:rsidRPr="00B71F1B">
        <w:rPr>
          <w:rFonts w:ascii="Times New Roman" w:hAnsi="Times New Roman"/>
        </w:rPr>
        <w:t>„Cela musí byť vybavená zariadením, ktoré umiestnenej osobe umožní privolať policajta.“</w:t>
      </w:r>
    </w:p>
    <w:p w:rsidR="00431DF8" w:rsidRPr="00B71F1B" w:rsidP="00431DF8">
      <w:pPr>
        <w:tabs>
          <w:tab w:val="left" w:pos="900"/>
          <w:tab w:val="left" w:pos="1080"/>
        </w:tabs>
        <w:bidi w:val="0"/>
        <w:ind w:left="720" w:hanging="360"/>
        <w:jc w:val="both"/>
        <w:rPr>
          <w:rFonts w:ascii="Times New Roman" w:hAnsi="Times New Roman"/>
        </w:rPr>
      </w:pPr>
    </w:p>
    <w:p w:rsidR="00431DF8" w:rsidRPr="00B71F1B" w:rsidP="00431DF8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B71F1B">
        <w:rPr>
          <w:rFonts w:ascii="Times New Roman" w:hAnsi="Times New Roman"/>
        </w:rPr>
        <w:t>Za § 49 sa dopĺňa § 49a, ktorý znie:</w:t>
      </w:r>
    </w:p>
    <w:p w:rsidR="00431DF8" w:rsidRPr="00B71F1B" w:rsidP="00431DF8">
      <w:pPr>
        <w:bidi w:val="0"/>
        <w:ind w:left="720"/>
        <w:jc w:val="both"/>
        <w:rPr>
          <w:rFonts w:ascii="Times New Roman" w:hAnsi="Times New Roman"/>
        </w:rPr>
      </w:pPr>
      <w:r w:rsidRPr="00B71F1B">
        <w:rPr>
          <w:rFonts w:ascii="Times New Roman" w:hAnsi="Times New Roman"/>
        </w:rPr>
        <w:t>„§ 49a</w:t>
      </w:r>
    </w:p>
    <w:p w:rsidR="00431DF8" w:rsidRPr="00B71F1B" w:rsidP="000046D2">
      <w:pPr>
        <w:bidi w:val="0"/>
        <w:ind w:left="720"/>
        <w:jc w:val="both"/>
        <w:rPr>
          <w:rFonts w:ascii="Times New Roman" w:hAnsi="Times New Roman"/>
        </w:rPr>
      </w:pPr>
      <w:r w:rsidRPr="00B71F1B">
        <w:rPr>
          <w:rFonts w:ascii="Times New Roman" w:hAnsi="Times New Roman"/>
        </w:rPr>
        <w:t>(</w:t>
      </w:r>
      <w:r w:rsidRPr="00B71F1B" w:rsidR="000046D2">
        <w:rPr>
          <w:rFonts w:ascii="Times New Roman" w:hAnsi="Times New Roman"/>
        </w:rPr>
        <w:t>1</w:t>
      </w:r>
      <w:r w:rsidRPr="00B71F1B">
        <w:rPr>
          <w:rFonts w:ascii="Times New Roman" w:hAnsi="Times New Roman"/>
        </w:rPr>
        <w:t>) Ak sa na útvare Policajného zboru cela nenachádza alebo ak to jej kapacita neumožňuje, policajt môže vo výnimočných prípadoch a iba na nevyhnutne potrebný čas umiestniť osobu podľa § 42 do iného vhodného priestoru</w:t>
      </w:r>
      <w:r w:rsidRPr="00B71F1B" w:rsidR="000046D2">
        <w:rPr>
          <w:rFonts w:ascii="Times New Roman" w:hAnsi="Times New Roman"/>
        </w:rPr>
        <w:t>, ktorý má primerané vybavenie, má priame osvetlenie, má zariadenie na privolanie policajta, osoba v ňom umiestnená má prístup k pitnej vode a k základným hygienickým potrebám</w:t>
      </w:r>
      <w:r w:rsidRPr="00B71F1B">
        <w:rPr>
          <w:rFonts w:ascii="Times New Roman" w:hAnsi="Times New Roman"/>
        </w:rPr>
        <w:t xml:space="preserve">. </w:t>
      </w:r>
    </w:p>
    <w:p w:rsidR="00431DF8" w:rsidRPr="00B71F1B" w:rsidP="00431DF8">
      <w:pPr>
        <w:bidi w:val="0"/>
        <w:ind w:left="720"/>
        <w:jc w:val="both"/>
        <w:rPr>
          <w:rFonts w:ascii="Times New Roman" w:hAnsi="Times New Roman"/>
        </w:rPr>
      </w:pPr>
      <w:r w:rsidRPr="00B71F1B" w:rsidR="000046D2">
        <w:rPr>
          <w:rFonts w:ascii="Times New Roman" w:hAnsi="Times New Roman"/>
        </w:rPr>
        <w:t>(2</w:t>
      </w:r>
      <w:r w:rsidRPr="00B71F1B">
        <w:rPr>
          <w:rFonts w:ascii="Times New Roman" w:hAnsi="Times New Roman"/>
        </w:rPr>
        <w:t>) Osoba umies</w:t>
      </w:r>
      <w:r w:rsidRPr="00B71F1B" w:rsidR="000046D2">
        <w:rPr>
          <w:rFonts w:ascii="Times New Roman" w:hAnsi="Times New Roman"/>
        </w:rPr>
        <w:t>tnená v priestore podľa odseku 1</w:t>
      </w:r>
      <w:r w:rsidRPr="00B71F1B">
        <w:rPr>
          <w:rFonts w:ascii="Times New Roman" w:hAnsi="Times New Roman"/>
        </w:rPr>
        <w:t xml:space="preserve"> má rovnaké práva ako osoba umiestnená v cele. Policajt je povinný viesť o umiestnení osoby v priestore podľa odseku </w:t>
      </w:r>
      <w:r w:rsidRPr="00B71F1B" w:rsidR="000046D2">
        <w:rPr>
          <w:rFonts w:ascii="Times New Roman" w:hAnsi="Times New Roman"/>
        </w:rPr>
        <w:t>1</w:t>
      </w:r>
      <w:r w:rsidRPr="00B71F1B">
        <w:rPr>
          <w:rFonts w:ascii="Times New Roman" w:hAnsi="Times New Roman"/>
        </w:rPr>
        <w:t xml:space="preserve"> rovnakú dokumentáciu ako o umiestnení osoby v cele.“</w:t>
      </w:r>
    </w:p>
    <w:p w:rsidR="00431DF8" w:rsidRPr="00B71F1B" w:rsidP="00431DF8">
      <w:pPr>
        <w:bidi w:val="0"/>
        <w:ind w:left="360"/>
        <w:jc w:val="both"/>
        <w:rPr>
          <w:rFonts w:ascii="Times New Roman" w:hAnsi="Times New Roman"/>
        </w:rPr>
      </w:pPr>
    </w:p>
    <w:p w:rsidR="00431DF8" w:rsidRPr="00B71F1B" w:rsidP="00431DF8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B71F1B">
        <w:rPr>
          <w:rFonts w:ascii="Times New Roman" w:hAnsi="Times New Roman"/>
        </w:rPr>
        <w:t>V § 50 sa dopĺňa ods. 5, ktorý znie:</w:t>
      </w:r>
    </w:p>
    <w:p w:rsidR="00431DF8" w:rsidP="00431DF8">
      <w:pPr>
        <w:bidi w:val="0"/>
        <w:ind w:left="720"/>
        <w:jc w:val="both"/>
        <w:rPr>
          <w:rFonts w:ascii="Times New Roman" w:hAnsi="Times New Roman"/>
        </w:rPr>
      </w:pPr>
      <w:r w:rsidRPr="00B71F1B">
        <w:rPr>
          <w:rFonts w:ascii="Times New Roman" w:hAnsi="Times New Roman"/>
        </w:rPr>
        <w:t>„(5) Policajt je oprávnený použiť donucovacie prostriedky</w:t>
      </w:r>
      <w:r w:rsidRPr="00431DF8">
        <w:rPr>
          <w:rFonts w:ascii="Times New Roman" w:hAnsi="Times New Roman"/>
        </w:rPr>
        <w:t xml:space="preserve"> iba na základe dôvodov a spôsobom ustanovených zákonom. Policajt nesmie použiť donucovacie prostriedky, ak dôvody ustanovené zákonom nenastali, alebo už pominuli.</w:t>
      </w:r>
      <w:r>
        <w:rPr>
          <w:rFonts w:ascii="Times New Roman" w:hAnsi="Times New Roman"/>
        </w:rPr>
        <w:t>“</w:t>
      </w:r>
    </w:p>
    <w:p w:rsidR="00431DF8" w:rsidRPr="00FB29FB" w:rsidP="00431DF8">
      <w:pPr>
        <w:bidi w:val="0"/>
        <w:ind w:left="360"/>
        <w:jc w:val="both"/>
        <w:rPr>
          <w:rFonts w:ascii="Times New Roman" w:hAnsi="Times New Roman"/>
        </w:rPr>
      </w:pPr>
    </w:p>
    <w:p w:rsidR="00431DF8" w:rsidP="00431DF8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52a sa dopĺňa § 52b, ktorý znie:</w:t>
      </w:r>
    </w:p>
    <w:p w:rsidR="00431DF8" w:rsidP="00977434">
      <w:pPr>
        <w:bidi w:val="0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52b</w:t>
      </w:r>
    </w:p>
    <w:p w:rsidR="00431DF8" w:rsidRPr="00FB29FB" w:rsidP="00431DF8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neexistujú dôvody na postup podľa § 52 ods. 1 alebo podľa § 52a ods. 1, policajt nesmie zaistenú, zadržanú, alebo predvedenú osobu pripútať k stene, k predmetom, spútať ju, akýmkoľvek spôsobom ju znehybniť alebo znehybňovať bez lekárskeho odporúčania, z ktorého je zrejmé, že takýto postup vyžaduje ochrana zdravia tejto osoby.“ </w:t>
      </w:r>
    </w:p>
    <w:p w:rsidR="00431DF8" w:rsidRPr="00FB29FB" w:rsidP="00431DF8">
      <w:pPr>
        <w:bidi w:val="0"/>
        <w:jc w:val="both"/>
        <w:rPr>
          <w:rFonts w:ascii="Times New Roman" w:hAnsi="Times New Roman"/>
        </w:rPr>
      </w:pPr>
    </w:p>
    <w:p w:rsidR="00431DF8" w:rsidP="00431DF8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64 sa dopĺňa ods. 4, ktorý znie:</w:t>
      </w:r>
    </w:p>
    <w:p w:rsidR="00431DF8" w:rsidP="00431DF8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431DF8">
        <w:rPr>
          <w:rFonts w:ascii="Times New Roman" w:hAnsi="Times New Roman"/>
        </w:rPr>
        <w:t>(4) Ak dôjde k zhoršeniu fyzického alebo psychického zdravia policajtom zaistenej, zadržanej alebo predvedenej osoby počas jej zaistenia, zadržania alebo predvedenia, policajt je povinný preukázať odborným lekárskym vyjadrením príčin</w:t>
      </w:r>
      <w:r w:rsidR="008B364B">
        <w:rPr>
          <w:rFonts w:ascii="Times New Roman" w:hAnsi="Times New Roman"/>
        </w:rPr>
        <w:t>u</w:t>
      </w:r>
      <w:r w:rsidRPr="00431DF8">
        <w:rPr>
          <w:rFonts w:ascii="Times New Roman" w:hAnsi="Times New Roman"/>
        </w:rPr>
        <w:t xml:space="preserve"> zhoršenia jej zdravia.</w:t>
      </w:r>
      <w:r>
        <w:rPr>
          <w:rFonts w:ascii="Times New Roman" w:hAnsi="Times New Roman"/>
        </w:rPr>
        <w:t>“</w:t>
      </w:r>
    </w:p>
    <w:p w:rsidR="00431DF8" w:rsidP="00431DF8">
      <w:pPr>
        <w:bidi w:val="0"/>
        <w:ind w:left="720"/>
        <w:jc w:val="both"/>
        <w:rPr>
          <w:rFonts w:ascii="Times New Roman" w:hAnsi="Times New Roman"/>
        </w:rPr>
      </w:pPr>
    </w:p>
    <w:p w:rsidR="00431DF8" w:rsidP="00431DF8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69b sa dopĺňa § 69ba, ktorý znie:</w:t>
      </w:r>
    </w:p>
    <w:p w:rsidR="00431DF8" w:rsidP="00977434">
      <w:pPr>
        <w:bidi w:val="0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69ba</w:t>
      </w:r>
    </w:p>
    <w:p w:rsidR="00431DF8" w:rsidP="00977434">
      <w:pPr>
        <w:bidi w:val="0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Spracúvanie osobných údajov pri dočasnom obmedzení osobnej slobody zaistenej, zadržanej a predvedenej osoby</w:t>
      </w:r>
    </w:p>
    <w:p w:rsidR="00431DF8" w:rsidP="00431DF8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Policajný zbor je povinný </w:t>
      </w:r>
    </w:p>
    <w:p w:rsidR="00431DF8" w:rsidP="00431DF8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zabezpečiť monitorovanie všetkých priestorov na útvare Policajného zboru, v ktorých sa vykonávajú úkony voči zaistenej, zadržanej a predvedenej osobe,</w:t>
      </w:r>
    </w:p>
    <w:p w:rsidR="00431DF8" w:rsidP="00431DF8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zabezpečiť prostredníctvom kamier vyhotovovanie audiovizuálnych záznamov zo všetkých úkonov voči zaistenej, zadržanej a predvedenej osobe na útvare Policajného zboru a ich uchovávanie.</w:t>
      </w:r>
    </w:p>
    <w:p w:rsidR="00431DF8" w:rsidP="00431DF8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V prípade sťažnosti na zaobchádzanie policajta so zaistenou, zadržanou alebo predvedenou osobou, je Policajný zbor povinný preukázať zákonnosť a primeranosť postupu policajta predložením audiovizuálneho záznamu podľa odseku 1.“</w:t>
      </w:r>
    </w:p>
    <w:p w:rsidR="00431DF8" w:rsidP="00185CD3">
      <w:pPr>
        <w:bidi w:val="0"/>
        <w:ind w:left="360"/>
        <w:jc w:val="both"/>
        <w:rPr>
          <w:rFonts w:ascii="Times New Roman" w:hAnsi="Times New Roman"/>
        </w:rPr>
      </w:pPr>
    </w:p>
    <w:p w:rsidR="00675E8E" w:rsidRPr="000922BE" w:rsidP="00675E8E">
      <w:pPr>
        <w:bidi w:val="0"/>
        <w:jc w:val="center"/>
        <w:rPr>
          <w:rFonts w:ascii="Times New Roman" w:hAnsi="Times New Roman"/>
          <w:b/>
        </w:rPr>
      </w:pPr>
      <w:r w:rsidRPr="000922BE">
        <w:rPr>
          <w:rFonts w:ascii="Times New Roman" w:hAnsi="Times New Roman"/>
          <w:b/>
        </w:rPr>
        <w:t>Čl. II</w:t>
      </w:r>
    </w:p>
    <w:p w:rsidR="0046454D" w:rsidRPr="000922BE" w:rsidP="00675E8E">
      <w:pPr>
        <w:bidi w:val="0"/>
        <w:ind w:firstLine="426"/>
        <w:jc w:val="both"/>
        <w:rPr>
          <w:rFonts w:ascii="Times New Roman" w:hAnsi="Times New Roman"/>
        </w:rPr>
      </w:pPr>
    </w:p>
    <w:p w:rsidR="00675E8E" w:rsidRPr="00FB29FB" w:rsidP="0046454D">
      <w:pPr>
        <w:bidi w:val="0"/>
        <w:jc w:val="center"/>
        <w:rPr>
          <w:rFonts w:ascii="Times New Roman" w:hAnsi="Times New Roman"/>
        </w:rPr>
      </w:pPr>
      <w:r w:rsidRPr="000922BE" w:rsidR="00B4101F">
        <w:rPr>
          <w:rFonts w:ascii="Times New Roman" w:hAnsi="Times New Roman"/>
        </w:rPr>
        <w:t xml:space="preserve">Tento zákon nadobúda účinnosť </w:t>
      </w:r>
      <w:r w:rsidR="00431DF8">
        <w:rPr>
          <w:rFonts w:ascii="Times New Roman" w:hAnsi="Times New Roman"/>
        </w:rPr>
        <w:t>1. júla 20</w:t>
      </w:r>
      <w:r w:rsidR="000B5D5A">
        <w:rPr>
          <w:rFonts w:ascii="Times New Roman" w:hAnsi="Times New Roman"/>
        </w:rPr>
        <w:t>17 okrem čl. I bod 7</w:t>
      </w:r>
      <w:r w:rsidR="00431DF8">
        <w:rPr>
          <w:rFonts w:ascii="Times New Roman" w:hAnsi="Times New Roman"/>
        </w:rPr>
        <w:t>, ktorý nadobúda účinnosť 1. septembra 2018</w:t>
      </w:r>
      <w:r w:rsidRPr="000922BE">
        <w:rPr>
          <w:rFonts w:ascii="Times New Roman" w:hAnsi="Times New Roman"/>
        </w:rPr>
        <w:t>.</w:t>
      </w:r>
      <w:r w:rsidR="00431DF8">
        <w:rPr>
          <w:rFonts w:ascii="Times New Roman" w:hAnsi="Times New Roman"/>
        </w:rPr>
        <w:t xml:space="preserve"> </w:t>
      </w:r>
    </w:p>
    <w:p w:rsidR="00223F81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874DD9"/>
    <w:multiLevelType w:val="hybridMultilevel"/>
    <w:tmpl w:val="0E3091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46D2"/>
    <w:rsid w:val="00007346"/>
    <w:rsid w:val="000101F9"/>
    <w:rsid w:val="00014ED6"/>
    <w:rsid w:val="00015A18"/>
    <w:rsid w:val="0003327B"/>
    <w:rsid w:val="00050159"/>
    <w:rsid w:val="00072B24"/>
    <w:rsid w:val="000922BE"/>
    <w:rsid w:val="00097D9D"/>
    <w:rsid w:val="000B3E0C"/>
    <w:rsid w:val="000B5D5A"/>
    <w:rsid w:val="000C066C"/>
    <w:rsid w:val="000D251D"/>
    <w:rsid w:val="0010488C"/>
    <w:rsid w:val="001413AB"/>
    <w:rsid w:val="00153CC8"/>
    <w:rsid w:val="00161291"/>
    <w:rsid w:val="00163C8F"/>
    <w:rsid w:val="00166BD5"/>
    <w:rsid w:val="00174637"/>
    <w:rsid w:val="00174D48"/>
    <w:rsid w:val="00177F33"/>
    <w:rsid w:val="00185CD3"/>
    <w:rsid w:val="00195C3C"/>
    <w:rsid w:val="001B39DD"/>
    <w:rsid w:val="001B7FEC"/>
    <w:rsid w:val="001D2D9F"/>
    <w:rsid w:val="001E1570"/>
    <w:rsid w:val="001E1F77"/>
    <w:rsid w:val="001E20C0"/>
    <w:rsid w:val="001F3091"/>
    <w:rsid w:val="00223F81"/>
    <w:rsid w:val="002330A7"/>
    <w:rsid w:val="00244D16"/>
    <w:rsid w:val="002708BA"/>
    <w:rsid w:val="0028264C"/>
    <w:rsid w:val="00290D61"/>
    <w:rsid w:val="002A640E"/>
    <w:rsid w:val="002B6F82"/>
    <w:rsid w:val="002C1AE6"/>
    <w:rsid w:val="002C650A"/>
    <w:rsid w:val="002C760C"/>
    <w:rsid w:val="002E76C1"/>
    <w:rsid w:val="0030411D"/>
    <w:rsid w:val="00322BD2"/>
    <w:rsid w:val="00334BB1"/>
    <w:rsid w:val="0033615D"/>
    <w:rsid w:val="0035787A"/>
    <w:rsid w:val="00361ACA"/>
    <w:rsid w:val="003707CE"/>
    <w:rsid w:val="003738EB"/>
    <w:rsid w:val="00376E6E"/>
    <w:rsid w:val="00382101"/>
    <w:rsid w:val="00382F04"/>
    <w:rsid w:val="003A23E9"/>
    <w:rsid w:val="003A56D4"/>
    <w:rsid w:val="003D5191"/>
    <w:rsid w:val="003E3D2B"/>
    <w:rsid w:val="003F5985"/>
    <w:rsid w:val="003F61DE"/>
    <w:rsid w:val="00402495"/>
    <w:rsid w:val="00425D90"/>
    <w:rsid w:val="00431DF8"/>
    <w:rsid w:val="00440459"/>
    <w:rsid w:val="00452013"/>
    <w:rsid w:val="0046454D"/>
    <w:rsid w:val="004C34AB"/>
    <w:rsid w:val="004C52AC"/>
    <w:rsid w:val="004E660C"/>
    <w:rsid w:val="004F333E"/>
    <w:rsid w:val="004F3431"/>
    <w:rsid w:val="00502AF4"/>
    <w:rsid w:val="00531AEB"/>
    <w:rsid w:val="00535336"/>
    <w:rsid w:val="00560F42"/>
    <w:rsid w:val="00584B3E"/>
    <w:rsid w:val="005A189A"/>
    <w:rsid w:val="005B3560"/>
    <w:rsid w:val="00601431"/>
    <w:rsid w:val="00601AB7"/>
    <w:rsid w:val="006249AD"/>
    <w:rsid w:val="00632F87"/>
    <w:rsid w:val="00637C74"/>
    <w:rsid w:val="00644582"/>
    <w:rsid w:val="00653DF4"/>
    <w:rsid w:val="00675E8E"/>
    <w:rsid w:val="006862D8"/>
    <w:rsid w:val="00686498"/>
    <w:rsid w:val="006A2E7D"/>
    <w:rsid w:val="00704016"/>
    <w:rsid w:val="007066A3"/>
    <w:rsid w:val="007370C7"/>
    <w:rsid w:val="00747BFC"/>
    <w:rsid w:val="00752892"/>
    <w:rsid w:val="00761F24"/>
    <w:rsid w:val="00771511"/>
    <w:rsid w:val="007729E4"/>
    <w:rsid w:val="00780E14"/>
    <w:rsid w:val="007811B9"/>
    <w:rsid w:val="007819BF"/>
    <w:rsid w:val="007B6C69"/>
    <w:rsid w:val="007E51DA"/>
    <w:rsid w:val="007F44D9"/>
    <w:rsid w:val="00804477"/>
    <w:rsid w:val="008202B4"/>
    <w:rsid w:val="0082721E"/>
    <w:rsid w:val="00827A42"/>
    <w:rsid w:val="008321A4"/>
    <w:rsid w:val="008509CB"/>
    <w:rsid w:val="008800C2"/>
    <w:rsid w:val="00893864"/>
    <w:rsid w:val="008B364B"/>
    <w:rsid w:val="008B55DA"/>
    <w:rsid w:val="008D6060"/>
    <w:rsid w:val="008E29BD"/>
    <w:rsid w:val="00914917"/>
    <w:rsid w:val="00925897"/>
    <w:rsid w:val="00925ACD"/>
    <w:rsid w:val="00937E68"/>
    <w:rsid w:val="00944C11"/>
    <w:rsid w:val="0095221D"/>
    <w:rsid w:val="009526CF"/>
    <w:rsid w:val="009668FD"/>
    <w:rsid w:val="00971342"/>
    <w:rsid w:val="00977434"/>
    <w:rsid w:val="009874E5"/>
    <w:rsid w:val="009B268A"/>
    <w:rsid w:val="009B4837"/>
    <w:rsid w:val="009B5319"/>
    <w:rsid w:val="009B7793"/>
    <w:rsid w:val="00A1133B"/>
    <w:rsid w:val="00A20E8D"/>
    <w:rsid w:val="00A2127E"/>
    <w:rsid w:val="00A710A4"/>
    <w:rsid w:val="00A7722C"/>
    <w:rsid w:val="00AB0751"/>
    <w:rsid w:val="00B01B6B"/>
    <w:rsid w:val="00B12C46"/>
    <w:rsid w:val="00B31770"/>
    <w:rsid w:val="00B31CF4"/>
    <w:rsid w:val="00B3281A"/>
    <w:rsid w:val="00B4101F"/>
    <w:rsid w:val="00B45510"/>
    <w:rsid w:val="00B709FB"/>
    <w:rsid w:val="00B71F1B"/>
    <w:rsid w:val="00B73BE5"/>
    <w:rsid w:val="00B749D6"/>
    <w:rsid w:val="00B7635E"/>
    <w:rsid w:val="00B80A26"/>
    <w:rsid w:val="00B95024"/>
    <w:rsid w:val="00BB5497"/>
    <w:rsid w:val="00BC44F3"/>
    <w:rsid w:val="00BF38CD"/>
    <w:rsid w:val="00BF5E7A"/>
    <w:rsid w:val="00C32A2D"/>
    <w:rsid w:val="00C806A3"/>
    <w:rsid w:val="00C87070"/>
    <w:rsid w:val="00C900AE"/>
    <w:rsid w:val="00CA1FC7"/>
    <w:rsid w:val="00CB004F"/>
    <w:rsid w:val="00CC59DE"/>
    <w:rsid w:val="00D24B86"/>
    <w:rsid w:val="00D37C1B"/>
    <w:rsid w:val="00D44256"/>
    <w:rsid w:val="00D4445F"/>
    <w:rsid w:val="00D61D72"/>
    <w:rsid w:val="00D721AC"/>
    <w:rsid w:val="00D74EE2"/>
    <w:rsid w:val="00D879D1"/>
    <w:rsid w:val="00E0274C"/>
    <w:rsid w:val="00E24537"/>
    <w:rsid w:val="00E50C78"/>
    <w:rsid w:val="00E66F57"/>
    <w:rsid w:val="00E7037B"/>
    <w:rsid w:val="00E82B9B"/>
    <w:rsid w:val="00E97946"/>
    <w:rsid w:val="00E97A7B"/>
    <w:rsid w:val="00E97B16"/>
    <w:rsid w:val="00EA2542"/>
    <w:rsid w:val="00EB1B2C"/>
    <w:rsid w:val="00EC6B40"/>
    <w:rsid w:val="00ED63BE"/>
    <w:rsid w:val="00EF42B6"/>
    <w:rsid w:val="00F0175C"/>
    <w:rsid w:val="00F12022"/>
    <w:rsid w:val="00F272A0"/>
    <w:rsid w:val="00F37D2C"/>
    <w:rsid w:val="00F671D2"/>
    <w:rsid w:val="00F801D0"/>
    <w:rsid w:val="00F91342"/>
    <w:rsid w:val="00FB29FB"/>
    <w:rsid w:val="00FC14AE"/>
    <w:rsid w:val="00FC7C43"/>
    <w:rsid w:val="00FD0B43"/>
    <w:rsid w:val="00FE0F18"/>
    <w:rsid w:val="00FF07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TitleChar1">
    <w:name w:val="Title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Title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">
    <w:name w:val="Názov Char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2">
    <w:name w:val="Názov Char2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1">
    <w:name w:val="Názov Char2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0">
    <w:name w:val="Názov Char2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9">
    <w:name w:val="Názov Char1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8">
    <w:name w:val="Názov Char1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7">
    <w:name w:val="Názov Char1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6">
    <w:name w:val="Názov Char1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5">
    <w:name w:val="Názov Char1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4">
    <w:name w:val="Názov Char1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0">
    <w:name w:val="Názov Char1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9">
    <w:name w:val="Názov Char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58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58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F4EE-17C8-4E89-BFA0-72AC4611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2</Pages>
  <Words>685</Words>
  <Characters>3908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Gašparíková, Jarmila</cp:lastModifiedBy>
  <cp:revision>9</cp:revision>
  <cp:lastPrinted>2016-10-29T18:16:00Z</cp:lastPrinted>
  <dcterms:created xsi:type="dcterms:W3CDTF">2017-01-13T09:26:00Z</dcterms:created>
  <dcterms:modified xsi:type="dcterms:W3CDTF">2017-01-17T14:14:00Z</dcterms:modified>
</cp:coreProperties>
</file>