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filled="t">
      <v:fill color2="black"/>
      <v:shadow color="black"/>
    </v:background>
  </w:background>
  <w:body>
    <w:p w:rsidR="009A7314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:rsidR="009A7314">
      <w:pPr>
        <w:pStyle w:val="Heading1"/>
        <w:bidi w:val="0"/>
        <w:spacing w:before="120" w:line="276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>A. Všeobecná časť</w:t>
      </w:r>
    </w:p>
    <w:p w:rsidR="009A7314">
      <w:pPr>
        <w:bidi w:val="0"/>
        <w:spacing w:before="120" w:after="0"/>
        <w:ind w:firstLine="709"/>
        <w:jc w:val="both"/>
        <w:rPr>
          <w:rFonts w:ascii="Book Antiqua" w:hAnsi="Book Antiqua" w:cs="Arial"/>
        </w:rPr>
      </w:pPr>
      <w:r>
        <w:rPr>
          <w:rFonts w:ascii="Book Antiqua" w:hAnsi="Book Antiqua" w:cs="Book Antiqua"/>
        </w:rPr>
        <w:t xml:space="preserve">Návrh zákona, ktorým </w:t>
      </w:r>
      <w:r>
        <w:rPr>
          <w:rFonts w:ascii="Book Antiqua" w:hAnsi="Book Antiqua" w:cs="Book Antiqua"/>
          <w:bCs/>
        </w:rPr>
        <w:t xml:space="preserve">sa mení a dopĺňa zákon č. 311/2001 Z. z. Zákonník práce </w:t>
      </w:r>
      <w:r>
        <w:rPr>
          <w:rFonts w:ascii="Book Antiqua" w:hAnsi="Book Antiqua" w:cs="Book Antiqua"/>
        </w:rPr>
        <w:t>v znení neskorších predpisov (ďalej len „návrh zákona“) predkladá do legislatívneho procesu skupina poslancov Národnej rady Slovenskej republiky za hnutie OBYČAJNÍ ĽUDIA a nezávislé osobnosti (OĽANO-NOVA).</w:t>
      </w:r>
    </w:p>
    <w:p w:rsidR="009A7314">
      <w:pPr>
        <w:suppressAutoHyphens w:val="0"/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Arial"/>
        </w:rPr>
        <w:t xml:space="preserve">Charakter výroby tovarov a poskytovania služieb v mnohých ekonomických odvetviach robí víkendovú prácu neodmysliteľnou súčasťou pracovného procesu. Zatiaľ čo pre zamestnávateľov je práca počas víkendov prostriedkom intenzívneho využívania výrobných kapacít, </w:t>
      </w:r>
      <w:r>
        <w:rPr>
          <w:rFonts w:ascii="Book Antiqua" w:hAnsi="Book Antiqua" w:cs="Arial"/>
          <w:b/>
        </w:rPr>
        <w:t>pre zamestnancov</w:t>
      </w:r>
      <w:r>
        <w:rPr>
          <w:rFonts w:ascii="Book Antiqua" w:hAnsi="Book Antiqua" w:cs="Arial"/>
        </w:rPr>
        <w:t xml:space="preserve"> (osobitne zamestnancov s rodičovskými povinnosťami) </w:t>
      </w:r>
      <w:r>
        <w:rPr>
          <w:rFonts w:ascii="Book Antiqua" w:hAnsi="Book Antiqua" w:cs="Arial"/>
          <w:b/>
        </w:rPr>
        <w:t>je neraz zdrojom napätia medzi plnením pracovných a rodinných funkcií</w:t>
      </w:r>
      <w:r>
        <w:rPr>
          <w:rFonts w:ascii="Book Antiqua" w:hAnsi="Book Antiqua" w:cs="Arial"/>
        </w:rPr>
        <w:t>.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Zásah do osobného života zamestnancov, ktorý vyplýva z výkonu práce v sobotu alebo v nedeľu, ktoré sú pre väčšinu ďalších osôb dňami nepretržitého odpočinku v týždni, je podľa doterajších skúseností zamestnancov posudzovaná rovnako negatívne ako práca v noci alebo práca nadčas.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Navyše, podľa najnovších údajov Eurostat-u </w:t>
      </w:r>
      <w:r>
        <w:rPr>
          <w:rFonts w:ascii="Book Antiqua" w:hAnsi="Book Antiqua" w:cs="Book Antiqua"/>
          <w:b/>
          <w:bCs/>
          <w:sz w:val="22"/>
          <w:szCs w:val="22"/>
        </w:rPr>
        <w:t>slovenskí zamestnanci sú najčastejšie pracujúci zamestnanci zo všetkých 28 krajín Európskej únie v nedeľu, keďže pravidelne v nedeľu pracuje 21% z nich</w:t>
      </w:r>
      <w:r>
        <w:rPr>
          <w:rFonts w:ascii="Book Antiqua" w:hAnsi="Book Antiqua" w:cs="Book Antiqua"/>
          <w:sz w:val="22"/>
          <w:szCs w:val="22"/>
        </w:rPr>
        <w:t>. Zo štatistík súčasne vyplýva, že Slováci odpracujú týždenne v priemere druhý najdlhší čas.</w:t>
      </w:r>
    </w:p>
    <w:p w:rsidR="009A7314">
      <w:pPr>
        <w:pStyle w:val="BodyText"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Je nepochopiteľné, že "sociálna vláda" Smeru - SD za 10 rokov svojej vlády nebola schopná ukotviť nárok zamestnancov na príplatky za víkendovú prácu do Zákonníka práce.</w:t>
      </w:r>
      <w:r>
        <w:rPr>
          <w:rFonts w:ascii="Book Antiqua" w:hAnsi="Book Antiqua" w:cs="Book Antiqua"/>
          <w:sz w:val="22"/>
          <w:szCs w:val="22"/>
        </w:rPr>
        <w:t xml:space="preserve"> Dnešný stav, kedy nechávame na zamestnancovi, aby si prípadný príplatok dohodol so svojim zamestnancom je nesprávny a výrazne nesociálny. Hlavne ľudia v hladových dolinách, respektíve ľudia zo znevýhodnených skupín (napr. päťdesiatnici) sa obávajú žiadať príplatok za víkendovú prácu a vykonávajú ju bez akéhokoľvek mzdového zvýhodnenia.</w:t>
      </w:r>
    </w:p>
    <w:p w:rsidR="009A7314">
      <w:pPr>
        <w:pStyle w:val="BodyText"/>
        <w:keepNext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Predložený návrh zákona preto </w:t>
      </w:r>
      <w:r>
        <w:rPr>
          <w:rFonts w:ascii="Book Antiqua" w:hAnsi="Book Antiqua" w:cs="Book Antiqua"/>
          <w:b/>
          <w:sz w:val="22"/>
          <w:szCs w:val="22"/>
        </w:rPr>
        <w:t>zavádza mzdové zvýhodnenie za prácu vykonanú počas víkendu. Popri dosiahnutej mzde sa navrhuje zamestnancovi poskytnúť ešte sumu vo výške aspoň 50 % jeho priemerného zárobku, ak prácu vykoná v sobotu, resp. sumu vo výške aspoň 100 % jeho priemerného zárobku, ak prácu vykoná v nedeľu.</w:t>
      </w:r>
    </w:p>
    <w:p w:rsidR="009A7314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Predkladaný návrh zákona bude mať pozitívne sociálne vplyvy (hospodárenie obyvateľstva), pričom sa zároveň očakáva skôr negatívny vplyv na podnikateľské prostredie. V prípade rozpočtu verejnej správy sa od návrhu zákona očakáva aj pozitívny vplyv a čiastočne aj negatívny vplyv. Návrh zákona nebude mať žiadny vplyv na životné prostredie ani na informatizáciu spoločnosti.</w:t>
      </w:r>
    </w:p>
    <w:p w:rsidR="009A7314" w:rsidRPr="00BB0BF4" w:rsidP="00BB0BF4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9A7314">
      <w:pPr>
        <w:bidi w:val="0"/>
        <w:spacing w:before="120" w:after="0"/>
        <w:ind w:firstLine="708"/>
        <w:jc w:val="both"/>
        <w:rPr>
          <w:rFonts w:ascii="Book Antiqua" w:hAnsi="Book Antiqua" w:cs="Book Antiqua"/>
          <w:b/>
        </w:rPr>
      </w:pPr>
    </w:p>
    <w:p w:rsidR="009A7314">
      <w:pPr>
        <w:pageBreakBefore/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B. Osobitná časť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>
      <w:pPr>
        <w:bidi w:val="0"/>
        <w:spacing w:before="120" w:after="0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b/>
        </w:rPr>
        <w:t>K Čl. I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K bodu 1</w:t>
      </w:r>
    </w:p>
    <w:p w:rsidR="009A7314">
      <w:pPr>
        <w:bidi w:val="0"/>
        <w:spacing w:before="120" w:after="0"/>
        <w:ind w:firstLine="708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</w:rPr>
        <w:tab/>
        <w:t xml:space="preserve">Ide o legislatívno-technickú úpravu súvisiacu so zavedením nového mzdového nároku, a to mzdového zvýhodnenia za prácu vykonávanú v sobotu alebo v nedeľu. 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K bodu 2</w:t>
      </w:r>
    </w:p>
    <w:p w:rsidR="009A7314">
      <w:pPr>
        <w:pStyle w:val="BodyText"/>
        <w:keepNext/>
        <w:bidi w:val="0"/>
        <w:spacing w:before="120" w:after="0" w:line="276" w:lineRule="auto"/>
        <w:ind w:firstLine="36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ab/>
        <w:t xml:space="preserve">Vzťahu medzi pracovným a osobným (najmä rodinným) životom sa v ostatnej dobe venuje čoraz väčšia pozornosť. Napriek nespochybniteľným prínosom rovnováhy pracovného a osobného života vo všetkých sférach života, takáto rovnováha ani zďaleka nie je bežným javom. Vo všeobecnosti platí, že len vyššie kvalifikovaní zamestnanci si dokážu vybojovať také pracovné podmienky, ktoré len v minimálnej miere obmedzia ich rodinný život. Menej kvalifikovaní zamestnanci sú v tomto smere spravidla odkázaní na ustanovenia o minimálnych štandardoch stanovených zákonmi, resp. na výsledok kolektívneho vyjednávania. 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„Nepohodlné“ pracovné časy (napr. v noci, v sobotu, v nedeľu alebo vo sviatok) spôsobujú pracovníkom veľké problémy pri zabezpečovaní ich rodinných alebo iných sociálnych povinností. 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sz w:val="22"/>
          <w:szCs w:val="22"/>
        </w:rPr>
        <w:t>Keďže výkon niektorých druhov prác nie je objektívne možné zakázať alebo obmedziť ich výkon v „nepohodlných“ pracovných časoch, je nevyhnutné aspoň zmierniť ich negatívne dopady.</w:t>
      </w:r>
    </w:p>
    <w:p w:rsidR="009A7314">
      <w:pPr>
        <w:bidi w:val="0"/>
        <w:spacing w:before="120" w:after="0"/>
        <w:ind w:firstLine="709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</w:rPr>
        <w:t>Hlavným účelom predloženého návrhu zákona je teda zmiernenie negatívnych dopadov pracovnej doby počas sobôt a nedieľ, a to formou mzdového zvýhodnenia tejto práce.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Navrhnuté mzdové zvýhodnenie je založené na obdobnom princípe ako už uplatňujúce sa na prácu vo sviatok. To znamená, že „príplatok“ za prácu počas soboty a nedele sa odvíja od výšky priemerného zárobku konkrétneho zamestnanca. Zamestnanci si za prácu vykonanú v sobotu okrem svojej bežnej hodinovej mzdy prilepšia minimálne o ďalších 50 % z tejto sumy. Ak prácu vykonajú v nedeľu, mzdové zvýhodnenie bude predstavovať najmenej 100 % z ich bežnej hodinovej mzdy. Inými slovami práca v nedeľu bude odmenená aspoň dvojnásobkom ich bežnej odmeny.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V prípade, ak sviatok pripadne na sobotu alebo nedeľu patrí zamestnancovi mzdové zvýhodnenie jednak za prácu vo sviatok a zároveň aj mzdové zvýhodnenie za prácu v sobotu alebo v nedeľu. </w:t>
      </w:r>
    </w:p>
    <w:p w:rsidR="009A7314">
      <w:pPr>
        <w:pStyle w:val="BodyText"/>
        <w:keepNext/>
        <w:bidi w:val="0"/>
        <w:spacing w:before="120" w:after="0" w:line="276" w:lineRule="auto"/>
        <w:ind w:firstLine="709"/>
        <w:jc w:val="both"/>
        <w:rPr>
          <w:rFonts w:ascii="Book Antiqua" w:hAnsi="Book Antiqua" w:cs="Book Antiqua"/>
          <w:u w:val="single"/>
        </w:rPr>
      </w:pPr>
      <w:r>
        <w:rPr>
          <w:rFonts w:ascii="Book Antiqua" w:hAnsi="Book Antiqua" w:cs="Book Antiqua"/>
          <w:sz w:val="22"/>
          <w:szCs w:val="22"/>
        </w:rPr>
        <w:t>Mzdové zvýhodnenie za prácu v sobotu a v nedeľu je svojim charakterom najviac podobné mzdovému zvýhodneniu za prácu vo sviatok. Hlavným rozdielom je, že zamestnanec z dôvodu, že sviatok pripadol na jeho obvyklý pracovný deň, nepracuje, čo sa v prípade soboty a nedele nedá uplatniť. Preto odsek 3 v § 122 nie je použiteľný na mzdové zvýhodnenie zamestnanca za prácu v sobotu alebo v nedeľu, ale odseky 2, 4 a 5 v § 122 použiteľné sú, čo sa upravuje aj v návrhu zákona.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u w:val="single"/>
        </w:rPr>
        <w:t>K bodu 3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 xml:space="preserve">Zavádza sa prechodné ustanovenie, ktorého účelom je zaistiť, aby sa navrhované mzdové zvýhodnenie za prácu v sobotu a v nedeľu vzťahovalo aj na tých  zamestnancov, ktorých pracovné zmluvy boli uzatvorené pred 1. májom 2017. 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</w:rPr>
        <w:tab/>
        <w:t xml:space="preserve">Zároveň sa explicitne ustanovuje, že doposiaľ vykonaná práca počas sobôt a nedieľ sa po nadobudnutí účinnosti tohto zákona z finančného hľadiska nijako nezohľadní. Inými slovami zamestnávatelia nebudú povinní poskytovať mzdové zvýhodnenie za víkendovú prácu vykonanú pred 1. májom 2017.    </w:t>
      </w:r>
    </w:p>
    <w:p w:rsidR="009A7314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</w:rPr>
      </w:pPr>
    </w:p>
    <w:p w:rsidR="009A7314">
      <w:pPr>
        <w:tabs>
          <w:tab w:val="left" w:pos="6015"/>
        </w:tabs>
        <w:bidi w:val="0"/>
        <w:spacing w:before="120" w:after="0"/>
        <w:jc w:val="both"/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</w:rPr>
        <w:t>K Čl. II</w:t>
      </w:r>
    </w:p>
    <w:p w:rsidR="009A7314">
      <w:pPr>
        <w:pStyle w:val="Normlnywebov1"/>
        <w:bidi w:val="0"/>
        <w:spacing w:before="120" w:after="0" w:line="276" w:lineRule="auto"/>
        <w:ind w:firstLine="708"/>
        <w:jc w:val="both"/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ab/>
      </w:r>
      <w:r>
        <w:rPr>
          <w:rFonts w:ascii="Book Antiqua" w:hAnsi="Book Antiqua" w:cs="Book Antiqua"/>
          <w:bCs/>
          <w:sz w:val="22"/>
          <w:szCs w:val="22"/>
        </w:rPr>
        <w:t>Navrhuje sa účinnosť predkladaného návrhu zákona so zohľadnením potrebnej dĺžky legisvakančnej lehoty na</w:t>
      </w:r>
      <w:r>
        <w:rPr>
          <w:rFonts w:ascii="Book Antiqua" w:hAnsi="Book Antiqua" w:cs="Book Antiqua"/>
          <w:sz w:val="22"/>
          <w:szCs w:val="22"/>
        </w:rPr>
        <w:t xml:space="preserve"> 1. mája 2017.</w:t>
      </w:r>
    </w:p>
    <w:p w:rsidR="009A7314">
      <w:pPr>
        <w:pageBreakBefore/>
        <w:tabs>
          <w:tab w:val="left" w:pos="6015"/>
        </w:tabs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:rsidR="009A7314">
      <w:pPr>
        <w:pStyle w:val="Normlnywebov1"/>
        <w:bidi w:val="0"/>
        <w:spacing w:before="120" w:after="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návrhu zákona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:rsidR="009A7314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9A7314">
      <w:pPr>
        <w:pStyle w:val="Normlnywebov1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sz w:val="22"/>
          <w:szCs w:val="22"/>
        </w:rPr>
        <w:t>1. Navrhovateľ zákona:</w:t>
      </w:r>
      <w:r>
        <w:rPr>
          <w:rFonts w:ascii="Book Antiqua" w:hAnsi="Book Antiqua" w:cs="Book Antiqua"/>
          <w:sz w:val="22"/>
          <w:szCs w:val="22"/>
        </w:rPr>
        <w:t xml:space="preserve"> skupina poslancov Národnej rady Slovenskej republiky za hnutie OBYČAJNÍ ĽUDIA a nezávislé osobnosti (OĽANO-NOVA)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2. Názov návrhu právneho predpisu:</w:t>
      </w:r>
      <w:r>
        <w:rPr>
          <w:rFonts w:ascii="Book Antiqua" w:hAnsi="Book Antiqua" w:cs="Book Antiqua"/>
          <w:b/>
        </w:rPr>
        <w:t xml:space="preserve"> </w:t>
      </w:r>
      <w:r>
        <w:rPr>
          <w:rFonts w:ascii="Book Antiqua" w:hAnsi="Book Antiqua" w:cs="Book Antiqua"/>
        </w:rPr>
        <w:t xml:space="preserve">návrh zákona, ktorým </w:t>
      </w:r>
      <w:r>
        <w:rPr>
          <w:rFonts w:ascii="Book Antiqua" w:hAnsi="Book Antiqua" w:cs="Book Antiqua"/>
          <w:bCs/>
        </w:rPr>
        <w:t xml:space="preserve">sa mení a dopĺňa zákon             č. 311/2001 Z. z. Zákonník práce </w:t>
      </w:r>
      <w:r>
        <w:rPr>
          <w:rFonts w:ascii="Book Antiqua" w:hAnsi="Book Antiqua" w:cs="Book Antiqua"/>
        </w:rPr>
        <w:t xml:space="preserve">v znení neskorších predpisov </w:t>
      </w: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Predmet návrhu zákona:</w:t>
      </w:r>
    </w:p>
    <w:p w:rsidR="009A7314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upravený v primárnom práve Európskej únie,</w:t>
      </w:r>
    </w:p>
    <w:p w:rsidR="009A7314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 w:cs="Book Antiqua"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upravený v sekundárnom práve Európskej únie,</w:t>
      </w:r>
    </w:p>
    <w:p w:rsidR="009A7314">
      <w:pPr>
        <w:pStyle w:val="NormalWeb"/>
        <w:numPr>
          <w:ilvl w:val="0"/>
          <w:numId w:val="2"/>
        </w:numPr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Book Antiqua" w:hAnsi="Book Antiqua" w:cs="Book Antiqua"/>
          <w:bCs/>
          <w:sz w:val="22"/>
          <w:szCs w:val="22"/>
        </w:rPr>
        <w:t>nie je obsiahnutý v judikatúre Súdneho dvora Európskej únie.</w:t>
      </w:r>
      <w:r>
        <w:rPr>
          <w:rFonts w:ascii="Book Antiqua" w:hAnsi="Book Antiqua" w:cs="Book Antiqua"/>
          <w:sz w:val="22"/>
          <w:szCs w:val="22"/>
        </w:rPr>
        <w:t> </w:t>
      </w: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9A7314">
      <w:pPr>
        <w:pageBreakBefore/>
        <w:bidi w:val="0"/>
        <w:spacing w:before="120" w:after="0"/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/>
          <w:bCs/>
          <w:caps/>
          <w:spacing w:val="30"/>
        </w:rPr>
        <w:t>Doložka</w:t>
      </w:r>
    </w:p>
    <w:p w:rsidR="009A7314">
      <w:pPr>
        <w:bidi w:val="0"/>
        <w:spacing w:before="120" w:after="0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vybraných vplyvov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 xml:space="preserve">A.1. Názov materiálu: </w:t>
      </w:r>
      <w:r>
        <w:rPr>
          <w:rFonts w:ascii="Book Antiqua" w:hAnsi="Book Antiqua" w:cs="Book Antiqua"/>
        </w:rPr>
        <w:t xml:space="preserve">návrh zákona, ktorým </w:t>
      </w:r>
      <w:r>
        <w:rPr>
          <w:rFonts w:ascii="Book Antiqua" w:hAnsi="Book Antiqua" w:cs="Book Antiqua"/>
          <w:bCs/>
        </w:rPr>
        <w:t xml:space="preserve">sa mení a dopĺňa zákon č. 311/2001 Z. z. Zákonník práce </w:t>
      </w:r>
      <w:r>
        <w:rPr>
          <w:rFonts w:ascii="Book Antiqua" w:hAnsi="Book Antiqua" w:cs="Book Antiqua"/>
        </w:rPr>
        <w:t xml:space="preserve">v znení neskorších predpisov </w:t>
      </w:r>
    </w:p>
    <w:p w:rsidR="009A7314">
      <w:pPr>
        <w:keepNext/>
        <w:bidi w:val="0"/>
        <w:spacing w:before="120" w:after="0"/>
        <w:jc w:val="both"/>
        <w:rPr>
          <w:rFonts w:ascii="Book Antiqua" w:hAnsi="Book Antiqua" w:cs="Book Antiqua"/>
        </w:rPr>
      </w:pPr>
    </w:p>
    <w:p w:rsidR="009A7314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b/>
          <w:bCs/>
        </w:rPr>
        <w:t>Termín začatia a ukončenia PPK:</w:t>
      </w:r>
      <w:r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  <w:i/>
          <w:iCs/>
        </w:rPr>
        <w:t>bezpredmetné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i/>
          <w:iCs/>
        </w:rPr>
      </w:pPr>
    </w:p>
    <w:p w:rsidR="009A7314">
      <w:pPr>
        <w:bidi w:val="0"/>
        <w:spacing w:before="120" w:after="0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A.2. Vplyvy:</w:t>
      </w:r>
    </w:p>
    <w:tbl>
      <w:tblPr>
        <w:tblStyle w:val="TableNormal"/>
        <w:tblW w:w="0" w:type="auto"/>
        <w:tblInd w:w="-34" w:type="dxa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257"/>
      </w:tblGrid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both"/>
              <w:rPr>
                <w:rFonts w:ascii="Book Antiqua" w:hAnsi="Book Antiqua" w:cs="Book Antiqua"/>
              </w:rPr>
            </w:pP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 Pozitívne 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 Žiadne 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</w:pPr>
            <w:r>
              <w:rPr>
                <w:rFonts w:ascii="Book Antiqua" w:hAnsi="Book Antiqua" w:cs="Book Antiqua"/>
              </w:rPr>
              <w:t> Negatívne 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1. Vplyvy na rozpočet verejnej správy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</w:pPr>
            <w:r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</w:pPr>
            <w:r>
              <w:rPr>
                <w:rFonts w:ascii="Book Antiqua" w:hAnsi="Book Antiqua" w:cs="Book Antiqua"/>
              </w:rPr>
              <w:t>x</w:t>
            </w: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3. Sociálne vplyvy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– sociálnu exklúziu,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– rovnosť príležitostí a rodovú rovnosť a vplyvy na zamestnanosť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4. Vplyvy na životné prostredie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  <w:tr>
        <w:tblPrEx>
          <w:tblW w:w="0" w:type="auto"/>
          <w:tblInd w:w="-34" w:type="dxa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5. Vplyvy na informatizáciu spoločnosti</w:t>
            </w:r>
          </w:p>
        </w:tc>
        <w:tc>
          <w:tcPr>
            <w:tcW w:w="1192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none" w:sz="0" w:space="0" w:color="auto"/>
            </w:tcBorders>
            <w:textDirection w:val="lrTb"/>
            <w:vAlign w:val="center"/>
          </w:tcPr>
          <w:p w:rsidR="009A7314">
            <w:pPr>
              <w:bidi w:val="0"/>
              <w:spacing w:before="120" w:after="0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x</w:t>
            </w:r>
          </w:p>
        </w:tc>
        <w:tc>
          <w:tcPr>
            <w:tcW w:w="1257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textDirection w:val="lrTb"/>
            <w:vAlign w:val="center"/>
          </w:tcPr>
          <w:p w:rsidR="009A7314">
            <w:pPr>
              <w:bidi w:val="0"/>
              <w:snapToGrid w:val="0"/>
              <w:spacing w:before="120" w:after="0"/>
              <w:jc w:val="center"/>
              <w:rPr>
                <w:rFonts w:ascii="Book Antiqua" w:hAnsi="Book Antiqua" w:cs="Book Antiqua"/>
              </w:rPr>
            </w:pPr>
          </w:p>
        </w:tc>
      </w:tr>
    </w:tbl>
    <w:p w:rsidR="009A7314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 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Cs/>
          <w:i/>
        </w:rPr>
      </w:pPr>
      <w:r>
        <w:rPr>
          <w:rFonts w:ascii="Book Antiqua" w:hAnsi="Book Antiqua" w:cs="Book Antiqua"/>
          <w:b/>
          <w:bCs/>
        </w:rPr>
        <w:t>A.3. Poznámky</w:t>
      </w: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>
        <w:rPr>
          <w:rFonts w:ascii="Book Antiqua" w:hAnsi="Book Antiqua" w:cs="Book Antiqua"/>
          <w:bCs/>
          <w:i/>
          <w:sz w:val="22"/>
          <w:szCs w:val="22"/>
        </w:rPr>
        <w:t xml:space="preserve">Predložený návrh zákona bude mať výrazne pozitívne sociálne vplyvy, osobitne vplyv na hospodárenie obyvateľstva, keďže aspoň čiastočne zmierni negatívne dopady výkonu práce počas soboty a nedele. </w:t>
      </w: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Cs/>
          <w:i/>
          <w:sz w:val="22"/>
          <w:szCs w:val="22"/>
        </w:rPr>
      </w:pPr>
      <w:r>
        <w:rPr>
          <w:rFonts w:ascii="Book Antiqua" w:hAnsi="Book Antiqua" w:cs="Book Antiqua"/>
          <w:bCs/>
          <w:i/>
          <w:sz w:val="22"/>
          <w:szCs w:val="22"/>
        </w:rPr>
        <w:t>Aj keď sú spokojnejší zamestnanci pre podnikateľské prostredie nepochybne veľkým prínosom, kvôli zvýšeným mzdovým nárokom sa predpokladajú skôr negatívne vplyvy na podnikateľské prostredie. Negatívne vplyvy budú zrejme výraznejšie v menších prevádzkach s menej rozvinutými sociálnymi výhodami pre svojich zamestnancov a v prevádzkach, kde sa pracuje na smeny. Naopak, väčší zamestnávatelia, ktorí už v súčasnosti poskytujú rôzne benefity za prácu vykonávanú počas víkendov, dopady návrhu zákona nemusia de facto nijako pocítiť.</w:t>
      </w:r>
    </w:p>
    <w:p w:rsidR="009A7314">
      <w:pPr>
        <w:pStyle w:val="NormalWeb"/>
        <w:bidi w:val="0"/>
        <w:spacing w:before="120" w:after="0" w:line="276" w:lineRule="auto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bCs/>
          <w:i/>
          <w:sz w:val="22"/>
          <w:szCs w:val="22"/>
        </w:rPr>
        <w:t xml:space="preserve">Návrh zákona nezakladá žiadne vplyvy na informatizáciu spoločnosti ani na životné prostredie.            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9A7314">
      <w:pPr>
        <w:bidi w:val="0"/>
        <w:spacing w:before="120" w:after="0"/>
        <w:jc w:val="both"/>
        <w:rPr>
          <w:rFonts w:ascii="Book Antiqua" w:hAnsi="Book Antiqua" w:cs="Book Antiqua"/>
          <w:i/>
        </w:rPr>
      </w:pPr>
      <w:r>
        <w:rPr>
          <w:rFonts w:ascii="Book Antiqua" w:hAnsi="Book Antiqua" w:cs="Book Antiqua"/>
          <w:b/>
          <w:bCs/>
        </w:rPr>
        <w:t>A.4. Alternatívne riešenia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  <w:i/>
        </w:rPr>
        <w:t>bezpredmetné </w:t>
      </w:r>
    </w:p>
    <w:p w:rsidR="009A7314">
      <w:pPr>
        <w:bidi w:val="0"/>
        <w:spacing w:before="120" w:after="0"/>
        <w:jc w:val="both"/>
        <w:rPr>
          <w:rFonts w:ascii="Book Antiqua" w:hAnsi="Book Antiqua" w:cs="Book Antiqua"/>
          <w:b/>
          <w:bCs/>
        </w:rPr>
      </w:pPr>
    </w:p>
    <w:p w:rsidR="009A7314">
      <w:pPr>
        <w:pStyle w:val="NormalWeb"/>
        <w:bidi w:val="0"/>
        <w:spacing w:before="120" w:after="0" w:line="276" w:lineRule="auto"/>
        <w:ind w:left="567" w:hanging="567"/>
        <w:jc w:val="both"/>
        <w:rPr>
          <w:rFonts w:ascii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 xml:space="preserve">A.5. </w:t>
        <w:tab/>
        <w:t>Stanovisko gestorov</w:t>
      </w:r>
    </w:p>
    <w:p w:rsidR="009A7314">
      <w:pPr>
        <w:pStyle w:val="NormalWeb"/>
        <w:bidi w:val="0"/>
        <w:spacing w:before="120" w:after="0" w:line="276" w:lineRule="auto"/>
        <w:jc w:val="both"/>
        <w:rPr>
          <w:rFonts w:ascii="Times New Roman" w:hAnsi="Times New Roman"/>
        </w:rPr>
      </w:pPr>
      <w:r>
        <w:rPr>
          <w:rFonts w:ascii="Book Antiqua" w:hAnsi="Book Antiqua" w:cs="Book Antiqua"/>
          <w:i/>
          <w:iCs/>
          <w:sz w:val="22"/>
          <w:szCs w:val="22"/>
        </w:rPr>
        <w:t>Návrh zákona bol zaslaný na vyjadrenie Ministerstvu financií SR a stanovisko tohto ministerstva tvorí súčasť predkladaného materiálu.</w:t>
      </w: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314">
    <w:pPr>
      <w:pStyle w:val="Footer"/>
      <w:bidi w:val="0"/>
      <w:jc w:val="right"/>
    </w:pPr>
    <w:r>
      <w:fldChar w:fldCharType="begin"/>
    </w:r>
    <w:r>
      <w:instrText xml:space="preserve"> PAGE </w:instrText>
    </w:r>
    <w:r>
      <w:fldChar w:fldCharType="separate"/>
    </w:r>
    <w:r w:rsidR="001B2D88">
      <w:rPr>
        <w:noProof/>
      </w:rPr>
      <w:t>6</w:t>
    </w:r>
    <w:r>
      <w:fldChar w:fldCharType="end"/>
    </w:r>
  </w:p>
  <w:p w:rsidR="009A7314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  <w:rPr>
        <w:rFonts w:ascii="Book Antiqua" w:hAnsi="Book Antiqua" w:cs="Book Antiqua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  <w:rPr>
        <w:rFonts w:ascii="Symbol" w:hAnsi="Symbol" w:cs="Symbol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Book Antiqua" w:hAnsi="Book Antiqua" w:cs="Book Antiqua"/>
        <w:sz w:val="22"/>
        <w:szCs w:val="22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rawingGridHorizontalSpacing w:val="0"/>
  <w:drawingGridVerticalSpacing w:val="0"/>
  <w:displayHorizontalDrawingGridEvery w:val="0"/>
  <w:displayVerticalDrawingGridEvery w:val="0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B0BF4"/>
    <w:rsid w:val="001B2D88"/>
    <w:rsid w:val="009A7314"/>
    <w:rsid w:val="00BB0B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autoSpaceDE w:val="0"/>
      <w:spacing w:after="0" w:line="240" w:lineRule="auto"/>
      <w:ind w:left="432" w:hanging="432"/>
      <w:jc w:val="center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jc w:val="left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2z0">
    <w:name w:val="WW8Num2z0"/>
    <w:rPr>
      <w:rFonts w:ascii="Book Antiqua" w:hAnsi="Book Antiqua" w:cs="Book Antiqua"/>
    </w:rPr>
  </w:style>
  <w:style w:type="character" w:customStyle="1" w:styleId="WW8Num3z0">
    <w:name w:val="WW8Num3z0"/>
    <w:rPr>
      <w:rFonts w:ascii="Times New Roman" w:hAnsi="Times New Roman" w:cs="Times New Roman"/>
      <w:sz w:val="22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sz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5">
    <w:name w:val="WW8Num5z5"/>
    <w:rPr>
      <w:rFonts w:ascii="Wingdings" w:hAnsi="Wingdings" w:cs="Wingdings"/>
    </w:rPr>
  </w:style>
  <w:style w:type="character" w:customStyle="1" w:styleId="WW8Num6z0">
    <w:name w:val="WW8Num6z0"/>
    <w:rPr>
      <w:b/>
    </w:rPr>
  </w:style>
  <w:style w:type="character" w:customStyle="1" w:styleId="WW8Num6z2">
    <w:name w:val="WW8Num6z2"/>
  </w:style>
  <w:style w:type="character" w:customStyle="1" w:styleId="WW8Num7z0">
    <w:name w:val="WW8Num7z0"/>
    <w:rPr>
      <w:rFonts w:ascii="Book Antiqua" w:hAnsi="Book Antiqua" w:cs="Book Antiqua"/>
      <w:sz w:val="22"/>
    </w:rPr>
  </w:style>
  <w:style w:type="character" w:customStyle="1" w:styleId="Predvolenpsmoodseku3">
    <w:name w:val="Predvolené písmo odseku3"/>
  </w:style>
  <w:style w:type="character" w:customStyle="1" w:styleId="Nadpis1Char">
    <w:name w:val="Nadpis 1 Char"/>
    <w:rPr>
      <w:rFonts w:ascii="Cambria" w:hAnsi="Cambria" w:cs="Cambria"/>
      <w:b/>
      <w:kern w:val="1"/>
      <w:sz w:val="32"/>
    </w:rPr>
  </w:style>
  <w:style w:type="character" w:customStyle="1" w:styleId="Nadpis5Char">
    <w:name w:val="Nadpis 5 Char"/>
    <w:rPr>
      <w:rFonts w:ascii="Calibri" w:hAnsi="Calibri" w:cs="Calibri"/>
      <w:b/>
      <w:i/>
      <w:sz w:val="26"/>
      <w:lang w:val="x-none" w:eastAsia="ar-SA" w:bidi="ar-SA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b/>
    </w:rPr>
  </w:style>
  <w:style w:type="character" w:customStyle="1" w:styleId="WW8Num6z5">
    <w:name w:val="WW8Num6z5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redvolenpsmoodseku2">
    <w:name w:val="Predvolené písmo odseku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</w:style>
  <w:style w:type="character" w:customStyle="1" w:styleId="WW8Num11z3">
    <w:name w:val="WW8Num11z3"/>
    <w:rPr>
      <w:b/>
    </w:rPr>
  </w:style>
  <w:style w:type="character" w:customStyle="1" w:styleId="WW8Num11z5">
    <w:name w:val="WW8Num11z5"/>
    <w:rPr>
      <w:rFonts w:ascii="Wingdings" w:hAnsi="Wingdings" w:cs="Wingdings"/>
    </w:rPr>
  </w:style>
  <w:style w:type="character" w:customStyle="1" w:styleId="Predvolenpsmoodseku1">
    <w:name w:val="Predvolené písmo odseku1"/>
  </w:style>
  <w:style w:type="character" w:customStyle="1" w:styleId="ZarkazkladnhotextuChar">
    <w:name w:val="Zarážka základného textu Char"/>
    <w:rPr>
      <w:rFonts w:ascii="Times New Roman" w:hAnsi="Times New Roman" w:cs="Times New Roman"/>
      <w:sz w:val="20"/>
    </w:rPr>
  </w:style>
  <w:style w:type="character" w:customStyle="1" w:styleId="ZkladntextChar">
    <w:name w:val="Základný text Char"/>
    <w:rPr>
      <w:rFonts w:ascii="Times New Roman" w:hAnsi="Times New Roman" w:cs="Times New Roman"/>
      <w:sz w:val="24"/>
    </w:rPr>
  </w:style>
  <w:style w:type="character" w:styleId="Emphasis">
    <w:name w:val="Emphasis"/>
    <w:qFormat/>
    <w:rPr>
      <w:i/>
    </w:rPr>
  </w:style>
  <w:style w:type="character" w:customStyle="1" w:styleId="apple-converted-space">
    <w:name w:val="apple-converted-space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s8">
    <w:name w:val="s8"/>
  </w:style>
  <w:style w:type="character" w:customStyle="1" w:styleId="s11">
    <w:name w:val="s11"/>
  </w:style>
  <w:style w:type="character" w:customStyle="1" w:styleId="ZkladntextChar1">
    <w:name w:val="Základný text Char1"/>
    <w:rPr>
      <w:rFonts w:ascii="Calibri" w:hAnsi="Calibri" w:cs="Calibri"/>
      <w:sz w:val="22"/>
      <w:lang w:val="x-none" w:eastAsia="ar-SA" w:bidi="ar-SA"/>
    </w:rPr>
  </w:style>
  <w:style w:type="character" w:customStyle="1" w:styleId="ZarkazkladnhotextuChar1">
    <w:name w:val="Zarážka základného textu Char1"/>
    <w:rPr>
      <w:rFonts w:ascii="Calibri" w:hAnsi="Calibri" w:cs="Calibri"/>
      <w:sz w:val="22"/>
      <w:lang w:val="x-none" w:eastAsia="ar-SA" w:bidi="ar-SA"/>
    </w:rPr>
  </w:style>
  <w:style w:type="character" w:customStyle="1" w:styleId="TextbublinyChar1">
    <w:name w:val="Text bubliny Char1"/>
    <w:rPr>
      <w:rFonts w:ascii="Segoe UI" w:hAnsi="Segoe UI" w:cs="Segoe UI"/>
      <w:sz w:val="18"/>
      <w:lang w:val="x-none" w:eastAsia="ar-SA" w:bidi="ar-SA"/>
    </w:rPr>
  </w:style>
  <w:style w:type="character" w:customStyle="1" w:styleId="HlavikaChar">
    <w:name w:val="Hlavička Char"/>
    <w:rPr>
      <w:rFonts w:ascii="Calibri" w:hAnsi="Calibri" w:cs="Calibri"/>
      <w:sz w:val="22"/>
      <w:lang w:val="x-none" w:eastAsia="ar-SA" w:bidi="ar-SA"/>
    </w:rPr>
  </w:style>
  <w:style w:type="character" w:customStyle="1" w:styleId="PtaChar">
    <w:name w:val="Päta Char"/>
    <w:rPr>
      <w:rFonts w:ascii="Calibri" w:hAnsi="Calibri" w:cs="Calibri"/>
      <w:sz w:val="22"/>
      <w:lang w:val="x-none" w:eastAsia="ar-SA" w:bidi="ar-SA"/>
    </w:rPr>
  </w:style>
  <w:style w:type="character" w:styleId="Hyperlink">
    <w:name w:val="Hyperlink"/>
    <w:rPr>
      <w:color w:val="0000FF"/>
      <w:u w:val="single"/>
    </w:rPr>
  </w:style>
  <w:style w:type="character" w:customStyle="1" w:styleId="Nadpis3Char">
    <w:name w:val="Nadpis 3 Char"/>
    <w:rPr>
      <w:rFonts w:ascii="Cambria" w:hAnsi="Cambria" w:cs="Cambria"/>
      <w:b/>
      <w:sz w:val="26"/>
    </w:rPr>
  </w:style>
  <w:style w:type="character" w:styleId="HTMLVariable">
    <w:name w:val="HTML Variable"/>
    <w:rPr>
      <w:i/>
    </w:rPr>
  </w:style>
  <w:style w:type="character" w:customStyle="1" w:styleId="Znakyprepoznmkupodiarou">
    <w:name w:val="Znaky pre poznámku pod čiarou"/>
    <w:rPr>
      <w:vertAlign w:val="superscript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pPr>
      <w:spacing w:line="240" w:lineRule="auto"/>
      <w:jc w:val="left"/>
    </w:pPr>
    <w:rPr>
      <w:rFonts w:ascii="Times New Roman" w:hAnsi="Times New Roman"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Normlnywebov1">
    <w:name w:val="Normálny (webový)1"/>
    <w:basedOn w:val="Normal"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Odsekzoznamu1">
    <w:name w:val="Odsek zoznamu1"/>
    <w:basedOn w:val="Normal"/>
    <w:pPr>
      <w:ind w:left="720"/>
      <w:jc w:val="left"/>
    </w:pPr>
  </w:style>
  <w:style w:type="paragraph" w:styleId="BalloonText">
    <w:name w:val="Balloon Text"/>
    <w:basedOn w:val="Normal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customStyle="1" w:styleId="go">
    <w:name w:val="go"/>
    <w:basedOn w:val="Normal"/>
    <w:pPr>
      <w:suppressAutoHyphens w:val="0"/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1236</Words>
  <Characters>7050</Characters>
  <Application>Microsoft Office Word</Application>
  <DocSecurity>0</DocSecurity>
  <Lines>0</Lines>
  <Paragraphs>0</Paragraphs>
  <ScaleCrop>false</ScaleCrop>
  <Company>Kancelaria NR SR</Company>
  <LinksUpToDate>false</LinksUpToDate>
  <CharactersWithSpaces>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Maťka</dc:creator>
  <cp:lastModifiedBy>galinata</cp:lastModifiedBy>
  <cp:revision>2</cp:revision>
  <cp:lastPrinted>2015-02-05T10:07:00Z</cp:lastPrinted>
  <dcterms:created xsi:type="dcterms:W3CDTF">2017-01-13T11:40:00Z</dcterms:created>
  <dcterms:modified xsi:type="dcterms:W3CDTF">2017-01-13T11:40:00Z</dcterms:modified>
</cp:coreProperties>
</file>