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C5238B" w:rsidRPr="000C47C6" w:rsidP="00C5238B">
      <w:pPr>
        <w:bidi w:val="0"/>
        <w:spacing w:after="0" w:line="240" w:lineRule="auto"/>
        <w:jc w:val="center"/>
        <w:rPr>
          <w:rFonts w:ascii="Book Antiqua" w:hAnsi="Book Antiqua"/>
          <w:b/>
          <w:bCs/>
          <w:caps/>
          <w:spacing w:val="30"/>
          <w:sz w:val="24"/>
          <w:szCs w:val="24"/>
        </w:rPr>
      </w:pPr>
      <w:r w:rsidRPr="000C47C6">
        <w:rPr>
          <w:rFonts w:ascii="Book Antiqua" w:hAnsi="Book Antiqua"/>
          <w:b/>
          <w:bCs/>
          <w:caps/>
          <w:spacing w:val="30"/>
          <w:sz w:val="24"/>
          <w:szCs w:val="24"/>
        </w:rPr>
        <w:t>Doložka zlučiteľnosti</w:t>
      </w:r>
    </w:p>
    <w:p w:rsidR="00C5238B" w:rsidRPr="000C47C6" w:rsidP="00C5238B">
      <w:pPr>
        <w:bidi w:val="0"/>
        <w:spacing w:after="0" w:line="240" w:lineRule="auto"/>
        <w:jc w:val="center"/>
        <w:rPr>
          <w:rFonts w:ascii="Book Antiqua" w:hAnsi="Book Antiqua"/>
          <w:b/>
          <w:bCs/>
          <w:sz w:val="24"/>
          <w:szCs w:val="24"/>
        </w:rPr>
      </w:pPr>
      <w:r w:rsidRPr="000C47C6">
        <w:rPr>
          <w:rFonts w:ascii="Book Antiqua" w:hAnsi="Book Antiqua"/>
          <w:b/>
          <w:bCs/>
          <w:sz w:val="24"/>
          <w:szCs w:val="24"/>
        </w:rPr>
        <w:t>návrhu zákona s právom Európskej únie </w:t>
      </w:r>
    </w:p>
    <w:p w:rsidR="00C5238B" w:rsidRPr="000C47C6" w:rsidP="00C5238B">
      <w:pPr>
        <w:bidi w:val="0"/>
        <w:spacing w:after="0" w:line="240" w:lineRule="auto"/>
        <w:rPr>
          <w:rFonts w:ascii="Book Antiqua" w:hAnsi="Book Antiqua"/>
          <w:sz w:val="24"/>
          <w:szCs w:val="24"/>
        </w:rPr>
      </w:pPr>
    </w:p>
    <w:p w:rsidR="00C5238B" w:rsidRPr="000C47C6" w:rsidP="00C5238B">
      <w:pPr>
        <w:bidi w:val="0"/>
        <w:spacing w:after="0" w:line="240" w:lineRule="auto"/>
        <w:rPr>
          <w:rFonts w:ascii="Book Antiqua" w:hAnsi="Book Antiqua"/>
        </w:rPr>
      </w:pPr>
    </w:p>
    <w:p w:rsidR="00C5238B" w:rsidRPr="000C47C6" w:rsidP="00C5238B">
      <w:pPr>
        <w:bidi w:val="0"/>
        <w:spacing w:after="60" w:line="240" w:lineRule="auto"/>
        <w:ind w:left="360" w:hanging="360"/>
        <w:jc w:val="both"/>
        <w:rPr>
          <w:rFonts w:ascii="Book Antiqua" w:hAnsi="Book Antiqua"/>
        </w:rPr>
      </w:pPr>
      <w:r w:rsidRPr="000C47C6">
        <w:rPr>
          <w:rFonts w:ascii="Book Antiqua" w:hAnsi="Book Antiqua"/>
          <w:b/>
          <w:bCs/>
        </w:rPr>
        <w:t>1.</w:t>
        <w:tab/>
        <w:t>Predkladateľ právneho predpisu:</w:t>
      </w:r>
      <w:r w:rsidRPr="000C47C6">
        <w:rPr>
          <w:rFonts w:ascii="Book Antiqua" w:hAnsi="Book Antiqua"/>
        </w:rPr>
        <w:t xml:space="preserve"> </w:t>
      </w:r>
    </w:p>
    <w:p w:rsidR="0089270C" w:rsidRPr="000E6793" w:rsidP="0089270C">
      <w:pPr>
        <w:bidi w:val="0"/>
        <w:spacing w:after="0" w:line="240" w:lineRule="auto"/>
        <w:ind w:left="360"/>
        <w:jc w:val="both"/>
        <w:rPr>
          <w:rFonts w:ascii="Book Antiqua" w:hAnsi="Book Antiqua"/>
          <w:b/>
          <w:bCs/>
        </w:rPr>
      </w:pPr>
      <w:r w:rsidRPr="000E6793">
        <w:rPr>
          <w:rFonts w:ascii="Book Antiqua" w:hAnsi="Book Antiqua"/>
        </w:rPr>
        <w:t>Poslanci Národnej rady Slovenskej republiky Mar</w:t>
      </w:r>
      <w:r w:rsidR="00121DBE">
        <w:rPr>
          <w:rFonts w:ascii="Book Antiqua" w:hAnsi="Book Antiqua"/>
        </w:rPr>
        <w:t>i</w:t>
      </w:r>
      <w:r w:rsidR="00CE2114">
        <w:rPr>
          <w:rFonts w:ascii="Book Antiqua" w:hAnsi="Book Antiqua"/>
        </w:rPr>
        <w:t xml:space="preserve">an Kotleba, Rastislav Schlosár, </w:t>
        <w:br/>
        <w:t>Ján Kecskés, Natália Grausová a Jana Nehézová</w:t>
      </w:r>
    </w:p>
    <w:p w:rsidR="00C5238B" w:rsidRPr="000C47C6" w:rsidP="00C5238B">
      <w:pPr>
        <w:tabs>
          <w:tab w:val="left" w:pos="360"/>
        </w:tabs>
        <w:bidi w:val="0"/>
        <w:spacing w:after="0" w:line="240" w:lineRule="auto"/>
        <w:ind w:left="360"/>
        <w:jc w:val="both"/>
        <w:rPr>
          <w:rFonts w:ascii="Book Antiqua" w:hAnsi="Book Antiqua"/>
        </w:rPr>
      </w:pPr>
      <w:r w:rsidRPr="000C47C6">
        <w:rPr>
          <w:rFonts w:ascii="Book Antiqua" w:hAnsi="Book Antiqua"/>
        </w:rPr>
        <w:t xml:space="preserve"> </w:t>
      </w:r>
    </w:p>
    <w:p w:rsidR="00C5238B" w:rsidRPr="000C47C6" w:rsidP="00C5238B">
      <w:pPr>
        <w:bidi w:val="0"/>
        <w:spacing w:after="60" w:line="240" w:lineRule="auto"/>
        <w:ind w:left="360" w:hanging="360"/>
        <w:jc w:val="both"/>
        <w:rPr>
          <w:rFonts w:ascii="Book Antiqua" w:hAnsi="Book Antiqua"/>
        </w:rPr>
      </w:pPr>
      <w:r w:rsidRPr="000C47C6">
        <w:rPr>
          <w:rFonts w:ascii="Book Antiqua" w:hAnsi="Book Antiqua"/>
          <w:b/>
          <w:bCs/>
        </w:rPr>
        <w:t>2.</w:t>
        <w:tab/>
        <w:t>Názov návrhu právneho predpisu:</w:t>
      </w:r>
      <w:r w:rsidRPr="000C47C6">
        <w:rPr>
          <w:rFonts w:ascii="Book Antiqua" w:hAnsi="Book Antiqua"/>
        </w:rPr>
        <w:t xml:space="preserve"> </w:t>
      </w:r>
    </w:p>
    <w:p w:rsidR="00C5238B" w:rsidRPr="004F09B2" w:rsidP="00C5238B">
      <w:pPr>
        <w:bidi w:val="0"/>
        <w:spacing w:after="0" w:line="240" w:lineRule="auto"/>
        <w:ind w:left="360"/>
        <w:jc w:val="both"/>
        <w:rPr>
          <w:rFonts w:ascii="Book Antiqua" w:hAnsi="Book Antiqua"/>
        </w:rPr>
      </w:pPr>
      <w:r w:rsidRPr="000C47C6">
        <w:rPr>
          <w:rFonts w:ascii="Book Antiqua" w:hAnsi="Book Antiqua"/>
        </w:rPr>
        <w:t>Návrh</w:t>
      </w:r>
      <w:r w:rsidR="0089270C">
        <w:rPr>
          <w:rFonts w:ascii="Book Antiqua" w:hAnsi="Book Antiqua"/>
        </w:rPr>
        <w:t xml:space="preserve"> ústavného</w:t>
      </w:r>
      <w:r w:rsidRPr="000C47C6">
        <w:rPr>
          <w:rFonts w:ascii="Book Antiqua" w:hAnsi="Book Antiqua"/>
        </w:rPr>
        <w:t xml:space="preserve"> zákona, ktorým sa mení </w:t>
      </w:r>
      <w:r w:rsidRPr="00CE2114" w:rsidR="00CE2114">
        <w:rPr>
          <w:rFonts w:ascii="Book Antiqua" w:hAnsi="Book Antiqua"/>
        </w:rPr>
        <w:t xml:space="preserve">zákon č. 355/2007 Z. z. o ochrane, podpore </w:t>
      </w:r>
      <w:r w:rsidR="00CE2114">
        <w:rPr>
          <w:rFonts w:ascii="Book Antiqua" w:hAnsi="Book Antiqua"/>
        </w:rPr>
        <w:br/>
      </w:r>
      <w:r w:rsidRPr="00CE2114" w:rsidR="00CE2114">
        <w:rPr>
          <w:rFonts w:ascii="Book Antiqua" w:hAnsi="Book Antiqua"/>
        </w:rPr>
        <w:t>a rozvoji verejného zdravia a o zmene a doplnení niektorých zákonov v znení neskorších predpisov</w:t>
      </w:r>
      <w:r w:rsidRPr="00CE2114">
        <w:rPr>
          <w:rFonts w:ascii="Book Antiqua" w:hAnsi="Book Antiqua"/>
        </w:rPr>
        <w:t>.</w:t>
      </w:r>
    </w:p>
    <w:p w:rsidR="00C5238B" w:rsidRPr="000C47C6" w:rsidP="00C5238B">
      <w:pPr>
        <w:bidi w:val="0"/>
        <w:spacing w:after="0" w:line="240" w:lineRule="auto"/>
        <w:jc w:val="both"/>
        <w:rPr>
          <w:rFonts w:ascii="Book Antiqua" w:hAnsi="Book Antiqua"/>
        </w:rPr>
      </w:pPr>
    </w:p>
    <w:p w:rsidR="00C5238B" w:rsidRPr="000C47C6" w:rsidP="00C5238B">
      <w:pPr>
        <w:bidi w:val="0"/>
        <w:spacing w:after="60" w:line="240" w:lineRule="auto"/>
        <w:ind w:left="360" w:hanging="360"/>
        <w:rPr>
          <w:rFonts w:ascii="Book Antiqua" w:hAnsi="Book Antiqua"/>
          <w:b/>
          <w:bCs/>
        </w:rPr>
      </w:pPr>
      <w:r w:rsidRPr="000C47C6">
        <w:rPr>
          <w:rFonts w:ascii="Book Antiqua" w:hAnsi="Book Antiqua"/>
          <w:b/>
          <w:bCs/>
        </w:rPr>
        <w:t>3.</w:t>
        <w:tab/>
        <w:t xml:space="preserve">Predmet návrhu </w:t>
      </w:r>
      <w:r w:rsidR="00133D4F">
        <w:rPr>
          <w:rFonts w:ascii="Book Antiqua" w:hAnsi="Book Antiqua"/>
          <w:b/>
          <w:bCs/>
        </w:rPr>
        <w:t>zákona</w:t>
      </w:r>
      <w:r w:rsidRPr="000C47C6">
        <w:rPr>
          <w:rFonts w:ascii="Book Antiqua" w:hAnsi="Book Antiqua"/>
          <w:b/>
          <w:bCs/>
        </w:rPr>
        <w:t>:</w:t>
      </w:r>
    </w:p>
    <w:p w:rsidR="00771758" w:rsidP="00C5238B">
      <w:pPr>
        <w:bidi w:val="0"/>
        <w:spacing w:after="0" w:line="240" w:lineRule="auto"/>
        <w:ind w:left="360" w:hanging="360"/>
        <w:rPr>
          <w:rFonts w:ascii="Book Antiqua" w:hAnsi="Book Antiqua"/>
          <w:bCs/>
        </w:rPr>
      </w:pPr>
      <w:r>
        <w:rPr>
          <w:rFonts w:ascii="Book Antiqua" w:hAnsi="Book Antiqua"/>
          <w:bCs/>
        </w:rPr>
        <w:tab/>
        <w:t>a)</w:t>
      </w:r>
      <w:r w:rsidR="00DB5985">
        <w:rPr>
          <w:rFonts w:ascii="Book Antiqua" w:hAnsi="Book Antiqua"/>
          <w:bCs/>
        </w:rPr>
        <w:t xml:space="preserve"> nie</w:t>
      </w:r>
      <w:r>
        <w:rPr>
          <w:rFonts w:ascii="Book Antiqua" w:hAnsi="Book Antiqua"/>
          <w:bCs/>
        </w:rPr>
        <w:t xml:space="preserve"> </w:t>
      </w:r>
      <w:r w:rsidRPr="000C47C6" w:rsidR="00C5238B">
        <w:rPr>
          <w:rFonts w:ascii="Book Antiqua" w:hAnsi="Book Antiqua"/>
          <w:bCs/>
        </w:rPr>
        <w:t xml:space="preserve">je upravený </w:t>
      </w:r>
      <w:r w:rsidR="00DB5985">
        <w:rPr>
          <w:rFonts w:ascii="Book Antiqua" w:hAnsi="Book Antiqua"/>
          <w:bCs/>
        </w:rPr>
        <w:t>v primárnom práve Európskej únie</w:t>
      </w:r>
      <w:r>
        <w:rPr>
          <w:rFonts w:ascii="Book Antiqua" w:hAnsi="Book Antiqua"/>
          <w:bCs/>
        </w:rPr>
        <w:t>.</w:t>
      </w:r>
    </w:p>
    <w:p w:rsidR="00C5238B" w:rsidRPr="000C47C6" w:rsidP="00C5238B">
      <w:pPr>
        <w:bidi w:val="0"/>
        <w:spacing w:after="0" w:line="240" w:lineRule="auto"/>
        <w:ind w:left="360" w:hanging="360"/>
        <w:rPr>
          <w:rFonts w:ascii="Book Antiqua" w:hAnsi="Book Antiqua"/>
          <w:bCs/>
        </w:rPr>
      </w:pPr>
      <w:r w:rsidRPr="000C47C6">
        <w:rPr>
          <w:rFonts w:ascii="Book Antiqua" w:hAnsi="Book Antiqua"/>
          <w:bCs/>
        </w:rPr>
        <w:tab/>
        <w:t>b) nie je upravený v sekundárnom práve Európskej únie</w:t>
      </w:r>
      <w:r w:rsidR="00CD17F5">
        <w:rPr>
          <w:rFonts w:ascii="Book Antiqua" w:hAnsi="Book Antiqua"/>
          <w:bCs/>
        </w:rPr>
        <w:t>.</w:t>
      </w:r>
    </w:p>
    <w:p w:rsidR="00C5238B" w:rsidRPr="00DB5985" w:rsidP="00C5238B">
      <w:pPr>
        <w:bidi w:val="0"/>
        <w:spacing w:after="0" w:line="240" w:lineRule="auto"/>
        <w:ind w:left="360" w:hanging="360"/>
        <w:rPr>
          <w:rFonts w:ascii="Book Antiqua" w:hAnsi="Book Antiqua"/>
          <w:bCs/>
          <w:color w:val="000000" w:themeColor="tx1" w:themeShade="FF"/>
        </w:rPr>
      </w:pPr>
      <w:r w:rsidRPr="000C47C6">
        <w:rPr>
          <w:rFonts w:ascii="Book Antiqua" w:hAnsi="Book Antiqua"/>
          <w:bCs/>
        </w:rPr>
        <w:tab/>
        <w:t xml:space="preserve">c) </w:t>
      </w:r>
      <w:r w:rsidRPr="00DB5985">
        <w:rPr>
          <w:rFonts w:ascii="Book Antiqua" w:hAnsi="Book Antiqua"/>
          <w:bCs/>
          <w:color w:val="000000" w:themeColor="tx1" w:themeShade="FF"/>
        </w:rPr>
        <w:t>nie je obsiahnutý v judikatúre Súdneho dvora Európskej únie</w:t>
      </w:r>
      <w:r w:rsidRPr="00DB5985" w:rsidR="00CD17F5">
        <w:rPr>
          <w:rFonts w:ascii="Book Antiqua" w:hAnsi="Book Antiqua"/>
          <w:bCs/>
          <w:color w:val="000000" w:themeColor="tx1" w:themeShade="FF"/>
        </w:rPr>
        <w:t>.</w:t>
      </w:r>
    </w:p>
    <w:p w:rsidR="00C5238B" w:rsidP="00C5238B">
      <w:pPr>
        <w:bidi w:val="0"/>
        <w:jc w:val="both"/>
        <w:rPr>
          <w:rFonts w:ascii="Book Antiqua" w:hAnsi="Book Antiqua" w:cs="Arial"/>
        </w:rPr>
      </w:pPr>
    </w:p>
    <w:p w:rsidR="00DB5985" w:rsidRPr="00DB5985" w:rsidP="00DB5985">
      <w:pPr>
        <w:suppressAutoHyphens w:val="0"/>
        <w:bidi w:val="0"/>
        <w:spacing w:after="0" w:line="240" w:lineRule="auto"/>
        <w:jc w:val="both"/>
        <w:rPr>
          <w:rFonts w:ascii="Book Antiqua" w:hAnsi="Book Antiqua"/>
          <w:szCs w:val="27"/>
          <w:lang w:eastAsia="sk-SK"/>
        </w:rPr>
      </w:pPr>
      <w:r w:rsidRPr="00DB5985">
        <w:rPr>
          <w:rFonts w:ascii="Book Antiqua" w:hAnsi="Book Antiqua"/>
          <w:szCs w:val="27"/>
          <w:lang w:eastAsia="sk-SK"/>
        </w:rPr>
        <w:t>Vyjadrenie k bodom 4. a 5. je i relevantné, keďže predmet návrhu zákona nie je upravený v práve Európskej únie.</w:t>
      </w:r>
    </w:p>
    <w:p w:rsidR="00C5238B" w:rsidRPr="00317A3B" w:rsidP="00C5238B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Book Antiqua" w:hAnsi="Book Antiqua"/>
        </w:rPr>
      </w:pPr>
      <w:r>
        <w:rPr>
          <w:rFonts w:ascii="Book Antiqua" w:hAnsi="Book Antiqua" w:cs="Arial"/>
        </w:rPr>
        <w:br w:type="page"/>
      </w:r>
      <w:r w:rsidRPr="00317A3B">
        <w:rPr>
          <w:rFonts w:ascii="Book Antiqua" w:hAnsi="Book Antiqua"/>
          <w:b/>
          <w:bCs/>
          <w:sz w:val="28"/>
          <w:szCs w:val="28"/>
        </w:rPr>
        <w:t>Doložka vybraných vplyvov</w:t>
      </w:r>
    </w:p>
    <w:p w:rsidR="00C5238B" w:rsidRPr="00317A3B" w:rsidP="00C5238B">
      <w:pPr>
        <w:pStyle w:val="NormalWeb"/>
        <w:bidi w:val="0"/>
        <w:spacing w:before="0" w:beforeAutospacing="0" w:after="0" w:afterAutospacing="0"/>
        <w:ind w:right="-108"/>
        <w:jc w:val="center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  <w:sz w:val="28"/>
          <w:szCs w:val="28"/>
        </w:rPr>
        <w:t> </w:t>
      </w:r>
    </w:p>
    <w:p w:rsidR="00C5238B" w:rsidRPr="00317A3B" w:rsidP="00C5238B">
      <w:pPr>
        <w:pStyle w:val="NormalWeb"/>
        <w:bidi w:val="0"/>
        <w:spacing w:before="0" w:beforeAutospacing="0" w:after="0" w:afterAutospacing="0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</w:rPr>
        <w:t>  </w:t>
      </w:r>
    </w:p>
    <w:p w:rsidR="00C5238B" w:rsidP="004F09B2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  <w:b/>
          <w:bCs/>
        </w:rPr>
      </w:pPr>
      <w:r w:rsidRPr="00317A3B">
        <w:rPr>
          <w:rFonts w:ascii="Book Antiqua" w:hAnsi="Book Antiqua"/>
          <w:b/>
          <w:bCs/>
        </w:rPr>
        <w:t>A.1. Názov materiálu:</w:t>
      </w:r>
      <w:r>
        <w:rPr>
          <w:rFonts w:ascii="Book Antiqua" w:hAnsi="Book Antiqua"/>
          <w:b/>
          <w:bCs/>
        </w:rPr>
        <w:t xml:space="preserve"> </w:t>
      </w:r>
      <w:r w:rsidRPr="000C47C6">
        <w:rPr>
          <w:rFonts w:ascii="Book Antiqua" w:hAnsi="Book Antiqua"/>
          <w:sz w:val="22"/>
          <w:szCs w:val="22"/>
        </w:rPr>
        <w:t>Návrh</w:t>
      </w:r>
      <w:r w:rsidR="0089270C">
        <w:rPr>
          <w:rFonts w:ascii="Book Antiqua" w:hAnsi="Book Antiqua"/>
          <w:sz w:val="22"/>
          <w:szCs w:val="22"/>
        </w:rPr>
        <w:t xml:space="preserve"> </w:t>
      </w:r>
      <w:r w:rsidRPr="000C47C6">
        <w:rPr>
          <w:rFonts w:ascii="Book Antiqua" w:hAnsi="Book Antiqua"/>
          <w:sz w:val="22"/>
          <w:szCs w:val="22"/>
        </w:rPr>
        <w:t xml:space="preserve">zákona, ktorým sa mení </w:t>
      </w:r>
      <w:r w:rsidRPr="00CE2114" w:rsidR="00CE2114">
        <w:rPr>
          <w:rFonts w:ascii="Book Antiqua" w:hAnsi="Book Antiqua"/>
          <w:sz w:val="22"/>
          <w:szCs w:val="22"/>
        </w:rPr>
        <w:t xml:space="preserve">zákon č. 355/2007 Z. z. </w:t>
      </w:r>
      <w:r w:rsidR="00CE2114">
        <w:rPr>
          <w:rFonts w:ascii="Book Antiqua" w:hAnsi="Book Antiqua"/>
          <w:sz w:val="22"/>
          <w:szCs w:val="22"/>
        </w:rPr>
        <w:br/>
      </w:r>
      <w:r w:rsidRPr="00CE2114" w:rsidR="00CE2114">
        <w:rPr>
          <w:rFonts w:ascii="Book Antiqua" w:hAnsi="Book Antiqua"/>
          <w:sz w:val="22"/>
          <w:szCs w:val="22"/>
        </w:rPr>
        <w:t xml:space="preserve">o ochrane, podpore a rozvoji verejného zdravia a o zmene a doplnení niektorých zákonov </w:t>
      </w:r>
      <w:r w:rsidR="00CE2114">
        <w:rPr>
          <w:rFonts w:ascii="Book Antiqua" w:hAnsi="Book Antiqua"/>
          <w:sz w:val="22"/>
          <w:szCs w:val="22"/>
        </w:rPr>
        <w:br/>
      </w:r>
      <w:r w:rsidRPr="00CE2114" w:rsidR="00CE2114">
        <w:rPr>
          <w:rFonts w:ascii="Book Antiqua" w:hAnsi="Book Antiqua"/>
          <w:sz w:val="22"/>
          <w:szCs w:val="22"/>
        </w:rPr>
        <w:t>v znení neskorších predpisov</w:t>
      </w:r>
      <w:r w:rsidRPr="00CE2114">
        <w:rPr>
          <w:rFonts w:ascii="Book Antiqua" w:hAnsi="Book Antiqua"/>
          <w:sz w:val="22"/>
          <w:szCs w:val="22"/>
        </w:rPr>
        <w:t>.</w:t>
      </w:r>
    </w:p>
    <w:p w:rsidR="00C5238B" w:rsidRPr="00317A3B" w:rsidP="00C5238B">
      <w:pPr>
        <w:pStyle w:val="NormalWeb"/>
        <w:bidi w:val="0"/>
        <w:spacing w:before="0" w:beforeAutospacing="0" w:after="0" w:afterAutospacing="0"/>
        <w:rPr>
          <w:rFonts w:ascii="Book Antiqua" w:hAnsi="Book Antiqua"/>
        </w:rPr>
      </w:pPr>
    </w:p>
    <w:p w:rsidR="00C5238B" w:rsidRPr="00317A3B" w:rsidP="00C5238B">
      <w:pPr>
        <w:pStyle w:val="NormalWeb"/>
        <w:bidi w:val="0"/>
        <w:spacing w:before="0" w:beforeAutospacing="0" w:after="0" w:afterAutospacing="0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</w:rPr>
        <w:t>        Termín začatia a ukončenia PPK:</w:t>
      </w:r>
      <w:r>
        <w:rPr>
          <w:rFonts w:ascii="Book Antiqua" w:hAnsi="Book Antiqua"/>
          <w:b/>
          <w:bCs/>
        </w:rPr>
        <w:t xml:space="preserve"> </w:t>
      </w:r>
      <w:r w:rsidRPr="00925DC1">
        <w:rPr>
          <w:rFonts w:ascii="Book Antiqua" w:hAnsi="Book Antiqua"/>
          <w:bCs/>
        </w:rPr>
        <w:t>bez</w:t>
      </w:r>
      <w:r>
        <w:rPr>
          <w:rFonts w:ascii="Book Antiqua" w:hAnsi="Book Antiqua"/>
          <w:bCs/>
        </w:rPr>
        <w:t>predmetné</w:t>
      </w:r>
    </w:p>
    <w:p w:rsidR="00C5238B" w:rsidRPr="00317A3B" w:rsidP="00C5238B">
      <w:pPr>
        <w:pStyle w:val="NormalWeb"/>
        <w:bidi w:val="0"/>
        <w:spacing w:before="0" w:beforeAutospacing="0" w:after="0" w:afterAutospacing="0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</w:rPr>
        <w:t> </w:t>
      </w:r>
    </w:p>
    <w:p w:rsidR="00C5238B" w:rsidRPr="00317A3B" w:rsidP="00C5238B">
      <w:pPr>
        <w:pStyle w:val="NormalWeb"/>
        <w:bidi w:val="0"/>
        <w:spacing w:before="0" w:beforeAutospacing="0" w:after="0" w:afterAutospacing="0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</w:rPr>
        <w:t> </w:t>
      </w:r>
    </w:p>
    <w:p w:rsidR="00C5238B" w:rsidRPr="00317A3B" w:rsidP="00C5238B">
      <w:pPr>
        <w:pStyle w:val="NormalWeb"/>
        <w:bidi w:val="0"/>
        <w:spacing w:before="0" w:beforeAutospacing="0" w:after="0" w:afterAutospacing="0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</w:rPr>
        <w:t>A.2. Vplyvy:</w:t>
      </w:r>
    </w:p>
    <w:p w:rsidR="00C5238B" w:rsidRPr="00317A3B" w:rsidP="00C5238B">
      <w:pPr>
        <w:pStyle w:val="NormalWeb"/>
        <w:bidi w:val="0"/>
        <w:spacing w:before="0" w:beforeAutospacing="0" w:after="0" w:afterAutospacing="0"/>
        <w:rPr>
          <w:rFonts w:ascii="Book Antiqua" w:hAnsi="Book Antiqua"/>
        </w:rPr>
      </w:pPr>
      <w:r w:rsidRPr="00317A3B">
        <w:rPr>
          <w:rFonts w:ascii="Book Antiqua" w:hAnsi="Book Antiqua"/>
        </w:rPr>
        <w:t> </w:t>
      </w:r>
    </w:p>
    <w:tbl>
      <w:tblPr>
        <w:tblStyle w:val="TableNormal"/>
        <w:tblW w:w="8896" w:type="dxa"/>
        <w:tblInd w:w="108" w:type="dxa"/>
        <w:tblCellMar>
          <w:left w:w="0" w:type="dxa"/>
          <w:right w:w="0" w:type="dxa"/>
        </w:tblCellMar>
      </w:tblPr>
      <w:tblGrid>
        <w:gridCol w:w="5021"/>
        <w:gridCol w:w="1259"/>
        <w:gridCol w:w="1255"/>
        <w:gridCol w:w="1361"/>
      </w:tblGrid>
      <w:tr>
        <w:tblPrEx>
          <w:tblW w:w="8896" w:type="dxa"/>
          <w:tblInd w:w="108" w:type="dxa"/>
          <w:tblCellMar>
            <w:left w:w="0" w:type="dxa"/>
            <w:right w:w="0" w:type="dxa"/>
          </w:tblCellMar>
        </w:tblPrEx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C5238B" w:rsidRPr="00317A3B" w:rsidP="00FA155D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</w:rPr>
              <w:t> 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C5238B" w:rsidRPr="00317A3B" w:rsidP="00FA155D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</w:rPr>
              <w:t>Pozitívne</w:t>
            </w:r>
            <w:r w:rsidRPr="00317A3B">
              <w:rPr>
                <w:rFonts w:ascii="Book Antiqua" w:hAnsi="Book Antiqua"/>
                <w:sz w:val="16"/>
                <w:szCs w:val="16"/>
                <w:vertAlign w:val="superscript"/>
              </w:rPr>
              <w:t>*</w:t>
            </w:r>
            <w:r w:rsidRPr="00317A3B">
              <w:rPr>
                <w:rFonts w:ascii="Book Antiqua" w:hAnsi="Book Antiqua"/>
              </w:rPr>
              <w:t xml:space="preserve"> 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C5238B" w:rsidRPr="00317A3B" w:rsidP="00FA155D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</w:rPr>
              <w:t>Žiadne</w:t>
            </w:r>
            <w:r w:rsidRPr="00317A3B">
              <w:rPr>
                <w:rFonts w:ascii="Book Antiqua" w:hAnsi="Book Antiqua"/>
                <w:sz w:val="16"/>
                <w:szCs w:val="16"/>
                <w:vertAlign w:val="superscript"/>
              </w:rPr>
              <w:t>*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C5238B" w:rsidRPr="00317A3B" w:rsidP="00FA155D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</w:rPr>
              <w:t>Negatívne</w:t>
            </w:r>
            <w:r w:rsidRPr="00317A3B">
              <w:rPr>
                <w:rFonts w:ascii="Book Antiqua" w:hAnsi="Book Antiqua"/>
                <w:sz w:val="16"/>
                <w:szCs w:val="16"/>
                <w:vertAlign w:val="superscript"/>
              </w:rPr>
              <w:t>*</w:t>
            </w:r>
          </w:p>
        </w:tc>
      </w:tr>
      <w:tr>
        <w:tblPrEx>
          <w:tblW w:w="8896" w:type="dxa"/>
          <w:tblInd w:w="108" w:type="dxa"/>
          <w:tblCellMar>
            <w:left w:w="0" w:type="dxa"/>
            <w:right w:w="0" w:type="dxa"/>
          </w:tblCellMar>
        </w:tblPrEx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C5238B" w:rsidRPr="00317A3B" w:rsidP="00FA155D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  <w:sz w:val="22"/>
                <w:szCs w:val="22"/>
              </w:rPr>
              <w:t>1. Vplyvy na rozpočet verejnej správy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C5238B" w:rsidRPr="00317A3B" w:rsidP="00FA155D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Book Antiqua" w:hAnsi="Book Antiqua"/>
              </w:rPr>
            </w:pPr>
            <w:r w:rsidRPr="00EF3877" w:rsidR="00EF3877">
              <w:rPr>
                <w:rFonts w:ascii="Book Antiqua" w:hAnsi="Book Antiqua"/>
              </w:rPr>
              <w:t>x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C5238B" w:rsidRPr="00317A3B" w:rsidP="00FA155D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C5238B" w:rsidRPr="00317A3B" w:rsidP="00FA155D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Book Antiqua" w:hAnsi="Book Antiqua"/>
              </w:rPr>
            </w:pPr>
            <w:r w:rsidRPr="001C35D5" w:rsidR="001C35D5">
              <w:rPr>
                <w:rFonts w:ascii="Book Antiqua" w:hAnsi="Book Antiqua"/>
              </w:rPr>
              <w:t>x</w:t>
            </w:r>
          </w:p>
        </w:tc>
      </w:tr>
      <w:tr>
        <w:tblPrEx>
          <w:tblW w:w="8896" w:type="dxa"/>
          <w:tblInd w:w="108" w:type="dxa"/>
          <w:tblCellMar>
            <w:left w:w="0" w:type="dxa"/>
            <w:right w:w="0" w:type="dxa"/>
          </w:tblCellMar>
        </w:tblPrEx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C5238B" w:rsidRPr="00317A3B" w:rsidP="00FA155D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  <w:sz w:val="22"/>
                <w:szCs w:val="22"/>
              </w:rPr>
              <w:t>2. Vplyvy na podnikateľské prostredie – dochádza k zvýšeniu regulačného zaťaženia?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C5238B" w:rsidRPr="00317A3B" w:rsidP="00FA155D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C5238B" w:rsidRPr="00317A3B" w:rsidP="00FA155D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C5238B" w:rsidRPr="00317A3B" w:rsidP="00FA155D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Book Antiqua" w:hAnsi="Book Antiqua"/>
              </w:rPr>
            </w:pPr>
          </w:p>
        </w:tc>
      </w:tr>
      <w:tr>
        <w:tblPrEx>
          <w:tblW w:w="8896" w:type="dxa"/>
          <w:tblInd w:w="108" w:type="dxa"/>
          <w:tblCellMar>
            <w:left w:w="0" w:type="dxa"/>
            <w:right w:w="0" w:type="dxa"/>
          </w:tblCellMar>
        </w:tblPrEx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C5238B" w:rsidRPr="00317A3B" w:rsidP="00FA155D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  <w:sz w:val="22"/>
                <w:szCs w:val="22"/>
              </w:rPr>
              <w:t xml:space="preserve">3, Sociálne vplyvy </w:t>
            </w:r>
          </w:p>
          <w:p w:rsidR="00C5238B" w:rsidRPr="00925DC1" w:rsidP="00FA155D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Book Antiqua" w:hAnsi="Book Antiqua"/>
                <w:sz w:val="22"/>
              </w:rPr>
            </w:pPr>
            <w:r w:rsidRPr="00925DC1">
              <w:rPr>
                <w:rFonts w:ascii="Book Antiqua" w:hAnsi="Book Antiqua"/>
                <w:sz w:val="20"/>
                <w:szCs w:val="22"/>
              </w:rPr>
              <w:t>– vplyvy  na hospodárenie obyvateľstva,</w:t>
            </w:r>
          </w:p>
          <w:p w:rsidR="00C5238B" w:rsidRPr="00925DC1" w:rsidP="00FA155D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Book Antiqua" w:hAnsi="Book Antiqua"/>
                <w:sz w:val="22"/>
              </w:rPr>
            </w:pPr>
            <w:r w:rsidRPr="00925DC1">
              <w:rPr>
                <w:rFonts w:ascii="Book Antiqua" w:hAnsi="Book Antiqua"/>
                <w:sz w:val="20"/>
                <w:szCs w:val="22"/>
              </w:rPr>
              <w:t>-</w:t>
            </w:r>
            <w:r w:rsidR="00CE2114">
              <w:rPr>
                <w:rFonts w:ascii="Book Antiqua" w:hAnsi="Book Antiqua"/>
                <w:sz w:val="20"/>
                <w:szCs w:val="22"/>
              </w:rPr>
              <w:t xml:space="preserve"> </w:t>
            </w:r>
            <w:r w:rsidRPr="00925DC1">
              <w:rPr>
                <w:rFonts w:ascii="Book Antiqua" w:hAnsi="Book Antiqua"/>
                <w:sz w:val="20"/>
                <w:szCs w:val="22"/>
              </w:rPr>
              <w:t>sociálnu exklúziu,</w:t>
            </w:r>
          </w:p>
          <w:p w:rsidR="00C5238B" w:rsidRPr="00317A3B" w:rsidP="00FA155D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Book Antiqua" w:hAnsi="Book Antiqua"/>
              </w:rPr>
            </w:pPr>
            <w:r w:rsidRPr="00925DC1">
              <w:rPr>
                <w:rFonts w:ascii="Book Antiqua" w:hAnsi="Book Antiqua"/>
                <w:sz w:val="20"/>
                <w:szCs w:val="22"/>
              </w:rPr>
              <w:t>- rovnosť príležitostí a rodovú rovnosť a vplyvy na zamestnanosť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C5238B" w:rsidRPr="00317A3B" w:rsidP="00FA155D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Book Antiqua" w:hAnsi="Book Antiqua"/>
              </w:rPr>
            </w:pPr>
            <w:r w:rsidRPr="00B333FA" w:rsidR="00B333FA">
              <w:rPr>
                <w:rFonts w:ascii="Book Antiqua" w:hAnsi="Book Antiqua"/>
              </w:rPr>
              <w:t>x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C5238B" w:rsidRPr="00317A3B" w:rsidP="00FA155D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C5238B" w:rsidRPr="00317A3B" w:rsidP="00FA155D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Book Antiqua" w:hAnsi="Book Antiqua"/>
              </w:rPr>
            </w:pPr>
          </w:p>
        </w:tc>
      </w:tr>
      <w:tr>
        <w:tblPrEx>
          <w:tblW w:w="8896" w:type="dxa"/>
          <w:tblInd w:w="108" w:type="dxa"/>
          <w:tblCellMar>
            <w:left w:w="0" w:type="dxa"/>
            <w:right w:w="0" w:type="dxa"/>
          </w:tblCellMar>
        </w:tblPrEx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C5238B" w:rsidRPr="00317A3B" w:rsidP="00FA155D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  <w:sz w:val="22"/>
                <w:szCs w:val="22"/>
              </w:rPr>
              <w:t>4. Vplyvy na životné prostredie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C5238B" w:rsidRPr="00317A3B" w:rsidP="00FA155D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Book Antiqua" w:hAnsi="Book Antiqua"/>
              </w:rPr>
            </w:pPr>
            <w:r w:rsidRPr="00B333FA" w:rsidR="00B333FA">
              <w:rPr>
                <w:rFonts w:ascii="Book Antiqua" w:hAnsi="Book Antiqua"/>
              </w:rPr>
              <w:t>x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C5238B" w:rsidRPr="00317A3B" w:rsidP="00FA155D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C5238B" w:rsidRPr="00317A3B" w:rsidP="00FA155D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Book Antiqua" w:hAnsi="Book Antiqua"/>
              </w:rPr>
            </w:pPr>
          </w:p>
        </w:tc>
      </w:tr>
      <w:tr>
        <w:tblPrEx>
          <w:tblW w:w="8896" w:type="dxa"/>
          <w:tblInd w:w="108" w:type="dxa"/>
          <w:tblCellMar>
            <w:left w:w="0" w:type="dxa"/>
            <w:right w:w="0" w:type="dxa"/>
          </w:tblCellMar>
        </w:tblPrEx>
        <w:tc>
          <w:tcPr>
            <w:tcW w:w="5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top"/>
          </w:tcPr>
          <w:p w:rsidR="00C5238B" w:rsidRPr="00317A3B" w:rsidP="00FA155D">
            <w:pPr>
              <w:pStyle w:val="NormalWeb"/>
              <w:bidi w:val="0"/>
              <w:spacing w:before="0" w:beforeAutospacing="0" w:after="0" w:afterAutospacing="0" w:line="240" w:lineRule="auto"/>
              <w:rPr>
                <w:rFonts w:ascii="Book Antiqua" w:hAnsi="Book Antiqua"/>
              </w:rPr>
            </w:pPr>
            <w:r w:rsidRPr="00317A3B">
              <w:rPr>
                <w:rFonts w:ascii="Book Antiqua" w:hAnsi="Book Antiqua"/>
                <w:sz w:val="22"/>
                <w:szCs w:val="22"/>
              </w:rPr>
              <w:t>5. Vplyvy na informatizáciu spoločnosti</w:t>
            </w:r>
          </w:p>
        </w:tc>
        <w:tc>
          <w:tcPr>
            <w:tcW w:w="1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C5238B" w:rsidRPr="00317A3B" w:rsidP="00FA155D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Book Antiqua" w:hAnsi="Book Antiqua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C5238B" w:rsidRPr="00317A3B" w:rsidP="00FA155D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t>x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108" w:type="dxa"/>
              <w:bottom w:w="57" w:type="dxa"/>
              <w:right w:w="108" w:type="dxa"/>
            </w:tcMar>
            <w:textDirection w:val="lrTb"/>
            <w:vAlign w:val="center"/>
          </w:tcPr>
          <w:p w:rsidR="00C5238B" w:rsidRPr="00317A3B" w:rsidP="00FA155D">
            <w:pPr>
              <w:pStyle w:val="NormalWeb"/>
              <w:bidi w:val="0"/>
              <w:spacing w:before="0" w:beforeAutospacing="0" w:after="0" w:afterAutospacing="0" w:line="240" w:lineRule="auto"/>
              <w:jc w:val="center"/>
              <w:rPr>
                <w:rFonts w:ascii="Book Antiqua" w:hAnsi="Book Antiqua"/>
              </w:rPr>
            </w:pPr>
          </w:p>
        </w:tc>
      </w:tr>
    </w:tbl>
    <w:p w:rsidR="00C5238B" w:rsidP="00C5238B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  <w:b/>
          <w:bCs/>
          <w:sz w:val="16"/>
          <w:szCs w:val="16"/>
        </w:rPr>
      </w:pPr>
    </w:p>
    <w:p w:rsidR="00C5238B" w:rsidRPr="00317A3B" w:rsidP="00C5238B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  <w:sz w:val="16"/>
          <w:szCs w:val="16"/>
        </w:rPr>
        <w:t>*</w:t>
      </w:r>
      <w:r w:rsidRPr="00317A3B">
        <w:rPr>
          <w:rFonts w:ascii="Book Antiqua" w:hAnsi="Book Antiqua"/>
          <w:sz w:val="16"/>
          <w:szCs w:val="16"/>
        </w:rPr>
        <w:t xml:space="preserve"> Predkladateľ označí znakom x zodpovedajúci vplyv (pozitívny, negatívny, žiadny), ktorý návrh prináša v každej oblasti posudzovania vplyvov. Návrh môže mať v jednej oblasti zároveň pozitívny aj negatívny vplyv, v tom prípade predkladateľ označí obe možnosti. Bližšie vysvetlenie označených vplyvov bude obsahovať analýza vplyvov. Isté vysvetlenie, či bilanciu vplyvov (sumárne zhodnotenie, ktorý vplyv v danej oblasti prevažuje) môže predkladateľ uviesť v poznámke.</w:t>
      </w:r>
    </w:p>
    <w:p w:rsidR="00C5238B" w:rsidRPr="00317A3B" w:rsidP="00C5238B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</w:rPr>
      </w:pPr>
      <w:r w:rsidRPr="00317A3B">
        <w:rPr>
          <w:rFonts w:ascii="Book Antiqua" w:hAnsi="Book Antiqua"/>
          <w:sz w:val="16"/>
          <w:szCs w:val="16"/>
        </w:rPr>
        <w:t> </w:t>
      </w:r>
    </w:p>
    <w:p w:rsidR="00C5238B" w:rsidRPr="00317A3B" w:rsidP="00C5238B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</w:rPr>
      </w:pPr>
      <w:r w:rsidRPr="00317A3B">
        <w:rPr>
          <w:rFonts w:ascii="Book Antiqua" w:hAnsi="Book Antiqua"/>
        </w:rPr>
        <w:t> </w:t>
      </w:r>
    </w:p>
    <w:p w:rsidR="00C5238B" w:rsidRPr="00317A3B" w:rsidP="00C5238B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</w:rPr>
        <w:t>A.3. Poznámky</w:t>
      </w:r>
    </w:p>
    <w:p w:rsidR="00C5238B" w:rsidRPr="00317A3B" w:rsidP="00C5238B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</w:rPr>
      </w:pPr>
    </w:p>
    <w:p w:rsidR="00C5238B" w:rsidP="008F2E9A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Book Antiqua" w:hAnsi="Book Antiqua"/>
        </w:rPr>
      </w:pPr>
      <w:r>
        <w:rPr>
          <w:rFonts w:ascii="Book Antiqua" w:hAnsi="Book Antiqua"/>
        </w:rPr>
        <w:t>Návrh</w:t>
      </w:r>
      <w:r w:rsidR="0089270C">
        <w:rPr>
          <w:rFonts w:ascii="Book Antiqua" w:hAnsi="Book Antiqua"/>
        </w:rPr>
        <w:t xml:space="preserve"> </w:t>
      </w:r>
      <w:r>
        <w:rPr>
          <w:rFonts w:ascii="Book Antiqua" w:hAnsi="Book Antiqua"/>
        </w:rPr>
        <w:t>zákona</w:t>
      </w:r>
      <w:r w:rsidR="00EF3877">
        <w:rPr>
          <w:rFonts w:ascii="Book Antiqua" w:hAnsi="Book Antiqua"/>
        </w:rPr>
        <w:t xml:space="preserve"> má negatívny vplyv na rozpočet verejnej správy, nakoľko</w:t>
      </w:r>
      <w:r>
        <w:rPr>
          <w:rFonts w:ascii="Book Antiqua" w:hAnsi="Book Antiqua"/>
        </w:rPr>
        <w:t xml:space="preserve"> </w:t>
      </w:r>
      <w:r w:rsidR="001C35D5">
        <w:rPr>
          <w:rFonts w:ascii="Book Antiqua" w:hAnsi="Book Antiqua"/>
        </w:rPr>
        <w:t xml:space="preserve">spôsobí zníženie príjmov </w:t>
      </w:r>
      <w:r w:rsidR="00EF3877">
        <w:rPr>
          <w:rFonts w:ascii="Book Antiqua" w:hAnsi="Book Antiqua"/>
        </w:rPr>
        <w:t xml:space="preserve">plynúcich z pokút </w:t>
      </w:r>
      <w:r w:rsidR="001C35D5">
        <w:rPr>
          <w:rFonts w:ascii="Book Antiqua" w:hAnsi="Book Antiqua"/>
        </w:rPr>
        <w:t>za nepodrobeni</w:t>
      </w:r>
      <w:r w:rsidR="00EF3877">
        <w:rPr>
          <w:rFonts w:ascii="Book Antiqua" w:hAnsi="Book Antiqua"/>
        </w:rPr>
        <w:t>e</w:t>
      </w:r>
      <w:r w:rsidR="001C35D5">
        <w:rPr>
          <w:rFonts w:ascii="Book Antiqua" w:hAnsi="Book Antiqua"/>
        </w:rPr>
        <w:t xml:space="preserve"> sa očkovaniu.</w:t>
      </w:r>
      <w:r>
        <w:rPr>
          <w:rFonts w:ascii="Book Antiqua" w:hAnsi="Book Antiqua"/>
        </w:rPr>
        <w:t xml:space="preserve"> </w:t>
      </w:r>
      <w:r w:rsidR="00EF3877">
        <w:rPr>
          <w:rFonts w:ascii="Book Antiqua" w:hAnsi="Book Antiqua"/>
        </w:rPr>
        <w:t xml:space="preserve">Na druhej strane má aj pozitívny vplyv </w:t>
      </w:r>
      <w:r w:rsidRPr="00EF3877" w:rsidR="00EF3877">
        <w:rPr>
          <w:rFonts w:ascii="Book Antiqua" w:hAnsi="Book Antiqua"/>
        </w:rPr>
        <w:t>na rozpočet verejnej správy</w:t>
      </w:r>
      <w:r w:rsidR="00EF3877">
        <w:rPr>
          <w:rFonts w:ascii="Book Antiqua" w:hAnsi="Book Antiqua"/>
        </w:rPr>
        <w:t>, konkrétne na zníž</w:t>
      </w:r>
      <w:r w:rsidR="008F2E9A">
        <w:rPr>
          <w:rFonts w:ascii="Book Antiqua" w:hAnsi="Book Antiqua"/>
        </w:rPr>
        <w:t xml:space="preserve">enie výdavkov verejného </w:t>
      </w:r>
      <w:r w:rsidR="00EF3877">
        <w:rPr>
          <w:rFonts w:ascii="Book Antiqua" w:hAnsi="Book Antiqua"/>
        </w:rPr>
        <w:t xml:space="preserve">zdravotného poistenia, pretože sa predpokladá zníženiu počtu osôb, </w:t>
      </w:r>
      <w:r w:rsidR="009C3924">
        <w:rPr>
          <w:rFonts w:ascii="Book Antiqua" w:hAnsi="Book Antiqua"/>
        </w:rPr>
        <w:br/>
      </w:r>
      <w:r w:rsidR="00EF3877">
        <w:rPr>
          <w:rFonts w:ascii="Book Antiqua" w:hAnsi="Book Antiqua"/>
        </w:rPr>
        <w:t>ktoré sa podrobia očkovaniu, a tým aj zníženie výdavkov na vakcíny.</w:t>
      </w:r>
    </w:p>
    <w:p w:rsidR="008F2E9A" w:rsidP="008F2E9A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Book Antiqua" w:hAnsi="Book Antiqua"/>
        </w:rPr>
      </w:pPr>
    </w:p>
    <w:p w:rsidR="008F2E9A" w:rsidP="008F2E9A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Book Antiqua" w:hAnsi="Book Antiqua"/>
        </w:rPr>
      </w:pPr>
      <w:r>
        <w:rPr>
          <w:rFonts w:ascii="Book Antiqua" w:hAnsi="Book Antiqua"/>
        </w:rPr>
        <w:t>Návrh zákona má pozitívny sociálny vplyv, nakoľko posilňuje základné ľudské práva, informovanosť občanov Slovenskej republiky o rizikách spojených s lekárskymi zákrokmi a zodpovednosť lekárov pri výkone lekárskej praxe.</w:t>
      </w:r>
    </w:p>
    <w:p w:rsidR="008F2E9A" w:rsidP="008F2E9A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Book Antiqua" w:hAnsi="Book Antiqua"/>
        </w:rPr>
      </w:pPr>
    </w:p>
    <w:p w:rsidR="008F2E9A" w:rsidP="008F2E9A">
      <w:pPr>
        <w:pStyle w:val="NormalWeb"/>
        <w:bidi w:val="0"/>
        <w:spacing w:before="0" w:beforeAutospacing="0" w:after="0" w:afterAutospacing="0"/>
        <w:ind w:firstLine="708"/>
        <w:jc w:val="both"/>
        <w:rPr>
          <w:rFonts w:ascii="Book Antiqua" w:hAnsi="Book Antiqua"/>
        </w:rPr>
      </w:pPr>
      <w:r>
        <w:rPr>
          <w:rFonts w:ascii="Book Antiqua" w:hAnsi="Book Antiqua"/>
        </w:rPr>
        <w:t>Pozitívny vplyv návrhu zákona sa prejavuje aj v oblasti životného prostredia, pretože predpokladaná nižšia miera používania vakcín povedie k zníženiu medicínskych odpadov, ktorých uskladnenie a bezpečná likvidácia sú finančne náročné.</w:t>
      </w:r>
    </w:p>
    <w:p w:rsidR="008F2E9A" w:rsidP="00C5238B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</w:rPr>
      </w:pPr>
    </w:p>
    <w:p w:rsidR="008F2E9A" w:rsidP="00C5238B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</w:rPr>
      </w:pPr>
    </w:p>
    <w:p w:rsidR="00C5238B" w:rsidRPr="00317A3B" w:rsidP="00C5238B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</w:rPr>
        <w:t>A.4. Alternatívne riešenia</w:t>
      </w:r>
    </w:p>
    <w:p w:rsidR="00C5238B" w:rsidRPr="00317A3B" w:rsidP="00C5238B">
      <w:pPr>
        <w:pStyle w:val="NormalWeb"/>
        <w:bidi w:val="0"/>
        <w:spacing w:before="0" w:beforeAutospacing="0" w:after="0" w:afterAutospacing="0"/>
        <w:ind w:left="1416"/>
        <w:jc w:val="both"/>
        <w:rPr>
          <w:rFonts w:ascii="Book Antiqua" w:hAnsi="Book Antiqua"/>
        </w:rPr>
      </w:pPr>
      <w:r w:rsidRPr="00317A3B">
        <w:rPr>
          <w:rFonts w:ascii="Book Antiqua" w:hAnsi="Book Antiqua"/>
          <w:sz w:val="22"/>
          <w:szCs w:val="22"/>
        </w:rPr>
        <w:t> </w:t>
      </w:r>
    </w:p>
    <w:p w:rsidR="00C5238B" w:rsidRPr="001C35D5" w:rsidP="00C5238B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  <w:color w:val="000000" w:themeColor="tx1" w:themeShade="FF"/>
        </w:rPr>
      </w:pPr>
      <w:r w:rsidRPr="001C35D5">
        <w:rPr>
          <w:rFonts w:ascii="Book Antiqua" w:hAnsi="Book Antiqua"/>
          <w:color w:val="000000" w:themeColor="tx1" w:themeShade="FF"/>
        </w:rPr>
        <w:t xml:space="preserve">Na dosiahnutie cieľa </w:t>
      </w:r>
      <w:r w:rsidR="001C35D5">
        <w:rPr>
          <w:rFonts w:ascii="Book Antiqua" w:hAnsi="Book Antiqua"/>
          <w:color w:val="000000" w:themeColor="tx1" w:themeShade="FF"/>
        </w:rPr>
        <w:t xml:space="preserve">uvedeného v dôvodovej správe </w:t>
      </w:r>
      <w:r w:rsidRPr="001C35D5">
        <w:rPr>
          <w:rFonts w:ascii="Book Antiqua" w:hAnsi="Book Antiqua"/>
          <w:color w:val="000000" w:themeColor="tx1" w:themeShade="FF"/>
        </w:rPr>
        <w:t>nie je možné použiť iné riešenie, než je predložené.</w:t>
      </w:r>
    </w:p>
    <w:p w:rsidR="00C5238B" w:rsidRPr="00317A3B" w:rsidP="00C5238B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</w:rPr>
      </w:pPr>
      <w:r w:rsidRPr="00317A3B">
        <w:rPr>
          <w:rFonts w:ascii="Book Antiqua" w:hAnsi="Book Antiqua"/>
          <w:b/>
          <w:bCs/>
        </w:rPr>
        <w:t> </w:t>
      </w:r>
    </w:p>
    <w:p w:rsidR="00C5238B" w:rsidP="00C5238B">
      <w:pPr>
        <w:pStyle w:val="NormalWeb"/>
        <w:bidi w:val="0"/>
        <w:spacing w:before="0" w:beforeAutospacing="0" w:after="0" w:afterAutospacing="0"/>
        <w:rPr>
          <w:rFonts w:ascii="Book Antiqua" w:hAnsi="Book Antiqua"/>
          <w:b/>
          <w:bCs/>
        </w:rPr>
      </w:pPr>
      <w:r w:rsidRPr="00317A3B">
        <w:rPr>
          <w:rFonts w:ascii="Book Antiqua" w:hAnsi="Book Antiqua"/>
          <w:b/>
          <w:bCs/>
        </w:rPr>
        <w:t xml:space="preserve">A.5. Stanovisko gestorov </w:t>
      </w:r>
    </w:p>
    <w:p w:rsidR="00C5238B" w:rsidP="00C5238B">
      <w:pPr>
        <w:pStyle w:val="NormalWeb"/>
        <w:bidi w:val="0"/>
        <w:spacing w:before="0" w:beforeAutospacing="0" w:after="0" w:afterAutospacing="0"/>
        <w:rPr>
          <w:rFonts w:ascii="Book Antiqua" w:hAnsi="Book Antiqua"/>
          <w:b/>
          <w:bCs/>
        </w:rPr>
      </w:pPr>
    </w:p>
    <w:p w:rsidR="00265C56" w:rsidRPr="00EF3877" w:rsidP="00EF3877">
      <w:pPr>
        <w:pStyle w:val="NormalWeb"/>
        <w:bidi w:val="0"/>
        <w:spacing w:before="0" w:beforeAutospacing="0" w:after="0" w:afterAutospacing="0"/>
        <w:jc w:val="both"/>
        <w:rPr>
          <w:rFonts w:ascii="Book Antiqua" w:hAnsi="Book Antiqua"/>
        </w:rPr>
      </w:pPr>
      <w:r w:rsidRPr="00925DC1" w:rsidR="00C5238B">
        <w:rPr>
          <w:rFonts w:ascii="Book Antiqua" w:hAnsi="Book Antiqua"/>
          <w:bCs/>
        </w:rPr>
        <w:t>Návrh</w:t>
      </w:r>
      <w:r w:rsidR="0089270C">
        <w:rPr>
          <w:rFonts w:ascii="Book Antiqua" w:hAnsi="Book Antiqua"/>
          <w:bCs/>
        </w:rPr>
        <w:t xml:space="preserve"> </w:t>
      </w:r>
      <w:r w:rsidRPr="00925DC1" w:rsidR="00C5238B">
        <w:rPr>
          <w:rFonts w:ascii="Book Antiqua" w:hAnsi="Book Antiqua"/>
          <w:bCs/>
        </w:rPr>
        <w:t xml:space="preserve">zákona bol zaslaný na posúdenie Ministerstvu financií SR. </w:t>
      </w:r>
      <w:r w:rsidR="00C5238B">
        <w:rPr>
          <w:rFonts w:ascii="Book Antiqua" w:hAnsi="Book Antiqua"/>
          <w:bCs/>
        </w:rPr>
        <w:t>Stanovisko ministerstva tvo</w:t>
      </w:r>
      <w:r w:rsidR="00CE2114">
        <w:rPr>
          <w:rFonts w:ascii="Book Antiqua" w:hAnsi="Book Antiqua"/>
          <w:bCs/>
        </w:rPr>
        <w:t>rí prílohu predkladaného návrhu</w:t>
      </w:r>
      <w:r w:rsidR="0089270C">
        <w:rPr>
          <w:rFonts w:ascii="Book Antiqua" w:hAnsi="Book Antiqua"/>
          <w:bCs/>
        </w:rPr>
        <w:t xml:space="preserve"> </w:t>
      </w:r>
      <w:r w:rsidR="00C5238B">
        <w:rPr>
          <w:rFonts w:ascii="Book Antiqua" w:hAnsi="Book Antiqua"/>
          <w:bCs/>
        </w:rPr>
        <w:t>zákona.</w:t>
      </w:r>
    </w:p>
    <w:sectPr w:rsidSect="00EF3877">
      <w:pgSz w:w="11906" w:h="16838"/>
      <w:pgMar w:top="1304" w:right="1304" w:bottom="1304" w:left="1304" w:header="709" w:footer="709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Arial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Segoe UI">
    <w:panose1 w:val="020B0502040204020203"/>
    <w:charset w:val="EE"/>
    <w:family w:val="swiss"/>
    <w:pitch w:val="variable"/>
    <w:sig w:usb0="00000000" w:usb1="00000000" w:usb2="00000000" w:usb3="00000000" w:csb0="000001DF" w:csb1="00000000"/>
  </w:font>
  <w:font w:name="Book Antiqua">
    <w:altName w:val="Book Antiqua"/>
    <w:panose1 w:val="00000000000000000000"/>
    <w:charset w:val="EE"/>
    <w:family w:val="roman"/>
    <w:pitch w:val="variable"/>
    <w:sig w:usb0="00000000" w:usb1="00000000" w:usb2="00000000" w:usb3="00000000" w:csb0="0000009F" w:csb1="00000000"/>
  </w:font>
  <w:font w:name="Liberation Serif">
    <w:altName w:val="Times New Roman"/>
    <w:panose1 w:val="00000000000000000000"/>
    <w:charset w:val="EE"/>
    <w:family w:val="roman"/>
    <w:pitch w:val="variable"/>
    <w:sig w:usb0="00000000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Book Antiqua" w:hAnsi="Book Antiqua" w:cs="Times New Roman" w:hint="default"/>
        <w:sz w:val="22"/>
        <w:szCs w:val="22"/>
        <w:rtl w:val="0"/>
        <w:cs w:val="0"/>
      </w:rPr>
    </w:lvl>
  </w:abstractNum>
  <w:abstractNum w:abstractNumId="1">
    <w:nsid w:val="0733660D"/>
    <w:multiLevelType w:val="hybridMultilevel"/>
    <w:tmpl w:val="EBAA69B8"/>
    <w:lvl w:ilvl="0">
      <w:start w:val="1"/>
      <w:numFmt w:val="lowerLetter"/>
      <w:lvlText w:val="%1)"/>
      <w:lvlJc w:val="left"/>
      <w:pPr>
        <w:ind w:left="360" w:hanging="360"/>
      </w:pPr>
      <w:rPr>
        <w:rFonts w:ascii="Book Antiqua" w:hAnsi="Book Antiqua" w:cs="Arial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2">
    <w:nsid w:val="15023245"/>
    <w:multiLevelType w:val="hybridMultilevel"/>
    <w:tmpl w:val="6A166060"/>
    <w:lvl w:ilvl="0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cs="Times New Roman"/>
        <w:rtl w:val="0"/>
        <w:cs w:val="0"/>
      </w:rPr>
    </w:lvl>
  </w:abstractNum>
  <w:abstractNum w:abstractNumId="3">
    <w:nsid w:val="473C0834"/>
    <w:multiLevelType w:val="hybridMultilevel"/>
    <w:tmpl w:val="9F1CA23C"/>
    <w:lvl w:ilvl="0">
      <w:start w:val="1"/>
      <w:numFmt w:val="upperRoman"/>
      <w:lvlText w:val="%1."/>
      <w:lvlJc w:val="left"/>
      <w:pPr>
        <w:ind w:left="1620" w:hanging="72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9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7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4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1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8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5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3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020" w:hanging="180"/>
      </w:pPr>
      <w:rPr>
        <w:rFonts w:cs="Times New Roman"/>
        <w:rtl w:val="0"/>
        <w:cs w:val="0"/>
      </w:rPr>
    </w:lvl>
  </w:abstractNum>
  <w:abstractNum w:abstractNumId="4">
    <w:nsid w:val="56AD6E6C"/>
    <w:multiLevelType w:val="hybridMultilevel"/>
    <w:tmpl w:val="289EA2EA"/>
    <w:lvl w:ilvl="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5">
    <w:nsid w:val="65B63589"/>
    <w:multiLevelType w:val="hybridMultilevel"/>
    <w:tmpl w:val="10BA18F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8"/>
  <w:hyphenationZone w:val="425"/>
  <w:characterSpacingControl w:val="doNotCompress"/>
  <w:compat/>
  <w:rsids>
    <w:rsidRoot w:val="00C5238B"/>
    <w:rsid w:val="00011AEB"/>
    <w:rsid w:val="00024802"/>
    <w:rsid w:val="000944BB"/>
    <w:rsid w:val="000B2FAE"/>
    <w:rsid w:val="000C156B"/>
    <w:rsid w:val="000C47C6"/>
    <w:rsid w:val="000E6793"/>
    <w:rsid w:val="00114D93"/>
    <w:rsid w:val="00121DBE"/>
    <w:rsid w:val="00126CC1"/>
    <w:rsid w:val="00133D4F"/>
    <w:rsid w:val="001632E7"/>
    <w:rsid w:val="00170248"/>
    <w:rsid w:val="001C329B"/>
    <w:rsid w:val="001C35D5"/>
    <w:rsid w:val="00205740"/>
    <w:rsid w:val="00265C56"/>
    <w:rsid w:val="002820C8"/>
    <w:rsid w:val="003059AB"/>
    <w:rsid w:val="00317A3B"/>
    <w:rsid w:val="00334AA1"/>
    <w:rsid w:val="003400DA"/>
    <w:rsid w:val="00361473"/>
    <w:rsid w:val="00377562"/>
    <w:rsid w:val="003C1391"/>
    <w:rsid w:val="00422E02"/>
    <w:rsid w:val="0042757B"/>
    <w:rsid w:val="00462133"/>
    <w:rsid w:val="00472E03"/>
    <w:rsid w:val="004D2B56"/>
    <w:rsid w:val="004F09B2"/>
    <w:rsid w:val="005B4FBA"/>
    <w:rsid w:val="005E2879"/>
    <w:rsid w:val="005E3ACF"/>
    <w:rsid w:val="006061FE"/>
    <w:rsid w:val="00634B93"/>
    <w:rsid w:val="006728FA"/>
    <w:rsid w:val="006974DD"/>
    <w:rsid w:val="006C1AE0"/>
    <w:rsid w:val="0072063B"/>
    <w:rsid w:val="007239B0"/>
    <w:rsid w:val="00771758"/>
    <w:rsid w:val="00786005"/>
    <w:rsid w:val="00812F93"/>
    <w:rsid w:val="00820496"/>
    <w:rsid w:val="00851C88"/>
    <w:rsid w:val="0089270C"/>
    <w:rsid w:val="008977E9"/>
    <w:rsid w:val="008B5E0B"/>
    <w:rsid w:val="008C4076"/>
    <w:rsid w:val="008D4FF3"/>
    <w:rsid w:val="008F2E9A"/>
    <w:rsid w:val="00914DA3"/>
    <w:rsid w:val="00923346"/>
    <w:rsid w:val="00925DC1"/>
    <w:rsid w:val="009605D9"/>
    <w:rsid w:val="009655BA"/>
    <w:rsid w:val="00985CBB"/>
    <w:rsid w:val="009C3924"/>
    <w:rsid w:val="00A215B8"/>
    <w:rsid w:val="00B105A0"/>
    <w:rsid w:val="00B333FA"/>
    <w:rsid w:val="00B5595C"/>
    <w:rsid w:val="00B845D6"/>
    <w:rsid w:val="00C46AE6"/>
    <w:rsid w:val="00C5238B"/>
    <w:rsid w:val="00C737D6"/>
    <w:rsid w:val="00C84EED"/>
    <w:rsid w:val="00C86871"/>
    <w:rsid w:val="00CB42AB"/>
    <w:rsid w:val="00CD17F5"/>
    <w:rsid w:val="00CE2114"/>
    <w:rsid w:val="00D63EA2"/>
    <w:rsid w:val="00D70F0C"/>
    <w:rsid w:val="00D93BED"/>
    <w:rsid w:val="00DA1A51"/>
    <w:rsid w:val="00DB5985"/>
    <w:rsid w:val="00DC29DE"/>
    <w:rsid w:val="00E45487"/>
    <w:rsid w:val="00E92958"/>
    <w:rsid w:val="00E93C27"/>
    <w:rsid w:val="00EC3DE4"/>
    <w:rsid w:val="00ED50C3"/>
    <w:rsid w:val="00EE3E46"/>
    <w:rsid w:val="00EF3877"/>
    <w:rsid w:val="00EF71AD"/>
    <w:rsid w:val="00F216AA"/>
    <w:rsid w:val="00F34AD1"/>
    <w:rsid w:val="00F40EDF"/>
    <w:rsid w:val="00F41953"/>
    <w:rsid w:val="00F450DA"/>
    <w:rsid w:val="00FA155D"/>
    <w:rsid w:val="00FA6FFF"/>
    <w:rsid w:val="00FD1E82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238B"/>
    <w:pPr>
      <w:framePr w:wrap="auto"/>
      <w:widowControl/>
      <w:suppressAutoHyphens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hAnsi="Calibri" w:cs="Times New Roman"/>
      <w:sz w:val="22"/>
      <w:szCs w:val="22"/>
      <w:rtl w:val="0"/>
      <w:cs w:val="0"/>
      <w:lang w:val="sk-SK" w:eastAsia="zh-CN"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ZkladntextChar"/>
    <w:uiPriority w:val="99"/>
    <w:rsid w:val="00C5238B"/>
    <w:pPr>
      <w:spacing w:after="140" w:line="288" w:lineRule="auto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locked/>
    <w:rsid w:val="00C5238B"/>
    <w:rPr>
      <w:rFonts w:ascii="Calibri" w:hAnsi="Calibri" w:cs="Times New Roman"/>
      <w:rtl w:val="0"/>
      <w:cs w:val="0"/>
      <w:lang w:val="x-none" w:eastAsia="zh-CN"/>
    </w:rPr>
  </w:style>
  <w:style w:type="paragraph" w:styleId="ListParagraph">
    <w:name w:val="List Paragraph"/>
    <w:basedOn w:val="Normal"/>
    <w:uiPriority w:val="34"/>
    <w:qFormat/>
    <w:rsid w:val="00C5238B"/>
    <w:pPr>
      <w:widowControl w:val="0"/>
      <w:autoSpaceDE w:val="0"/>
      <w:spacing w:line="240" w:lineRule="auto"/>
      <w:ind w:left="720"/>
      <w:jc w:val="left"/>
    </w:pPr>
    <w:rPr>
      <w:rFonts w:cs="Calibri"/>
      <w:color w:val="000000"/>
      <w:kern w:val="1"/>
      <w:lang w:bidi="hi-IN"/>
    </w:rPr>
  </w:style>
  <w:style w:type="paragraph" w:customStyle="1" w:styleId="Default">
    <w:name w:val="Default"/>
    <w:rsid w:val="00C5238B"/>
    <w:pPr>
      <w:framePr w:wrap="auto"/>
      <w:widowControl w:val="0"/>
      <w:suppressAutoHyphens/>
      <w:autoSpaceDE w:val="0"/>
      <w:autoSpaceDN/>
      <w:adjustRightInd/>
      <w:ind w:left="0" w:right="0"/>
      <w:jc w:val="left"/>
      <w:textAlignment w:val="auto"/>
    </w:pPr>
    <w:rPr>
      <w:rFonts w:ascii="Liberation Serif" w:hAnsi="Liberation Serif" w:cs="Liberation Serif"/>
      <w:color w:val="000000"/>
      <w:kern w:val="1"/>
      <w:sz w:val="24"/>
      <w:szCs w:val="24"/>
      <w:rtl w:val="0"/>
      <w:cs w:val="0"/>
      <w:lang w:val="sk-SK" w:eastAsia="zh-CN" w:bidi="hi-IN"/>
    </w:rPr>
  </w:style>
  <w:style w:type="paragraph" w:customStyle="1" w:styleId="WW-Default">
    <w:name w:val="WW-Default"/>
    <w:rsid w:val="00C5238B"/>
    <w:pPr>
      <w:framePr w:wrap="auto"/>
      <w:widowControl w:val="0"/>
      <w:suppressAutoHyphens/>
      <w:autoSpaceDE w:val="0"/>
      <w:autoSpaceDN/>
      <w:adjustRightInd/>
      <w:ind w:left="0" w:right="0"/>
      <w:jc w:val="left"/>
      <w:textAlignment w:val="auto"/>
    </w:pPr>
    <w:rPr>
      <w:rFonts w:ascii="Calibri" w:hAnsi="Calibri" w:cs="Calibri"/>
      <w:color w:val="000000"/>
      <w:kern w:val="1"/>
      <w:sz w:val="24"/>
      <w:szCs w:val="24"/>
      <w:rtl w:val="0"/>
      <w:cs w:val="0"/>
      <w:lang w:val="sk-SK" w:eastAsia="zh-CN" w:bidi="hi-IN"/>
    </w:rPr>
  </w:style>
  <w:style w:type="paragraph" w:customStyle="1" w:styleId="TextBody">
    <w:name w:val="Text Body"/>
    <w:basedOn w:val="Default"/>
    <w:rsid w:val="00C5238B"/>
    <w:pPr>
      <w:spacing w:after="140" w:line="288" w:lineRule="auto"/>
      <w:jc w:val="both"/>
    </w:pPr>
    <w:rPr>
      <w:sz w:val="28"/>
      <w:szCs w:val="28"/>
      <w:lang w:bidi="ar-SA"/>
    </w:rPr>
  </w:style>
  <w:style w:type="character" w:styleId="Hyperlink">
    <w:name w:val="Hyperlink"/>
    <w:basedOn w:val="DefaultParagraphFont"/>
    <w:uiPriority w:val="99"/>
    <w:rsid w:val="00C5238B"/>
    <w:rPr>
      <w:rFonts w:cs="Times New Roman"/>
      <w:color w:val="0563C1" w:themeColor="hlink" w:themeShade="FF"/>
      <w:u w:val="single"/>
      <w:rtl w:val="0"/>
      <w:cs w:val="0"/>
    </w:rPr>
  </w:style>
  <w:style w:type="paragraph" w:styleId="NormalWeb">
    <w:name w:val="Normal (Web)"/>
    <w:basedOn w:val="Normal"/>
    <w:uiPriority w:val="99"/>
    <w:rsid w:val="00C5238B"/>
    <w:pPr>
      <w:suppressAutoHyphens w:val="0"/>
      <w:spacing w:before="100" w:beforeAutospacing="1" w:after="100" w:afterAutospacing="1" w:line="240" w:lineRule="auto"/>
      <w:jc w:val="left"/>
    </w:pPr>
    <w:rPr>
      <w:rFonts w:ascii="Times New Roman" w:hAnsi="Times New Roman"/>
      <w:sz w:val="24"/>
      <w:szCs w:val="24"/>
      <w:lang w:eastAsia="sk-SK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1C329B"/>
    <w:pPr>
      <w:spacing w:after="0" w:line="240" w:lineRule="auto"/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1C329B"/>
    <w:rPr>
      <w:rFonts w:ascii="Segoe UI" w:hAnsi="Segoe UI" w:cs="Segoe UI"/>
      <w:sz w:val="18"/>
      <w:szCs w:val="18"/>
      <w:rtl w:val="0"/>
      <w:cs w:val="0"/>
      <w:lang w:val="x-none" w:eastAsia="zh-CN"/>
    </w:rPr>
  </w:style>
  <w:style w:type="table" w:styleId="TableGrid">
    <w:name w:val="Table Grid"/>
    <w:basedOn w:val="TableNormal"/>
    <w:uiPriority w:val="59"/>
    <w:rsid w:val="00D70F0C"/>
    <w:pPr>
      <w:spacing w:after="0" w:line="240" w:lineRule="auto"/>
    </w:pPr>
    <w:rPr>
      <w:rFonts w:ascii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1B3D0-99B7-4B58-8A21-D0D51C4B8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233</TotalTime>
  <Pages>3</Pages>
  <Words>460</Words>
  <Characters>2623</Characters>
  <Application>Microsoft Office Word</Application>
  <DocSecurity>0</DocSecurity>
  <Lines>0</Lines>
  <Paragraphs>0</Paragraphs>
  <ScaleCrop>false</ScaleCrop>
  <Company/>
  <LinksUpToDate>false</LinksUpToDate>
  <CharactersWithSpaces>3077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rastislav.schlosar</dc:creator>
  <cp:lastModifiedBy>rastislav.schlosar</cp:lastModifiedBy>
  <cp:revision>12</cp:revision>
  <cp:lastPrinted>2016-11-02T08:18:00Z</cp:lastPrinted>
  <dcterms:created xsi:type="dcterms:W3CDTF">2016-12-29T09:55:00Z</dcterms:created>
  <dcterms:modified xsi:type="dcterms:W3CDTF">2017-01-11T23:43:00Z</dcterms:modified>
</cp:coreProperties>
</file>