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 w:rsidR="000B2FAE">
        <w:rPr>
          <w:rFonts w:ascii="Times New Roman" w:hAnsi="Times New Roman"/>
          <w:sz w:val="28"/>
          <w:szCs w:val="28"/>
        </w:rPr>
        <w:br/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>zákon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</w:t>
      </w:r>
      <w:r w:rsidR="00162D55">
        <w:rPr>
          <w:rFonts w:ascii="Book Antiqua" w:hAnsi="Book Antiqua"/>
        </w:rPr>
        <w:t>7</w:t>
      </w:r>
      <w:r>
        <w:rPr>
          <w:rFonts w:ascii="Book Antiqua" w:hAnsi="Book Antiqua"/>
        </w:rPr>
        <w:t>,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P="00F450DA">
      <w:pPr>
        <w:pStyle w:val="TextBody"/>
        <w:bidi w:val="0"/>
        <w:jc w:val="center"/>
        <w:rPr>
          <w:rFonts w:ascii="Book Antiqua" w:hAnsi="Book Antiqua" w:cs="Times New Roman"/>
          <w:b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 xml:space="preserve">ktorým sa mení </w:t>
      </w:r>
      <w:r w:rsidR="00FD19DF">
        <w:rPr>
          <w:rFonts w:ascii="Book Antiqua" w:hAnsi="Book Antiqua" w:cs="Times New Roman"/>
          <w:b/>
          <w:sz w:val="22"/>
          <w:szCs w:val="22"/>
        </w:rPr>
        <w:t>zákon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="00FD19DF">
        <w:rPr>
          <w:rFonts w:ascii="Book Antiqua" w:hAnsi="Book Antiqua" w:cs="Times New Roman"/>
          <w:b/>
          <w:sz w:val="22"/>
          <w:szCs w:val="22"/>
        </w:rPr>
        <w:t>355/2007 Z</w:t>
      </w:r>
      <w:r w:rsidRPr="006974DD">
        <w:rPr>
          <w:rFonts w:ascii="Book Antiqua" w:hAnsi="Book Antiqua" w:cs="Times New Roman"/>
          <w:b/>
          <w:sz w:val="22"/>
          <w:szCs w:val="22"/>
        </w:rPr>
        <w:t>.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z. </w:t>
      </w:r>
      <w:r w:rsidRPr="00FD19DF" w:rsidR="00FD19DF">
        <w:rPr>
          <w:rFonts w:ascii="Book Antiqua" w:hAnsi="Book Antiqua" w:cs="Times New Roman"/>
          <w:b/>
          <w:sz w:val="22"/>
          <w:szCs w:val="22"/>
        </w:rPr>
        <w:t xml:space="preserve">o ochrane, podpore a rozvoji verejného zdravia </w:t>
      </w:r>
      <w:r w:rsidR="00FD19DF">
        <w:rPr>
          <w:rFonts w:ascii="Book Antiqua" w:hAnsi="Book Antiqua" w:cs="Times New Roman"/>
          <w:b/>
          <w:sz w:val="22"/>
          <w:szCs w:val="22"/>
        </w:rPr>
        <w:br/>
      </w:r>
      <w:r w:rsidRPr="00FD19DF" w:rsidR="00FD19DF">
        <w:rPr>
          <w:rFonts w:ascii="Book Antiqua" w:hAnsi="Book Antiqua" w:cs="Times New Roman"/>
          <w:b/>
          <w:sz w:val="22"/>
          <w:szCs w:val="22"/>
        </w:rPr>
        <w:t>a o zmene a doplnení niektorých zákonov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v znení neskorších predpisov </w:t>
      </w:r>
    </w:p>
    <w:p w:rsidR="00C5238B" w:rsidP="00C5238B">
      <w:pPr>
        <w:pStyle w:val="TextBody"/>
        <w:bidi w:val="0"/>
        <w:jc w:val="center"/>
        <w:rPr>
          <w:rFonts w:ascii="Book Antiqua" w:hAnsi="Book Antiqua" w:cs="Times New Roman"/>
          <w:sz w:val="22"/>
          <w:szCs w:val="22"/>
        </w:rPr>
      </w:pPr>
    </w:p>
    <w:p w:rsidR="00C5238B" w:rsidP="00C5238B">
      <w:pPr>
        <w:pStyle w:val="TextBody"/>
        <w:bidi w:val="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zákone: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  <w:r w:rsidR="00FD19DF">
        <w:rPr>
          <w:rFonts w:ascii="Book Antiqua" w:hAnsi="Book Antiqua" w:cs="Times New Roman"/>
          <w:color w:themeColor="tx1" w:themeShade="FF"/>
          <w:sz w:val="22"/>
          <w:szCs w:val="22"/>
        </w:rPr>
        <w:t>Zákon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</w:rPr>
        <w:t>č. 355/2007 Z. z. o ochrane, podpore a rozvoji verejného zdravia a o zmene a doplnení niektorých zákonov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v znení</w:t>
      </w:r>
      <w:r w:rsidRPr="00914DA3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 xml:space="preserve">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5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140/2008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6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540/2008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</w:t>
      </w:r>
      <w:r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7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461/2008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8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170/2009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9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67/2010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0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131/2010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1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132/2010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2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136/2010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3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172/2011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</w:t>
      </w:r>
      <w:r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14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470/2011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5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306/2012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6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74/2013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7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153/2013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8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204/2014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19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77/2015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20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403/2015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</w:t>
      </w:r>
      <w:r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21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91/2016 Z. z.</w:t>
        </w:r>
      </w:hyperlink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zákona č. </w:t>
      </w:r>
      <w:hyperlink r:id="rId22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125/2016 Z. z.</w:t>
        </w:r>
      </w:hyperlink>
      <w:r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a </w:t>
      </w:r>
      <w:r w:rsidRPr="00FD19DF"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 </w:t>
      </w:r>
      <w:hyperlink r:id="rId23" w:history="1">
        <w:r w:rsidRPr="00FD19DF" w:rsidR="00FD19DF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355/2016 Z. z.</w:t>
        </w:r>
      </w:hyperlink>
      <w:r w:rsidR="00FD19DF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</w:t>
      </w:r>
      <w:r w:rsidRPr="00914DA3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sa mení takto:</w:t>
      </w:r>
    </w:p>
    <w:p w:rsidR="00170248" w:rsidRPr="00914DA3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</w:p>
    <w:p w:rsidR="00C5238B" w:rsidP="00C5238B">
      <w:pPr>
        <w:pStyle w:val="Default"/>
        <w:bidi w:val="0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885E13" w:rsidRPr="00885E13" w:rsidP="00300633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24 ods. 7 sa vypúšťa</w:t>
      </w:r>
      <w:r w:rsidRPr="00885E13">
        <w:rPr>
          <w:rFonts w:ascii="Book Antiqua" w:hAnsi="Book Antiqua"/>
          <w:sz w:val="22"/>
          <w:szCs w:val="22"/>
          <w:lang w:eastAsia="en-US"/>
        </w:rPr>
        <w:t xml:space="preserve"> slov</w:t>
      </w:r>
      <w:r>
        <w:rPr>
          <w:rFonts w:ascii="Book Antiqua" w:hAnsi="Book Antiqua"/>
          <w:sz w:val="22"/>
          <w:szCs w:val="22"/>
          <w:lang w:eastAsia="en-US"/>
        </w:rPr>
        <w:t>o</w:t>
      </w:r>
      <w:r w:rsidRPr="00885E13">
        <w:rPr>
          <w:rFonts w:ascii="Book Antiqua" w:hAnsi="Book Antiqua"/>
          <w:sz w:val="22"/>
          <w:szCs w:val="22"/>
          <w:lang w:eastAsia="en-US"/>
        </w:rPr>
        <w:t>: „</w:t>
      </w:r>
      <w:r>
        <w:rPr>
          <w:rFonts w:ascii="Book Antiqua" w:hAnsi="Book Antiqua"/>
          <w:sz w:val="22"/>
          <w:szCs w:val="22"/>
          <w:lang w:eastAsia="en-US"/>
        </w:rPr>
        <w:t>povinnom</w:t>
      </w:r>
      <w:r w:rsidRPr="00885E13">
        <w:rPr>
          <w:rFonts w:ascii="Book Antiqua" w:hAnsi="Book Antiqua"/>
          <w:sz w:val="22"/>
          <w:szCs w:val="22"/>
          <w:lang w:eastAsia="en-US"/>
        </w:rPr>
        <w:t>“.</w:t>
      </w:r>
    </w:p>
    <w:p w:rsidR="00885E13" w:rsidRPr="00885E13" w:rsidP="00885E13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 § </w:t>
      </w:r>
      <w:r>
        <w:rPr>
          <w:rFonts w:ascii="Book Antiqua" w:hAnsi="Book Antiqua"/>
          <w:sz w:val="22"/>
          <w:szCs w:val="22"/>
          <w:lang w:eastAsia="en-US"/>
        </w:rPr>
        <w:t>42</w:t>
      </w:r>
      <w:r>
        <w:rPr>
          <w:rFonts w:ascii="Book Antiqua" w:hAnsi="Book Antiqua"/>
          <w:sz w:val="22"/>
          <w:szCs w:val="22"/>
          <w:lang w:eastAsia="en-US"/>
        </w:rPr>
        <w:t xml:space="preserve"> ods. </w:t>
      </w:r>
      <w:r>
        <w:rPr>
          <w:rFonts w:ascii="Book Antiqua" w:hAnsi="Book Antiqua"/>
          <w:sz w:val="22"/>
          <w:szCs w:val="22"/>
          <w:lang w:eastAsia="en-US"/>
        </w:rPr>
        <w:t>1 písm. b)</w:t>
      </w:r>
      <w:r>
        <w:rPr>
          <w:rFonts w:ascii="Book Antiqua" w:hAnsi="Book Antiqua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t>sa vypúšťajú</w:t>
      </w:r>
      <w:r w:rsidRPr="00885E13">
        <w:rPr>
          <w:rFonts w:ascii="Book Antiqua" w:hAnsi="Book Antiqua"/>
          <w:sz w:val="22"/>
          <w:szCs w:val="22"/>
          <w:lang w:eastAsia="en-US"/>
        </w:rPr>
        <w:t xml:space="preserve"> slov</w:t>
      </w:r>
      <w:r>
        <w:rPr>
          <w:rFonts w:ascii="Book Antiqua" w:hAnsi="Book Antiqua"/>
          <w:sz w:val="22"/>
          <w:szCs w:val="22"/>
          <w:lang w:eastAsia="en-US"/>
        </w:rPr>
        <w:t>á</w:t>
      </w:r>
      <w:r w:rsidRPr="00885E13">
        <w:rPr>
          <w:rFonts w:ascii="Book Antiqua" w:hAnsi="Book Antiqua"/>
          <w:sz w:val="22"/>
          <w:szCs w:val="22"/>
          <w:lang w:eastAsia="en-US"/>
        </w:rPr>
        <w:t>: „</w:t>
      </w:r>
      <w:r>
        <w:rPr>
          <w:rFonts w:ascii="Book Antiqua" w:hAnsi="Book Antiqua"/>
          <w:sz w:val="22"/>
          <w:szCs w:val="22"/>
          <w:lang w:eastAsia="en-US"/>
        </w:rPr>
        <w:t>povinn</w:t>
      </w:r>
      <w:r>
        <w:rPr>
          <w:rFonts w:ascii="Book Antiqua" w:hAnsi="Book Antiqua"/>
          <w:sz w:val="22"/>
          <w:szCs w:val="22"/>
          <w:lang w:eastAsia="en-US"/>
        </w:rPr>
        <w:t>é alebo</w:t>
      </w:r>
      <w:r w:rsidRPr="00885E13">
        <w:rPr>
          <w:rFonts w:ascii="Book Antiqua" w:hAnsi="Book Antiqua"/>
          <w:sz w:val="22"/>
          <w:szCs w:val="22"/>
          <w:lang w:eastAsia="en-US"/>
        </w:rPr>
        <w:t>“.</w:t>
      </w:r>
    </w:p>
    <w:p w:rsidR="00885E13" w:rsidRPr="00885E13" w:rsidP="00885E13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 § </w:t>
      </w:r>
      <w:r>
        <w:rPr>
          <w:rFonts w:ascii="Book Antiqua" w:hAnsi="Book Antiqua"/>
          <w:sz w:val="22"/>
          <w:szCs w:val="22"/>
          <w:lang w:eastAsia="en-US"/>
        </w:rPr>
        <w:t>42 ods. 2</w:t>
      </w:r>
      <w:r>
        <w:rPr>
          <w:rFonts w:ascii="Book Antiqua" w:hAnsi="Book Antiqua"/>
          <w:sz w:val="22"/>
          <w:szCs w:val="22"/>
          <w:lang w:eastAsia="en-US"/>
        </w:rPr>
        <w:t xml:space="preserve"> sa vypúšťa</w:t>
      </w:r>
      <w:r w:rsidRPr="00885E13">
        <w:rPr>
          <w:rFonts w:ascii="Book Antiqua" w:hAnsi="Book Antiqua"/>
          <w:sz w:val="22"/>
          <w:szCs w:val="22"/>
          <w:lang w:eastAsia="en-US"/>
        </w:rPr>
        <w:t xml:space="preserve"> slov</w:t>
      </w:r>
      <w:r>
        <w:rPr>
          <w:rFonts w:ascii="Book Antiqua" w:hAnsi="Book Antiqua"/>
          <w:sz w:val="22"/>
          <w:szCs w:val="22"/>
          <w:lang w:eastAsia="en-US"/>
        </w:rPr>
        <w:t>o</w:t>
      </w:r>
      <w:r w:rsidRPr="00885E13">
        <w:rPr>
          <w:rFonts w:ascii="Book Antiqua" w:hAnsi="Book Antiqua"/>
          <w:sz w:val="22"/>
          <w:szCs w:val="22"/>
          <w:lang w:eastAsia="en-US"/>
        </w:rPr>
        <w:t>: „</w:t>
      </w:r>
      <w:r>
        <w:rPr>
          <w:rFonts w:ascii="Book Antiqua" w:hAnsi="Book Antiqua"/>
          <w:sz w:val="22"/>
          <w:szCs w:val="22"/>
          <w:lang w:eastAsia="en-US"/>
        </w:rPr>
        <w:t>povinn</w:t>
      </w:r>
      <w:r>
        <w:rPr>
          <w:rFonts w:ascii="Book Antiqua" w:hAnsi="Book Antiqua"/>
          <w:sz w:val="22"/>
          <w:szCs w:val="22"/>
          <w:lang w:eastAsia="en-US"/>
        </w:rPr>
        <w:t>ým</w:t>
      </w:r>
      <w:r w:rsidRPr="00885E13">
        <w:rPr>
          <w:rFonts w:ascii="Book Antiqua" w:hAnsi="Book Antiqua"/>
          <w:sz w:val="22"/>
          <w:szCs w:val="22"/>
          <w:lang w:eastAsia="en-US"/>
        </w:rPr>
        <w:t>“.</w:t>
      </w:r>
    </w:p>
    <w:p w:rsidR="00885E13" w:rsidRPr="00885E13" w:rsidP="00300633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 </w:t>
      </w:r>
      <w:r w:rsidRPr="00885E13">
        <w:rPr>
          <w:rFonts w:ascii="Book Antiqua" w:hAnsi="Book Antiqua"/>
          <w:sz w:val="22"/>
          <w:szCs w:val="22"/>
          <w:lang w:eastAsia="en-US"/>
        </w:rPr>
        <w:t xml:space="preserve">§ 51 ods. 1 písm. </w:t>
      </w:r>
      <w:r>
        <w:rPr>
          <w:rFonts w:ascii="Book Antiqua" w:hAnsi="Book Antiqua"/>
          <w:sz w:val="22"/>
          <w:szCs w:val="22"/>
          <w:lang w:eastAsia="en-US"/>
        </w:rPr>
        <w:t>a</w:t>
      </w:r>
      <w:r w:rsidRPr="00885E13">
        <w:rPr>
          <w:rFonts w:ascii="Book Antiqua" w:hAnsi="Book Antiqua"/>
          <w:sz w:val="22"/>
          <w:szCs w:val="22"/>
          <w:lang w:eastAsia="en-US"/>
        </w:rPr>
        <w:t>)</w:t>
      </w:r>
      <w:r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F14804" w:rsidR="00F14804">
        <w:rPr>
          <w:rFonts w:ascii="Book Antiqua" w:hAnsi="Book Antiqua"/>
          <w:sz w:val="22"/>
          <w:szCs w:val="22"/>
          <w:lang w:eastAsia="en-US"/>
        </w:rPr>
        <w:t>sa vypúšťa slovo</w:t>
      </w:r>
      <w:r>
        <w:rPr>
          <w:rFonts w:ascii="Book Antiqua" w:hAnsi="Book Antiqua"/>
          <w:sz w:val="22"/>
          <w:szCs w:val="22"/>
          <w:lang w:eastAsia="en-US"/>
        </w:rPr>
        <w:t>: „</w:t>
      </w:r>
      <w:r w:rsidR="00F14804">
        <w:rPr>
          <w:rFonts w:ascii="Book Antiqua" w:hAnsi="Book Antiqua"/>
          <w:sz w:val="22"/>
          <w:szCs w:val="22"/>
          <w:lang w:eastAsia="en-US"/>
        </w:rPr>
        <w:t>povinného“.</w:t>
      </w:r>
    </w:p>
    <w:p w:rsidR="00300633" w:rsidRPr="00300633" w:rsidP="00300633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V § 51 ods. 1 písm.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d</w:t>
      </w:r>
      <w:r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) </w:t>
      </w:r>
      <w:r w:rsidR="00885E13">
        <w:rPr>
          <w:rFonts w:ascii="Book Antiqua" w:hAnsi="Book Antiqua" w:cs="Times New Roman"/>
          <w:sz w:val="22"/>
          <w:szCs w:val="22"/>
          <w:lang w:eastAsia="en-US" w:bidi="ar-SA"/>
        </w:rPr>
        <w:t>sa vypúšťajú slová: „</w:t>
      </w:r>
      <w:r w:rsidRPr="00885E13" w:rsidR="00885E13">
        <w:rPr>
          <w:rFonts w:ascii="Book Antiqua" w:hAnsi="Book Antiqua" w:cs="Times New Roman"/>
          <w:sz w:val="22"/>
          <w:szCs w:val="22"/>
          <w:lang w:eastAsia="en-US" w:bidi="ar-SA"/>
        </w:rPr>
        <w:t>povinnému očkovaniu</w:t>
      </w:r>
      <w:r w:rsidR="00885E13">
        <w:rPr>
          <w:rFonts w:ascii="Book Antiqua" w:hAnsi="Book Antiqua" w:cs="Times New Roman"/>
          <w:sz w:val="22"/>
          <w:szCs w:val="22"/>
          <w:lang w:eastAsia="en-US" w:bidi="ar-SA"/>
        </w:rPr>
        <w:t>“.</w:t>
      </w:r>
    </w:p>
    <w:p w:rsidR="00914DA3" w:rsidRPr="00300633" w:rsidP="00300633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 w:rsidRPr="00300633" w:rsidR="0048082B">
        <w:rPr>
          <w:rFonts w:ascii="Book Antiqua" w:hAnsi="Book Antiqua" w:cs="Times New Roman"/>
          <w:sz w:val="22"/>
          <w:szCs w:val="22"/>
          <w:lang w:eastAsia="en-US" w:bidi="ar-SA"/>
        </w:rPr>
        <w:t>V </w:t>
      </w:r>
      <w:r w:rsidRPr="00300633" w:rsidR="00162D55">
        <w:rPr>
          <w:rFonts w:ascii="Book Antiqua" w:hAnsi="Book Antiqua" w:cs="Times New Roman"/>
          <w:sz w:val="22"/>
          <w:szCs w:val="22"/>
          <w:lang w:eastAsia="en-US" w:bidi="ar-SA"/>
        </w:rPr>
        <w:t>§ 56</w:t>
      </w:r>
      <w:r w:rsidRPr="00300633" w:rsidR="0048082B">
        <w:rPr>
          <w:rFonts w:ascii="Book Antiqua" w:hAnsi="Book Antiqua" w:cs="Times New Roman"/>
          <w:sz w:val="22"/>
          <w:szCs w:val="22"/>
          <w:lang w:eastAsia="en-US" w:bidi="ar-SA"/>
        </w:rPr>
        <w:t xml:space="preserve"> ods. </w:t>
      </w:r>
      <w:r w:rsidRPr="00300633" w:rsidR="00162D55">
        <w:rPr>
          <w:rFonts w:ascii="Book Antiqua" w:hAnsi="Book Antiqua" w:cs="Times New Roman"/>
          <w:sz w:val="22"/>
          <w:szCs w:val="22"/>
          <w:lang w:eastAsia="en-US" w:bidi="ar-SA"/>
        </w:rPr>
        <w:t xml:space="preserve">1 </w:t>
      </w:r>
      <w:r w:rsidRPr="00300633" w:rsidR="0048082B">
        <w:rPr>
          <w:rFonts w:ascii="Book Antiqua" w:hAnsi="Book Antiqua" w:cs="Times New Roman"/>
          <w:sz w:val="22"/>
          <w:szCs w:val="22"/>
          <w:lang w:eastAsia="en-US" w:bidi="ar-SA"/>
        </w:rPr>
        <w:t xml:space="preserve">sa </w:t>
      </w:r>
      <w:r w:rsidRPr="00300633" w:rsidR="000B6F55">
        <w:rPr>
          <w:rFonts w:ascii="Book Antiqua" w:hAnsi="Book Antiqua" w:cs="Times New Roman"/>
          <w:sz w:val="22"/>
          <w:szCs w:val="22"/>
          <w:lang w:eastAsia="en-US" w:bidi="ar-SA"/>
        </w:rPr>
        <w:t xml:space="preserve">vypúšťa </w:t>
      </w:r>
      <w:r w:rsidRPr="00300633" w:rsidR="00162D55">
        <w:rPr>
          <w:rFonts w:ascii="Book Antiqua" w:hAnsi="Book Antiqua" w:cs="Times New Roman"/>
          <w:sz w:val="22"/>
          <w:szCs w:val="22"/>
          <w:lang w:eastAsia="en-US" w:bidi="ar-SA"/>
        </w:rPr>
        <w:t>písm. a)</w:t>
      </w:r>
      <w:r w:rsidR="00300633">
        <w:rPr>
          <w:rFonts w:ascii="Book Antiqua" w:hAnsi="Book Antiqua" w:cs="Times New Roman"/>
          <w:sz w:val="22"/>
          <w:szCs w:val="22"/>
          <w:lang w:eastAsia="en-US" w:bidi="ar-SA"/>
        </w:rPr>
        <w:t>.</w:t>
      </w:r>
      <w:r w:rsidRPr="00300633" w:rsidR="00AE79FA">
        <w:rPr>
          <w:rFonts w:ascii="Book Antiqua" w:hAnsi="Book Antiqua" w:cs="Times New Roman"/>
          <w:sz w:val="22"/>
          <w:szCs w:val="22"/>
          <w:lang w:eastAsia="en-US" w:bidi="ar-SA"/>
        </w:rPr>
        <w:t xml:space="preserve"> </w:t>
      </w:r>
    </w:p>
    <w:p w:rsidR="00162D55" w:rsidP="00170248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 w:rsidRPr="00162D55">
        <w:rPr>
          <w:rFonts w:ascii="Book Antiqua" w:hAnsi="Book Antiqua" w:cs="Times New Roman"/>
          <w:sz w:val="22"/>
          <w:szCs w:val="22"/>
          <w:lang w:eastAsia="en-US" w:bidi="ar-SA"/>
        </w:rPr>
        <w:t xml:space="preserve">V § 56 ods.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2</w:t>
      </w:r>
      <w:r w:rsidRPr="00162D55">
        <w:rPr>
          <w:rFonts w:ascii="Book Antiqua" w:hAnsi="Book Antiqua" w:cs="Times New Roman"/>
          <w:sz w:val="22"/>
          <w:szCs w:val="22"/>
          <w:lang w:eastAsia="en-US" w:bidi="ar-SA"/>
        </w:rPr>
        <w:t xml:space="preserve"> sa vypúšťa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druhá veta</w:t>
      </w:r>
      <w:r w:rsidRPr="00162D55">
        <w:rPr>
          <w:rFonts w:ascii="Book Antiqua" w:hAnsi="Book Antiqua" w:cs="Times New Roman"/>
          <w:sz w:val="22"/>
          <w:szCs w:val="22"/>
          <w:lang w:eastAsia="en-US" w:bidi="ar-SA"/>
        </w:rPr>
        <w:t>.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“</w:t>
      </w: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F14804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Pr="00F14804" w:rsidP="00F14804">
      <w:pPr>
        <w:pStyle w:val="Default"/>
        <w:bidi w:val="0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Pr="005C4313" w:rsidR="005C4313">
        <w:rPr>
          <w:rFonts w:ascii="Book Antiqua" w:hAnsi="Book Antiqua"/>
          <w:sz w:val="22"/>
        </w:rPr>
        <w:t xml:space="preserve">pätnástym dňom po </w:t>
      </w:r>
      <w:r w:rsidR="005C4313">
        <w:rPr>
          <w:rFonts w:ascii="Book Antiqua" w:hAnsi="Book Antiqua"/>
          <w:sz w:val="22"/>
        </w:rPr>
        <w:t>jeho</w:t>
      </w:r>
      <w:r w:rsidRPr="005C4313" w:rsidR="005C4313">
        <w:rPr>
          <w:rFonts w:ascii="Book Antiqua" w:hAnsi="Book Antiqua"/>
          <w:sz w:val="22"/>
        </w:rPr>
        <w:t xml:space="preserve"> vyhlásení v Zbierke zákonov</w:t>
      </w:r>
      <w:r w:rsidR="00F14804">
        <w:rPr>
          <w:rFonts w:ascii="Book Antiqua" w:hAnsi="Book Antiqua"/>
          <w:sz w:val="22"/>
        </w:rPr>
        <w:t>.</w:t>
      </w:r>
    </w:p>
    <w:sectPr w:rsidSect="00F14804">
      <w:pgSz w:w="11906" w:h="16838"/>
      <w:pgMar w:top="1134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B6F55"/>
    <w:rsid w:val="000C156B"/>
    <w:rsid w:val="00114D93"/>
    <w:rsid w:val="00126CC1"/>
    <w:rsid w:val="00162D55"/>
    <w:rsid w:val="001632E7"/>
    <w:rsid w:val="00170248"/>
    <w:rsid w:val="001C329B"/>
    <w:rsid w:val="001F012C"/>
    <w:rsid w:val="00205740"/>
    <w:rsid w:val="00265C56"/>
    <w:rsid w:val="002952F8"/>
    <w:rsid w:val="00300633"/>
    <w:rsid w:val="00334AA1"/>
    <w:rsid w:val="003400DA"/>
    <w:rsid w:val="00361473"/>
    <w:rsid w:val="00377562"/>
    <w:rsid w:val="003C1391"/>
    <w:rsid w:val="00420474"/>
    <w:rsid w:val="00422E02"/>
    <w:rsid w:val="0042757B"/>
    <w:rsid w:val="00462133"/>
    <w:rsid w:val="00472679"/>
    <w:rsid w:val="00472E03"/>
    <w:rsid w:val="0048082B"/>
    <w:rsid w:val="004D2B56"/>
    <w:rsid w:val="004F09B2"/>
    <w:rsid w:val="005B4FBA"/>
    <w:rsid w:val="005C4313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7C25D3"/>
    <w:rsid w:val="00812F93"/>
    <w:rsid w:val="00820496"/>
    <w:rsid w:val="00852C90"/>
    <w:rsid w:val="00885E13"/>
    <w:rsid w:val="0089270C"/>
    <w:rsid w:val="008977E9"/>
    <w:rsid w:val="008B5E0B"/>
    <w:rsid w:val="008C4076"/>
    <w:rsid w:val="008D2092"/>
    <w:rsid w:val="008D4FF3"/>
    <w:rsid w:val="00914DA3"/>
    <w:rsid w:val="00923346"/>
    <w:rsid w:val="009605D9"/>
    <w:rsid w:val="00A215B8"/>
    <w:rsid w:val="00AE79FA"/>
    <w:rsid w:val="00B105A0"/>
    <w:rsid w:val="00B5595C"/>
    <w:rsid w:val="00B845D6"/>
    <w:rsid w:val="00BB1482"/>
    <w:rsid w:val="00C46AE6"/>
    <w:rsid w:val="00C5238B"/>
    <w:rsid w:val="00C71D1D"/>
    <w:rsid w:val="00C737D6"/>
    <w:rsid w:val="00C84EED"/>
    <w:rsid w:val="00CB42AB"/>
    <w:rsid w:val="00D63EA2"/>
    <w:rsid w:val="00D70F0C"/>
    <w:rsid w:val="00D93BED"/>
    <w:rsid w:val="00DA1A51"/>
    <w:rsid w:val="00E92958"/>
    <w:rsid w:val="00E93C27"/>
    <w:rsid w:val="00EC3DE4"/>
    <w:rsid w:val="00EF71AD"/>
    <w:rsid w:val="00F14804"/>
    <w:rsid w:val="00F216AA"/>
    <w:rsid w:val="00F32E59"/>
    <w:rsid w:val="00F40EDF"/>
    <w:rsid w:val="00F41953"/>
    <w:rsid w:val="00F450DA"/>
    <w:rsid w:val="00FA155D"/>
    <w:rsid w:val="00FA6FFF"/>
    <w:rsid w:val="00FD1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10/131/20110101.html" TargetMode="External" /><Relationship Id="rId11" Type="http://schemas.openxmlformats.org/officeDocument/2006/relationships/hyperlink" Target="https://www.slov-lex.sk/pravne-predpisy/SK/ZZ/2010/132/20100501.html" TargetMode="External" /><Relationship Id="rId12" Type="http://schemas.openxmlformats.org/officeDocument/2006/relationships/hyperlink" Target="https://www.slov-lex.sk/pravne-predpisy/SK/ZZ/2010/136/20100601.html" TargetMode="External" /><Relationship Id="rId13" Type="http://schemas.openxmlformats.org/officeDocument/2006/relationships/hyperlink" Target="https://www.slov-lex.sk/pravne-predpisy/SK/ZZ/2011/172/20110701.html" TargetMode="External" /><Relationship Id="rId14" Type="http://schemas.openxmlformats.org/officeDocument/2006/relationships/hyperlink" Target="https://www.slov-lex.sk/pravne-predpisy/SK/ZZ/2011/470/20120101.html" TargetMode="External" /><Relationship Id="rId15" Type="http://schemas.openxmlformats.org/officeDocument/2006/relationships/hyperlink" Target="https://www.slov-lex.sk/pravne-predpisy/SK/ZZ/2012/306/20121015.html" TargetMode="External" /><Relationship Id="rId16" Type="http://schemas.openxmlformats.org/officeDocument/2006/relationships/hyperlink" Target="https://www.slov-lex.sk/pravne-predpisy/SK/ZZ/2013/74/20130601.html" TargetMode="External" /><Relationship Id="rId17" Type="http://schemas.openxmlformats.org/officeDocument/2006/relationships/hyperlink" Target="https://www.slov-lex.sk/pravne-predpisy/SK/ZZ/2013/153/20130701.html" TargetMode="External" /><Relationship Id="rId18" Type="http://schemas.openxmlformats.org/officeDocument/2006/relationships/hyperlink" Target="https://www.slov-lex.sk/pravne-predpisy/SK/ZZ/2014/204/20140801.html" TargetMode="External" /><Relationship Id="rId19" Type="http://schemas.openxmlformats.org/officeDocument/2006/relationships/hyperlink" Target="https://www.slov-lex.sk/pravne-predpisy/SK/ZZ/2015/77/20150501.htm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slov-lex.sk/pravne-predpisy/SK/ZZ/2015/403/20160101.html" TargetMode="External" /><Relationship Id="rId21" Type="http://schemas.openxmlformats.org/officeDocument/2006/relationships/hyperlink" Target="https://www.slov-lex.sk/pravne-predpisy/SK/ZZ/2016/91/20160701.html" TargetMode="External" /><Relationship Id="rId22" Type="http://schemas.openxmlformats.org/officeDocument/2006/relationships/hyperlink" Target="https://www.slov-lex.sk/pravne-predpisy/SK/ZZ/2016/125/20160701.html" TargetMode="External" /><Relationship Id="rId23" Type="http://schemas.openxmlformats.org/officeDocument/2006/relationships/hyperlink" Target="https://www.slov-lex.sk/pravne-predpisy/SK/ZZ/2016/355/20170101.html" TargetMode="Externa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8/140/20080501.html" TargetMode="External" /><Relationship Id="rId6" Type="http://schemas.openxmlformats.org/officeDocument/2006/relationships/hyperlink" Target="https://www.slov-lex.sk/pravne-predpisy/SK/ZZ/2008/540/20081213.html" TargetMode="External" /><Relationship Id="rId7" Type="http://schemas.openxmlformats.org/officeDocument/2006/relationships/hyperlink" Target="https://www.slov-lex.sk/pravne-predpisy/SK/ZZ/2008/461/20090101.html" TargetMode="External" /><Relationship Id="rId8" Type="http://schemas.openxmlformats.org/officeDocument/2006/relationships/hyperlink" Target="https://www.slov-lex.sk/pravne-predpisy/SK/ZZ/2009/170/20090801.html" TargetMode="External" /><Relationship Id="rId9" Type="http://schemas.openxmlformats.org/officeDocument/2006/relationships/hyperlink" Target="https://www.slov-lex.sk/pravne-predpisy/SK/ZZ/2010/67/20100401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7198-DD15-4CD3-B1C1-9442B8C8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738</TotalTime>
  <Pages>1</Pages>
  <Words>449</Words>
  <Characters>2562</Characters>
  <Application>Microsoft Office Word</Application>
  <DocSecurity>0</DocSecurity>
  <Lines>0</Lines>
  <Paragraphs>0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6</cp:revision>
  <cp:lastPrinted>2016-08-15T08:16:00Z</cp:lastPrinted>
  <dcterms:created xsi:type="dcterms:W3CDTF">2016-12-29T09:17:00Z</dcterms:created>
  <dcterms:modified xsi:type="dcterms:W3CDTF">2017-01-04T12:29:00Z</dcterms:modified>
</cp:coreProperties>
</file>