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3A50" w:rsidRPr="005D727C">
      <w:pPr>
        <w:bidi w:val="0"/>
        <w:jc w:val="both"/>
        <w:rPr>
          <w:rFonts w:ascii="Times New Roman" w:hAnsi="Times New Roman"/>
          <w:sz w:val="16"/>
        </w:rPr>
      </w:pPr>
      <w:r w:rsidRPr="005D727C">
        <w:rPr>
          <w:rFonts w:ascii="Times New Roman" w:hAnsi="Times New Roman"/>
          <w:sz w:val="16"/>
        </w:rPr>
        <w:t xml:space="preserve"> </w:t>
      </w:r>
    </w:p>
    <w:tbl>
      <w:tblPr>
        <w:tblStyle w:val="TableNormal"/>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346"/>
        <w:gridCol w:w="4111"/>
        <w:gridCol w:w="567"/>
        <w:gridCol w:w="1134"/>
        <w:gridCol w:w="850"/>
        <w:gridCol w:w="4395"/>
        <w:gridCol w:w="708"/>
        <w:gridCol w:w="1418"/>
      </w:tblGrid>
      <w:tr>
        <w:tblPrEx>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529" w:type="dxa"/>
            <w:gridSpan w:val="8"/>
            <w:tcBorders>
              <w:top w:val="nil"/>
              <w:left w:val="nil"/>
              <w:bottom w:val="single" w:sz="4" w:space="0" w:color="auto"/>
              <w:right w:val="nil"/>
            </w:tcBorders>
            <w:textDirection w:val="lrTb"/>
            <w:vAlign w:val="top"/>
          </w:tcPr>
          <w:p w:rsidR="008D4B2C" w:rsidRPr="005D727C" w:rsidP="00AA188F">
            <w:pPr>
              <w:bidi w:val="0"/>
              <w:jc w:val="center"/>
              <w:rPr>
                <w:rFonts w:ascii="Times New Roman" w:hAnsi="Times New Roman"/>
                <w:b/>
                <w:szCs w:val="24"/>
              </w:rPr>
            </w:pPr>
            <w:r w:rsidRPr="005D727C">
              <w:rPr>
                <w:rFonts w:ascii="Times New Roman" w:hAnsi="Times New Roman"/>
                <w:b/>
                <w:szCs w:val="24"/>
              </w:rPr>
              <w:t>TABUĽKA ZHODY</w:t>
            </w:r>
          </w:p>
          <w:p w:rsidR="008D4B2C" w:rsidRPr="005D727C" w:rsidP="00AA188F">
            <w:pPr>
              <w:bidi w:val="0"/>
              <w:jc w:val="center"/>
              <w:rPr>
                <w:rFonts w:ascii="Times New Roman" w:hAnsi="Times New Roman"/>
                <w:b/>
                <w:szCs w:val="24"/>
              </w:rPr>
            </w:pPr>
            <w:r w:rsidRPr="005D727C">
              <w:rPr>
                <w:rFonts w:ascii="Times New Roman" w:hAnsi="Times New Roman"/>
                <w:b/>
                <w:szCs w:val="24"/>
              </w:rPr>
              <w:t>právneho predpisu s právom Európskej únie</w:t>
            </w:r>
          </w:p>
          <w:p w:rsidR="008D4B2C" w:rsidRPr="005D727C" w:rsidP="00AA188F">
            <w:pPr>
              <w:bidi w:val="0"/>
              <w:rPr>
                <w:rFonts w:ascii="Times New Roman" w:hAnsi="Times New Roman"/>
                <w:sz w:val="16"/>
              </w:rPr>
            </w:pPr>
          </w:p>
        </w:tc>
      </w:tr>
      <w:tr>
        <w:tblPrEx>
          <w:tblW w:w="14529" w:type="dxa"/>
          <w:tblLayout w:type="fixed"/>
          <w:tblCellMar>
            <w:top w:w="0" w:type="dxa"/>
            <w:left w:w="70" w:type="dxa"/>
            <w:bottom w:w="0" w:type="dxa"/>
            <w:right w:w="70" w:type="dxa"/>
          </w:tblCellMar>
        </w:tblPrEx>
        <w:trPr>
          <w:cantSplit/>
        </w:trPr>
        <w:tc>
          <w:tcPr>
            <w:tcW w:w="6024" w:type="dxa"/>
            <w:gridSpan w:val="3"/>
            <w:tcBorders>
              <w:top w:val="single" w:sz="4" w:space="0" w:color="auto"/>
              <w:left w:val="single" w:sz="4" w:space="0" w:color="auto"/>
              <w:bottom w:val="single" w:sz="4" w:space="0" w:color="auto"/>
              <w:right w:val="single" w:sz="4" w:space="0" w:color="auto"/>
            </w:tcBorders>
            <w:textDirection w:val="lrTb"/>
            <w:vAlign w:val="top"/>
          </w:tcPr>
          <w:p w:rsidR="008D4B2C" w:rsidRPr="005D727C" w:rsidP="001A1A15">
            <w:pPr>
              <w:bidi w:val="0"/>
              <w:jc w:val="both"/>
              <w:rPr>
                <w:rFonts w:ascii="Times New Roman" w:hAnsi="Times New Roman"/>
                <w:b/>
                <w:sz w:val="16"/>
              </w:rPr>
            </w:pPr>
            <w:r w:rsidRPr="005D727C">
              <w:rPr>
                <w:rFonts w:ascii="Times New Roman" w:hAnsi="Times New Roman"/>
                <w:b/>
                <w:sz w:val="16"/>
              </w:rPr>
              <w:t>SMERNICA EURÓPSKEHO PARLAMENTU A</w:t>
            </w:r>
            <w:r w:rsidRPr="005D727C" w:rsidR="001A1A15">
              <w:rPr>
                <w:rFonts w:ascii="Times New Roman" w:hAnsi="Times New Roman"/>
                <w:b/>
                <w:sz w:val="16"/>
              </w:rPr>
              <w:t> </w:t>
            </w:r>
            <w:r w:rsidRPr="005D727C">
              <w:rPr>
                <w:rFonts w:ascii="Times New Roman" w:hAnsi="Times New Roman"/>
                <w:b/>
                <w:sz w:val="16"/>
              </w:rPr>
              <w:t>RADY</w:t>
            </w:r>
            <w:r w:rsidRPr="005D727C" w:rsidR="001A1A15">
              <w:rPr>
                <w:rFonts w:ascii="Times New Roman" w:hAnsi="Times New Roman"/>
                <w:b/>
                <w:sz w:val="16"/>
              </w:rPr>
              <w:t xml:space="preserve"> (EÚ) 2015/1794 zo 6. októbra 2015, ktorou sa menia smernice Európskeho parlamentu a Rady 2008/94/ES,</w:t>
            </w:r>
            <w:r w:rsidRPr="005D727C">
              <w:rPr>
                <w:rFonts w:ascii="Times New Roman" w:hAnsi="Times New Roman"/>
                <w:b/>
                <w:sz w:val="16"/>
              </w:rPr>
              <w:t xml:space="preserve"> 2009/38/ES</w:t>
            </w:r>
            <w:r w:rsidRPr="005D727C" w:rsidR="001A1A15">
              <w:rPr>
                <w:rFonts w:ascii="Times New Roman" w:hAnsi="Times New Roman"/>
                <w:b/>
                <w:sz w:val="16"/>
              </w:rPr>
              <w:t xml:space="preserve"> a 2002/14/ES a smernice Rady 98/59/ES a 2001/23/ES, pokiaľ ide o námorníkov</w:t>
            </w:r>
            <w:r w:rsidRPr="005D727C">
              <w:rPr>
                <w:rFonts w:ascii="Times New Roman" w:hAnsi="Times New Roman"/>
                <w:b/>
                <w:sz w:val="16"/>
              </w:rPr>
              <w:t xml:space="preserve"> </w:t>
            </w:r>
            <w:r w:rsidRPr="005D727C" w:rsidR="001A1A15">
              <w:rPr>
                <w:rFonts w:ascii="Times New Roman" w:hAnsi="Times New Roman"/>
                <w:b/>
                <w:sz w:val="16"/>
              </w:rPr>
              <w:t>(Ú. v. EÚ L 263, 8</w:t>
            </w:r>
            <w:r w:rsidRPr="005D727C" w:rsidR="001563E7">
              <w:rPr>
                <w:rFonts w:ascii="Times New Roman" w:hAnsi="Times New Roman"/>
                <w:b/>
                <w:sz w:val="16"/>
              </w:rPr>
              <w:t>.</w:t>
            </w:r>
            <w:r w:rsidRPr="005D727C" w:rsidR="001A1A15">
              <w:rPr>
                <w:rFonts w:ascii="Times New Roman" w:hAnsi="Times New Roman"/>
                <w:b/>
                <w:sz w:val="16"/>
              </w:rPr>
              <w:t xml:space="preserve"> 10. 2015</w:t>
            </w:r>
            <w:r w:rsidRPr="005D727C" w:rsidR="001563E7">
              <w:rPr>
                <w:rFonts w:ascii="Times New Roman" w:hAnsi="Times New Roman"/>
                <w:b/>
                <w:sz w:val="16"/>
              </w:rPr>
              <w:t>)</w:t>
            </w:r>
          </w:p>
        </w:tc>
        <w:tc>
          <w:tcPr>
            <w:tcW w:w="8505" w:type="dxa"/>
            <w:gridSpan w:val="5"/>
            <w:tcBorders>
              <w:top w:val="single" w:sz="4" w:space="0" w:color="auto"/>
              <w:left w:val="single" w:sz="4" w:space="0" w:color="auto"/>
              <w:bottom w:val="single" w:sz="4" w:space="0" w:color="auto"/>
              <w:right w:val="single" w:sz="4" w:space="0" w:color="auto"/>
            </w:tcBorders>
            <w:textDirection w:val="lrTb"/>
            <w:vAlign w:val="top"/>
          </w:tcPr>
          <w:p w:rsidR="00E25E63" w:rsidRPr="005D727C" w:rsidP="00E25E63">
            <w:pPr>
              <w:numPr>
                <w:numId w:val="5"/>
              </w:numPr>
              <w:tabs>
                <w:tab w:val="num" w:pos="355"/>
                <w:tab w:val="clear" w:pos="360"/>
              </w:tabs>
              <w:bidi w:val="0"/>
              <w:jc w:val="both"/>
              <w:rPr>
                <w:rFonts w:ascii="Times New Roman" w:hAnsi="Times New Roman"/>
                <w:b/>
                <w:sz w:val="16"/>
              </w:rPr>
            </w:pPr>
            <w:r w:rsidRPr="005D727C" w:rsidR="008D4B2C">
              <w:rPr>
                <w:rFonts w:ascii="Times New Roman" w:hAnsi="Times New Roman"/>
                <w:b/>
                <w:sz w:val="16"/>
              </w:rPr>
              <w:t>zákon č. 311/2001 Z. z. Zákonník  práce v znení neskorších predpisov</w:t>
            </w:r>
          </w:p>
          <w:p w:rsidR="00813044" w:rsidRPr="005D727C" w:rsidP="00E25E63">
            <w:pPr>
              <w:numPr>
                <w:numId w:val="5"/>
              </w:numPr>
              <w:tabs>
                <w:tab w:val="num" w:pos="355"/>
                <w:tab w:val="clear" w:pos="360"/>
              </w:tabs>
              <w:bidi w:val="0"/>
              <w:jc w:val="both"/>
              <w:rPr>
                <w:rFonts w:ascii="Times New Roman" w:hAnsi="Times New Roman"/>
                <w:b/>
                <w:sz w:val="16"/>
              </w:rPr>
            </w:pPr>
            <w:r w:rsidRPr="005D727C" w:rsidR="00E25E63">
              <w:rPr>
                <w:rFonts w:ascii="Times New Roman" w:hAnsi="Times New Roman"/>
                <w:b/>
                <w:sz w:val="16"/>
              </w:rPr>
              <w:t xml:space="preserve">zákon č. 575/2001 Z. z. </w:t>
            </w:r>
            <w:r w:rsidRPr="005D727C" w:rsidR="008D4B2C">
              <w:rPr>
                <w:rFonts w:ascii="Times New Roman" w:hAnsi="Times New Roman"/>
                <w:b/>
                <w:sz w:val="16"/>
              </w:rPr>
              <w:t xml:space="preserve"> </w:t>
            </w:r>
            <w:r w:rsidRPr="005D727C" w:rsidR="00E25E63">
              <w:rPr>
                <w:rFonts w:ascii="Times New Roman" w:hAnsi="Times New Roman"/>
                <w:b/>
                <w:sz w:val="16"/>
              </w:rPr>
              <w:t>o organizácii činnosti vlády a organizácii ústrednej štátnej správy v znení neskorších predpisov</w:t>
            </w:r>
          </w:p>
          <w:p w:rsidR="008D4B2C" w:rsidRPr="005D727C" w:rsidP="00E25E63">
            <w:pPr>
              <w:numPr>
                <w:numId w:val="5"/>
              </w:numPr>
              <w:tabs>
                <w:tab w:val="num" w:pos="355"/>
                <w:tab w:val="clear" w:pos="360"/>
              </w:tabs>
              <w:bidi w:val="0"/>
              <w:jc w:val="both"/>
              <w:rPr>
                <w:rFonts w:ascii="Times New Roman" w:hAnsi="Times New Roman"/>
                <w:b/>
                <w:sz w:val="16"/>
              </w:rPr>
            </w:pPr>
            <w:r w:rsidRPr="005D727C" w:rsidR="00813044">
              <w:rPr>
                <w:rFonts w:ascii="Times New Roman" w:hAnsi="Times New Roman"/>
                <w:b/>
                <w:sz w:val="16"/>
              </w:rPr>
              <w:t>návrh zákona, ktorým sa mení a dopĺňa zákon č. 404/2011 Z. z. o pobyte cudzincov a o zmene a doplnení niektorých zákonov v znení neskorších predpisov a ktorým sa menia a dopĺňajú niektoré zákony.</w:t>
            </w: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1</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i/>
                <w:sz w:val="16"/>
              </w:rPr>
            </w:pPr>
            <w:r w:rsidRPr="005D727C">
              <w:rPr>
                <w:rFonts w:ascii="Times New Roman" w:hAnsi="Times New Roman"/>
                <w:i/>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5</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6</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7</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r w:rsidRPr="005D727C">
              <w:rPr>
                <w:rFonts w:ascii="Times New Roman" w:hAnsi="Times New Roman"/>
                <w:sz w:val="16"/>
              </w:rPr>
              <w:t>8</w:t>
            </w: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Pr>
                <w:rFonts w:ascii="Times New Roman" w:hAnsi="Times New Roman"/>
                <w:b/>
                <w:sz w:val="16"/>
              </w:rPr>
              <w:t>Č: 1</w:t>
            </w:r>
          </w:p>
          <w:p w:rsidR="008D4B2C" w:rsidRPr="005D727C" w:rsidP="007A61B5">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rsidP="006E3662">
            <w:pPr>
              <w:bidi w:val="0"/>
              <w:jc w:val="both"/>
              <w:rPr>
                <w:rFonts w:ascii="Times New Roman" w:hAnsi="Times New Roman"/>
                <w:b/>
                <w:sz w:val="16"/>
              </w:rPr>
            </w:pPr>
            <w:r w:rsidRPr="005D727C">
              <w:rPr>
                <w:rFonts w:ascii="Times New Roman" w:hAnsi="Times New Roman"/>
                <w:b/>
                <w:sz w:val="16"/>
              </w:rPr>
              <w:t>Zmena smernice 2008/94/ES</w:t>
            </w:r>
          </w:p>
          <w:p w:rsidR="007A61B5" w:rsidRPr="005D727C" w:rsidP="006E3662">
            <w:pPr>
              <w:bidi w:val="0"/>
              <w:jc w:val="both"/>
              <w:rPr>
                <w:rFonts w:ascii="Times New Roman" w:hAnsi="Times New Roman"/>
                <w:sz w:val="16"/>
              </w:rPr>
            </w:pPr>
          </w:p>
          <w:p w:rsidR="006E3662" w:rsidRPr="005D727C" w:rsidP="006E3662">
            <w:pPr>
              <w:bidi w:val="0"/>
              <w:jc w:val="both"/>
              <w:rPr>
                <w:rFonts w:ascii="Times New Roman" w:hAnsi="Times New Roman"/>
                <w:sz w:val="16"/>
              </w:rPr>
            </w:pPr>
            <w:r w:rsidRPr="005D727C">
              <w:rPr>
                <w:rFonts w:ascii="Times New Roman" w:hAnsi="Times New Roman"/>
                <w:sz w:val="16"/>
              </w:rPr>
              <w:t>Článok 1 ods. 3 smernice 2008/94/ES sa nahrádza takto:</w:t>
            </w:r>
          </w:p>
          <w:p w:rsidR="007A61B5" w:rsidRPr="005D727C" w:rsidP="006E3662">
            <w:pPr>
              <w:bidi w:val="0"/>
              <w:jc w:val="both"/>
              <w:rPr>
                <w:rFonts w:ascii="Times New Roman" w:hAnsi="Times New Roman"/>
                <w:sz w:val="16"/>
              </w:rPr>
            </w:pPr>
          </w:p>
          <w:p w:rsidR="008D4B2C" w:rsidRPr="005D727C" w:rsidP="006E3662">
            <w:pPr>
              <w:bidi w:val="0"/>
              <w:jc w:val="both"/>
              <w:rPr>
                <w:rFonts w:ascii="Times New Roman" w:hAnsi="Times New Roman"/>
                <w:sz w:val="16"/>
              </w:rPr>
            </w:pPr>
            <w:r w:rsidRPr="005D727C" w:rsidR="006E3662">
              <w:rPr>
                <w:rFonts w:ascii="Times New Roman" w:hAnsi="Times New Roman"/>
                <w:sz w:val="16"/>
              </w:rPr>
              <w:t>„3.   Ak sa toto ustanovenie už uplatňuje v ich vnútroštátnych právnych predpisoch, členské štáty môžu naďalej vylúčiť z pôsobnosti tejto smernice pomocníkov v domácnostiach zamestnaných fyzickými osobami.“</w:t>
            </w:r>
          </w:p>
          <w:p w:rsidR="007A61B5" w:rsidRPr="005D727C" w:rsidP="006E3662">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pStyle w:val="Heading8"/>
              <w:bidi w:val="0"/>
              <w:rPr>
                <w:rFonts w:ascii="Times New Roman" w:hAnsi="Times New Roman"/>
              </w:rPr>
            </w:pPr>
            <w:r w:rsidRPr="005D727C" w:rsidR="00A509D2">
              <w:rPr>
                <w:rFonts w:ascii="Times New Roman" w:hAnsi="Times New Roman"/>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i/>
                <w:sz w:val="16"/>
              </w:rPr>
            </w:pPr>
            <w:r w:rsidRPr="005D727C" w:rsidR="00AB6DA2">
              <w:rPr>
                <w:rFonts w:ascii="Times New Roman" w:hAnsi="Times New Roman"/>
                <w:i/>
                <w:sz w:val="16"/>
              </w:rPr>
              <w:t>Transpozícia ustanovenia v pôvodnom znení bola dobrovoľná; ustanovenie nebolo transponované do právneho poriadku SR.</w:t>
            </w:r>
          </w:p>
          <w:p w:rsidR="00AB6DA2" w:rsidRPr="005D727C">
            <w:pPr>
              <w:bidi w:val="0"/>
              <w:jc w:val="both"/>
              <w:rPr>
                <w:rFonts w:ascii="Times New Roman" w:hAnsi="Times New Roman"/>
                <w:i/>
                <w:sz w:val="16"/>
              </w:rPr>
            </w:pPr>
          </w:p>
        </w:tc>
      </w:tr>
      <w:tr>
        <w:tblPrEx>
          <w:tblW w:w="14529" w:type="dxa"/>
          <w:tblLayout w:type="fixed"/>
          <w:tblCellMar>
            <w:top w:w="0" w:type="dxa"/>
            <w:left w:w="70" w:type="dxa"/>
            <w:bottom w:w="0" w:type="dxa"/>
            <w:right w:w="70" w:type="dxa"/>
          </w:tblCellMar>
        </w:tblPrEx>
        <w:trPr>
          <w:trHeight w:val="1008"/>
        </w:trPr>
        <w:tc>
          <w:tcPr>
            <w:tcW w:w="1346" w:type="dxa"/>
            <w:vMerge w:val="restart"/>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both"/>
              <w:rPr>
                <w:rFonts w:ascii="Times New Roman" w:hAnsi="Times New Roman"/>
                <w:b/>
                <w:sz w:val="16"/>
              </w:rPr>
            </w:pPr>
            <w:r w:rsidRPr="005D727C">
              <w:rPr>
                <w:rFonts w:ascii="Times New Roman" w:hAnsi="Times New Roman"/>
                <w:b/>
                <w:sz w:val="16"/>
              </w:rPr>
              <w:t>Č: 2</w:t>
            </w:r>
          </w:p>
          <w:p w:rsidR="007A61B5" w:rsidRPr="005D727C">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both"/>
              <w:rPr>
                <w:rFonts w:ascii="Times New Roman" w:hAnsi="Times New Roman"/>
                <w:b/>
                <w:sz w:val="16"/>
              </w:rPr>
            </w:pPr>
            <w:r w:rsidRPr="005D727C">
              <w:rPr>
                <w:rFonts w:ascii="Times New Roman" w:hAnsi="Times New Roman"/>
                <w:b/>
                <w:sz w:val="16"/>
              </w:rPr>
              <w:t>Zmeny smernice 2009/38/ES</w:t>
            </w:r>
          </w:p>
          <w:p w:rsidR="007A61B5" w:rsidRPr="005D727C">
            <w:pPr>
              <w:bidi w:val="0"/>
              <w:jc w:val="both"/>
              <w:rPr>
                <w:rFonts w:ascii="Times New Roman" w:hAnsi="Times New Roman"/>
                <w:sz w:val="16"/>
              </w:rPr>
            </w:pPr>
          </w:p>
          <w:p w:rsidR="007A61B5" w:rsidRPr="005D727C">
            <w:pPr>
              <w:bidi w:val="0"/>
              <w:jc w:val="both"/>
              <w:rPr>
                <w:rFonts w:ascii="Times New Roman" w:hAnsi="Times New Roman"/>
                <w:sz w:val="16"/>
              </w:rPr>
            </w:pPr>
            <w:r w:rsidRPr="005D727C">
              <w:rPr>
                <w:rFonts w:ascii="Times New Roman" w:hAnsi="Times New Roman"/>
                <w:sz w:val="16"/>
              </w:rPr>
              <w:t>Smernica 2009/38/ES sa mení takto:</w:t>
            </w:r>
          </w:p>
          <w:p w:rsidR="007A61B5" w:rsidRPr="005D727C">
            <w:pPr>
              <w:bidi w:val="0"/>
              <w:jc w:val="both"/>
              <w:rPr>
                <w:rFonts w:ascii="Times New Roman" w:hAnsi="Times New Roman"/>
                <w:sz w:val="16"/>
              </w:rPr>
            </w:pPr>
          </w:p>
          <w:p w:rsidR="007A61B5" w:rsidRPr="005D727C">
            <w:pPr>
              <w:bidi w:val="0"/>
              <w:jc w:val="both"/>
              <w:rPr>
                <w:rFonts w:ascii="Times New Roman" w:hAnsi="Times New Roman"/>
                <w:sz w:val="16"/>
              </w:rPr>
            </w:pPr>
            <w:r w:rsidRPr="005D727C">
              <w:rPr>
                <w:rFonts w:ascii="Times New Roman" w:hAnsi="Times New Roman"/>
                <w:sz w:val="16"/>
              </w:rPr>
              <w:t>1. v článku 1 sa vypúšťa odsek 7;</w:t>
            </w:r>
          </w:p>
          <w:p w:rsidR="007A61B5" w:rsidRPr="005D727C" w:rsidP="007A61B5">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center"/>
              <w:rPr>
                <w:rFonts w:ascii="Times New Roman" w:hAnsi="Times New Roman"/>
                <w:b/>
                <w:sz w:val="16"/>
              </w:rPr>
            </w:pPr>
            <w:r w:rsidRPr="005D727C" w:rsidR="002D482E">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rsidP="007A61B5">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center"/>
              <w:rPr>
                <w:rFonts w:ascii="Times New Roman" w:hAnsi="Times New Roman"/>
                <w:b/>
                <w:sz w:val="16"/>
              </w:rPr>
            </w:pPr>
            <w:r w:rsidRPr="005D727C" w:rsidR="002D482E">
              <w:rPr>
                <w:rFonts w:ascii="Times New Roman" w:hAnsi="Times New Roman"/>
                <w:b/>
                <w:sz w:val="16"/>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25E63" w:rsidRPr="005D727C">
            <w:pPr>
              <w:bidi w:val="0"/>
              <w:jc w:val="both"/>
              <w:rPr>
                <w:rFonts w:ascii="Times New Roman" w:hAnsi="Times New Roman"/>
                <w:i/>
                <w:sz w:val="16"/>
              </w:rPr>
            </w:pPr>
            <w:r w:rsidRPr="005D727C" w:rsidR="00AB6DA2">
              <w:rPr>
                <w:rFonts w:ascii="Times New Roman" w:hAnsi="Times New Roman"/>
                <w:i/>
                <w:sz w:val="16"/>
              </w:rPr>
              <w:t xml:space="preserve">Transpozícia </w:t>
            </w:r>
            <w:r w:rsidRPr="005D727C">
              <w:rPr>
                <w:rFonts w:ascii="Times New Roman" w:hAnsi="Times New Roman"/>
                <w:i/>
                <w:sz w:val="16"/>
              </w:rPr>
              <w:t>ustanovenia bola dobrovoľná; ustanovenie nebolo transponované do právneho poriadku SR.</w:t>
            </w:r>
          </w:p>
          <w:p w:rsidR="00E25E63" w:rsidRPr="005D727C">
            <w:pPr>
              <w:bidi w:val="0"/>
              <w:jc w:val="both"/>
              <w:rPr>
                <w:rFonts w:ascii="Times New Roman" w:hAnsi="Times New Roman"/>
                <w:i/>
                <w:sz w:val="16"/>
              </w:rPr>
            </w:pPr>
          </w:p>
        </w:tc>
      </w:tr>
      <w:tr>
        <w:tblPrEx>
          <w:tblW w:w="14529" w:type="dxa"/>
          <w:tblLayout w:type="fixed"/>
          <w:tblCellMar>
            <w:top w:w="0" w:type="dxa"/>
            <w:left w:w="70" w:type="dxa"/>
            <w:bottom w:w="0" w:type="dxa"/>
            <w:right w:w="70" w:type="dxa"/>
          </w:tblCellMar>
        </w:tblPrEx>
        <w:trPr>
          <w:trHeight w:val="4107"/>
        </w:trPr>
        <w:tc>
          <w:tcPr>
            <w:tcW w:w="1346" w:type="dxa"/>
            <w:vMerge/>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rsidP="007A61B5">
            <w:pPr>
              <w:bidi w:val="0"/>
              <w:jc w:val="both"/>
              <w:rPr>
                <w:rFonts w:ascii="Times New Roman" w:hAnsi="Times New Roman"/>
                <w:sz w:val="16"/>
              </w:rPr>
            </w:pPr>
            <w:r w:rsidRPr="005D727C">
              <w:rPr>
                <w:rFonts w:ascii="Times New Roman" w:hAnsi="Times New Roman"/>
                <w:sz w:val="16"/>
              </w:rPr>
              <w:t>2. v článku 10 ods. 3 sa dopĺňajú tieto pododseky:</w:t>
            </w:r>
          </w:p>
          <w:p w:rsidR="007A61B5" w:rsidRPr="005D727C" w:rsidP="007A61B5">
            <w:pPr>
              <w:bidi w:val="0"/>
              <w:jc w:val="both"/>
              <w:rPr>
                <w:rFonts w:ascii="Times New Roman" w:hAnsi="Times New Roman"/>
                <w:sz w:val="16"/>
              </w:rPr>
            </w:pPr>
          </w:p>
          <w:p w:rsidR="007A61B5" w:rsidRPr="005D727C" w:rsidP="007A61B5">
            <w:pPr>
              <w:bidi w:val="0"/>
              <w:jc w:val="both"/>
              <w:rPr>
                <w:rFonts w:ascii="Times New Roman" w:hAnsi="Times New Roman"/>
                <w:sz w:val="16"/>
              </w:rPr>
            </w:pPr>
            <w:r w:rsidRPr="005D727C">
              <w:rPr>
                <w:rFonts w:ascii="Times New Roman" w:hAnsi="Times New Roman"/>
                <w:sz w:val="16"/>
              </w:rPr>
              <w:t>„Člen osobitného vyjednávacieho orgánu alebo európskej zamestnaneckej rady alebo jeho náhradník, ktorý je členom posádky námornej lode, je oprávnený zúčastniť sa na zasadnutí osobitného vyjednávacieho orgánu alebo európskej zamestnaneckej rady alebo na akomkoľvek inom zasadnutí podľa ktoréhokoľvek postupu ustanoveného v zmysle článku 6 ods. 3, ak dotknutý člen alebo náhradník v čase konania zasadnutia nie je na mori alebo v prístave v inej krajine, ako v tej, v ktorej je prepravná spoločnosť usadená.</w:t>
            </w:r>
          </w:p>
          <w:p w:rsidR="007A61B5" w:rsidRPr="005D727C" w:rsidP="007A61B5">
            <w:pPr>
              <w:bidi w:val="0"/>
              <w:jc w:val="both"/>
              <w:rPr>
                <w:rFonts w:ascii="Times New Roman" w:hAnsi="Times New Roman"/>
                <w:sz w:val="16"/>
              </w:rPr>
            </w:pPr>
          </w:p>
          <w:p w:rsidR="007A61B5" w:rsidRPr="005D727C" w:rsidP="007A61B5">
            <w:pPr>
              <w:bidi w:val="0"/>
              <w:jc w:val="both"/>
              <w:rPr>
                <w:rFonts w:ascii="Times New Roman" w:hAnsi="Times New Roman"/>
                <w:sz w:val="16"/>
              </w:rPr>
            </w:pPr>
            <w:r w:rsidRPr="005D727C">
              <w:rPr>
                <w:rFonts w:ascii="Times New Roman" w:hAnsi="Times New Roman"/>
                <w:sz w:val="16"/>
              </w:rPr>
              <w:t>Zasadnutia sa vždy, ak je to možné, plánujú tak, aby sa uľahčila účasť členov alebo náhradníkov, ktorí sú členmi posádky námorných plavidiel.</w:t>
            </w:r>
          </w:p>
          <w:p w:rsidR="007A61B5" w:rsidRPr="005D727C" w:rsidP="007A61B5">
            <w:pPr>
              <w:bidi w:val="0"/>
              <w:jc w:val="both"/>
              <w:rPr>
                <w:rFonts w:ascii="Times New Roman" w:hAnsi="Times New Roman"/>
                <w:sz w:val="16"/>
              </w:rPr>
            </w:pPr>
          </w:p>
          <w:p w:rsidR="007A61B5" w:rsidRPr="005D727C" w:rsidP="007A61B5">
            <w:pPr>
              <w:bidi w:val="0"/>
              <w:jc w:val="both"/>
              <w:rPr>
                <w:rFonts w:ascii="Times New Roman" w:hAnsi="Times New Roman"/>
                <w:sz w:val="16"/>
              </w:rPr>
            </w:pPr>
            <w:r w:rsidRPr="005D727C">
              <w:rPr>
                <w:rFonts w:ascii="Times New Roman" w:hAnsi="Times New Roman"/>
                <w:sz w:val="16"/>
              </w:rPr>
              <w:t>V prípadoch, keď sa člen osobitného vyjednávacieho orgánu alebo európskej zamestnaneckej rady alebo jeho náhradník, ktorý je členom posádky námornej lode, nemôže na zasadnutí zúčastniť, zváži sa možnosť využiť nové informačné a komunikačné technológie, ak je to možné.“</w:t>
            </w:r>
          </w:p>
          <w:p w:rsidR="007A61B5" w:rsidP="007A61B5">
            <w:pPr>
              <w:bidi w:val="0"/>
              <w:jc w:val="both"/>
              <w:rPr>
                <w:rFonts w:ascii="Times New Roman" w:hAnsi="Times New Roman"/>
                <w:b/>
                <w:sz w:val="16"/>
              </w:rPr>
            </w:pPr>
          </w:p>
          <w:p w:rsidR="007B5F06" w:rsidRPr="005D727C" w:rsidP="007A61B5">
            <w:pPr>
              <w:bidi w:val="0"/>
              <w:jc w:val="both"/>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center"/>
              <w:rPr>
                <w:rFonts w:ascii="Times New Roman" w:hAnsi="Times New Roman"/>
                <w:b/>
                <w:sz w:val="16"/>
              </w:rPr>
            </w:pPr>
            <w:r w:rsidRPr="005D727C" w:rsidR="00A509D2">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905B4" w:rsidRPr="005D727C" w:rsidP="00C719C1">
            <w:pPr>
              <w:suppressAutoHyphens/>
              <w:autoSpaceDE w:val="0"/>
              <w:bidi w:val="0"/>
              <w:snapToGrid w:val="0"/>
              <w:jc w:val="center"/>
              <w:rPr>
                <w:rFonts w:ascii="Times New Roman" w:hAnsi="Times New Roman"/>
                <w:b/>
                <w:sz w:val="16"/>
                <w:szCs w:val="16"/>
                <w:lang w:eastAsia="ar-SA"/>
              </w:rPr>
            </w:pPr>
            <w:r w:rsidRPr="005D727C" w:rsidR="00695552">
              <w:rPr>
                <w:rFonts w:ascii="Times New Roman" w:hAnsi="Times New Roman"/>
                <w:b/>
                <w:sz w:val="16"/>
                <w:szCs w:val="16"/>
                <w:lang w:eastAsia="ar-SA"/>
              </w:rPr>
              <w:t>N</w:t>
            </w:r>
            <w:r w:rsidRPr="005D727C" w:rsidR="009E5B6C">
              <w:rPr>
                <w:rFonts w:ascii="Times New Roman" w:hAnsi="Times New Roman"/>
                <w:b/>
                <w:sz w:val="16"/>
                <w:szCs w:val="16"/>
                <w:lang w:eastAsia="ar-SA"/>
              </w:rPr>
              <w:t>ávrh zákona</w:t>
            </w:r>
            <w:r w:rsidRPr="005D727C" w:rsidR="00B10A0F">
              <w:rPr>
                <w:rFonts w:ascii="Times New Roman" w:hAnsi="Times New Roman"/>
                <w:b/>
                <w:sz w:val="16"/>
                <w:szCs w:val="16"/>
                <w:lang w:eastAsia="ar-SA"/>
              </w:rPr>
              <w:t xml:space="preserve"> (čl. II</w:t>
            </w:r>
            <w:r w:rsidRPr="005D727C" w:rsidR="00695552">
              <w:rPr>
                <w:rFonts w:ascii="Times New Roman" w:hAnsi="Times New Roman"/>
                <w:b/>
                <w:sz w:val="16"/>
                <w:szCs w:val="16"/>
                <w:lang w:eastAsia="ar-SA"/>
              </w:rPr>
              <w:t xml:space="preserve"> bod </w:t>
            </w:r>
            <w:r w:rsidRPr="005D727C" w:rsidR="00E616B5">
              <w:rPr>
                <w:rFonts w:ascii="Times New Roman" w:hAnsi="Times New Roman"/>
                <w:b/>
                <w:sz w:val="16"/>
                <w:szCs w:val="16"/>
                <w:lang w:eastAsia="ar-SA"/>
              </w:rPr>
              <w:t>6</w:t>
            </w:r>
            <w:r w:rsidRPr="005D727C" w:rsidR="007C112D">
              <w:rPr>
                <w:rFonts w:ascii="Times New Roman" w:hAnsi="Times New Roman"/>
                <w:b/>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905B4" w:rsidRPr="005D727C">
            <w:pPr>
              <w:bidi w:val="0"/>
              <w:rPr>
                <w:rFonts w:ascii="Times New Roman" w:hAnsi="Times New Roman"/>
                <w:b/>
                <w:sz w:val="16"/>
              </w:rPr>
            </w:pPr>
            <w:r w:rsidRPr="005D727C">
              <w:rPr>
                <w:rFonts w:ascii="Times New Roman" w:hAnsi="Times New Roman"/>
                <w:b/>
                <w:sz w:val="16"/>
              </w:rPr>
              <w:t>§ 250</w:t>
            </w:r>
          </w:p>
          <w:p w:rsidR="00B905B4" w:rsidRPr="005D727C">
            <w:pPr>
              <w:bidi w:val="0"/>
              <w:rPr>
                <w:rFonts w:ascii="Times New Roman" w:hAnsi="Times New Roman"/>
                <w:b/>
                <w:sz w:val="16"/>
              </w:rPr>
            </w:pPr>
            <w:r w:rsidRPr="005D727C">
              <w:rPr>
                <w:rFonts w:ascii="Times New Roman" w:hAnsi="Times New Roman"/>
                <w:b/>
                <w:sz w:val="16"/>
              </w:rPr>
              <w:t>O: 4</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B905B4" w:rsidRPr="005D727C">
            <w:pPr>
              <w:bidi w:val="0"/>
              <w:jc w:val="both"/>
              <w:rPr>
                <w:rFonts w:ascii="Times New Roman" w:hAnsi="Times New Roman"/>
                <w:b/>
                <w:sz w:val="16"/>
              </w:rPr>
            </w:pPr>
            <w:r w:rsidRPr="005D727C" w:rsidR="009E5B6C">
              <w:rPr>
                <w:rFonts w:ascii="Times New Roman" w:hAnsi="Times New Roman"/>
                <w:b/>
                <w:sz w:val="16"/>
              </w:rPr>
              <w:t xml:space="preserve">(4) Zasadnutia osobitného vyjednávacieho orgánu a zasadnutia európskej zamestnaneckej rady sa zvolávajú, ak je to možné, tak, aby sa na nich mohli zúčastniť ich členovia </w:t>
            </w:r>
            <w:r w:rsidRPr="005D727C" w:rsidR="009E5B6C">
              <w:rPr>
                <w:rFonts w:ascii="Times New Roman" w:hAnsi="Times New Roman"/>
                <w:b/>
                <w:sz w:val="16"/>
                <w:szCs w:val="16"/>
                <w:lang w:eastAsia="ar-SA"/>
              </w:rPr>
              <w:t>alebo ich náhradníci</w:t>
            </w:r>
            <w:r w:rsidRPr="005D727C" w:rsidR="009E5B6C">
              <w:rPr>
                <w:rFonts w:ascii="Times New Roman" w:hAnsi="Times New Roman"/>
                <w:b/>
                <w:sz w:val="16"/>
              </w:rPr>
              <w:t xml:space="preserve">, ktorí sú členmi posádky námornej lode. </w:t>
            </w:r>
            <w:r w:rsidRPr="005D727C" w:rsidR="009E5B6C">
              <w:rPr>
                <w:rFonts w:ascii="Times New Roman" w:hAnsi="Times New Roman"/>
                <w:b/>
                <w:sz w:val="16"/>
                <w:szCs w:val="16"/>
                <w:lang w:eastAsia="ar-SA"/>
              </w:rPr>
              <w:t>Ak sa člen osobitného vyjednávacieho orgánu alebo člen európskej zamestnaneckej rady alebo jeho náhradník, ktorí sú členmi posádky námornej lode, nemôžu zúčastniť na zasadnutí, zváži sa možnosť využitia informačných a komunikačných technológií, ak je to možné.</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center"/>
              <w:rPr>
                <w:rFonts w:ascii="Times New Roman" w:hAnsi="Times New Roman"/>
                <w:b/>
                <w:sz w:val="16"/>
              </w:rPr>
            </w:pPr>
          </w:p>
          <w:p w:rsidR="00B905B4" w:rsidRPr="005D727C">
            <w:pPr>
              <w:bidi w:val="0"/>
              <w:jc w:val="center"/>
              <w:rPr>
                <w:rFonts w:ascii="Times New Roman" w:hAnsi="Times New Roman"/>
                <w:b/>
                <w:sz w:val="16"/>
              </w:rPr>
            </w:pPr>
            <w:r w:rsidRPr="005D727C">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Pr>
                <w:rFonts w:ascii="Times New Roman" w:hAnsi="Times New Roman"/>
                <w:b/>
                <w:sz w:val="16"/>
              </w:rPr>
              <w:t xml:space="preserve">Č: </w:t>
            </w:r>
            <w:r w:rsidRPr="005D727C" w:rsidR="007A61B5">
              <w:rPr>
                <w:rFonts w:ascii="Times New Roman" w:hAnsi="Times New Roman"/>
                <w:b/>
                <w:sz w:val="16"/>
              </w:rPr>
              <w:t>3</w:t>
            </w:r>
          </w:p>
          <w:p w:rsidR="007A61B5" w:rsidRPr="005D727C">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7A61B5" w:rsidRPr="005D727C" w:rsidP="008871EA">
            <w:pPr>
              <w:pStyle w:val="BodyText21"/>
              <w:bidi w:val="0"/>
              <w:rPr>
                <w:rFonts w:ascii="Times New Roman" w:hAnsi="Times New Roman"/>
                <w:b/>
                <w:sz w:val="16"/>
              </w:rPr>
            </w:pPr>
            <w:r w:rsidRPr="005D727C">
              <w:rPr>
                <w:rFonts w:ascii="Times New Roman" w:hAnsi="Times New Roman"/>
                <w:b/>
                <w:sz w:val="16"/>
              </w:rPr>
              <w:t>Zmena smernice 2002/14/ES</w:t>
            </w:r>
          </w:p>
          <w:p w:rsidR="007A61B5" w:rsidRPr="005D727C" w:rsidP="008871EA">
            <w:pPr>
              <w:pStyle w:val="BodyText21"/>
              <w:bidi w:val="0"/>
              <w:rPr>
                <w:rFonts w:ascii="Times New Roman" w:hAnsi="Times New Roman"/>
                <w:sz w:val="16"/>
              </w:rPr>
            </w:pPr>
          </w:p>
          <w:p w:rsidR="008D4B2C" w:rsidRPr="005D727C" w:rsidP="008871EA">
            <w:pPr>
              <w:pStyle w:val="BodyText21"/>
              <w:bidi w:val="0"/>
              <w:rPr>
                <w:rFonts w:ascii="Times New Roman" w:hAnsi="Times New Roman"/>
                <w:sz w:val="16"/>
              </w:rPr>
            </w:pPr>
            <w:r w:rsidRPr="005D727C" w:rsidR="007A61B5">
              <w:rPr>
                <w:rFonts w:ascii="Times New Roman" w:hAnsi="Times New Roman"/>
                <w:sz w:val="16"/>
              </w:rPr>
              <w:t>Článok 3 ods. 3 smernice 2002/14/ES sa vypúšťa.</w:t>
            </w:r>
          </w:p>
          <w:p w:rsidR="008D4B2C" w:rsidRPr="005D727C">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2D482E">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2D482E">
              <w:rPr>
                <w:rFonts w:ascii="Times New Roman" w:hAnsi="Times New Roman"/>
                <w:b/>
                <w:sz w:val="16"/>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i/>
                <w:sz w:val="16"/>
              </w:rPr>
            </w:pPr>
            <w:r w:rsidRPr="005D727C" w:rsidR="002D482E">
              <w:rPr>
                <w:rFonts w:ascii="Times New Roman" w:hAnsi="Times New Roman"/>
                <w:i/>
                <w:sz w:val="16"/>
              </w:rPr>
              <w:t>Zrušené ustanovenie nebolo transponované do právneho poriadku SR.</w:t>
            </w:r>
          </w:p>
          <w:p w:rsidR="002D482E"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rPr>
          <w:trHeight w:val="1131"/>
        </w:trPr>
        <w:tc>
          <w:tcPr>
            <w:tcW w:w="1346" w:type="dxa"/>
            <w:vMerge w:val="restart"/>
            <w:tcBorders>
              <w:top w:val="single" w:sz="4" w:space="0" w:color="auto"/>
              <w:left w:val="single" w:sz="4" w:space="0" w:color="auto"/>
              <w:bottom w:val="single" w:sz="4" w:space="0" w:color="auto"/>
              <w:right w:val="single" w:sz="4" w:space="0" w:color="auto"/>
            </w:tcBorders>
            <w:textDirection w:val="lrTb"/>
            <w:vAlign w:val="top"/>
          </w:tcPr>
          <w:p w:rsidR="00F24302" w:rsidRPr="005D727C" w:rsidP="007A61B5">
            <w:pPr>
              <w:bidi w:val="0"/>
              <w:jc w:val="both"/>
              <w:rPr>
                <w:rFonts w:ascii="Times New Roman" w:hAnsi="Times New Roman"/>
                <w:b/>
                <w:sz w:val="16"/>
              </w:rPr>
            </w:pPr>
            <w:r w:rsidRPr="005D727C">
              <w:rPr>
                <w:rFonts w:ascii="Times New Roman" w:hAnsi="Times New Roman"/>
                <w:b/>
                <w:sz w:val="16"/>
              </w:rPr>
              <w:t>Č: 4</w:t>
            </w:r>
          </w:p>
          <w:p w:rsidR="00F24302" w:rsidRPr="005D727C" w:rsidP="007A61B5">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rsidP="00F24302">
            <w:pPr>
              <w:pStyle w:val="BodyText21"/>
              <w:bidi w:val="0"/>
              <w:rPr>
                <w:rFonts w:ascii="Times New Roman" w:hAnsi="Times New Roman"/>
                <w:b/>
                <w:sz w:val="16"/>
              </w:rPr>
            </w:pPr>
            <w:r w:rsidRPr="005D727C">
              <w:rPr>
                <w:rFonts w:ascii="Times New Roman" w:hAnsi="Times New Roman"/>
                <w:b/>
                <w:sz w:val="16"/>
              </w:rPr>
              <w:t>Zmeny smernice 98/59/ES</w:t>
            </w:r>
          </w:p>
          <w:p w:rsidR="00F24302" w:rsidRPr="005D727C" w:rsidP="008871EA">
            <w:pPr>
              <w:pStyle w:val="BodyText21"/>
              <w:bidi w:val="0"/>
              <w:rPr>
                <w:rFonts w:ascii="Times New Roman" w:hAnsi="Times New Roman"/>
                <w:sz w:val="16"/>
              </w:rPr>
            </w:pPr>
          </w:p>
          <w:p w:rsidR="00F24302" w:rsidRPr="005D727C" w:rsidP="008871EA">
            <w:pPr>
              <w:pStyle w:val="BodyText21"/>
              <w:bidi w:val="0"/>
              <w:rPr>
                <w:rFonts w:ascii="Times New Roman" w:hAnsi="Times New Roman"/>
                <w:sz w:val="16"/>
              </w:rPr>
            </w:pPr>
            <w:r w:rsidRPr="005D727C">
              <w:rPr>
                <w:rFonts w:ascii="Times New Roman" w:hAnsi="Times New Roman"/>
                <w:sz w:val="16"/>
              </w:rPr>
              <w:t>Smernica 98/59/ES sa mení takto:</w:t>
            </w:r>
          </w:p>
          <w:p w:rsidR="00F24302" w:rsidRPr="005D727C" w:rsidP="008871EA">
            <w:pPr>
              <w:pStyle w:val="BodyText21"/>
              <w:bidi w:val="0"/>
              <w:rPr>
                <w:rFonts w:ascii="Times New Roman" w:hAnsi="Times New Roman"/>
                <w:sz w:val="16"/>
              </w:rPr>
            </w:pPr>
          </w:p>
          <w:p w:rsidR="00F24302" w:rsidRPr="005D727C" w:rsidP="008871EA">
            <w:pPr>
              <w:pStyle w:val="BodyText21"/>
              <w:bidi w:val="0"/>
              <w:rPr>
                <w:rFonts w:ascii="Times New Roman" w:hAnsi="Times New Roman"/>
                <w:sz w:val="16"/>
              </w:rPr>
            </w:pPr>
            <w:r w:rsidRPr="005D727C">
              <w:rPr>
                <w:rFonts w:ascii="Times New Roman" w:hAnsi="Times New Roman"/>
                <w:sz w:val="16"/>
              </w:rPr>
              <w:t>1. v článku 1 ods. 2 sa vypúšťa písmeno c);</w:t>
            </w:r>
          </w:p>
          <w:p w:rsidR="00F24302" w:rsidRPr="005D727C" w:rsidP="008871EA">
            <w:pPr>
              <w:pStyle w:val="BodyText21"/>
              <w:bidi w:val="0"/>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jc w:val="center"/>
              <w:rPr>
                <w:rFonts w:ascii="Times New Roman" w:hAnsi="Times New Roman"/>
                <w:b/>
                <w:sz w:val="16"/>
              </w:rPr>
            </w:pPr>
            <w:r w:rsidRPr="005D727C" w:rsidR="00454D5E">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rsidP="00DA6497">
            <w:pPr>
              <w:bidi w:val="0"/>
              <w:jc w:val="center"/>
              <w:rPr>
                <w:rFonts w:ascii="Times New Roman" w:hAnsi="Times New Roman"/>
                <w:b/>
                <w:sz w:val="16"/>
              </w:rPr>
            </w:pPr>
            <w:r w:rsidRPr="005D727C" w:rsidR="00454D5E">
              <w:rPr>
                <w:rFonts w:ascii="Times New Roman" w:hAnsi="Times New Roman"/>
                <w:b/>
                <w:sz w:val="16"/>
              </w:rPr>
              <w:t>311/2001 Z. z.</w:t>
            </w:r>
          </w:p>
          <w:p w:rsidR="0080789E" w:rsidRPr="005D727C" w:rsidP="0080789E">
            <w:pPr>
              <w:bidi w:val="0"/>
              <w:jc w:val="center"/>
              <w:rPr>
                <w:rFonts w:ascii="Times New Roman" w:hAnsi="Times New Roman"/>
                <w:b/>
                <w:sz w:val="16"/>
              </w:rPr>
            </w:pPr>
          </w:p>
          <w:p w:rsidR="0080789E"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80789E">
            <w:pPr>
              <w:bidi w:val="0"/>
              <w:jc w:val="center"/>
              <w:rPr>
                <w:rFonts w:ascii="Times New Roman" w:hAnsi="Times New Roman"/>
                <w:b/>
                <w:sz w:val="16"/>
              </w:rPr>
            </w:pPr>
          </w:p>
          <w:p w:rsidR="00695552" w:rsidRPr="005D727C" w:rsidP="00C719C1">
            <w:pPr>
              <w:suppressAutoHyphens/>
              <w:autoSpaceDE w:val="0"/>
              <w:bidi w:val="0"/>
              <w:snapToGrid w:val="0"/>
              <w:jc w:val="center"/>
              <w:rPr>
                <w:rFonts w:ascii="Times New Roman" w:hAnsi="Times New Roman"/>
                <w:b/>
                <w:sz w:val="16"/>
              </w:rPr>
            </w:pPr>
            <w:r w:rsidRPr="005D727C">
              <w:rPr>
                <w:rFonts w:ascii="Times New Roman" w:hAnsi="Times New Roman"/>
                <w:b/>
                <w:sz w:val="16"/>
                <w:szCs w:val="16"/>
                <w:lang w:eastAsia="ar-SA"/>
              </w:rPr>
              <w:t xml:space="preserve">Návrh zákona (čl. II bod </w:t>
            </w:r>
            <w:r w:rsidRPr="005D727C" w:rsidR="00E616B5">
              <w:rPr>
                <w:rFonts w:ascii="Times New Roman" w:hAnsi="Times New Roman"/>
                <w:b/>
                <w:sz w:val="16"/>
                <w:szCs w:val="16"/>
                <w:lang w:eastAsia="ar-SA"/>
              </w:rPr>
              <w:t>4</w:t>
            </w:r>
            <w:r w:rsidRPr="005D727C">
              <w:rPr>
                <w:rFonts w:ascii="Times New Roman" w:hAnsi="Times New Roman"/>
                <w:b/>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rPr>
                <w:rFonts w:ascii="Times New Roman" w:hAnsi="Times New Roman"/>
                <w:b/>
                <w:sz w:val="16"/>
              </w:rPr>
            </w:pPr>
            <w:r w:rsidRPr="005D727C" w:rsidR="00454D5E">
              <w:rPr>
                <w:rFonts w:ascii="Times New Roman" w:hAnsi="Times New Roman"/>
                <w:b/>
                <w:sz w:val="16"/>
              </w:rPr>
              <w:t>§ 73</w:t>
            </w:r>
          </w:p>
          <w:p w:rsidR="00454D5E" w:rsidRPr="005D727C">
            <w:pPr>
              <w:bidi w:val="0"/>
              <w:rPr>
                <w:rFonts w:ascii="Times New Roman" w:hAnsi="Times New Roman"/>
                <w:b/>
                <w:sz w:val="16"/>
              </w:rPr>
            </w:pPr>
            <w:r w:rsidRPr="005D727C">
              <w:rPr>
                <w:rFonts w:ascii="Times New Roman" w:hAnsi="Times New Roman"/>
                <w:b/>
                <w:sz w:val="16"/>
              </w:rPr>
              <w:t xml:space="preserve">O: </w:t>
            </w:r>
            <w:r w:rsidRPr="005D727C" w:rsidR="00A92018">
              <w:rPr>
                <w:rFonts w:ascii="Times New Roman" w:hAnsi="Times New Roman"/>
                <w:b/>
                <w:sz w:val="16"/>
              </w:rPr>
              <w:t xml:space="preserve">1 až </w:t>
            </w:r>
            <w:r w:rsidRPr="005D727C" w:rsidR="00E7385B">
              <w:rPr>
                <w:rFonts w:ascii="Times New Roman" w:hAnsi="Times New Roman"/>
                <w:b/>
                <w:sz w:val="16"/>
              </w:rPr>
              <w:t>8</w:t>
            </w: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pPr>
              <w:bidi w:val="0"/>
              <w:rPr>
                <w:rFonts w:ascii="Times New Roman" w:hAnsi="Times New Roman"/>
                <w:b/>
                <w:sz w:val="16"/>
              </w:rPr>
            </w:pPr>
          </w:p>
          <w:p w:rsidR="00E7385B" w:rsidRPr="005D727C" w:rsidP="00E7385B">
            <w:pPr>
              <w:bidi w:val="0"/>
              <w:rPr>
                <w:rFonts w:ascii="Times New Roman" w:hAnsi="Times New Roman"/>
                <w:b/>
                <w:sz w:val="16"/>
              </w:rPr>
            </w:pPr>
            <w:r w:rsidRPr="005D727C">
              <w:rPr>
                <w:rFonts w:ascii="Times New Roman" w:hAnsi="Times New Roman"/>
                <w:b/>
                <w:sz w:val="16"/>
              </w:rPr>
              <w:t>§ 73</w:t>
            </w:r>
          </w:p>
          <w:p w:rsidR="00E7385B" w:rsidRPr="005D727C" w:rsidP="00E7385B">
            <w:pPr>
              <w:bidi w:val="0"/>
              <w:rPr>
                <w:rFonts w:ascii="Times New Roman" w:hAnsi="Times New Roman"/>
                <w:b/>
                <w:sz w:val="16"/>
              </w:rPr>
            </w:pPr>
            <w:r w:rsidRPr="005D727C">
              <w:rPr>
                <w:rFonts w:ascii="Times New Roman" w:hAnsi="Times New Roman"/>
                <w:b/>
                <w:sz w:val="16"/>
              </w:rPr>
              <w:t>O: 9</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A92018" w:rsidRPr="005D727C" w:rsidP="00A92018">
            <w:pPr>
              <w:bidi w:val="0"/>
              <w:jc w:val="both"/>
              <w:rPr>
                <w:rFonts w:ascii="Times New Roman" w:hAnsi="Times New Roman"/>
                <w:sz w:val="16"/>
              </w:rPr>
            </w:pPr>
            <w:r w:rsidRPr="005D727C">
              <w:rPr>
                <w:rFonts w:ascii="Times New Roman" w:hAnsi="Times New Roman"/>
                <w:sz w:val="16"/>
              </w:rPr>
              <w:t>(1) O hromadné prepúšťanie ide, ak zamestnávateľ alebo časť zamestnávateľa rozviaže pracovný pomer výpoveďou z dôvodov uvedených v § 63 ods. 1 písm. a) a b) alebo ak sa pracovný pomer skončí iným spôsobom z dôvodu, ktorý nespočíva v osobe zamestnanca, počas 30 dní</w:t>
            </w:r>
          </w:p>
          <w:p w:rsidR="00A92018" w:rsidRPr="005D727C" w:rsidP="00A92018">
            <w:pPr>
              <w:bidi w:val="0"/>
              <w:jc w:val="both"/>
              <w:rPr>
                <w:rFonts w:ascii="Times New Roman" w:hAnsi="Times New Roman"/>
                <w:sz w:val="16"/>
              </w:rPr>
            </w:pPr>
            <w:r w:rsidRPr="005D727C">
              <w:rPr>
                <w:rFonts w:ascii="Times New Roman" w:hAnsi="Times New Roman"/>
                <w:sz w:val="16"/>
              </w:rPr>
              <w:t>a) najmenej s desiatimi zamestnancami u zamestnávateľa, ktorý zamestnáva viac ako 20 a menej ako 100 zamestnancov,</w:t>
            </w:r>
          </w:p>
          <w:p w:rsidR="00A92018" w:rsidRPr="005D727C" w:rsidP="00A92018">
            <w:pPr>
              <w:bidi w:val="0"/>
              <w:jc w:val="both"/>
              <w:rPr>
                <w:rFonts w:ascii="Times New Roman" w:hAnsi="Times New Roman"/>
                <w:sz w:val="16"/>
              </w:rPr>
            </w:pPr>
            <w:r w:rsidRPr="005D727C">
              <w:rPr>
                <w:rFonts w:ascii="Times New Roman" w:hAnsi="Times New Roman"/>
                <w:sz w:val="16"/>
              </w:rPr>
              <w:t>b) najmenej s 10 % zamestnancov z celkového počtu zamestnancov u zamestnávateľa, ktorý zamestnáva najmenej 100 a menej ako 300 zamestnancov,</w:t>
            </w:r>
          </w:p>
          <w:p w:rsidR="00A92018" w:rsidRPr="005D727C" w:rsidP="00A92018">
            <w:pPr>
              <w:bidi w:val="0"/>
              <w:jc w:val="both"/>
              <w:rPr>
                <w:rFonts w:ascii="Times New Roman" w:hAnsi="Times New Roman"/>
                <w:sz w:val="16"/>
              </w:rPr>
            </w:pPr>
            <w:r w:rsidRPr="005D727C">
              <w:rPr>
                <w:rFonts w:ascii="Times New Roman" w:hAnsi="Times New Roman"/>
                <w:sz w:val="16"/>
              </w:rPr>
              <w:t>c) najmenej s 30 zamestnancami u zamestnávateľa, ktorý zamestnáva najmenej 300 zamestnancov.</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(2) S cieľom dosiahnuť dohodu je zamestnávateľ povinný najneskôr jeden mesiac pred začatím hromadného prepúšťania prerokovať so zástupcami zamestnancov, a ak u zamestnávateľa nepôsobia zástupcovia zamestnancov priamo s dotknutými zamestnancami opatrenia umožňujúce predísť hromadnému prepúšťaniu zamestnancov alebo ho obmedziť, predovšetkým prerokovať možnosť ich umiestnenia vo vhodnom zamestnaní na iných svojich pracoviskách, a to aj po predchádzajúcej príprave, a opatrenia na zmiernenie nepriaznivých dôsledkov hromadného prepúšťania zamestnancov. Na ten účel je zamestnávateľ povinný poskytnúť zástupcom zamestnancov všetky potrebné informácie a písomne ho informovať najmä o</w:t>
            </w:r>
          </w:p>
          <w:p w:rsidR="00A92018" w:rsidRPr="005D727C" w:rsidP="00A92018">
            <w:pPr>
              <w:bidi w:val="0"/>
              <w:jc w:val="both"/>
              <w:rPr>
                <w:rFonts w:ascii="Times New Roman" w:hAnsi="Times New Roman"/>
                <w:sz w:val="16"/>
              </w:rPr>
            </w:pPr>
            <w:r w:rsidRPr="005D727C">
              <w:rPr>
                <w:rFonts w:ascii="Times New Roman" w:hAnsi="Times New Roman"/>
                <w:sz w:val="16"/>
              </w:rPr>
              <w:t>a) dôvodoch hromadného prepúšťania,</w:t>
            </w:r>
          </w:p>
          <w:p w:rsidR="00A92018" w:rsidRPr="005D727C" w:rsidP="00A92018">
            <w:pPr>
              <w:bidi w:val="0"/>
              <w:jc w:val="both"/>
              <w:rPr>
                <w:rFonts w:ascii="Times New Roman" w:hAnsi="Times New Roman"/>
                <w:sz w:val="16"/>
              </w:rPr>
            </w:pPr>
            <w:r w:rsidRPr="005D727C">
              <w:rPr>
                <w:rFonts w:ascii="Times New Roman" w:hAnsi="Times New Roman"/>
                <w:sz w:val="16"/>
              </w:rPr>
              <w:t>b) počte a štruktúre zamestnancov, s ktorými sa má pracovný pomer rozviazať,</w:t>
            </w:r>
          </w:p>
          <w:p w:rsidR="00A92018" w:rsidRPr="005D727C" w:rsidP="00A92018">
            <w:pPr>
              <w:bidi w:val="0"/>
              <w:jc w:val="both"/>
              <w:rPr>
                <w:rFonts w:ascii="Times New Roman" w:hAnsi="Times New Roman"/>
                <w:sz w:val="16"/>
              </w:rPr>
            </w:pPr>
            <w:r w:rsidRPr="005D727C">
              <w:rPr>
                <w:rFonts w:ascii="Times New Roman" w:hAnsi="Times New Roman"/>
                <w:sz w:val="16"/>
              </w:rPr>
              <w:t>c) celkovom počte a štruktúre zamestnancov, ktorých zamestnáva,</w:t>
            </w:r>
          </w:p>
          <w:p w:rsidR="00A92018" w:rsidRPr="005D727C" w:rsidP="00A92018">
            <w:pPr>
              <w:bidi w:val="0"/>
              <w:jc w:val="both"/>
              <w:rPr>
                <w:rFonts w:ascii="Times New Roman" w:hAnsi="Times New Roman"/>
                <w:sz w:val="16"/>
              </w:rPr>
            </w:pPr>
            <w:r w:rsidRPr="005D727C">
              <w:rPr>
                <w:rFonts w:ascii="Times New Roman" w:hAnsi="Times New Roman"/>
                <w:sz w:val="16"/>
              </w:rPr>
              <w:t>d) dobe, počas ktorej sa hromadné prepúšťanie bude uskutočňovať,</w:t>
            </w:r>
          </w:p>
          <w:p w:rsidR="00A92018" w:rsidRPr="005D727C" w:rsidP="00A92018">
            <w:pPr>
              <w:bidi w:val="0"/>
              <w:jc w:val="both"/>
              <w:rPr>
                <w:rFonts w:ascii="Times New Roman" w:hAnsi="Times New Roman"/>
                <w:sz w:val="16"/>
              </w:rPr>
            </w:pPr>
            <w:r w:rsidRPr="005D727C">
              <w:rPr>
                <w:rFonts w:ascii="Times New Roman" w:hAnsi="Times New Roman"/>
                <w:sz w:val="16"/>
              </w:rPr>
              <w:t>e) kritériách na výber zamestnancov, s ktorými sa má pracovný pomer rozviazať.</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(3) Zamestnávateľ doručí odpis písomnej informácie podľa odseku 2 spolu s menami, priezviskami a adresami trvalého pobytu zamestnancov, s ktorými sa má rozviazať pracovný pomer, súčasne aj úradu práce, sociálnych vecí a rodiny na účely hľadania riešení problémov spojených s hromadným prepúšťaním podľa odseku 7.</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(4) Zamestnávateľ po prerokovaní hromadného prepúšťania so zástupcami zamestnancov je povinný doručiť písomnú informáciu o výsledku prerokovania</w:t>
            </w:r>
          </w:p>
          <w:p w:rsidR="00A92018" w:rsidRPr="005D727C" w:rsidP="00A92018">
            <w:pPr>
              <w:bidi w:val="0"/>
              <w:jc w:val="both"/>
              <w:rPr>
                <w:rFonts w:ascii="Times New Roman" w:hAnsi="Times New Roman"/>
                <w:sz w:val="16"/>
              </w:rPr>
            </w:pPr>
            <w:r w:rsidRPr="005D727C">
              <w:rPr>
                <w:rFonts w:ascii="Times New Roman" w:hAnsi="Times New Roman"/>
                <w:sz w:val="16"/>
              </w:rPr>
              <w:t>a) Národnému úradu práce,</w:t>
            </w:r>
          </w:p>
          <w:p w:rsidR="00A92018" w:rsidRPr="005D727C" w:rsidP="00A92018">
            <w:pPr>
              <w:bidi w:val="0"/>
              <w:jc w:val="both"/>
              <w:rPr>
                <w:rFonts w:ascii="Times New Roman" w:hAnsi="Times New Roman"/>
                <w:sz w:val="16"/>
              </w:rPr>
            </w:pPr>
            <w:r w:rsidRPr="005D727C">
              <w:rPr>
                <w:rFonts w:ascii="Times New Roman" w:hAnsi="Times New Roman"/>
                <w:sz w:val="16"/>
              </w:rPr>
              <w:t>b) zástupcom zamestnancov.</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(5) Zástupcovia zamestnancov môžu Národnému úradu práce predložiť pripomienky týkajúce sa hromadného prepúšťania.</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(6) Pri hromadnom prepúšťaní zamestnávateľ môže dať zamestnancovi výpoveď z dôvodov uvedených v § 63 ods. 1 písm. a) a b) alebo návrh na rozviazanie pracovného pomeru dohodou z tých istých dôvodov najskôr po uplynutí jedného mesiaca odo dňa doručenia písomnej informácie podľa odseku 4 písm. a).</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(7) Lehotu ustanovenú v odseku 6 Národný úrad práce využije na hľadanie riešení problémov spojených s plánovaným hromadným prepúšťaním. Úrad práce, sociálnych vecí a rodiny môže lehotu podľa odseku 6 z objektívnych dôvodov primerane skrátiť, o čom bezodkladne písomne informuje zamestnávateľa.</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(8) Ak zamestnávateľ poruší povinnosti ustanovené v odsekoch 2 až 4 a 6, má zamestnanec, s ktorým zamestnávateľ skončí pracovný pomer v rámci hromadného prepúšťania, nárok na náhradu mzdy najmenej v sume dvojnásobku jeho priemerného zárobku podľa § 134.</w:t>
            </w:r>
          </w:p>
          <w:p w:rsidR="00A92018" w:rsidRPr="005D727C" w:rsidP="00F24302">
            <w:pPr>
              <w:bidi w:val="0"/>
              <w:jc w:val="both"/>
              <w:rPr>
                <w:rFonts w:ascii="Times New Roman" w:hAnsi="Times New Roman"/>
                <w:sz w:val="16"/>
              </w:rPr>
            </w:pPr>
          </w:p>
          <w:p w:rsidR="00F24302" w:rsidRPr="005D727C" w:rsidP="00F24302">
            <w:pPr>
              <w:bidi w:val="0"/>
              <w:jc w:val="both"/>
              <w:rPr>
                <w:rFonts w:ascii="Times New Roman" w:hAnsi="Times New Roman"/>
                <w:b/>
                <w:sz w:val="16"/>
              </w:rPr>
            </w:pPr>
            <w:r w:rsidRPr="005D727C" w:rsidR="00454D5E">
              <w:rPr>
                <w:rFonts w:ascii="Times New Roman" w:hAnsi="Times New Roman"/>
                <w:b/>
                <w:sz w:val="16"/>
              </w:rPr>
              <w:t>(9) Ustanovenia odsekov 1 až 8 sa nevzťahujú na skončenie pracovného pomeru uzatvoreného na určitú dobu uplynutím dohodnutej doby.</w:t>
            </w:r>
          </w:p>
          <w:p w:rsidR="00A92018" w:rsidRPr="005D727C" w:rsidP="00F24302">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jc w:val="center"/>
              <w:rPr>
                <w:rFonts w:ascii="Times New Roman" w:hAnsi="Times New Roman"/>
                <w:b/>
                <w:sz w:val="16"/>
              </w:rPr>
            </w:pPr>
            <w:r w:rsidRPr="005D727C" w:rsidR="00454D5E">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rsidP="00925980">
            <w:pPr>
              <w:bidi w:val="0"/>
              <w:rPr>
                <w:rFonts w:ascii="Times New Roman" w:hAnsi="Times New Roman"/>
                <w:i/>
                <w:sz w:val="16"/>
              </w:rPr>
            </w:pPr>
            <w:r w:rsidRPr="005D727C" w:rsidR="008270A2">
              <w:rPr>
                <w:rFonts w:ascii="Times New Roman" w:hAnsi="Times New Roman"/>
                <w:i/>
                <w:sz w:val="16"/>
              </w:rPr>
              <w:t>Existujúca v</w:t>
            </w:r>
            <w:r w:rsidRPr="005D727C" w:rsidR="00454D5E">
              <w:rPr>
                <w:rFonts w:ascii="Times New Roman" w:hAnsi="Times New Roman"/>
                <w:i/>
                <w:sz w:val="16"/>
              </w:rPr>
              <w:t xml:space="preserve">ýnimka, </w:t>
            </w:r>
            <w:r w:rsidRPr="005D727C" w:rsidR="00925980">
              <w:rPr>
                <w:rFonts w:ascii="Times New Roman" w:hAnsi="Times New Roman"/>
                <w:i/>
                <w:sz w:val="16"/>
              </w:rPr>
              <w:t>teda</w:t>
            </w:r>
            <w:r w:rsidRPr="005D727C" w:rsidR="00454D5E">
              <w:rPr>
                <w:rFonts w:ascii="Times New Roman" w:hAnsi="Times New Roman"/>
                <w:i/>
                <w:sz w:val="16"/>
              </w:rPr>
              <w:t xml:space="preserve"> vylúčenie pôsobnosti </w:t>
            </w:r>
            <w:r w:rsidRPr="005D727C" w:rsidR="00A92018">
              <w:rPr>
                <w:rFonts w:ascii="Times New Roman" w:hAnsi="Times New Roman"/>
                <w:i/>
                <w:sz w:val="16"/>
              </w:rPr>
              <w:t>§ 73 ods. 1 až 8 Zákonníka práce</w:t>
            </w:r>
            <w:r w:rsidRPr="005D727C" w:rsidR="00454D5E">
              <w:rPr>
                <w:rFonts w:ascii="Times New Roman" w:hAnsi="Times New Roman"/>
                <w:i/>
                <w:sz w:val="16"/>
              </w:rPr>
              <w:t xml:space="preserve"> na námorníkov</w:t>
            </w:r>
            <w:r w:rsidRPr="005D727C" w:rsidR="00925980">
              <w:rPr>
                <w:rFonts w:ascii="Times New Roman" w:hAnsi="Times New Roman"/>
                <w:i/>
                <w:sz w:val="16"/>
              </w:rPr>
              <w:t>,</w:t>
            </w:r>
            <w:r w:rsidRPr="005D727C" w:rsidR="008270A2">
              <w:rPr>
                <w:rFonts w:ascii="Times New Roman" w:hAnsi="Times New Roman"/>
                <w:i/>
                <w:sz w:val="16"/>
              </w:rPr>
              <w:t xml:space="preserve"> sa zrušuje novým znením odseku 9.</w:t>
            </w:r>
          </w:p>
          <w:p w:rsidR="00925980" w:rsidRPr="005D727C" w:rsidP="00925980">
            <w:pPr>
              <w:bidi w:val="0"/>
              <w:rPr>
                <w:rFonts w:ascii="Times New Roman" w:hAnsi="Times New Roman"/>
                <w:i/>
                <w:sz w:val="16"/>
              </w:rPr>
            </w:pPr>
          </w:p>
        </w:tc>
      </w:tr>
      <w:tr>
        <w:tblPrEx>
          <w:tblW w:w="14529" w:type="dxa"/>
          <w:tblLayout w:type="fixed"/>
          <w:tblCellMar>
            <w:top w:w="0" w:type="dxa"/>
            <w:left w:w="70" w:type="dxa"/>
            <w:bottom w:w="0" w:type="dxa"/>
            <w:right w:w="70" w:type="dxa"/>
          </w:tblCellMar>
        </w:tblPrEx>
        <w:trPr>
          <w:trHeight w:val="1590"/>
        </w:trPr>
        <w:tc>
          <w:tcPr>
            <w:tcW w:w="1346" w:type="dxa"/>
            <w:vMerge/>
            <w:tcBorders>
              <w:top w:val="single" w:sz="4" w:space="0" w:color="auto"/>
              <w:left w:val="single" w:sz="4" w:space="0" w:color="auto"/>
              <w:bottom w:val="single" w:sz="4" w:space="0" w:color="auto"/>
              <w:right w:val="single" w:sz="4" w:space="0" w:color="auto"/>
            </w:tcBorders>
            <w:textDirection w:val="lrTb"/>
            <w:vAlign w:val="top"/>
          </w:tcPr>
          <w:p w:rsidR="00F24302" w:rsidRPr="005D727C" w:rsidP="007A61B5">
            <w:pPr>
              <w:bidi w:val="0"/>
              <w:jc w:val="both"/>
              <w:rPr>
                <w:rFonts w:ascii="Times New Roman" w:hAnsi="Times New Roman"/>
                <w:b/>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rsidP="007A61B5">
            <w:pPr>
              <w:pStyle w:val="BodyText21"/>
              <w:bidi w:val="0"/>
              <w:rPr>
                <w:rFonts w:ascii="Times New Roman" w:hAnsi="Times New Roman"/>
                <w:sz w:val="16"/>
              </w:rPr>
            </w:pPr>
            <w:r w:rsidRPr="005D727C">
              <w:rPr>
                <w:rFonts w:ascii="Times New Roman" w:hAnsi="Times New Roman"/>
                <w:sz w:val="16"/>
              </w:rPr>
              <w:t>2. v článku 3 ods. 1 sa za druhý pododsek vkladá tento pododsek:</w:t>
            </w:r>
          </w:p>
          <w:p w:rsidR="00F24302" w:rsidRPr="005D727C" w:rsidP="007A61B5">
            <w:pPr>
              <w:pStyle w:val="BodyText21"/>
              <w:bidi w:val="0"/>
              <w:rPr>
                <w:rFonts w:ascii="Times New Roman" w:hAnsi="Times New Roman"/>
                <w:sz w:val="16"/>
              </w:rPr>
            </w:pPr>
          </w:p>
          <w:p w:rsidR="00F24302" w:rsidRPr="005D727C" w:rsidP="007A61B5">
            <w:pPr>
              <w:pStyle w:val="BodyText21"/>
              <w:bidi w:val="0"/>
              <w:rPr>
                <w:rFonts w:ascii="Times New Roman" w:hAnsi="Times New Roman"/>
                <w:sz w:val="16"/>
              </w:rPr>
            </w:pPr>
            <w:r w:rsidRPr="005D727C">
              <w:rPr>
                <w:rFonts w:ascii="Times New Roman" w:hAnsi="Times New Roman"/>
                <w:sz w:val="16"/>
              </w:rPr>
              <w:t>„V prípade, že sa plánované hromadné prepúšťanie týka členov posádky námorného plavidla, zamestnávateľ informuje príslušný orgán štátu, pod ktorého vlajkou loď pláva.“</w:t>
            </w:r>
          </w:p>
          <w:p w:rsidR="00F24302" w:rsidRPr="005D727C" w:rsidP="008871EA">
            <w:pPr>
              <w:pStyle w:val="BodyText21"/>
              <w:bidi w:val="0"/>
              <w:rPr>
                <w:rFonts w:ascii="Times New Roman" w:hAnsi="Times New Roman"/>
                <w:b/>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jc w:val="center"/>
              <w:rPr>
                <w:rFonts w:ascii="Times New Roman" w:hAnsi="Times New Roman"/>
                <w:b/>
                <w:sz w:val="16"/>
              </w:rPr>
            </w:pPr>
            <w:r w:rsidRPr="005D727C" w:rsidR="00925980">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25980" w:rsidRPr="005D727C" w:rsidP="00DA6497">
            <w:pPr>
              <w:bidi w:val="0"/>
              <w:jc w:val="center"/>
              <w:rPr>
                <w:rFonts w:ascii="Times New Roman" w:hAnsi="Times New Roman"/>
                <w:b/>
                <w:sz w:val="16"/>
              </w:rPr>
            </w:pPr>
            <w:r w:rsidRPr="005D727C">
              <w:rPr>
                <w:rFonts w:ascii="Times New Roman" w:hAnsi="Times New Roman"/>
                <w:b/>
                <w:sz w:val="16"/>
              </w:rPr>
              <w:t>311/2001 Z. z.</w:t>
            </w: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695552" w:rsidRPr="005D727C" w:rsidP="00DA6497">
            <w:pPr>
              <w:bidi w:val="0"/>
              <w:jc w:val="center"/>
              <w:rPr>
                <w:rFonts w:ascii="Times New Roman" w:hAnsi="Times New Roman"/>
                <w:b/>
                <w:sz w:val="16"/>
              </w:rPr>
            </w:pPr>
          </w:p>
          <w:p w:rsidR="00DA6497" w:rsidRPr="005D727C" w:rsidP="00C719C1">
            <w:pPr>
              <w:suppressAutoHyphens/>
              <w:autoSpaceDE w:val="0"/>
              <w:bidi w:val="0"/>
              <w:snapToGrid w:val="0"/>
              <w:jc w:val="center"/>
              <w:rPr>
                <w:rFonts w:ascii="Times New Roman" w:hAnsi="Times New Roman"/>
                <w:b/>
                <w:sz w:val="16"/>
              </w:rPr>
            </w:pPr>
            <w:r w:rsidRPr="005D727C" w:rsidR="00695552">
              <w:rPr>
                <w:rFonts w:ascii="Times New Roman" w:hAnsi="Times New Roman"/>
                <w:b/>
                <w:sz w:val="16"/>
                <w:szCs w:val="16"/>
                <w:lang w:eastAsia="ar-SA"/>
              </w:rPr>
              <w:t>N</w:t>
            </w:r>
            <w:r w:rsidRPr="005D727C" w:rsidR="00173924">
              <w:rPr>
                <w:rFonts w:ascii="Times New Roman" w:hAnsi="Times New Roman"/>
                <w:b/>
                <w:sz w:val="16"/>
                <w:szCs w:val="16"/>
                <w:lang w:eastAsia="ar-SA"/>
              </w:rPr>
              <w:t>ávr</w:t>
            </w:r>
            <w:r w:rsidRPr="005D727C" w:rsidR="00695552">
              <w:rPr>
                <w:rFonts w:ascii="Times New Roman" w:hAnsi="Times New Roman"/>
                <w:b/>
                <w:sz w:val="16"/>
                <w:szCs w:val="16"/>
                <w:lang w:eastAsia="ar-SA"/>
              </w:rPr>
              <w:t>h</w:t>
            </w:r>
            <w:r w:rsidRPr="005D727C" w:rsidR="00173924">
              <w:rPr>
                <w:rFonts w:ascii="Times New Roman" w:hAnsi="Times New Roman"/>
                <w:b/>
                <w:sz w:val="16"/>
                <w:szCs w:val="16"/>
                <w:lang w:eastAsia="ar-SA"/>
              </w:rPr>
              <w:t xml:space="preserve"> zákona (čl. II</w:t>
            </w:r>
            <w:r w:rsidRPr="005D727C" w:rsidR="00695552">
              <w:rPr>
                <w:rFonts w:ascii="Times New Roman" w:hAnsi="Times New Roman"/>
                <w:b/>
                <w:sz w:val="16"/>
                <w:szCs w:val="16"/>
                <w:lang w:eastAsia="ar-SA"/>
              </w:rPr>
              <w:t xml:space="preserve"> bod </w:t>
            </w:r>
            <w:r w:rsidRPr="005D727C" w:rsidR="00E616B5">
              <w:rPr>
                <w:rFonts w:ascii="Times New Roman" w:hAnsi="Times New Roman"/>
                <w:b/>
                <w:sz w:val="16"/>
                <w:szCs w:val="16"/>
                <w:lang w:eastAsia="ar-SA"/>
              </w:rPr>
              <w:t>5</w:t>
            </w:r>
            <w:r w:rsidRPr="005D727C" w:rsidR="00150B40">
              <w:rPr>
                <w:rFonts w:ascii="Times New Roman" w:hAnsi="Times New Roman"/>
                <w:b/>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rPr>
                <w:rFonts w:ascii="Times New Roman" w:hAnsi="Times New Roman"/>
                <w:b/>
                <w:sz w:val="16"/>
              </w:rPr>
            </w:pPr>
            <w:r w:rsidRPr="005D727C" w:rsidR="00925980">
              <w:rPr>
                <w:rFonts w:ascii="Times New Roman" w:hAnsi="Times New Roman"/>
                <w:b/>
                <w:sz w:val="16"/>
              </w:rPr>
              <w:t>§ 73</w:t>
            </w:r>
          </w:p>
          <w:p w:rsidR="00925980" w:rsidRPr="005D727C">
            <w:pPr>
              <w:bidi w:val="0"/>
              <w:rPr>
                <w:rFonts w:ascii="Times New Roman" w:hAnsi="Times New Roman"/>
                <w:b/>
                <w:sz w:val="16"/>
              </w:rPr>
            </w:pPr>
            <w:r w:rsidRPr="005D727C">
              <w:rPr>
                <w:rFonts w:ascii="Times New Roman" w:hAnsi="Times New Roman"/>
                <w:b/>
                <w:sz w:val="16"/>
              </w:rPr>
              <w:t xml:space="preserve">O: </w:t>
            </w:r>
            <w:r w:rsidRPr="005D727C" w:rsidR="00A92018">
              <w:rPr>
                <w:rFonts w:ascii="Times New Roman" w:hAnsi="Times New Roman"/>
                <w:b/>
                <w:sz w:val="16"/>
              </w:rPr>
              <w:t>3</w:t>
            </w: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A92018" w:rsidRPr="005D727C">
            <w:pPr>
              <w:bidi w:val="0"/>
              <w:rPr>
                <w:rFonts w:ascii="Times New Roman" w:hAnsi="Times New Roman"/>
                <w:b/>
                <w:sz w:val="16"/>
              </w:rPr>
            </w:pPr>
            <w:r w:rsidRPr="005D727C">
              <w:rPr>
                <w:rFonts w:ascii="Times New Roman" w:hAnsi="Times New Roman"/>
                <w:b/>
                <w:sz w:val="16"/>
              </w:rPr>
              <w:t>O:4</w:t>
            </w:r>
          </w:p>
          <w:p w:rsidR="00A92018" w:rsidRPr="005D727C">
            <w:pPr>
              <w:bidi w:val="0"/>
              <w:rPr>
                <w:rFonts w:ascii="Times New Roman" w:hAnsi="Times New Roman"/>
                <w:b/>
                <w:sz w:val="16"/>
              </w:rPr>
            </w:pPr>
            <w:r w:rsidRPr="005D727C">
              <w:rPr>
                <w:rFonts w:ascii="Times New Roman" w:hAnsi="Times New Roman"/>
                <w:b/>
                <w:sz w:val="16"/>
              </w:rPr>
              <w:t>P: a</w:t>
            </w: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A92018" w:rsidRPr="005D727C">
            <w:pPr>
              <w:bidi w:val="0"/>
              <w:rPr>
                <w:rFonts w:ascii="Times New Roman" w:hAnsi="Times New Roman"/>
                <w:b/>
                <w:sz w:val="16"/>
              </w:rPr>
            </w:pPr>
          </w:p>
          <w:p w:rsidR="00695552" w:rsidRPr="005D727C">
            <w:pPr>
              <w:bidi w:val="0"/>
              <w:rPr>
                <w:rFonts w:ascii="Times New Roman" w:hAnsi="Times New Roman"/>
                <w:b/>
                <w:sz w:val="16"/>
              </w:rPr>
            </w:pPr>
            <w:r w:rsidRPr="005D727C">
              <w:rPr>
                <w:rFonts w:ascii="Times New Roman" w:hAnsi="Times New Roman"/>
                <w:b/>
                <w:sz w:val="16"/>
              </w:rPr>
              <w:t>§ 73</w:t>
            </w:r>
          </w:p>
          <w:p w:rsidR="00A92018" w:rsidRPr="005D727C">
            <w:pPr>
              <w:bidi w:val="0"/>
              <w:rPr>
                <w:rFonts w:ascii="Times New Roman" w:hAnsi="Times New Roman"/>
                <w:b/>
                <w:sz w:val="16"/>
              </w:rPr>
            </w:pPr>
            <w:r w:rsidRPr="005D727C">
              <w:rPr>
                <w:rFonts w:ascii="Times New Roman" w:hAnsi="Times New Roman"/>
                <w:b/>
                <w:sz w:val="16"/>
              </w:rPr>
              <w:t>O: 13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A92018" w:rsidRPr="005D727C" w:rsidP="00A92018">
            <w:pPr>
              <w:bidi w:val="0"/>
              <w:jc w:val="both"/>
              <w:rPr>
                <w:rFonts w:ascii="Times New Roman" w:hAnsi="Times New Roman"/>
                <w:sz w:val="16"/>
              </w:rPr>
            </w:pPr>
            <w:r w:rsidRPr="005D727C">
              <w:rPr>
                <w:rFonts w:ascii="Times New Roman" w:hAnsi="Times New Roman"/>
                <w:sz w:val="16"/>
              </w:rPr>
              <w:t>(3) Zamestnávateľ doručí odpis písomnej informácie podľa odseku 2 spolu s menami, priezviskami a adresami trvalého pobytu zamestnancov, s ktorými sa má rozviazať pracovný pomer, súčasne aj úradu práce, sociálnych vecí a rodiny na účely hľadania riešení problémov spojených s hromadným prepúšťaním podľa odseku 7.</w:t>
            </w:r>
          </w:p>
          <w:p w:rsidR="00A92018" w:rsidRPr="005D727C" w:rsidP="00A92018">
            <w:pPr>
              <w:bidi w:val="0"/>
              <w:jc w:val="both"/>
              <w:rPr>
                <w:rFonts w:ascii="Times New Roman" w:hAnsi="Times New Roman"/>
                <w:sz w:val="16"/>
              </w:rPr>
            </w:pPr>
          </w:p>
          <w:p w:rsidR="00A92018" w:rsidRPr="005D727C" w:rsidP="00A92018">
            <w:pPr>
              <w:bidi w:val="0"/>
              <w:jc w:val="both"/>
              <w:rPr>
                <w:rFonts w:ascii="Times New Roman" w:hAnsi="Times New Roman"/>
                <w:sz w:val="16"/>
              </w:rPr>
            </w:pPr>
            <w:r w:rsidRPr="005D727C">
              <w:rPr>
                <w:rFonts w:ascii="Times New Roman" w:hAnsi="Times New Roman"/>
                <w:sz w:val="16"/>
              </w:rPr>
              <w:t>(4) Zamestnávateľ po prerokovaní hromadného prepúšťania so zástupcami zamestnancov je povinný doručiť písomnú informáciu o výsledku prerokovania</w:t>
            </w:r>
          </w:p>
          <w:p w:rsidR="00A92018" w:rsidRPr="005D727C" w:rsidP="00A92018">
            <w:pPr>
              <w:bidi w:val="0"/>
              <w:jc w:val="both"/>
              <w:rPr>
                <w:rFonts w:ascii="Times New Roman" w:hAnsi="Times New Roman"/>
                <w:sz w:val="16"/>
              </w:rPr>
            </w:pPr>
            <w:r w:rsidRPr="005D727C">
              <w:rPr>
                <w:rFonts w:ascii="Times New Roman" w:hAnsi="Times New Roman"/>
                <w:sz w:val="16"/>
              </w:rPr>
              <w:t>a) Národnému úradu práce.</w:t>
            </w:r>
          </w:p>
          <w:p w:rsidR="00A92018" w:rsidRPr="005D727C" w:rsidP="00F24302">
            <w:pPr>
              <w:bidi w:val="0"/>
              <w:jc w:val="both"/>
              <w:rPr>
                <w:rFonts w:ascii="Times New Roman" w:hAnsi="Times New Roman"/>
                <w:sz w:val="16"/>
              </w:rPr>
            </w:pPr>
          </w:p>
          <w:p w:rsidR="00F24302" w:rsidRPr="005D727C" w:rsidP="00F24302">
            <w:pPr>
              <w:bidi w:val="0"/>
              <w:jc w:val="both"/>
              <w:rPr>
                <w:rFonts w:ascii="Times New Roman" w:hAnsi="Times New Roman"/>
                <w:b/>
                <w:sz w:val="16"/>
              </w:rPr>
            </w:pPr>
            <w:r w:rsidRPr="005D727C" w:rsidR="00925980">
              <w:rPr>
                <w:rFonts w:ascii="Times New Roman" w:hAnsi="Times New Roman"/>
                <w:b/>
                <w:sz w:val="16"/>
              </w:rPr>
              <w:t>(13) Ak sa hromadné prepúšťanie týka členov posádky námornej lode, zamestnávateľ plní povinnosti ustanovené v odseku 3 a odseku 4 písm. a) voči príslušnému orgánu štátu, pod ktorého štátnou vlajkou loď pláva.</w:t>
            </w:r>
          </w:p>
          <w:p w:rsidR="00A92018" w:rsidRPr="005D727C" w:rsidP="00F24302">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jc w:val="center"/>
              <w:rPr>
                <w:rFonts w:ascii="Times New Roman" w:hAnsi="Times New Roman"/>
                <w:b/>
                <w:sz w:val="16"/>
              </w:rPr>
            </w:pPr>
            <w:r w:rsidRPr="005D727C" w:rsidR="00925980">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7A61B5">
            <w:pPr>
              <w:bidi w:val="0"/>
              <w:jc w:val="both"/>
              <w:rPr>
                <w:rFonts w:ascii="Times New Roman" w:hAnsi="Times New Roman"/>
                <w:b/>
                <w:sz w:val="16"/>
              </w:rPr>
            </w:pPr>
            <w:r w:rsidRPr="005D727C">
              <w:rPr>
                <w:rFonts w:ascii="Times New Roman" w:hAnsi="Times New Roman"/>
                <w:b/>
                <w:sz w:val="16"/>
              </w:rPr>
              <w:t xml:space="preserve">Č: </w:t>
            </w:r>
            <w:r w:rsidRPr="005D727C" w:rsidR="007A61B5">
              <w:rPr>
                <w:rFonts w:ascii="Times New Roman" w:hAnsi="Times New Roman"/>
                <w:b/>
                <w:sz w:val="16"/>
              </w:rPr>
              <w:t>5</w:t>
            </w:r>
          </w:p>
          <w:p w:rsidR="007A61B5" w:rsidRPr="005D727C" w:rsidP="007A61B5">
            <w:pPr>
              <w:bidi w:val="0"/>
              <w:jc w:val="both"/>
              <w:rPr>
                <w:rFonts w:ascii="Times New Roman" w:hAnsi="Times New Roman"/>
                <w:b/>
                <w:sz w:val="16"/>
              </w:rPr>
            </w:pPr>
            <w:r w:rsidRPr="005D727C">
              <w:rPr>
                <w:rFonts w:ascii="Times New Roman" w:hAnsi="Times New Roman"/>
                <w:b/>
                <w:sz w:val="16"/>
              </w:rPr>
              <w:t>Zmena smernice 2001/23/ES</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F24302" w:rsidRPr="005D727C" w:rsidP="007A61B5">
            <w:pPr>
              <w:pStyle w:val="BodyText21"/>
              <w:bidi w:val="0"/>
              <w:rPr>
                <w:rFonts w:ascii="Times New Roman" w:hAnsi="Times New Roman"/>
                <w:b/>
                <w:sz w:val="16"/>
              </w:rPr>
            </w:pPr>
            <w:r w:rsidRPr="005D727C">
              <w:rPr>
                <w:rFonts w:ascii="Times New Roman" w:hAnsi="Times New Roman"/>
                <w:b/>
                <w:sz w:val="16"/>
              </w:rPr>
              <w:t>Zmena smernice 2001/23/ES</w:t>
            </w:r>
          </w:p>
          <w:p w:rsidR="00F24302" w:rsidRPr="005D727C" w:rsidP="007A61B5">
            <w:pPr>
              <w:pStyle w:val="BodyText21"/>
              <w:bidi w:val="0"/>
              <w:rPr>
                <w:rFonts w:ascii="Times New Roman" w:hAnsi="Times New Roman"/>
                <w:sz w:val="16"/>
              </w:rPr>
            </w:pPr>
          </w:p>
          <w:p w:rsidR="007A61B5" w:rsidRPr="005D727C" w:rsidP="007A61B5">
            <w:pPr>
              <w:pStyle w:val="BodyText21"/>
              <w:bidi w:val="0"/>
              <w:rPr>
                <w:rFonts w:ascii="Times New Roman" w:hAnsi="Times New Roman"/>
                <w:sz w:val="16"/>
              </w:rPr>
            </w:pPr>
            <w:r w:rsidRPr="005D727C">
              <w:rPr>
                <w:rFonts w:ascii="Times New Roman" w:hAnsi="Times New Roman"/>
                <w:sz w:val="16"/>
              </w:rPr>
              <w:t>Článok 1 ods. 3 smernice 2001/23/ES sa nahrádza takto:</w:t>
            </w:r>
          </w:p>
          <w:p w:rsidR="007A61B5" w:rsidRPr="005D727C" w:rsidP="007A61B5">
            <w:pPr>
              <w:pStyle w:val="BodyText21"/>
              <w:bidi w:val="0"/>
              <w:rPr>
                <w:rFonts w:ascii="Times New Roman" w:hAnsi="Times New Roman"/>
                <w:sz w:val="16"/>
              </w:rPr>
            </w:pPr>
          </w:p>
          <w:p w:rsidR="007A61B5" w:rsidRPr="005D727C" w:rsidP="007A61B5">
            <w:pPr>
              <w:pStyle w:val="BodyText21"/>
              <w:bidi w:val="0"/>
              <w:rPr>
                <w:rFonts w:ascii="Times New Roman" w:hAnsi="Times New Roman"/>
                <w:sz w:val="16"/>
              </w:rPr>
            </w:pPr>
            <w:r w:rsidRPr="005D727C">
              <w:rPr>
                <w:rFonts w:ascii="Times New Roman" w:hAnsi="Times New Roman"/>
                <w:sz w:val="16"/>
              </w:rPr>
              <w:t>„3.   Táto smernica sa vzťahuje na prevod námorného plavidla, ktorý je súčasťou prevodu podniku, závodu alebo časti podniku alebo závodu v zmysle odsekov 1 a 2, za predpokladu, že prevádzateľ sa nachádza alebo že prevádzaný podnik, závod alebo časť podniku alebo závodu zostane v oblasti územnej pôsobnosti zmluvy.</w:t>
            </w:r>
          </w:p>
          <w:p w:rsidR="007A61B5" w:rsidRPr="005D727C" w:rsidP="007A61B5">
            <w:pPr>
              <w:pStyle w:val="BodyText21"/>
              <w:bidi w:val="0"/>
              <w:rPr>
                <w:rFonts w:ascii="Times New Roman" w:hAnsi="Times New Roman"/>
                <w:sz w:val="16"/>
              </w:rPr>
            </w:pPr>
          </w:p>
          <w:p w:rsidR="008D4B2C" w:rsidRPr="005D727C" w:rsidP="007A61B5">
            <w:pPr>
              <w:pStyle w:val="BodyText21"/>
              <w:bidi w:val="0"/>
              <w:rPr>
                <w:rFonts w:ascii="Times New Roman" w:hAnsi="Times New Roman"/>
                <w:sz w:val="16"/>
              </w:rPr>
            </w:pPr>
            <w:r w:rsidRPr="005D727C" w:rsidR="007A61B5">
              <w:rPr>
                <w:rFonts w:ascii="Times New Roman" w:hAnsi="Times New Roman"/>
                <w:sz w:val="16"/>
              </w:rPr>
              <w:t>Táto smernica sa neuplatňuje, ak predmet prevodu pozostáva výhradne z jedného alebo viacerých námorných plavidiel.“</w:t>
            </w:r>
            <w:r w:rsidRPr="005D727C">
              <w:rPr>
                <w:rFonts w:ascii="Times New Roman" w:hAnsi="Times New Roman"/>
                <w:sz w:val="16"/>
              </w:rPr>
              <w:t>.</w:t>
            </w:r>
          </w:p>
          <w:p w:rsidR="008D4B2C" w:rsidRPr="005D727C" w:rsidP="008871EA">
            <w:pPr>
              <w:pStyle w:val="BodyText21"/>
              <w:bidi w:val="0"/>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A92018">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695552">
            <w:pPr>
              <w:bidi w:val="0"/>
              <w:jc w:val="center"/>
              <w:rPr>
                <w:rFonts w:ascii="Times New Roman" w:hAnsi="Times New Roman"/>
                <w:b/>
                <w:sz w:val="16"/>
              </w:rPr>
            </w:pPr>
            <w:r w:rsidRPr="005D727C" w:rsidR="00835DA7">
              <w:rPr>
                <w:rFonts w:ascii="Times New Roman" w:hAnsi="Times New Roman"/>
                <w:b/>
                <w:sz w:val="16"/>
              </w:rPr>
              <w:t>311/2001 Z. z.</w:t>
            </w:r>
            <w:r w:rsidRPr="005D727C" w:rsidR="00173924">
              <w:rPr>
                <w:rFonts w:ascii="Times New Roman" w:hAnsi="Times New Roman"/>
                <w:b/>
                <w:sz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r w:rsidRPr="005D727C" w:rsidR="00835DA7">
              <w:rPr>
                <w:rFonts w:ascii="Times New Roman" w:hAnsi="Times New Roman"/>
                <w:b/>
                <w:sz w:val="16"/>
              </w:rPr>
              <w:t>§ 3</w:t>
            </w:r>
          </w:p>
          <w:p w:rsidR="00835DA7" w:rsidRPr="005D727C">
            <w:pPr>
              <w:bidi w:val="0"/>
              <w:rPr>
                <w:rFonts w:ascii="Times New Roman" w:hAnsi="Times New Roman"/>
                <w:b/>
                <w:sz w:val="16"/>
              </w:rPr>
            </w:pPr>
            <w:r w:rsidRPr="005D727C">
              <w:rPr>
                <w:rFonts w:ascii="Times New Roman" w:hAnsi="Times New Roman"/>
                <w:b/>
                <w:sz w:val="16"/>
              </w:rPr>
              <w:t>O: 2</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9E2B2C">
            <w:pPr>
              <w:bidi w:val="0"/>
              <w:jc w:val="both"/>
              <w:rPr>
                <w:rFonts w:ascii="Times New Roman" w:hAnsi="Times New Roman"/>
                <w:sz w:val="16"/>
                <w:szCs w:val="16"/>
              </w:rPr>
            </w:pPr>
            <w:r w:rsidRPr="005D727C" w:rsidR="00835DA7">
              <w:rPr>
                <w:rFonts w:ascii="Times New Roman" w:hAnsi="Times New Roman"/>
                <w:sz w:val="16"/>
                <w:szCs w:val="16"/>
              </w:rPr>
              <w:t>(2) Pracovnoprávne vzťahy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zamestnancov v doprave, zamestnancov vykonávajúcich zdravotnícke povolanie, pedagogických zamestnancov, zamestnancov, ktorí sú divadelnými umelcami alebo hudobnými umelcami, členov posádok lodí plávajúcich pod štátnou vlajkou Slovenskej republiky a zamestnancov súkromných bezpečnostných služieb sa spravujú týmto zákonom, ak osobitný predpis neustanovuje inak.</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835DA7">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DE36BC">
            <w:pPr>
              <w:bidi w:val="0"/>
              <w:rPr>
                <w:rFonts w:ascii="Times New Roman" w:hAnsi="Times New Roman"/>
                <w:i/>
                <w:sz w:val="16"/>
              </w:rPr>
            </w:pPr>
            <w:r w:rsidRPr="005D727C" w:rsidR="00835DA7">
              <w:rPr>
                <w:rFonts w:ascii="Times New Roman" w:hAnsi="Times New Roman"/>
                <w:i/>
                <w:sz w:val="16"/>
              </w:rPr>
              <w:t>Zákonník  práce ani osobitný predpis neobsahuje osobitnú právnu úpravu vzťahujúcu sa na námorníkov.</w:t>
            </w: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7A61B5">
            <w:pPr>
              <w:bidi w:val="0"/>
              <w:jc w:val="both"/>
              <w:rPr>
                <w:rFonts w:ascii="Times New Roman" w:hAnsi="Times New Roman"/>
                <w:sz w:val="16"/>
              </w:rPr>
            </w:pPr>
            <w:r w:rsidRPr="005D727C">
              <w:rPr>
                <w:rFonts w:ascii="Times New Roman" w:hAnsi="Times New Roman"/>
                <w:b/>
                <w:sz w:val="16"/>
              </w:rPr>
              <w:t xml:space="preserve">Č: </w:t>
            </w:r>
            <w:r w:rsidRPr="005D727C" w:rsidR="007A61B5">
              <w:rPr>
                <w:rFonts w:ascii="Times New Roman" w:hAnsi="Times New Roman"/>
                <w:b/>
                <w:sz w:val="16"/>
              </w:rPr>
              <w:t>6</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sidR="00F24302">
              <w:rPr>
                <w:rFonts w:ascii="Times New Roman" w:hAnsi="Times New Roman"/>
                <w:b/>
                <w:sz w:val="16"/>
              </w:rPr>
              <w:t>Úroveň ochrany</w:t>
            </w:r>
          </w:p>
          <w:p w:rsidR="00F24302"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Vykonávanie tejto smernice nepredstavuje za žiadnych okolností dôvod na zníženie všeobecnej úrovne ochrany osôb, na ktoré sa vzťahuje táto smernica, ktorú členské štáty už poskytujú v oblastiach pôsobnosti smerníc 2008/94/ES, 2009/38/ES, 2002/14/ES, 98/59/ES a 2001/23/ES.</w:t>
            </w:r>
          </w:p>
          <w:p w:rsidR="00F24302" w:rsidRPr="005D727C">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813044">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rPr>
            </w:pPr>
            <w:r w:rsidRPr="005D727C">
              <w:rPr>
                <w:rFonts w:ascii="Times New Roman" w:hAnsi="Times New Roman"/>
                <w:b/>
                <w:sz w:val="16"/>
              </w:rPr>
              <w:t xml:space="preserve">Č: </w:t>
            </w:r>
            <w:r w:rsidRPr="005D727C" w:rsidR="00F24302">
              <w:rPr>
                <w:rFonts w:ascii="Times New Roman" w:hAnsi="Times New Roman"/>
                <w:b/>
                <w:sz w:val="16"/>
              </w:rPr>
              <w:t>7</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szCs w:val="16"/>
              </w:rPr>
            </w:pPr>
            <w:r w:rsidRPr="005D727C" w:rsidR="00F24302">
              <w:rPr>
                <w:rFonts w:ascii="Times New Roman" w:hAnsi="Times New Roman"/>
                <w:b/>
                <w:sz w:val="16"/>
                <w:szCs w:val="16"/>
              </w:rPr>
              <w:t>Podávanie správ Komisiou</w:t>
            </w:r>
          </w:p>
          <w:p w:rsidR="008D4B2C"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Komisia po porade s členskými štátmi a sociálnymi partnermi na úrovni Únie predkladá Európskemu parlamentu a Rade správu o vykonávaní a uplatňovaní článkov 4 a 5 do 10. októbra 2019.</w:t>
            </w:r>
          </w:p>
          <w:p w:rsidR="00F24302" w:rsidRPr="005D727C">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813044">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b/>
                <w:sz w:val="16"/>
              </w:rPr>
            </w:pPr>
            <w:r w:rsidRPr="005D727C">
              <w:rPr>
                <w:rFonts w:ascii="Times New Roman" w:hAnsi="Times New Roman"/>
                <w:b/>
                <w:sz w:val="16"/>
              </w:rPr>
              <w:t xml:space="preserve">Č: </w:t>
            </w:r>
            <w:r w:rsidRPr="005D727C" w:rsidR="00F24302">
              <w:rPr>
                <w:rFonts w:ascii="Times New Roman" w:hAnsi="Times New Roman"/>
                <w:b/>
                <w:sz w:val="16"/>
              </w:rPr>
              <w:t>8</w:t>
            </w:r>
          </w:p>
          <w:p w:rsidR="00F24302" w:rsidRPr="005D727C" w:rsidP="00F24302">
            <w:pPr>
              <w:bidi w:val="0"/>
              <w:jc w:val="both"/>
              <w:rPr>
                <w:rFonts w:ascii="Times New Roman" w:hAnsi="Times New Roman"/>
                <w:b/>
                <w:sz w:val="16"/>
              </w:rPr>
            </w:pPr>
            <w:r w:rsidRPr="005D727C">
              <w:rPr>
                <w:rFonts w:ascii="Times New Roman" w:hAnsi="Times New Roman"/>
                <w:b/>
                <w:sz w:val="16"/>
              </w:rPr>
              <w:t>O: 1</w:t>
            </w:r>
          </w:p>
          <w:p w:rsidR="00F24302" w:rsidRPr="005D727C" w:rsidP="00F24302">
            <w:pPr>
              <w:bidi w:val="0"/>
              <w:jc w:val="both"/>
              <w:rPr>
                <w:rFonts w:ascii="Times New Roman" w:hAnsi="Times New Roman"/>
                <w:b/>
                <w:sz w:val="16"/>
              </w:rPr>
            </w:pPr>
            <w:r w:rsidRPr="005D727C">
              <w:rPr>
                <w:rFonts w:ascii="Times New Roman" w:hAnsi="Times New Roman"/>
                <w:b/>
                <w:sz w:val="16"/>
              </w:rPr>
              <w:t>V: 1</w:t>
            </w:r>
          </w:p>
          <w:p w:rsidR="00F24302" w:rsidRPr="005D727C" w:rsidP="00F24302">
            <w:pPr>
              <w:bidi w:val="0"/>
              <w:jc w:val="both"/>
              <w:rPr>
                <w:rFonts w:ascii="Times New Roman" w:hAnsi="Times New Roman"/>
                <w:b/>
                <w:sz w:val="16"/>
              </w:rPr>
            </w:pPr>
          </w:p>
          <w:p w:rsidR="00F24302" w:rsidRPr="005D727C" w:rsidP="00F24302">
            <w:pPr>
              <w:bidi w:val="0"/>
              <w:jc w:val="both"/>
              <w:rPr>
                <w:rFonts w:ascii="Times New Roman" w:hAnsi="Times New Roman"/>
                <w:b/>
                <w:sz w:val="16"/>
              </w:rPr>
            </w:pPr>
          </w:p>
          <w:p w:rsidR="00F24302" w:rsidRPr="005D727C" w:rsidP="00F24302">
            <w:pPr>
              <w:bidi w:val="0"/>
              <w:jc w:val="both"/>
              <w:rPr>
                <w:rFonts w:ascii="Times New Roman" w:hAnsi="Times New Roman"/>
                <w:b/>
                <w:sz w:val="16"/>
              </w:rPr>
            </w:pPr>
          </w:p>
          <w:p w:rsidR="00F24302" w:rsidRPr="005D727C" w:rsidP="00F24302">
            <w:pPr>
              <w:bidi w:val="0"/>
              <w:jc w:val="both"/>
              <w:rPr>
                <w:rFonts w:ascii="Times New Roman" w:hAnsi="Times New Roman"/>
                <w:b/>
                <w:sz w:val="16"/>
              </w:rPr>
            </w:pPr>
          </w:p>
          <w:p w:rsidR="00F24302" w:rsidRPr="005D727C" w:rsidP="00F24302">
            <w:pPr>
              <w:bidi w:val="0"/>
              <w:jc w:val="both"/>
              <w:rPr>
                <w:rFonts w:ascii="Times New Roman" w:hAnsi="Times New Roman"/>
                <w:b/>
                <w:sz w:val="16"/>
              </w:rPr>
            </w:pPr>
            <w:r w:rsidRPr="005D727C">
              <w:rPr>
                <w:rFonts w:ascii="Times New Roman" w:hAnsi="Times New Roman"/>
                <w:b/>
                <w:sz w:val="16"/>
              </w:rPr>
              <w:t>V: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sidR="00F24302">
              <w:rPr>
                <w:rFonts w:ascii="Times New Roman" w:hAnsi="Times New Roman"/>
                <w:b/>
                <w:sz w:val="16"/>
              </w:rPr>
              <w:t>Transpozícia</w:t>
            </w:r>
          </w:p>
          <w:p w:rsidR="00F24302"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1.   Členské štáty uvedú do účinnosti zákony, iné právne predpisy a správne opatrenia potrebné na dosiahnutie súladu s touto smernicou do 10. októbra 2017. Bezodkladne Komisii oznámia znenie týchto ustanovení.</w:t>
            </w:r>
          </w:p>
          <w:p w:rsidR="00F24302"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Členské štáty uvedú priamo v prijatých ustanoveniach alebo pri ich úradnom uverejnení odkaz na túto smernicu. Podrobnosti o odkaze upravia členské štáty.</w:t>
            </w:r>
          </w:p>
          <w:p w:rsidR="008D4B2C" w:rsidRPr="005D727C">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3044" w:rsidRPr="005D727C">
            <w:pPr>
              <w:bidi w:val="0"/>
              <w:jc w:val="center"/>
              <w:rPr>
                <w:rFonts w:ascii="Times New Roman" w:hAnsi="Times New Roman"/>
                <w:b/>
                <w:sz w:val="16"/>
              </w:rPr>
            </w:pPr>
          </w:p>
          <w:p w:rsidR="00813044" w:rsidRPr="005D727C">
            <w:pPr>
              <w:bidi w:val="0"/>
              <w:jc w:val="center"/>
              <w:rPr>
                <w:rFonts w:ascii="Times New Roman" w:hAnsi="Times New Roman"/>
                <w:b/>
                <w:sz w:val="16"/>
              </w:rPr>
            </w:pPr>
          </w:p>
          <w:p w:rsidR="008D4B2C" w:rsidRPr="005D727C">
            <w:pPr>
              <w:bidi w:val="0"/>
              <w:jc w:val="center"/>
              <w:rPr>
                <w:rFonts w:ascii="Times New Roman" w:hAnsi="Times New Roman"/>
                <w:b/>
                <w:sz w:val="16"/>
              </w:rPr>
            </w:pPr>
            <w:r w:rsidRPr="005D727C" w:rsidR="00813044">
              <w:rPr>
                <w:rFonts w:ascii="Times New Roman" w:hAnsi="Times New Roman"/>
                <w:b/>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13044" w:rsidRPr="005D727C" w:rsidP="00F24302">
            <w:pPr>
              <w:bidi w:val="0"/>
              <w:rPr>
                <w:rFonts w:ascii="Times New Roman" w:hAnsi="Times New Roman"/>
                <w:b/>
                <w:sz w:val="16"/>
              </w:rPr>
            </w:pPr>
          </w:p>
          <w:p w:rsidR="00813044" w:rsidRPr="005D727C" w:rsidP="00F24302">
            <w:pPr>
              <w:bidi w:val="0"/>
              <w:rPr>
                <w:rFonts w:ascii="Times New Roman" w:hAnsi="Times New Roman"/>
                <w:b/>
                <w:sz w:val="16"/>
              </w:rPr>
            </w:pPr>
          </w:p>
          <w:p w:rsidR="008D4B2C" w:rsidRPr="005D727C" w:rsidP="00C719C1">
            <w:pPr>
              <w:suppressAutoHyphens/>
              <w:autoSpaceDE w:val="0"/>
              <w:bidi w:val="0"/>
              <w:snapToGrid w:val="0"/>
              <w:jc w:val="center"/>
              <w:rPr>
                <w:rFonts w:ascii="Times New Roman" w:hAnsi="Times New Roman"/>
                <w:b/>
                <w:sz w:val="16"/>
                <w:szCs w:val="16"/>
                <w:lang w:eastAsia="ar-SA"/>
              </w:rPr>
            </w:pPr>
            <w:r w:rsidRPr="005D727C" w:rsidR="00695552">
              <w:rPr>
                <w:rFonts w:ascii="Times New Roman" w:hAnsi="Times New Roman"/>
                <w:b/>
                <w:sz w:val="16"/>
                <w:szCs w:val="16"/>
                <w:lang w:eastAsia="ar-SA"/>
              </w:rPr>
              <w:t>N</w:t>
            </w:r>
            <w:r w:rsidRPr="005D727C" w:rsidR="00813044">
              <w:rPr>
                <w:rFonts w:ascii="Times New Roman" w:hAnsi="Times New Roman"/>
                <w:b/>
                <w:sz w:val="16"/>
                <w:szCs w:val="16"/>
                <w:lang w:eastAsia="ar-SA"/>
              </w:rPr>
              <w:t>ávrh zákona</w:t>
            </w:r>
          </w:p>
          <w:p w:rsidR="00813044" w:rsidRPr="005D727C" w:rsidP="00F24302">
            <w:pPr>
              <w:bidi w:val="0"/>
              <w:rPr>
                <w:rFonts w:ascii="Times New Roman" w:hAnsi="Times New Roman"/>
                <w:b/>
                <w:sz w:val="16"/>
              </w:rPr>
            </w:pPr>
          </w:p>
          <w:p w:rsidR="00813044" w:rsidRPr="005D727C" w:rsidP="00F24302">
            <w:pPr>
              <w:bidi w:val="0"/>
              <w:rPr>
                <w:rFonts w:ascii="Times New Roman" w:hAnsi="Times New Roman"/>
                <w:b/>
                <w:sz w:val="16"/>
              </w:rPr>
            </w:pPr>
          </w:p>
          <w:p w:rsidR="00813044" w:rsidRPr="005D727C" w:rsidP="00F24302">
            <w:pPr>
              <w:bidi w:val="0"/>
              <w:rPr>
                <w:rFonts w:ascii="Times New Roman" w:hAnsi="Times New Roman"/>
                <w:b/>
                <w:sz w:val="16"/>
              </w:rPr>
            </w:pPr>
          </w:p>
          <w:p w:rsidR="00813044" w:rsidRPr="005D727C" w:rsidP="00F24302">
            <w:pPr>
              <w:bidi w:val="0"/>
              <w:rPr>
                <w:rFonts w:ascii="Times New Roman" w:hAnsi="Times New Roman"/>
                <w:b/>
                <w:sz w:val="16"/>
              </w:rPr>
            </w:pPr>
          </w:p>
          <w:p w:rsidR="00B46968" w:rsidRPr="005D727C" w:rsidP="00C719C1">
            <w:pPr>
              <w:suppressAutoHyphens/>
              <w:autoSpaceDE w:val="0"/>
              <w:bidi w:val="0"/>
              <w:snapToGrid w:val="0"/>
              <w:jc w:val="center"/>
              <w:rPr>
                <w:rFonts w:ascii="Times New Roman" w:hAnsi="Times New Roman"/>
                <w:b/>
                <w:sz w:val="16"/>
              </w:rPr>
            </w:pPr>
            <w:r w:rsidRPr="005D727C" w:rsidR="00695552">
              <w:rPr>
                <w:rFonts w:ascii="Times New Roman" w:hAnsi="Times New Roman"/>
                <w:b/>
                <w:sz w:val="16"/>
                <w:szCs w:val="16"/>
                <w:lang w:eastAsia="ar-SA"/>
              </w:rPr>
              <w:t>N</w:t>
            </w:r>
            <w:r w:rsidRPr="005D727C" w:rsidR="00173924">
              <w:rPr>
                <w:rFonts w:ascii="Times New Roman" w:hAnsi="Times New Roman"/>
                <w:b/>
                <w:sz w:val="16"/>
                <w:szCs w:val="16"/>
                <w:lang w:eastAsia="ar-SA"/>
              </w:rPr>
              <w:t>ávrh zákona (čl. II</w:t>
            </w:r>
            <w:r w:rsidRPr="005D727C" w:rsidR="00695552">
              <w:rPr>
                <w:rFonts w:ascii="Times New Roman" w:hAnsi="Times New Roman"/>
                <w:b/>
                <w:sz w:val="16"/>
                <w:szCs w:val="16"/>
                <w:lang w:eastAsia="ar-SA"/>
              </w:rPr>
              <w:t xml:space="preserve"> bod </w:t>
            </w:r>
            <w:r w:rsidRPr="005D727C" w:rsidR="00E616B5">
              <w:rPr>
                <w:rFonts w:ascii="Times New Roman" w:hAnsi="Times New Roman"/>
                <w:b/>
                <w:sz w:val="16"/>
                <w:szCs w:val="16"/>
                <w:lang w:eastAsia="ar-SA"/>
              </w:rPr>
              <w:t>7</w:t>
            </w:r>
            <w:r w:rsidRPr="005D727C">
              <w:rPr>
                <w:rFonts w:ascii="Times New Roman" w:hAnsi="Times New Roman"/>
                <w:b/>
                <w:sz w:val="16"/>
                <w:szCs w:val="16"/>
                <w:lang w:eastAsia="ar-SA"/>
              </w:rPr>
              <w:t>)</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13044" w:rsidRPr="005D727C">
            <w:pPr>
              <w:bidi w:val="0"/>
              <w:rPr>
                <w:rFonts w:ascii="Times New Roman" w:hAnsi="Times New Roman"/>
                <w:b/>
                <w:sz w:val="16"/>
              </w:rPr>
            </w:pPr>
          </w:p>
          <w:p w:rsidR="00813044" w:rsidRPr="005D727C">
            <w:pPr>
              <w:bidi w:val="0"/>
              <w:rPr>
                <w:rFonts w:ascii="Times New Roman" w:hAnsi="Times New Roman"/>
                <w:b/>
                <w:sz w:val="16"/>
              </w:rPr>
            </w:pPr>
          </w:p>
          <w:p w:rsidR="008D4B2C" w:rsidRPr="005D727C">
            <w:pPr>
              <w:bidi w:val="0"/>
              <w:rPr>
                <w:rFonts w:ascii="Times New Roman" w:hAnsi="Times New Roman"/>
                <w:b/>
                <w:sz w:val="16"/>
              </w:rPr>
            </w:pPr>
            <w:r w:rsidRPr="005D727C" w:rsidR="00813044">
              <w:rPr>
                <w:rFonts w:ascii="Times New Roman" w:hAnsi="Times New Roman"/>
                <w:b/>
                <w:sz w:val="16"/>
              </w:rPr>
              <w:t>Č: V</w:t>
            </w:r>
          </w:p>
          <w:p w:rsidR="00813044" w:rsidRPr="005D727C">
            <w:pPr>
              <w:bidi w:val="0"/>
              <w:rPr>
                <w:rFonts w:ascii="Times New Roman" w:hAnsi="Times New Roman"/>
                <w:b/>
                <w:sz w:val="16"/>
              </w:rPr>
            </w:pPr>
          </w:p>
          <w:p w:rsidR="00813044" w:rsidRPr="005D727C">
            <w:pPr>
              <w:bidi w:val="0"/>
              <w:rPr>
                <w:rFonts w:ascii="Times New Roman" w:hAnsi="Times New Roman"/>
                <w:b/>
                <w:sz w:val="16"/>
              </w:rPr>
            </w:pPr>
          </w:p>
          <w:p w:rsidR="00813044" w:rsidRPr="005D727C">
            <w:pPr>
              <w:bidi w:val="0"/>
              <w:rPr>
                <w:rFonts w:ascii="Times New Roman" w:hAnsi="Times New Roman"/>
                <w:b/>
                <w:sz w:val="16"/>
              </w:rPr>
            </w:pPr>
          </w:p>
          <w:p w:rsidR="00813044" w:rsidRPr="005D727C">
            <w:pPr>
              <w:bidi w:val="0"/>
              <w:rPr>
                <w:rFonts w:ascii="Times New Roman" w:hAnsi="Times New Roman"/>
                <w:b/>
                <w:sz w:val="16"/>
              </w:rPr>
            </w:pPr>
          </w:p>
          <w:p w:rsidR="00813044" w:rsidRPr="005D727C">
            <w:pPr>
              <w:bidi w:val="0"/>
              <w:rPr>
                <w:rFonts w:ascii="Times New Roman" w:hAnsi="Times New Roman"/>
                <w:b/>
                <w:sz w:val="16"/>
              </w:rPr>
            </w:pPr>
            <w:r w:rsidRPr="005D727C">
              <w:rPr>
                <w:rFonts w:ascii="Times New Roman" w:hAnsi="Times New Roman"/>
                <w:b/>
                <w:sz w:val="16"/>
              </w:rPr>
              <w:t>Príloha 2</w:t>
            </w:r>
          </w:p>
          <w:p w:rsidR="00813044" w:rsidRPr="005D727C">
            <w:pPr>
              <w:bidi w:val="0"/>
              <w:rPr>
                <w:rFonts w:ascii="Times New Roman" w:hAnsi="Times New Roman"/>
                <w:b/>
                <w:sz w:val="16"/>
              </w:rPr>
            </w:pPr>
            <w:r w:rsidRPr="005D727C">
              <w:rPr>
                <w:rFonts w:ascii="Times New Roman" w:hAnsi="Times New Roman"/>
                <w:b/>
                <w:sz w:val="16"/>
              </w:rPr>
              <w:t>B: 2</w:t>
            </w:r>
            <w:r w:rsidRPr="005D727C" w:rsidR="00E25E63">
              <w:rPr>
                <w:rFonts w:ascii="Times New Roman" w:hAnsi="Times New Roman"/>
                <w:b/>
                <w:sz w:val="16"/>
              </w:rPr>
              <w:t>3</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13044" w:rsidRPr="005D727C" w:rsidP="00F24302">
            <w:pPr>
              <w:bidi w:val="0"/>
              <w:jc w:val="both"/>
              <w:rPr>
                <w:rFonts w:ascii="Times New Roman" w:hAnsi="Times New Roman"/>
                <w:sz w:val="16"/>
              </w:rPr>
            </w:pPr>
          </w:p>
          <w:p w:rsidR="00813044" w:rsidRPr="005D727C" w:rsidP="00F24302">
            <w:pPr>
              <w:bidi w:val="0"/>
              <w:jc w:val="both"/>
              <w:rPr>
                <w:rFonts w:ascii="Times New Roman" w:hAnsi="Times New Roman"/>
                <w:sz w:val="16"/>
              </w:rPr>
            </w:pPr>
          </w:p>
          <w:p w:rsidR="00813044" w:rsidRPr="005D727C" w:rsidP="00F24302">
            <w:pPr>
              <w:bidi w:val="0"/>
              <w:jc w:val="both"/>
              <w:rPr>
                <w:rFonts w:ascii="Times New Roman" w:hAnsi="Times New Roman"/>
                <w:sz w:val="16"/>
                <w:szCs w:val="16"/>
              </w:rPr>
            </w:pPr>
            <w:r w:rsidRPr="005D727C" w:rsidR="000E7E06">
              <w:rPr>
                <w:rFonts w:ascii="Times New Roman" w:hAnsi="Times New Roman"/>
                <w:sz w:val="16"/>
                <w:szCs w:val="16"/>
              </w:rPr>
              <w:t xml:space="preserve">Tento zákon nadobúda účinnosť </w:t>
            </w:r>
            <w:r w:rsidR="00B13059">
              <w:rPr>
                <w:rFonts w:ascii="Times New Roman" w:hAnsi="Times New Roman"/>
                <w:sz w:val="16"/>
                <w:szCs w:val="16"/>
              </w:rPr>
              <w:t>1</w:t>
            </w:r>
            <w:r w:rsidR="002D0EC1">
              <w:rPr>
                <w:rFonts w:ascii="Times New Roman" w:hAnsi="Times New Roman"/>
                <w:sz w:val="16"/>
                <w:szCs w:val="16"/>
              </w:rPr>
              <w:t>5</w:t>
            </w:r>
            <w:r w:rsidRPr="005D727C" w:rsidR="000E7E06">
              <w:rPr>
                <w:rFonts w:ascii="Times New Roman" w:hAnsi="Times New Roman"/>
                <w:sz w:val="16"/>
                <w:szCs w:val="16"/>
              </w:rPr>
              <w:t xml:space="preserve">. </w:t>
            </w:r>
            <w:r w:rsidR="002D0EC1">
              <w:rPr>
                <w:rFonts w:ascii="Times New Roman" w:hAnsi="Times New Roman"/>
                <w:sz w:val="16"/>
                <w:szCs w:val="16"/>
              </w:rPr>
              <w:t>apríl</w:t>
            </w:r>
            <w:r w:rsidR="00C639A8">
              <w:rPr>
                <w:rFonts w:ascii="Times New Roman" w:hAnsi="Times New Roman"/>
                <w:sz w:val="16"/>
                <w:szCs w:val="16"/>
              </w:rPr>
              <w:t>a</w:t>
            </w:r>
            <w:r w:rsidRPr="005D727C" w:rsidR="000E7E06">
              <w:rPr>
                <w:rFonts w:ascii="Times New Roman" w:hAnsi="Times New Roman"/>
                <w:sz w:val="16"/>
                <w:szCs w:val="16"/>
              </w:rPr>
              <w:t xml:space="preserve"> 201</w:t>
            </w:r>
            <w:r w:rsidR="00B13059">
              <w:rPr>
                <w:rFonts w:ascii="Times New Roman" w:hAnsi="Times New Roman"/>
                <w:sz w:val="16"/>
                <w:szCs w:val="16"/>
              </w:rPr>
              <w:t>7</w:t>
            </w:r>
            <w:r w:rsidRPr="005D727C" w:rsidR="000E7E06">
              <w:rPr>
                <w:rFonts w:ascii="Times New Roman" w:hAnsi="Times New Roman"/>
                <w:sz w:val="16"/>
                <w:szCs w:val="16"/>
              </w:rPr>
              <w:t>.</w:t>
            </w:r>
          </w:p>
          <w:p w:rsidR="00813044" w:rsidRPr="005D727C" w:rsidP="00F24302">
            <w:pPr>
              <w:bidi w:val="0"/>
              <w:jc w:val="both"/>
              <w:rPr>
                <w:rFonts w:ascii="Times New Roman" w:hAnsi="Times New Roman"/>
                <w:sz w:val="16"/>
              </w:rPr>
            </w:pPr>
          </w:p>
          <w:p w:rsidR="00813044" w:rsidRPr="005D727C" w:rsidP="00F24302">
            <w:pPr>
              <w:bidi w:val="0"/>
              <w:jc w:val="both"/>
              <w:rPr>
                <w:rFonts w:ascii="Times New Roman" w:hAnsi="Times New Roman"/>
                <w:sz w:val="16"/>
              </w:rPr>
            </w:pPr>
          </w:p>
          <w:p w:rsidR="00813044" w:rsidRPr="005D727C" w:rsidP="00F24302">
            <w:pPr>
              <w:bidi w:val="0"/>
              <w:jc w:val="both"/>
              <w:rPr>
                <w:rFonts w:ascii="Times New Roman" w:hAnsi="Times New Roman"/>
                <w:sz w:val="16"/>
              </w:rPr>
            </w:pPr>
          </w:p>
          <w:p w:rsidR="00813044" w:rsidRPr="005D727C" w:rsidP="00F24302">
            <w:pPr>
              <w:bidi w:val="0"/>
              <w:jc w:val="both"/>
              <w:rPr>
                <w:rFonts w:ascii="Times New Roman" w:hAnsi="Times New Roman"/>
                <w:b/>
                <w:sz w:val="16"/>
              </w:rPr>
            </w:pPr>
            <w:r w:rsidRPr="005D727C">
              <w:rPr>
                <w:rFonts w:ascii="Times New Roman" w:hAnsi="Times New Roman"/>
                <w:b/>
                <w:sz w:val="16"/>
              </w:rPr>
              <w:t>Zoznam preberaných právne záväzných aktov Európskej únie</w:t>
            </w:r>
          </w:p>
          <w:p w:rsidR="00E25E63" w:rsidRPr="005D727C" w:rsidP="00E25E63">
            <w:pPr>
              <w:bidi w:val="0"/>
              <w:jc w:val="both"/>
              <w:rPr>
                <w:rFonts w:ascii="Times New Roman" w:hAnsi="Times New Roman"/>
                <w:sz w:val="16"/>
              </w:rPr>
            </w:pPr>
            <w:r w:rsidRPr="005D727C">
              <w:rPr>
                <w:rFonts w:ascii="Times New Roman" w:hAnsi="Times New Roman"/>
                <w:bCs/>
                <w:iCs/>
                <w:sz w:val="16"/>
              </w:rPr>
              <w:t>23. Smernica Európskeho parlamentu a Rady (EÚ) 2015/1794 zo 6. októbra 2015, ktorou sa menia smernice Európskeho parlamentu a Rady 2008/94/ES, 2009/38/ES a 2002/14/ES a smernice Rady 98/59/ES a 2001/23/ES, pokiaľ ide o námorníkov (Ú. v. EÚ L 263, 8.10.2015).</w:t>
            </w:r>
          </w:p>
          <w:p w:rsidR="00813044" w:rsidRPr="005D727C" w:rsidP="00F24302">
            <w:pPr>
              <w:bidi w:val="0"/>
              <w:jc w:val="both"/>
              <w:rPr>
                <w:rFonts w:ascii="Times New Roman" w:hAnsi="Times New Roman"/>
                <w:sz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p>
          <w:p w:rsidR="00813044" w:rsidRPr="005D727C">
            <w:pPr>
              <w:bidi w:val="0"/>
              <w:jc w:val="center"/>
              <w:rPr>
                <w:rFonts w:ascii="Times New Roman" w:hAnsi="Times New Roman"/>
                <w:b/>
                <w:sz w:val="16"/>
              </w:rPr>
            </w:pPr>
          </w:p>
          <w:p w:rsidR="00813044" w:rsidRPr="005D727C">
            <w:pPr>
              <w:bidi w:val="0"/>
              <w:jc w:val="center"/>
              <w:rPr>
                <w:rFonts w:ascii="Times New Roman" w:hAnsi="Times New Roman"/>
                <w:b/>
                <w:sz w:val="16"/>
              </w:rPr>
            </w:pPr>
            <w:r w:rsidRPr="005D727C">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b/>
                <w:sz w:val="16"/>
              </w:rPr>
            </w:pPr>
            <w:r w:rsidRPr="005D727C">
              <w:rPr>
                <w:rFonts w:ascii="Times New Roman" w:hAnsi="Times New Roman"/>
                <w:b/>
                <w:sz w:val="16"/>
              </w:rPr>
              <w:t xml:space="preserve">Č: </w:t>
            </w:r>
            <w:r w:rsidRPr="005D727C" w:rsidR="00F24302">
              <w:rPr>
                <w:rFonts w:ascii="Times New Roman" w:hAnsi="Times New Roman"/>
                <w:b/>
                <w:sz w:val="16"/>
              </w:rPr>
              <w:t>8</w:t>
            </w:r>
          </w:p>
          <w:p w:rsidR="00F24302" w:rsidRPr="005D727C" w:rsidP="00F24302">
            <w:pPr>
              <w:bidi w:val="0"/>
              <w:jc w:val="both"/>
              <w:rPr>
                <w:rFonts w:ascii="Times New Roman" w:hAnsi="Times New Roman"/>
                <w:sz w:val="16"/>
              </w:rPr>
            </w:pPr>
            <w:r w:rsidRPr="005D727C">
              <w:rPr>
                <w:rFonts w:ascii="Times New Roman" w:hAnsi="Times New Roman"/>
                <w:b/>
                <w:sz w:val="16"/>
              </w:rPr>
              <w:t>O: 2</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rPr>
            </w:pPr>
            <w:r w:rsidRPr="005D727C" w:rsidR="00F24302">
              <w:rPr>
                <w:rFonts w:ascii="Times New Roman" w:hAnsi="Times New Roman"/>
                <w:sz w:val="16"/>
              </w:rPr>
              <w:t>2. Členské štáty oznámia Komisii znenie hlavných ustanovení vnútroštátnych právnych predpisov, ktoré prijmú v oblasti pôsobnosti tejto smernice.</w:t>
            </w:r>
          </w:p>
          <w:p w:rsidR="00F24302" w:rsidRPr="005D727C" w:rsidP="00F24302">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pStyle w:val="Heading5"/>
              <w:bidi w:val="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782495">
            <w:pPr>
              <w:bidi w:val="0"/>
              <w:jc w:val="center"/>
              <w:rPr>
                <w:rFonts w:ascii="Times New Roman" w:hAnsi="Times New Roman"/>
                <w:b/>
                <w:sz w:val="16"/>
              </w:rPr>
            </w:pPr>
            <w:r w:rsidRPr="005D727C" w:rsidR="00E25E63">
              <w:rPr>
                <w:rFonts w:ascii="Times New Roman" w:hAnsi="Times New Roman"/>
                <w:b/>
                <w:sz w:val="16"/>
              </w:rPr>
              <w:t>575/2001 Z. z.</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r w:rsidRPr="005D727C" w:rsidR="00E25E63">
              <w:rPr>
                <w:rFonts w:ascii="Times New Roman" w:hAnsi="Times New Roman"/>
                <w:b/>
                <w:sz w:val="16"/>
              </w:rPr>
              <w:t>§ 35</w:t>
            </w:r>
          </w:p>
          <w:p w:rsidR="00E25E63" w:rsidRPr="005D727C">
            <w:pPr>
              <w:bidi w:val="0"/>
              <w:rPr>
                <w:rFonts w:ascii="Times New Roman" w:hAnsi="Times New Roman"/>
                <w:b/>
                <w:sz w:val="16"/>
              </w:rPr>
            </w:pPr>
            <w:r w:rsidRPr="005D727C">
              <w:rPr>
                <w:rFonts w:ascii="Times New Roman" w:hAnsi="Times New Roman"/>
                <w:b/>
                <w:sz w:val="16"/>
              </w:rPr>
              <w:t>O: 7</w:t>
            </w: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szCs w:val="16"/>
              </w:rPr>
            </w:pPr>
            <w:r w:rsidRPr="005D727C" w:rsidR="00E25E63">
              <w:rPr>
                <w:rFonts w:ascii="Times New Roman" w:hAnsi="Times New Roman"/>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E25E63" w:rsidRPr="005D727C" w:rsidP="00F24302">
            <w:pPr>
              <w:bidi w:val="0"/>
              <w:jc w:val="both"/>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E25E63">
              <w:rPr>
                <w:rFonts w:ascii="Times New Roman" w:hAnsi="Times New Roman"/>
                <w:b/>
                <w:sz w:val="16"/>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rPr>
            </w:pPr>
            <w:r w:rsidRPr="005D727C">
              <w:rPr>
                <w:rFonts w:ascii="Times New Roman" w:hAnsi="Times New Roman"/>
                <w:b/>
                <w:sz w:val="16"/>
              </w:rPr>
              <w:t xml:space="preserve">Č: </w:t>
            </w:r>
            <w:r w:rsidRPr="005D727C" w:rsidR="00F24302">
              <w:rPr>
                <w:rFonts w:ascii="Times New Roman" w:hAnsi="Times New Roman"/>
                <w:b/>
                <w:sz w:val="16"/>
              </w:rPr>
              <w:t>9</w:t>
            </w: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sidR="00F24302">
              <w:rPr>
                <w:rFonts w:ascii="Times New Roman" w:hAnsi="Times New Roman"/>
                <w:b/>
                <w:sz w:val="16"/>
              </w:rPr>
              <w:t>Nadobudnutie účinnosti</w:t>
            </w:r>
          </w:p>
          <w:p w:rsidR="00F24302"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Táto smernica nadobúda účinnosť dňom nasledujúcim po jej uverejnení v Úradnom vestníku Európskej únie.</w:t>
            </w:r>
          </w:p>
          <w:p w:rsidR="00F24302" w:rsidRPr="005D727C">
            <w:pPr>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E25E63">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r>
        <w:tblPrEx>
          <w:tblW w:w="14529" w:type="dxa"/>
          <w:tblLayout w:type="fixed"/>
          <w:tblCellMar>
            <w:top w:w="0" w:type="dxa"/>
            <w:left w:w="70" w:type="dxa"/>
            <w:bottom w:w="0" w:type="dxa"/>
            <w:right w:w="70" w:type="dxa"/>
          </w:tblCellMar>
        </w:tblPrEx>
        <w:tc>
          <w:tcPr>
            <w:tcW w:w="1346"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jc w:val="both"/>
              <w:rPr>
                <w:rFonts w:ascii="Times New Roman" w:hAnsi="Times New Roman"/>
                <w:b/>
                <w:sz w:val="16"/>
              </w:rPr>
            </w:pPr>
            <w:r w:rsidRPr="005D727C">
              <w:rPr>
                <w:rFonts w:ascii="Times New Roman" w:hAnsi="Times New Roman"/>
                <w:b/>
                <w:sz w:val="16"/>
              </w:rPr>
              <w:t xml:space="preserve">Č: </w:t>
            </w:r>
            <w:r w:rsidRPr="005D727C" w:rsidR="00F24302">
              <w:rPr>
                <w:rFonts w:ascii="Times New Roman" w:hAnsi="Times New Roman"/>
                <w:b/>
                <w:sz w:val="16"/>
              </w:rPr>
              <w:t>10</w:t>
            </w:r>
          </w:p>
          <w:p w:rsidR="00F24302" w:rsidRPr="005D727C" w:rsidP="00F24302">
            <w:pPr>
              <w:bidi w:val="0"/>
              <w:jc w:val="both"/>
              <w:rPr>
                <w:rFonts w:ascii="Times New Roman" w:hAnsi="Times New Roman"/>
                <w:sz w:val="16"/>
              </w:rPr>
            </w:pPr>
          </w:p>
        </w:tc>
        <w:tc>
          <w:tcPr>
            <w:tcW w:w="4111"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b/>
                <w:sz w:val="16"/>
              </w:rPr>
            </w:pPr>
            <w:r w:rsidRPr="005D727C" w:rsidR="00F24302">
              <w:rPr>
                <w:rFonts w:ascii="Times New Roman" w:hAnsi="Times New Roman"/>
                <w:b/>
                <w:sz w:val="16"/>
              </w:rPr>
              <w:t>Adresáti</w:t>
            </w:r>
          </w:p>
          <w:p w:rsidR="00F24302" w:rsidRPr="005D727C">
            <w:pPr>
              <w:bidi w:val="0"/>
              <w:jc w:val="both"/>
              <w:rPr>
                <w:rFonts w:ascii="Times New Roman" w:hAnsi="Times New Roman"/>
                <w:sz w:val="16"/>
              </w:rPr>
            </w:pPr>
          </w:p>
          <w:p w:rsidR="00F24302" w:rsidRPr="005D727C">
            <w:pPr>
              <w:bidi w:val="0"/>
              <w:jc w:val="both"/>
              <w:rPr>
                <w:rFonts w:ascii="Times New Roman" w:hAnsi="Times New Roman"/>
                <w:sz w:val="16"/>
              </w:rPr>
            </w:pPr>
            <w:r w:rsidRPr="005D727C">
              <w:rPr>
                <w:rFonts w:ascii="Times New Roman" w:hAnsi="Times New Roman"/>
                <w:sz w:val="16"/>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r w:rsidRPr="005D727C" w:rsidR="00E25E63">
              <w:rPr>
                <w:rFonts w:ascii="Times New Roman" w:hAnsi="Times New Roman"/>
                <w:b/>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rPr>
                <w:rFonts w:ascii="Times New Roman" w:hAnsi="Times New Roman"/>
                <w:b/>
                <w:sz w:val="16"/>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rPr>
                <w:rFonts w:ascii="Times New Roman" w:hAnsi="Times New Roman"/>
                <w:b/>
                <w:sz w:val="16"/>
              </w:rPr>
            </w:pPr>
          </w:p>
        </w:tc>
        <w:tc>
          <w:tcPr>
            <w:tcW w:w="4395"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rsidP="00F24302">
            <w:pPr>
              <w:bidi w:val="0"/>
              <w:ind w:left="360"/>
              <w:jc w:val="both"/>
              <w:rPr>
                <w:rFonts w:ascii="Times New Roman" w:hAnsi="Times New Roman"/>
                <w:sz w:val="16"/>
                <w:szCs w:val="16"/>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center"/>
              <w:rPr>
                <w:rFonts w:ascii="Times New Roman" w:hAnsi="Times New Roman"/>
                <w:b/>
                <w:sz w:val="16"/>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D4B2C" w:rsidRPr="005D727C">
            <w:pPr>
              <w:bidi w:val="0"/>
              <w:jc w:val="both"/>
              <w:rPr>
                <w:rFonts w:ascii="Times New Roman" w:hAnsi="Times New Roman"/>
                <w:sz w:val="16"/>
              </w:rPr>
            </w:pPr>
          </w:p>
        </w:tc>
      </w:tr>
    </w:tbl>
    <w:p w:rsidR="00F24302" w:rsidRPr="005D727C" w:rsidP="00BE351A">
      <w:pPr>
        <w:bidi w:val="0"/>
        <w:rPr>
          <w:rFonts w:ascii="Times New Roman" w:hAnsi="Times New Roman"/>
          <w:sz w:val="18"/>
          <w:szCs w:val="18"/>
        </w:rPr>
      </w:pPr>
    </w:p>
    <w:p w:rsidR="005D3A50" w:rsidRPr="005D727C" w:rsidP="00695552">
      <w:pPr>
        <w:bidi w:val="0"/>
        <w:rPr>
          <w:rFonts w:ascii="Times New Roman" w:hAnsi="Times New Roman"/>
          <w:sz w:val="18"/>
          <w:szCs w:val="18"/>
        </w:rPr>
      </w:pPr>
    </w:p>
    <w:sectPr>
      <w:footerReference w:type="even" r:id="rId4"/>
      <w:footerReference w:type="default" r:id="rId5"/>
      <w:pgSz w:w="16840" w:h="11907" w:orient="landscape" w:code="9"/>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B060402020202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E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p w:rsidR="00E774E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A2">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B5F06">
      <w:rPr>
        <w:rFonts w:ascii="Times New Roman" w:hAnsi="Times New Roman"/>
        <w:noProof/>
      </w:rPr>
      <w:t>4</w:t>
    </w:r>
    <w:r>
      <w:rPr>
        <w:rFonts w:ascii="Times New Roman" w:hAnsi="Times New Roman"/>
      </w:rPr>
      <w:fldChar w:fldCharType="end"/>
    </w:r>
  </w:p>
  <w:p w:rsidR="00E774E5">
    <w:pPr>
      <w:pStyle w:val="Footer"/>
      <w:bidi w:val="0"/>
      <w:ind w:right="360"/>
      <w:rPr>
        <w:rFonts w:ascii="Times New Roman" w:hAnsi="Times New Roman"/>
        <w:sz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7F3"/>
    <w:multiLevelType w:val="hybridMultilevel"/>
    <w:tmpl w:val="2C4CCCAE"/>
    <w:lvl w:ilvl="0">
      <w:start w:val="1"/>
      <w:numFmt w:val="none"/>
      <w:lvlText w:val="i)"/>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568056F"/>
    <w:multiLevelType w:val="singleLevel"/>
    <w:tmpl w:val="6B12F82E"/>
    <w:lvl w:ilvl="0">
      <w:start w:val="0"/>
      <w:numFmt w:val="bullet"/>
      <w:lvlText w:val="-"/>
      <w:lvlJc w:val="left"/>
      <w:pPr>
        <w:tabs>
          <w:tab w:val="num" w:pos="360"/>
        </w:tabs>
        <w:ind w:left="360" w:hanging="360"/>
      </w:pPr>
      <w:rPr>
        <w:rFonts w:hint="default"/>
      </w:rPr>
    </w:lvl>
  </w:abstractNum>
  <w:abstractNum w:abstractNumId="2">
    <w:nsid w:val="09732EE9"/>
    <w:multiLevelType w:val="hybridMultilevel"/>
    <w:tmpl w:val="C4EC3B6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B323080"/>
    <w:multiLevelType w:val="singleLevel"/>
    <w:tmpl w:val="838C135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4">
    <w:nsid w:val="0CF26523"/>
    <w:multiLevelType w:val="singleLevel"/>
    <w:tmpl w:val="5A66711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5">
    <w:nsid w:val="47E85B55"/>
    <w:multiLevelType w:val="hybridMultilevel"/>
    <w:tmpl w:val="478C2B28"/>
    <w:lvl w:ilvl="0">
      <w:start w:val="1"/>
      <w:numFmt w:val="lowerLetter"/>
      <w:lvlText w:val="%1)"/>
      <w:lvlJc w:val="left"/>
      <w:pPr>
        <w:tabs>
          <w:tab w:val="num" w:pos="357"/>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B2503C3"/>
    <w:multiLevelType w:val="hybridMultilevel"/>
    <w:tmpl w:val="5ADE5EDC"/>
    <w:lvl w:ilvl="0">
      <w:start w:val="1"/>
      <w:numFmt w:val="lowerLetter"/>
      <w:lvlText w:val="%1)"/>
      <w:lvlJc w:val="left"/>
      <w:pPr>
        <w:tabs>
          <w:tab w:val="num" w:pos="357"/>
        </w:tabs>
        <w:ind w:left="357" w:hanging="357"/>
      </w:pPr>
      <w:rPr>
        <w:rFonts w:ascii="Times New Roman" w:hAnsi="Times New Roman" w:cs="Times New Roman" w:hint="default"/>
        <w:b w:val="0"/>
        <w:i w:val="0"/>
        <w:sz w:val="16"/>
        <w:szCs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DA3360A"/>
    <w:multiLevelType w:val="hybridMultilevel"/>
    <w:tmpl w:val="92A41A12"/>
    <w:lvl w:ilvl="0">
      <w:start w:val="1"/>
      <w:numFmt w:val="none"/>
      <w:lvlText w:val="g)"/>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9">
    <w:nsid w:val="5C4F0590"/>
    <w:multiLevelType w:val="singleLevel"/>
    <w:tmpl w:val="6B12F82E"/>
    <w:lvl w:ilvl="0">
      <w:start w:val="0"/>
      <w:numFmt w:val="bullet"/>
      <w:lvlText w:val="-"/>
      <w:lvlJc w:val="left"/>
      <w:pPr>
        <w:tabs>
          <w:tab w:val="num" w:pos="360"/>
        </w:tabs>
        <w:ind w:left="360" w:hanging="360"/>
      </w:pPr>
      <w:rPr>
        <w:rFonts w:hint="default"/>
      </w:rPr>
    </w:lvl>
  </w:abstractNum>
  <w:abstractNum w:abstractNumId="10">
    <w:nsid w:val="62855C4C"/>
    <w:multiLevelType w:val="hybridMultilevel"/>
    <w:tmpl w:val="44AA7CF8"/>
    <w:lvl w:ilvl="0">
      <w:start w:val="1"/>
      <w:numFmt w:val="none"/>
      <w:lvlText w:val="h)"/>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2C451E1"/>
    <w:multiLevelType w:val="hybridMultilevel"/>
    <w:tmpl w:val="BFB88B4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4B37584"/>
    <w:multiLevelType w:val="hybridMultilevel"/>
    <w:tmpl w:val="26E45AD0"/>
    <w:lvl w:ilvl="0">
      <w:start w:val="1"/>
      <w:numFmt w:val="none"/>
      <w:lvlText w:val="b)"/>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681271E"/>
    <w:multiLevelType w:val="hybridMultilevel"/>
    <w:tmpl w:val="BEF665D8"/>
    <w:lvl w:ilvl="0">
      <w:start w:val="1"/>
      <w:numFmt w:val="lowerLetter"/>
      <w:lvlText w:val="%1)"/>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7115093C"/>
    <w:multiLevelType w:val="hybridMultilevel"/>
    <w:tmpl w:val="0B40000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777E7A60"/>
    <w:multiLevelType w:val="hybridMultilevel"/>
    <w:tmpl w:val="1F263B94"/>
    <w:lvl w:ilvl="0">
      <w:start w:val="1"/>
      <w:numFmt w:val="lowerLetter"/>
      <w:lvlText w:val="%1)"/>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792544F6"/>
    <w:multiLevelType w:val="hybridMultilevel"/>
    <w:tmpl w:val="9E58FCA4"/>
    <w:lvl w:ilvl="0">
      <w:start w:val="2"/>
      <w:numFmt w:val="lowerLetter"/>
      <w:lvlText w:val="%1)"/>
      <w:lvlJc w:val="left"/>
      <w:pPr>
        <w:tabs>
          <w:tab w:val="num" w:pos="357"/>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num>
  <w:num w:numId="2">
    <w:abstractNumId w:val="9"/>
  </w:num>
  <w:num w:numId="3">
    <w:abstractNumId w:val="4"/>
  </w:num>
  <w:num w:numId="4">
    <w:abstractNumId w:val="3"/>
  </w:num>
  <w:num w:numId="5">
    <w:abstractNumId w:val="8"/>
  </w:num>
  <w:num w:numId="6">
    <w:abstractNumId w:val="15"/>
  </w:num>
  <w:num w:numId="7">
    <w:abstractNumId w:val="10"/>
  </w:num>
  <w:num w:numId="8">
    <w:abstractNumId w:val="0"/>
  </w:num>
  <w:num w:numId="9">
    <w:abstractNumId w:val="7"/>
  </w:num>
  <w:num w:numId="10">
    <w:abstractNumId w:val="6"/>
  </w:num>
  <w:num w:numId="11">
    <w:abstractNumId w:val="13"/>
  </w:num>
  <w:num w:numId="12">
    <w:abstractNumId w:val="12"/>
  </w:num>
  <w:num w:numId="13">
    <w:abstractNumId w:val="14"/>
  </w:num>
  <w:num w:numId="14">
    <w:abstractNumId w:val="16"/>
  </w:num>
  <w:num w:numId="15">
    <w:abstractNumId w:val="5"/>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93F7B"/>
    <w:rsid w:val="00002C1E"/>
    <w:rsid w:val="000051C3"/>
    <w:rsid w:val="000109D9"/>
    <w:rsid w:val="00062576"/>
    <w:rsid w:val="0006591A"/>
    <w:rsid w:val="00076119"/>
    <w:rsid w:val="000B4098"/>
    <w:rsid w:val="000E5B00"/>
    <w:rsid w:val="000E5B85"/>
    <w:rsid w:val="000E5EDC"/>
    <w:rsid w:val="000E7E06"/>
    <w:rsid w:val="000F7E03"/>
    <w:rsid w:val="00110B2D"/>
    <w:rsid w:val="00112799"/>
    <w:rsid w:val="00135687"/>
    <w:rsid w:val="00140EDA"/>
    <w:rsid w:val="00141CD7"/>
    <w:rsid w:val="001442D8"/>
    <w:rsid w:val="00150B40"/>
    <w:rsid w:val="00154598"/>
    <w:rsid w:val="001563E7"/>
    <w:rsid w:val="001605E5"/>
    <w:rsid w:val="001704C7"/>
    <w:rsid w:val="00173924"/>
    <w:rsid w:val="001A1A15"/>
    <w:rsid w:val="001C022A"/>
    <w:rsid w:val="001D16D5"/>
    <w:rsid w:val="001F2120"/>
    <w:rsid w:val="001F5907"/>
    <w:rsid w:val="00227A0C"/>
    <w:rsid w:val="002421D8"/>
    <w:rsid w:val="0024223C"/>
    <w:rsid w:val="00283F0C"/>
    <w:rsid w:val="002C5E98"/>
    <w:rsid w:val="002D0EC1"/>
    <w:rsid w:val="002D0FD5"/>
    <w:rsid w:val="002D39A7"/>
    <w:rsid w:val="002D482E"/>
    <w:rsid w:val="002D7CBD"/>
    <w:rsid w:val="00300A8F"/>
    <w:rsid w:val="0036500A"/>
    <w:rsid w:val="00397A79"/>
    <w:rsid w:val="003A1DE7"/>
    <w:rsid w:val="003D2EBE"/>
    <w:rsid w:val="003D4093"/>
    <w:rsid w:val="003F5E45"/>
    <w:rsid w:val="00407D9B"/>
    <w:rsid w:val="0042539A"/>
    <w:rsid w:val="004547FE"/>
    <w:rsid w:val="00454D5E"/>
    <w:rsid w:val="00472BCC"/>
    <w:rsid w:val="004C7D42"/>
    <w:rsid w:val="005119D9"/>
    <w:rsid w:val="00521643"/>
    <w:rsid w:val="00541667"/>
    <w:rsid w:val="0054329B"/>
    <w:rsid w:val="00551867"/>
    <w:rsid w:val="00572882"/>
    <w:rsid w:val="00575E7B"/>
    <w:rsid w:val="00587D30"/>
    <w:rsid w:val="00592A58"/>
    <w:rsid w:val="005B1683"/>
    <w:rsid w:val="005C32F7"/>
    <w:rsid w:val="005D3A50"/>
    <w:rsid w:val="005D727C"/>
    <w:rsid w:val="00652BF9"/>
    <w:rsid w:val="00683B42"/>
    <w:rsid w:val="00695552"/>
    <w:rsid w:val="006A5035"/>
    <w:rsid w:val="006E3662"/>
    <w:rsid w:val="006E5079"/>
    <w:rsid w:val="006E5C7F"/>
    <w:rsid w:val="00721413"/>
    <w:rsid w:val="007539D7"/>
    <w:rsid w:val="007555F5"/>
    <w:rsid w:val="00765716"/>
    <w:rsid w:val="007737C8"/>
    <w:rsid w:val="00782495"/>
    <w:rsid w:val="00784238"/>
    <w:rsid w:val="0078588E"/>
    <w:rsid w:val="007A61B5"/>
    <w:rsid w:val="007B5F06"/>
    <w:rsid w:val="007C112D"/>
    <w:rsid w:val="007D6668"/>
    <w:rsid w:val="007E0CE3"/>
    <w:rsid w:val="007E5D52"/>
    <w:rsid w:val="0080789E"/>
    <w:rsid w:val="00813044"/>
    <w:rsid w:val="008270A2"/>
    <w:rsid w:val="00835DA7"/>
    <w:rsid w:val="00875CCD"/>
    <w:rsid w:val="00883B64"/>
    <w:rsid w:val="008871EA"/>
    <w:rsid w:val="008C430D"/>
    <w:rsid w:val="008D4B2C"/>
    <w:rsid w:val="008F0948"/>
    <w:rsid w:val="00925980"/>
    <w:rsid w:val="00943509"/>
    <w:rsid w:val="00955B2F"/>
    <w:rsid w:val="00967235"/>
    <w:rsid w:val="00994FE6"/>
    <w:rsid w:val="00995001"/>
    <w:rsid w:val="009A2325"/>
    <w:rsid w:val="009A7A36"/>
    <w:rsid w:val="009C58C3"/>
    <w:rsid w:val="009D4BAD"/>
    <w:rsid w:val="009E2B2C"/>
    <w:rsid w:val="009E5B6C"/>
    <w:rsid w:val="009E7901"/>
    <w:rsid w:val="00A165A5"/>
    <w:rsid w:val="00A30377"/>
    <w:rsid w:val="00A509D2"/>
    <w:rsid w:val="00A57631"/>
    <w:rsid w:val="00A77312"/>
    <w:rsid w:val="00A774F2"/>
    <w:rsid w:val="00A80C8D"/>
    <w:rsid w:val="00A92018"/>
    <w:rsid w:val="00AA188F"/>
    <w:rsid w:val="00AB6DA2"/>
    <w:rsid w:val="00AC1CC2"/>
    <w:rsid w:val="00AE6B54"/>
    <w:rsid w:val="00AF3644"/>
    <w:rsid w:val="00B10A0F"/>
    <w:rsid w:val="00B13059"/>
    <w:rsid w:val="00B146E4"/>
    <w:rsid w:val="00B46968"/>
    <w:rsid w:val="00B8025F"/>
    <w:rsid w:val="00B905B4"/>
    <w:rsid w:val="00B948E7"/>
    <w:rsid w:val="00BA630A"/>
    <w:rsid w:val="00BC5C56"/>
    <w:rsid w:val="00BE351A"/>
    <w:rsid w:val="00C15FBC"/>
    <w:rsid w:val="00C639A8"/>
    <w:rsid w:val="00C719C1"/>
    <w:rsid w:val="00C94B83"/>
    <w:rsid w:val="00CB729F"/>
    <w:rsid w:val="00CC51DB"/>
    <w:rsid w:val="00D51C5E"/>
    <w:rsid w:val="00D6158C"/>
    <w:rsid w:val="00D82E2C"/>
    <w:rsid w:val="00D92DD3"/>
    <w:rsid w:val="00DA6497"/>
    <w:rsid w:val="00DB0AA0"/>
    <w:rsid w:val="00DB761B"/>
    <w:rsid w:val="00DB7A94"/>
    <w:rsid w:val="00DD5046"/>
    <w:rsid w:val="00DE36BC"/>
    <w:rsid w:val="00DF4293"/>
    <w:rsid w:val="00DF6C53"/>
    <w:rsid w:val="00E053F9"/>
    <w:rsid w:val="00E21F5B"/>
    <w:rsid w:val="00E25E63"/>
    <w:rsid w:val="00E616B5"/>
    <w:rsid w:val="00E67B0B"/>
    <w:rsid w:val="00E7385B"/>
    <w:rsid w:val="00E774E5"/>
    <w:rsid w:val="00E80586"/>
    <w:rsid w:val="00E824A8"/>
    <w:rsid w:val="00E94017"/>
    <w:rsid w:val="00ED44EB"/>
    <w:rsid w:val="00F24302"/>
    <w:rsid w:val="00F26946"/>
    <w:rsid w:val="00F56176"/>
    <w:rsid w:val="00F93F7B"/>
    <w:rsid w:val="00FB2708"/>
    <w:rsid w:val="00FC02D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0"/>
      <w:rtl w:val="0"/>
      <w:cs w:val="0"/>
      <w:lang w:val="sk-SK" w:eastAsia="cs-CZ" w:bidi="ar-SA"/>
    </w:rPr>
  </w:style>
  <w:style w:type="paragraph" w:styleId="Heading1">
    <w:name w:val="heading 1"/>
    <w:basedOn w:val="Normal"/>
    <w:next w:val="Normal"/>
    <w:link w:val="Nadpis1Char"/>
    <w:uiPriority w:val="99"/>
    <w:qFormat/>
    <w:pPr>
      <w:keepNext/>
      <w:jc w:val="left"/>
      <w:outlineLvl w:val="0"/>
    </w:pPr>
    <w:rPr>
      <w:i/>
      <w:sz w:val="20"/>
    </w:rPr>
  </w:style>
  <w:style w:type="paragraph" w:styleId="Heading2">
    <w:name w:val="heading 2"/>
    <w:basedOn w:val="Normal"/>
    <w:next w:val="Normal"/>
    <w:link w:val="Nadpis2Char"/>
    <w:uiPriority w:val="99"/>
    <w:qFormat/>
    <w:pPr>
      <w:keepNext/>
      <w:jc w:val="center"/>
      <w:outlineLvl w:val="1"/>
    </w:pPr>
    <w:rPr>
      <w:b/>
      <w:sz w:val="18"/>
    </w:rPr>
  </w:style>
  <w:style w:type="paragraph" w:styleId="Heading3">
    <w:name w:val="heading 3"/>
    <w:basedOn w:val="Normal"/>
    <w:next w:val="Normal"/>
    <w:link w:val="Nadpis3Char"/>
    <w:uiPriority w:val="99"/>
    <w:qFormat/>
    <w:pPr>
      <w:keepNext/>
      <w:spacing w:before="120"/>
      <w:jc w:val="center"/>
      <w:outlineLvl w:val="2"/>
    </w:pPr>
    <w:rPr>
      <w:b/>
      <w:sz w:val="22"/>
      <w:lang w:val="cs-CZ"/>
    </w:rPr>
  </w:style>
  <w:style w:type="paragraph" w:styleId="Heading4">
    <w:name w:val="heading 4"/>
    <w:basedOn w:val="Normal"/>
    <w:next w:val="Normal"/>
    <w:link w:val="Nadpis4Char"/>
    <w:uiPriority w:val="99"/>
    <w:qFormat/>
    <w:pPr>
      <w:keepNext/>
      <w:jc w:val="left"/>
      <w:outlineLvl w:val="3"/>
    </w:pPr>
    <w:rPr>
      <w:b/>
      <w:sz w:val="18"/>
    </w:rPr>
  </w:style>
  <w:style w:type="paragraph" w:styleId="Heading5">
    <w:name w:val="heading 5"/>
    <w:basedOn w:val="Normal"/>
    <w:next w:val="Normal"/>
    <w:link w:val="Nadpis5Char"/>
    <w:uiPriority w:val="99"/>
    <w:qFormat/>
    <w:pPr>
      <w:keepNext/>
      <w:jc w:val="both"/>
      <w:outlineLvl w:val="4"/>
    </w:pPr>
    <w:rPr>
      <w:b/>
      <w:sz w:val="16"/>
    </w:rPr>
  </w:style>
  <w:style w:type="paragraph" w:styleId="Heading6">
    <w:name w:val="heading 6"/>
    <w:basedOn w:val="Normal"/>
    <w:next w:val="Normal"/>
    <w:link w:val="Nadpis6Char"/>
    <w:uiPriority w:val="99"/>
    <w:qFormat/>
    <w:pPr>
      <w:keepNext/>
      <w:jc w:val="center"/>
      <w:outlineLvl w:val="5"/>
    </w:pPr>
    <w:rPr>
      <w:i/>
      <w:sz w:val="16"/>
    </w:rPr>
  </w:style>
  <w:style w:type="paragraph" w:styleId="Heading7">
    <w:name w:val="heading 7"/>
    <w:basedOn w:val="Normal"/>
    <w:next w:val="Normal"/>
    <w:link w:val="Nadpis7Char"/>
    <w:uiPriority w:val="99"/>
    <w:qFormat/>
    <w:pPr>
      <w:keepNext/>
      <w:jc w:val="left"/>
      <w:outlineLvl w:val="6"/>
    </w:pPr>
    <w:rPr>
      <w:b/>
      <w:sz w:val="16"/>
    </w:rPr>
  </w:style>
  <w:style w:type="paragraph" w:styleId="Heading8">
    <w:name w:val="heading 8"/>
    <w:basedOn w:val="Normal"/>
    <w:next w:val="Normal"/>
    <w:link w:val="Nadpis8Char"/>
    <w:uiPriority w:val="99"/>
    <w:qFormat/>
    <w:pPr>
      <w:keepNext/>
      <w:jc w:val="center"/>
      <w:outlineLvl w:val="7"/>
    </w:pPr>
    <w:rPr>
      <w:b/>
      <w:sz w:val="1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lang w:val="x-none" w:eastAsia="cs-CZ"/>
    </w:rPr>
  </w:style>
  <w:style w:type="character" w:customStyle="1" w:styleId="Nadpis2Char">
    <w:name w:val="Nadpis 2 Char"/>
    <w:basedOn w:val="DefaultParagraphFont"/>
    <w:link w:val="Heading2"/>
    <w:uiPriority w:val="9"/>
    <w:semiHidden/>
    <w:locked/>
    <w:rPr>
      <w:rFonts w:ascii="Cambria" w:hAnsi="Cambria" w:cs="Times New Roman"/>
      <w:b/>
      <w:i/>
      <w:sz w:val="28"/>
      <w:rtl w:val="0"/>
      <w:cs w:val="0"/>
      <w:lang w:val="x-none" w:eastAsia="cs-CZ"/>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lang w:val="x-none" w:eastAsia="cs-CZ"/>
    </w:rPr>
  </w:style>
  <w:style w:type="character" w:customStyle="1" w:styleId="Nadpis4Char">
    <w:name w:val="Nadpis 4 Char"/>
    <w:basedOn w:val="DefaultParagraphFont"/>
    <w:link w:val="Heading4"/>
    <w:uiPriority w:val="9"/>
    <w:semiHidden/>
    <w:locked/>
    <w:rPr>
      <w:rFonts w:ascii="Calibri" w:hAnsi="Calibri" w:cs="Times New Roman"/>
      <w:b/>
      <w:sz w:val="28"/>
      <w:rtl w:val="0"/>
      <w:cs w:val="0"/>
      <w:lang w:val="x-none" w:eastAsia="cs-CZ"/>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lang w:val="x-none" w:eastAsia="cs-CZ"/>
    </w:rPr>
  </w:style>
  <w:style w:type="character" w:customStyle="1" w:styleId="Nadpis6Char">
    <w:name w:val="Nadpis 6 Char"/>
    <w:basedOn w:val="DefaultParagraphFont"/>
    <w:link w:val="Heading6"/>
    <w:uiPriority w:val="9"/>
    <w:semiHidden/>
    <w:locked/>
    <w:rPr>
      <w:rFonts w:ascii="Calibri" w:hAnsi="Calibri" w:cs="Times New Roman"/>
      <w:b/>
      <w:rtl w:val="0"/>
      <w:cs w:val="0"/>
      <w:lang w:val="x-none" w:eastAsia="cs-CZ"/>
    </w:rPr>
  </w:style>
  <w:style w:type="character" w:customStyle="1" w:styleId="Nadpis7Char">
    <w:name w:val="Nadpis 7 Char"/>
    <w:basedOn w:val="DefaultParagraphFont"/>
    <w:link w:val="Heading7"/>
    <w:uiPriority w:val="9"/>
    <w:semiHidden/>
    <w:locked/>
    <w:rPr>
      <w:rFonts w:ascii="Calibri" w:hAnsi="Calibri" w:cs="Times New Roman"/>
      <w:sz w:val="24"/>
      <w:rtl w:val="0"/>
      <w:cs w:val="0"/>
      <w:lang w:val="x-none" w:eastAsia="cs-CZ"/>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lang w:val="x-none" w:eastAsia="cs-CZ"/>
    </w:rPr>
  </w:style>
  <w:style w:type="paragraph" w:styleId="Title">
    <w:name w:val="Title"/>
    <w:basedOn w:val="Normal"/>
    <w:link w:val="NzovChar"/>
    <w:uiPriority w:val="99"/>
    <w:qFormat/>
    <w:pPr>
      <w:spacing w:before="120"/>
      <w:jc w:val="center"/>
    </w:pPr>
    <w:rPr>
      <w:b/>
      <w:sz w:val="22"/>
      <w:lang w:val="cs-CZ"/>
    </w:rPr>
  </w:style>
  <w:style w:type="character" w:customStyle="1" w:styleId="NzovChar">
    <w:name w:val="Názov Char"/>
    <w:basedOn w:val="DefaultParagraphFont"/>
    <w:link w:val="Title"/>
    <w:uiPriority w:val="10"/>
    <w:locked/>
    <w:rPr>
      <w:rFonts w:ascii="Cambria" w:hAnsi="Cambria" w:cs="Times New Roman"/>
      <w:b/>
      <w:kern w:val="28"/>
      <w:sz w:val="32"/>
      <w:rtl w:val="0"/>
      <w:cs w:val="0"/>
      <w:lang w:val="x-none" w:eastAsia="cs-CZ"/>
    </w:rPr>
  </w:style>
  <w:style w:type="paragraph" w:styleId="BodyText">
    <w:name w:val="Body Text"/>
    <w:basedOn w:val="Normal"/>
    <w:link w:val="ZkladntextChar"/>
    <w:uiPriority w:val="99"/>
    <w:pPr>
      <w:jc w:val="left"/>
    </w:pPr>
    <w:rPr>
      <w:b/>
      <w:sz w:val="22"/>
    </w:rPr>
  </w:style>
  <w:style w:type="character" w:customStyle="1" w:styleId="ZkladntextChar">
    <w:name w:val="Základný text Char"/>
    <w:basedOn w:val="DefaultParagraphFont"/>
    <w:link w:val="BodyText"/>
    <w:uiPriority w:val="99"/>
    <w:semiHidden/>
    <w:locked/>
    <w:rPr>
      <w:rFonts w:cs="Times New Roman"/>
      <w:sz w:val="20"/>
      <w:rtl w:val="0"/>
      <w:cs w:val="0"/>
      <w:lang w:val="x-none" w:eastAsia="cs-CZ"/>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0"/>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0"/>
      <w:rtl w:val="0"/>
      <w:cs w:val="0"/>
      <w:lang w:val="x-none" w:eastAsia="cs-CZ"/>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left"/>
    </w:pPr>
    <w:rPr>
      <w:sz w:val="20"/>
    </w:rPr>
  </w:style>
  <w:style w:type="character" w:customStyle="1" w:styleId="Zkladntext2Char">
    <w:name w:val="Základný text 2 Char"/>
    <w:basedOn w:val="DefaultParagraphFont"/>
    <w:link w:val="BodyText2"/>
    <w:uiPriority w:val="99"/>
    <w:semiHidden/>
    <w:locked/>
    <w:rPr>
      <w:rFonts w:cs="Times New Roman"/>
      <w:sz w:val="20"/>
      <w:rtl w:val="0"/>
      <w:cs w:val="0"/>
      <w:lang w:val="x-none" w:eastAsia="cs-CZ"/>
    </w:rPr>
  </w:style>
  <w:style w:type="paragraph" w:styleId="BodyTextIndent">
    <w:name w:val="Body Text Indent"/>
    <w:basedOn w:val="Normal"/>
    <w:link w:val="ZarkazkladnhotextuChar"/>
    <w:uiPriority w:val="99"/>
    <w:pPr>
      <w:ind w:left="85" w:hanging="85"/>
      <w:jc w:val="left"/>
    </w:pPr>
    <w:rPr>
      <w:sz w:val="20"/>
    </w:rPr>
  </w:style>
  <w:style w:type="character" w:customStyle="1" w:styleId="ZarkazkladnhotextuChar">
    <w:name w:val="Zarážka základného textu Char"/>
    <w:basedOn w:val="DefaultParagraphFont"/>
    <w:link w:val="BodyTextIndent"/>
    <w:uiPriority w:val="99"/>
    <w:semiHidden/>
    <w:locked/>
    <w:rPr>
      <w:rFonts w:cs="Times New Roman"/>
      <w:sz w:val="20"/>
      <w:rtl w:val="0"/>
      <w:cs w:val="0"/>
      <w:lang w:val="x-none" w:eastAsia="cs-CZ"/>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semiHidden/>
    <w:pPr>
      <w:overflowPunct w:val="0"/>
      <w:autoSpaceDE w:val="0"/>
      <w:autoSpaceDN w:val="0"/>
      <w:adjustRightInd w:val="0"/>
      <w:jc w:val="left"/>
      <w:textAlignment w:val="baseline"/>
    </w:pPr>
    <w:rPr>
      <w:sz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lang w:val="x-none" w:eastAsia="cs-CZ"/>
    </w:rPr>
  </w:style>
  <w:style w:type="paragraph" w:styleId="BodyTextIndent2">
    <w:name w:val="Body Text Indent 2"/>
    <w:basedOn w:val="Normal"/>
    <w:link w:val="Zarkazkladnhotextu2Char"/>
    <w:uiPriority w:val="99"/>
    <w:pPr>
      <w:ind w:left="270"/>
      <w:jc w:val="both"/>
    </w:pPr>
    <w:rPr>
      <w:sz w:val="22"/>
    </w:rPr>
  </w:style>
  <w:style w:type="character" w:customStyle="1" w:styleId="Zarkazkladnhotextu2Char">
    <w:name w:val="Zarážka základného textu 2 Char"/>
    <w:basedOn w:val="DefaultParagraphFont"/>
    <w:link w:val="BodyTextIndent2"/>
    <w:uiPriority w:val="99"/>
    <w:semiHidden/>
    <w:locked/>
    <w:rPr>
      <w:rFonts w:cs="Times New Roman"/>
      <w:sz w:val="20"/>
      <w:rtl w:val="0"/>
      <w:cs w:val="0"/>
      <w:lang w:val="x-none" w:eastAsia="cs-CZ"/>
    </w:rPr>
  </w:style>
  <w:style w:type="paragraph" w:styleId="BodyText3">
    <w:name w:val="Body Text 3"/>
    <w:basedOn w:val="Normal"/>
    <w:link w:val="Zkladntext3Char"/>
    <w:uiPriority w:val="99"/>
    <w:pPr>
      <w:jc w:val="left"/>
    </w:pPr>
    <w:rPr>
      <w:i/>
      <w:sz w:val="20"/>
    </w:rPr>
  </w:style>
  <w:style w:type="character" w:customStyle="1" w:styleId="Zkladntext3Char">
    <w:name w:val="Základný text 3 Char"/>
    <w:basedOn w:val="DefaultParagraphFont"/>
    <w:link w:val="BodyText3"/>
    <w:uiPriority w:val="99"/>
    <w:semiHidden/>
    <w:locked/>
    <w:rPr>
      <w:rFonts w:cs="Times New Roman"/>
      <w:sz w:val="16"/>
      <w:rtl w:val="0"/>
      <w:cs w:val="0"/>
      <w:lang w:val="x-none" w:eastAsia="cs-CZ"/>
    </w:rPr>
  </w:style>
  <w:style w:type="paragraph" w:styleId="BodyTextIndent3">
    <w:name w:val="Body Text Indent 3"/>
    <w:basedOn w:val="Normal"/>
    <w:link w:val="Zarkazkladnhotextu3Char"/>
    <w:uiPriority w:val="99"/>
    <w:pPr>
      <w:ind w:left="540"/>
      <w:jc w:val="both"/>
    </w:pPr>
    <w:rPr>
      <w:sz w:val="22"/>
    </w:rPr>
  </w:style>
  <w:style w:type="character" w:customStyle="1" w:styleId="Zarkazkladnhotextu3Char">
    <w:name w:val="Zarážka základného textu 3 Char"/>
    <w:basedOn w:val="DefaultParagraphFont"/>
    <w:link w:val="BodyTextIndent3"/>
    <w:uiPriority w:val="99"/>
    <w:semiHidden/>
    <w:locked/>
    <w:rPr>
      <w:rFonts w:cs="Times New Roman"/>
      <w:sz w:val="16"/>
      <w:rtl w:val="0"/>
      <w:cs w:val="0"/>
      <w:lang w:val="x-none" w:eastAsia="cs-CZ"/>
    </w:rPr>
  </w:style>
  <w:style w:type="paragraph" w:customStyle="1" w:styleId="BodyText21">
    <w:name w:val="Body Text 21"/>
    <w:basedOn w:val="Normal"/>
    <w:uiPriority w:val="99"/>
    <w:pPr>
      <w:widowControl w:val="0"/>
      <w:jc w:val="both"/>
    </w:pPr>
  </w:style>
  <w:style w:type="paragraph" w:styleId="NormalIndent">
    <w:name w:val="Normal Indent"/>
    <w:basedOn w:val="Normal"/>
    <w:uiPriority w:val="99"/>
    <w:pPr>
      <w:spacing w:before="120"/>
      <w:ind w:left="567" w:hanging="567"/>
      <w:jc w:val="left"/>
    </w:pPr>
    <w:rPr>
      <w:rFonts w:ascii="Arial" w:hAnsi="Arial"/>
      <w:color w:val="000000"/>
      <w:sz w:val="20"/>
    </w:rPr>
  </w:style>
  <w:style w:type="paragraph" w:styleId="BalloonText">
    <w:name w:val="Balloon Text"/>
    <w:basedOn w:val="Normal"/>
    <w:link w:val="TextbublinyChar"/>
    <w:uiPriority w:val="99"/>
    <w:semiHidden/>
    <w:rsid w:val="00F93F7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lang w:val="x-none" w:eastAsia="cs-CZ"/>
    </w:rPr>
  </w:style>
  <w:style w:type="paragraph" w:customStyle="1" w:styleId="Normlny">
    <w:name w:val="_Normálny"/>
    <w:basedOn w:val="Normal"/>
    <w:rsid w:val="00BE351A"/>
    <w:pPr>
      <w:autoSpaceDE w:val="0"/>
      <w:autoSpaceDN w:val="0"/>
      <w:jc w:val="left"/>
    </w:pPr>
    <w:rPr>
      <w:sz w:val="20"/>
      <w:lang w:eastAsia="en-US"/>
    </w:rPr>
  </w:style>
  <w:style w:type="paragraph" w:customStyle="1" w:styleId="abc">
    <w:name w:val="abc"/>
    <w:basedOn w:val="Normal"/>
    <w:uiPriority w:val="99"/>
    <w:rsid w:val="00BE351A"/>
    <w:pPr>
      <w:widowControl w:val="0"/>
      <w:tabs>
        <w:tab w:val="left" w:pos="360"/>
        <w:tab w:val="left" w:pos="680"/>
      </w:tabs>
      <w:autoSpaceDE w:val="0"/>
      <w:autoSpaceDN w:val="0"/>
      <w:jc w:val="both"/>
    </w:pPr>
    <w:rPr>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4</Pages>
  <Words>1654</Words>
  <Characters>9432</Characters>
  <Application>Microsoft Office Word</Application>
  <DocSecurity>0</DocSecurity>
  <Lines>0</Lines>
  <Paragraphs>0</Paragraphs>
  <ScaleCrop>false</ScaleCrop>
  <Company>MPSVR SR</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Gajdosova</dc:creator>
  <cp:lastModifiedBy>Rena</cp:lastModifiedBy>
  <cp:revision>19</cp:revision>
  <cp:lastPrinted>2017-01-11T13:13:00Z</cp:lastPrinted>
  <dcterms:created xsi:type="dcterms:W3CDTF">2016-07-11T13:39:00Z</dcterms:created>
  <dcterms:modified xsi:type="dcterms:W3CDTF">2017-01-11T13:13:00Z</dcterms:modified>
</cp:coreProperties>
</file>