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1F4F56" w:rsidP="00DA0B82">
            <w:pPr>
              <w:bidi w:val="0"/>
              <w:jc w:val="center"/>
              <w:rPr>
                <w:rFonts w:ascii="Times New Roman" w:hAnsi="Times New Roman"/>
                <w:b/>
                <w:sz w:val="24"/>
              </w:rPr>
            </w:pPr>
            <w:r w:rsidRPr="001F4F56" w:rsidR="008A1252">
              <w:rPr>
                <w:rFonts w:ascii="Times New Roman" w:hAnsi="Times New Roman"/>
                <w:b/>
                <w:sz w:val="28"/>
              </w:rPr>
              <w:t>Analýza v</w:t>
            </w:r>
            <w:r w:rsidRPr="001F4F56">
              <w:rPr>
                <w:rFonts w:ascii="Times New Roman" w:hAnsi="Times New Roman"/>
                <w:b/>
                <w:sz w:val="28"/>
              </w:rPr>
              <w:t>plyv</w:t>
            </w:r>
            <w:r w:rsidRPr="001F4F56" w:rsidR="008A1252">
              <w:rPr>
                <w:rFonts w:ascii="Times New Roman" w:hAnsi="Times New Roman"/>
                <w:b/>
                <w:sz w:val="28"/>
              </w:rPr>
              <w:t>ov</w:t>
            </w:r>
            <w:r w:rsidRPr="001F4F56">
              <w:rPr>
                <w:rFonts w:ascii="Times New Roman" w:hAnsi="Times New Roman"/>
                <w:b/>
                <w:sz w:val="28"/>
              </w:rPr>
              <w:t xml:space="preserve"> na podnikateľské prostredie</w:t>
            </w:r>
          </w:p>
          <w:p w:rsidR="009F2DFA" w:rsidRPr="001F4F56" w:rsidP="00DA0B82">
            <w:pPr>
              <w:bidi w:val="0"/>
              <w:jc w:val="center"/>
              <w:rPr>
                <w:rFonts w:ascii="Times New Roman" w:hAnsi="Times New Roman"/>
                <w:b/>
              </w:rPr>
            </w:pPr>
            <w:r w:rsidRPr="001F4F56">
              <w:rPr>
                <w:rFonts w:ascii="Times New Roman" w:hAnsi="Times New Roman"/>
                <w:b/>
                <w:sz w:val="24"/>
              </w:rPr>
              <w:t xml:space="preserve">(vrátane </w:t>
            </w:r>
            <w:r w:rsidRPr="001F4F56" w:rsidR="00780BA6">
              <w:rPr>
                <w:rFonts w:ascii="Times New Roman" w:hAnsi="Times New Roman"/>
                <w:b/>
                <w:sz w:val="24"/>
              </w:rPr>
              <w:t xml:space="preserve">testu </w:t>
            </w:r>
            <w:r w:rsidRPr="001F4F5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1F4F56" w:rsidP="0055699C">
            <w:pPr>
              <w:bidi w:val="0"/>
              <w:jc w:val="both"/>
              <w:rPr>
                <w:rFonts w:ascii="Times New Roman" w:hAnsi="Times New Roman"/>
                <w:b/>
                <w:sz w:val="24"/>
              </w:rPr>
            </w:pPr>
            <w:r w:rsidRPr="001F4F5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9F2DFA" w:rsidRPr="001F4F56" w:rsidP="0055699C">
                  <w:pPr>
                    <w:bidi w:val="0"/>
                    <w:spacing w:after="0" w:line="240" w:lineRule="auto"/>
                    <w:jc w:val="both"/>
                    <w:rPr>
                      <w:rFonts w:ascii="Times New Roman" w:hAnsi="Times New Roman"/>
                    </w:rPr>
                  </w:pPr>
                  <w:r w:rsidRPr="001F4F56" w:rsidR="001C6E4A">
                    <w:rPr>
                      <w:rFonts w:ascii="MS Gothic" w:eastAsia="MS Gothic" w:hAnsi="MS Gothic" w:hint="eastAsia"/>
                    </w:rPr>
                    <w:t>☐</w:t>
                  </w:r>
                </w:p>
              </w:tc>
              <w:tc>
                <w:tcPr>
                  <w:tcW w:w="8545" w:type="dxa"/>
                  <w:tcBorders>
                    <w:top w:val="nil"/>
                    <w:left w:val="nil"/>
                    <w:bottom w:val="nil"/>
                    <w:right w:val="nil"/>
                  </w:tcBorders>
                  <w:textDirection w:val="lrTb"/>
                  <w:vAlign w:val="top"/>
                </w:tcPr>
                <w:p w:rsidR="009F2DFA" w:rsidRPr="001F4F56" w:rsidP="0055699C">
                  <w:pPr>
                    <w:bidi w:val="0"/>
                    <w:spacing w:after="0" w:line="240" w:lineRule="auto"/>
                    <w:jc w:val="both"/>
                    <w:rPr>
                      <w:rFonts w:ascii="Times New Roman" w:hAnsi="Times New Roman"/>
                      <w:b/>
                    </w:rPr>
                  </w:pPr>
                  <w:r w:rsidRPr="001F4F56">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9F2DFA" w:rsidRPr="001F4F56" w:rsidP="0055699C">
                  <w:pPr>
                    <w:bidi w:val="0"/>
                    <w:jc w:val="both"/>
                    <w:rPr>
                      <w:rFonts w:ascii="Times New Roman" w:hAnsi="Times New Roman"/>
                    </w:rPr>
                  </w:pPr>
                  <w:r w:rsidRPr="001F4F56" w:rsidR="007C6C91">
                    <w:rPr>
                      <w:rFonts w:ascii="MS Gothic" w:eastAsia="MS Gothic" w:hAnsi="MS Gothic" w:hint="eastAsia"/>
                    </w:rPr>
                    <w:t>☒</w:t>
                  </w:r>
                </w:p>
              </w:tc>
              <w:tc>
                <w:tcPr>
                  <w:tcW w:w="8545" w:type="dxa"/>
                  <w:tcBorders>
                    <w:top w:val="nil"/>
                    <w:left w:val="nil"/>
                    <w:bottom w:val="nil"/>
                    <w:right w:val="nil"/>
                  </w:tcBorders>
                  <w:textDirection w:val="lrTb"/>
                  <w:vAlign w:val="top"/>
                </w:tcPr>
                <w:p w:rsidR="009F2DFA" w:rsidRPr="001F4F56" w:rsidP="0055699C">
                  <w:pPr>
                    <w:bidi w:val="0"/>
                    <w:jc w:val="both"/>
                    <w:rPr>
                      <w:rFonts w:ascii="Times New Roman" w:hAnsi="Times New Roman"/>
                      <w:b/>
                    </w:rPr>
                  </w:pPr>
                  <w:r w:rsidRPr="001F4F56">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9F2DFA" w:rsidRPr="001F4F56" w:rsidP="0055699C">
                  <w:pPr>
                    <w:bidi w:val="0"/>
                    <w:jc w:val="both"/>
                    <w:rPr>
                      <w:rFonts w:ascii="Times New Roman" w:hAnsi="Times New Roman"/>
                    </w:rPr>
                  </w:pPr>
                  <w:r w:rsidRPr="001F4F56" w:rsidR="00936171">
                    <w:rPr>
                      <w:rFonts w:ascii="MS Gothic" w:eastAsia="MS Gothic" w:hAnsi="MS Gothic" w:hint="eastAsia"/>
                    </w:rPr>
                    <w:t>☐</w:t>
                  </w:r>
                </w:p>
              </w:tc>
              <w:tc>
                <w:tcPr>
                  <w:tcW w:w="8545" w:type="dxa"/>
                  <w:tcBorders>
                    <w:top w:val="nil"/>
                    <w:left w:val="nil"/>
                    <w:bottom w:val="nil"/>
                    <w:right w:val="nil"/>
                  </w:tcBorders>
                  <w:textDirection w:val="lrTb"/>
                  <w:vAlign w:val="top"/>
                </w:tcPr>
                <w:p w:rsidR="009F2DFA" w:rsidRPr="001F4F56" w:rsidP="0055699C">
                  <w:pPr>
                    <w:bidi w:val="0"/>
                    <w:jc w:val="both"/>
                    <w:rPr>
                      <w:rFonts w:ascii="Times New Roman" w:hAnsi="Times New Roman"/>
                    </w:rPr>
                  </w:pPr>
                  <w:r w:rsidRPr="001F4F56">
                    <w:rPr>
                      <w:rFonts w:ascii="Times New Roman" w:hAnsi="Times New Roman"/>
                      <w:b/>
                    </w:rPr>
                    <w:t>na všetky kategórie podnikov</w:t>
                  </w:r>
                </w:p>
              </w:tc>
            </w:tr>
          </w:tbl>
          <w:p w:rsidR="009F2DFA" w:rsidRPr="001F4F56" w:rsidP="0055699C">
            <w:pPr>
              <w:bidi w:val="0"/>
              <w:jc w:val="both"/>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1F4F56" w:rsidP="0055699C">
            <w:pPr>
              <w:bidi w:val="0"/>
              <w:jc w:val="both"/>
              <w:rPr>
                <w:rFonts w:ascii="Times New Roman" w:hAnsi="Times New Roman"/>
                <w:b/>
                <w:sz w:val="24"/>
              </w:rPr>
            </w:pPr>
            <w:r w:rsidRPr="001F4F56" w:rsidR="002B1108">
              <w:rPr>
                <w:rFonts w:ascii="Times New Roman" w:hAnsi="Times New Roman"/>
                <w:b/>
                <w:sz w:val="24"/>
              </w:rPr>
              <w:t>3</w:t>
            </w:r>
            <w:r w:rsidRPr="001F4F56">
              <w:rPr>
                <w:rFonts w:ascii="Times New Roman" w:hAnsi="Times New Roman"/>
                <w:b/>
                <w:sz w:val="24"/>
              </w:rPr>
              <w:t>.1 Dotknuté podnikateľské subjekty</w:t>
            </w:r>
          </w:p>
          <w:p w:rsidR="009F2DFA" w:rsidRPr="001F4F56" w:rsidP="0055699C">
            <w:pPr>
              <w:bidi w:val="0"/>
              <w:ind w:left="284"/>
              <w:jc w:val="both"/>
              <w:rPr>
                <w:rFonts w:ascii="Times New Roman" w:hAnsi="Times New Roman"/>
                <w:b/>
              </w:rPr>
            </w:pPr>
            <w:r w:rsidRPr="001F4F56">
              <w:rPr>
                <w:rFonts w:ascii="Times New Roman" w:hAnsi="Times New Roman"/>
                <w:sz w:val="24"/>
              </w:rPr>
              <w:t xml:space="preserve"> - </w:t>
            </w:r>
            <w:r w:rsidRPr="001F4F5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Uveďte, aké podnikateľské subjekty budú predkladaným návrhom ovplyvnené.</w:t>
            </w:r>
          </w:p>
          <w:p w:rsidR="009F2DFA" w:rsidRPr="001F4F56" w:rsidP="0055699C">
            <w:pPr>
              <w:bidi w:val="0"/>
              <w:jc w:val="both"/>
              <w:rPr>
                <w:rFonts w:ascii="Times New Roman" w:hAnsi="Times New Roman"/>
                <w:i/>
              </w:rPr>
            </w:pPr>
            <w:r w:rsidRPr="001F4F56">
              <w:rPr>
                <w:rFonts w:ascii="Times New Roman" w:hAnsi="Times New Roman"/>
                <w:i/>
              </w:rPr>
              <w:t>Aký je ich počet?</w:t>
            </w:r>
          </w:p>
        </w:tc>
      </w:tr>
      <w:tr>
        <w:tblPrEx>
          <w:tblW w:w="0" w:type="auto"/>
          <w:tblLook w:val="04A0"/>
        </w:tblPrEx>
        <w:trPr>
          <w:trHeight w:val="66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2405A" w:rsidRPr="001F4F56" w:rsidP="0055699C">
            <w:pPr>
              <w:bidi w:val="0"/>
              <w:jc w:val="both"/>
              <w:rPr>
                <w:rFonts w:ascii="Times New Roman" w:hAnsi="Times New Roman"/>
                <w:i/>
              </w:rPr>
            </w:pPr>
          </w:p>
          <w:p w:rsidR="00D2077B" w:rsidRPr="001F4F56" w:rsidP="0055699C">
            <w:pPr>
              <w:bidi w:val="0"/>
              <w:jc w:val="both"/>
              <w:rPr>
                <w:rFonts w:ascii="Times New Roman" w:hAnsi="Times New Roman"/>
                <w:i/>
              </w:rPr>
            </w:pPr>
            <w:r w:rsidRPr="001F4F56" w:rsidR="00263F55">
              <w:rPr>
                <w:rFonts w:ascii="Times New Roman" w:hAnsi="Times New Roman"/>
                <w:i/>
              </w:rPr>
              <w:t>Tri poisťovne zapojené do vypl</w:t>
            </w:r>
            <w:r w:rsidRPr="001F4F56" w:rsidR="0019078F">
              <w:rPr>
                <w:rFonts w:ascii="Times New Roman" w:hAnsi="Times New Roman"/>
                <w:i/>
              </w:rPr>
              <w:t>á</w:t>
            </w:r>
            <w:r w:rsidRPr="001F4F56" w:rsidR="00CD5597">
              <w:rPr>
                <w:rFonts w:ascii="Times New Roman" w:hAnsi="Times New Roman"/>
                <w:i/>
              </w:rPr>
              <w:t>cania dôchodkov zo starobného dôchodkového sporenia</w:t>
            </w:r>
            <w:r w:rsidRPr="001F4F56" w:rsidR="0019078F">
              <w:rPr>
                <w:rFonts w:ascii="Times New Roman" w:hAnsi="Times New Roman"/>
                <w:i/>
              </w:rPr>
              <w:t xml:space="preserve"> a </w:t>
            </w:r>
            <w:r w:rsidRPr="001F4F56" w:rsidR="007B16FE">
              <w:rPr>
                <w:rFonts w:ascii="Times New Roman" w:hAnsi="Times New Roman"/>
                <w:i/>
              </w:rPr>
              <w:t>šesť</w:t>
            </w:r>
            <w:r w:rsidRPr="001F4F56" w:rsidR="0019078F">
              <w:rPr>
                <w:rFonts w:ascii="Times New Roman" w:hAnsi="Times New Roman"/>
                <w:i/>
              </w:rPr>
              <w:t xml:space="preserve"> dôchodkových správcovských spoločností</w:t>
            </w:r>
            <w:r w:rsidRPr="001F4F56" w:rsidR="007B16FE">
              <w:rPr>
                <w:rFonts w:ascii="Times New Roman" w:hAnsi="Times New Roman"/>
                <w:i/>
              </w:rPr>
              <w:t xml:space="preserve"> (DSS)</w:t>
            </w:r>
            <w:r w:rsidRPr="001F4F56" w:rsidR="0019078F">
              <w:rPr>
                <w:rFonts w:ascii="Times New Roman" w:hAnsi="Times New Roman"/>
                <w:i/>
              </w:rPr>
              <w:t>.</w:t>
            </w:r>
          </w:p>
          <w:p w:rsidR="00E2405A" w:rsidRPr="001F4F56" w:rsidP="0055699C">
            <w:pPr>
              <w:bidi w:val="0"/>
              <w:jc w:val="both"/>
              <w:rPr>
                <w:rFonts w:ascii="Times New Roman" w:hAnsi="Times New Roman"/>
                <w:i/>
              </w:rPr>
            </w:pPr>
          </w:p>
          <w:p w:rsidR="00E2405A" w:rsidRPr="001F4F56" w:rsidP="0055699C">
            <w:pPr>
              <w:bidi w:val="0"/>
              <w:jc w:val="both"/>
              <w:rPr>
                <w:rFonts w:ascii="Times New Roman" w:hAnsi="Times New Roman"/>
                <w:i/>
              </w:rPr>
            </w:pPr>
            <w:r w:rsidRPr="001F4F56" w:rsidR="00CD5597">
              <w:rPr>
                <w:rFonts w:ascii="Times New Roman" w:hAnsi="Times New Roman"/>
                <w:i/>
              </w:rPr>
              <w:t xml:space="preserve">Pozn.: </w:t>
            </w:r>
            <w:r w:rsidRPr="001F4F56" w:rsidR="007B16FE">
              <w:rPr>
                <w:rFonts w:ascii="Times New Roman" w:hAnsi="Times New Roman"/>
                <w:i/>
              </w:rPr>
              <w:t>J</w:t>
            </w:r>
            <w:r w:rsidRPr="001F4F56">
              <w:rPr>
                <w:rFonts w:ascii="Times New Roman" w:hAnsi="Times New Roman"/>
                <w:i/>
              </w:rPr>
              <w:t>ednotlivé DSS by spĺňali kritéri</w:t>
            </w:r>
            <w:r w:rsidRPr="001F4F56" w:rsidR="007B16FE">
              <w:rPr>
                <w:rFonts w:ascii="Times New Roman" w:hAnsi="Times New Roman"/>
                <w:i/>
              </w:rPr>
              <w:t>á</w:t>
            </w:r>
            <w:r w:rsidRPr="001F4F56">
              <w:rPr>
                <w:rFonts w:ascii="Times New Roman" w:hAnsi="Times New Roman"/>
                <w:i/>
              </w:rPr>
              <w:t xml:space="preserve"> pre malé a stredné podniky (MSP) ako samostatné podnikateľské subjekty. </w:t>
            </w:r>
            <w:r w:rsidRPr="001F4F56" w:rsidR="007B16FE">
              <w:rPr>
                <w:rFonts w:ascii="Times New Roman" w:hAnsi="Times New Roman"/>
                <w:i/>
              </w:rPr>
              <w:t>V</w:t>
            </w:r>
            <w:r w:rsidRPr="001F4F56">
              <w:rPr>
                <w:rFonts w:ascii="Times New Roman" w:hAnsi="Times New Roman"/>
                <w:i/>
              </w:rPr>
              <w:t xml:space="preserve"> súlade s odporúčaním Európskej komisie 2003/361/EC sa </w:t>
            </w:r>
            <w:r w:rsidRPr="001F4F56" w:rsidR="007B16FE">
              <w:rPr>
                <w:rFonts w:ascii="Times New Roman" w:hAnsi="Times New Roman"/>
                <w:i/>
              </w:rPr>
              <w:t xml:space="preserve">však </w:t>
            </w:r>
            <w:r w:rsidRPr="001F4F56">
              <w:rPr>
                <w:rFonts w:ascii="Times New Roman" w:hAnsi="Times New Roman"/>
                <w:i/>
              </w:rPr>
              <w:t>pre potreby analýzy vybraných vplyvov posudzujú kritéri</w:t>
            </w:r>
            <w:r w:rsidRPr="001F4F56" w:rsidR="007B16FE">
              <w:rPr>
                <w:rFonts w:ascii="Times New Roman" w:hAnsi="Times New Roman"/>
                <w:i/>
              </w:rPr>
              <w:t>á</w:t>
            </w:r>
            <w:r w:rsidRPr="001F4F56">
              <w:rPr>
                <w:rFonts w:ascii="Times New Roman" w:hAnsi="Times New Roman"/>
                <w:i/>
              </w:rPr>
              <w:t xml:space="preserve"> MSP vrátane počtu zamestnancov a obratu akcionárov DSS. Z tohto dôvodu bude mať legislatívna úprava vplyv len na veľké podniky.</w:t>
            </w:r>
          </w:p>
          <w:p w:rsidR="00E2405A" w:rsidRPr="001F4F56" w:rsidP="0055699C">
            <w:pPr>
              <w:bidi w:val="0"/>
              <w:jc w:val="both"/>
              <w:rPr>
                <w:rFonts w:ascii="Times New Roman" w:hAnsi="Times New Roman"/>
                <w:i/>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1F4F56" w:rsidP="0055699C">
            <w:pPr>
              <w:bidi w:val="0"/>
              <w:jc w:val="both"/>
              <w:rPr>
                <w:rFonts w:ascii="Times New Roman" w:hAnsi="Times New Roman"/>
                <w:b/>
                <w:sz w:val="24"/>
              </w:rPr>
            </w:pPr>
            <w:r w:rsidRPr="001F4F56" w:rsidR="002B1108">
              <w:rPr>
                <w:rFonts w:ascii="Times New Roman" w:hAnsi="Times New Roman"/>
                <w:b/>
                <w:sz w:val="24"/>
              </w:rPr>
              <w:t>3</w:t>
            </w:r>
            <w:r w:rsidRPr="001F4F56">
              <w:rPr>
                <w:rFonts w:ascii="Times New Roman" w:hAnsi="Times New Roman"/>
                <w:b/>
                <w:sz w:val="24"/>
              </w:rPr>
              <w:t>.2 Vyhodnotenie konzultácií</w:t>
            </w:r>
          </w:p>
          <w:p w:rsidR="009F2DFA" w:rsidRPr="001F4F56" w:rsidP="0055699C">
            <w:pPr>
              <w:bidi w:val="0"/>
              <w:jc w:val="both"/>
              <w:rPr>
                <w:rFonts w:ascii="Times New Roman" w:hAnsi="Times New Roman"/>
                <w:b/>
              </w:rPr>
            </w:pPr>
            <w:r w:rsidRPr="001F4F56">
              <w:rPr>
                <w:rFonts w:ascii="Times New Roman" w:hAnsi="Times New Roman"/>
                <w:sz w:val="24"/>
              </w:rPr>
              <w:t xml:space="preserve">       - </w:t>
            </w:r>
            <w:r w:rsidRPr="001F4F5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Uveďte, akou formou (verejné alebo cielené konzultácie a prečo) a s kým bol návrh konzultovaný.</w:t>
            </w:r>
          </w:p>
          <w:p w:rsidR="009F2DFA" w:rsidRPr="001F4F56" w:rsidP="0055699C">
            <w:pPr>
              <w:bidi w:val="0"/>
              <w:jc w:val="both"/>
              <w:rPr>
                <w:rFonts w:ascii="Times New Roman" w:hAnsi="Times New Roman"/>
                <w:i/>
              </w:rPr>
            </w:pPr>
            <w:r w:rsidRPr="001F4F56">
              <w:rPr>
                <w:rFonts w:ascii="Times New Roman" w:hAnsi="Times New Roman"/>
                <w:i/>
              </w:rPr>
              <w:t>Ako dlho trvali konzultácie?</w:t>
            </w:r>
          </w:p>
          <w:p w:rsidR="009F2DFA" w:rsidRPr="001F4F56" w:rsidP="0055699C">
            <w:pPr>
              <w:bidi w:val="0"/>
              <w:jc w:val="both"/>
              <w:rPr>
                <w:rFonts w:ascii="Times New Roman" w:hAnsi="Times New Roman"/>
                <w:i/>
              </w:rPr>
            </w:pPr>
            <w:r w:rsidRPr="001F4F56">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00D52" w:rsidRPr="001F4F56" w:rsidP="0055699C">
            <w:pPr>
              <w:bidi w:val="0"/>
              <w:jc w:val="both"/>
              <w:rPr>
                <w:rFonts w:ascii="Times New Roman" w:hAnsi="Times New Roman"/>
                <w:i/>
              </w:rPr>
            </w:pPr>
          </w:p>
          <w:p w:rsidR="00A00D52" w:rsidRPr="001F4F56" w:rsidP="0055699C">
            <w:pPr>
              <w:bidi w:val="0"/>
              <w:jc w:val="both"/>
              <w:rPr>
                <w:rFonts w:ascii="Times New Roman" w:hAnsi="Times New Roman"/>
                <w:i/>
              </w:rPr>
            </w:pPr>
            <w:r w:rsidRPr="001F4F56">
              <w:rPr>
                <w:rFonts w:ascii="Times New Roman" w:hAnsi="Times New Roman"/>
                <w:i/>
              </w:rPr>
              <w:t>Identifikované dotknuté subjekty</w:t>
            </w:r>
            <w:r w:rsidRPr="001F4F56" w:rsidR="00936171">
              <w:rPr>
                <w:rFonts w:ascii="Times New Roman" w:hAnsi="Times New Roman"/>
                <w:i/>
              </w:rPr>
              <w:t xml:space="preserve"> boli</w:t>
            </w:r>
            <w:r w:rsidRPr="001F4F56" w:rsidR="0019078F">
              <w:rPr>
                <w:rFonts w:ascii="Times New Roman" w:hAnsi="Times New Roman"/>
                <w:i/>
              </w:rPr>
              <w:t xml:space="preserve"> pri príležitosti prípravy </w:t>
            </w:r>
            <w:r w:rsidR="00B54C80">
              <w:rPr>
                <w:rFonts w:ascii="Times New Roman" w:hAnsi="Times New Roman"/>
                <w:i/>
              </w:rPr>
              <w:t xml:space="preserve">vládneho </w:t>
            </w:r>
            <w:r w:rsidRPr="001F4F56" w:rsidR="0019078F">
              <w:rPr>
                <w:rFonts w:ascii="Times New Roman" w:hAnsi="Times New Roman"/>
                <w:i/>
              </w:rPr>
              <w:t>návrhu zákona, ktorým sa mení a dopĺňa zákon č. 43/2004 Z. z. o starobnom dôchodkovom sporení a o zmene a doplnení niektorých zákonov v znení neskorších predpisov</w:t>
            </w:r>
            <w:r w:rsidRPr="001F4F56" w:rsidR="00936171">
              <w:rPr>
                <w:rFonts w:ascii="Times New Roman" w:hAnsi="Times New Roman"/>
                <w:i/>
              </w:rPr>
              <w:t xml:space="preserve"> oslovené</w:t>
            </w:r>
            <w:r w:rsidRPr="001F4F56">
              <w:rPr>
                <w:rFonts w:ascii="Times New Roman" w:hAnsi="Times New Roman"/>
                <w:i/>
              </w:rPr>
              <w:t xml:space="preserve"> s ponukou na konzultácie. Túto ponuku zástupcovia všetkých dotknutých subjektov</w:t>
            </w:r>
            <w:r w:rsidRPr="001F4F56" w:rsidR="005D5C5C">
              <w:rPr>
                <w:rFonts w:ascii="Times New Roman" w:hAnsi="Times New Roman"/>
                <w:i/>
              </w:rPr>
              <w:t xml:space="preserve"> prijali</w:t>
            </w:r>
            <w:r w:rsidRPr="001F4F56">
              <w:rPr>
                <w:rFonts w:ascii="Times New Roman" w:hAnsi="Times New Roman"/>
                <w:i/>
              </w:rPr>
              <w:t xml:space="preserve">. Prvé stretnutie v rámci konzultácií sa uskutočnilo dňa 31. </w:t>
            </w:r>
            <w:r w:rsidRPr="001F4F56" w:rsidR="00936171">
              <w:rPr>
                <w:rFonts w:ascii="Times New Roman" w:hAnsi="Times New Roman"/>
                <w:i/>
              </w:rPr>
              <w:t xml:space="preserve">mája 2016 na </w:t>
            </w:r>
            <w:r w:rsidRPr="001F4F56" w:rsidR="00700A50">
              <w:rPr>
                <w:rFonts w:ascii="Times New Roman" w:hAnsi="Times New Roman"/>
                <w:i/>
              </w:rPr>
              <w:t>Ministerstve práce sociálnych vecí a rodiny SR (</w:t>
            </w:r>
            <w:r w:rsidRPr="001F4F56" w:rsidR="00936171">
              <w:rPr>
                <w:rFonts w:ascii="Times New Roman" w:hAnsi="Times New Roman"/>
                <w:i/>
              </w:rPr>
              <w:t>MPSVR SR</w:t>
            </w:r>
            <w:r w:rsidRPr="001F4F56" w:rsidR="00700A50">
              <w:rPr>
                <w:rFonts w:ascii="Times New Roman" w:hAnsi="Times New Roman"/>
                <w:i/>
              </w:rPr>
              <w:t>)</w:t>
            </w:r>
            <w:r w:rsidRPr="001F4F56" w:rsidR="00936171">
              <w:rPr>
                <w:rFonts w:ascii="Times New Roman" w:hAnsi="Times New Roman"/>
                <w:i/>
              </w:rPr>
              <w:t>. Ďalej sa so subjektmi pokračovalo</w:t>
            </w:r>
            <w:r w:rsidRPr="001F4F56">
              <w:rPr>
                <w:rFonts w:ascii="Times New Roman" w:hAnsi="Times New Roman"/>
                <w:i/>
              </w:rPr>
              <w:t xml:space="preserve"> v konzultáciách prostredníctvom e-mailovej komunikácie. Dňa 16. júna 2016 sa uskutočnilo ďalšie osobné stretnutie so zainteresovanými subjektmi v rámc</w:t>
            </w:r>
            <w:r w:rsidRPr="001F4F56" w:rsidR="00936171">
              <w:rPr>
                <w:rFonts w:ascii="Times New Roman" w:hAnsi="Times New Roman"/>
                <w:i/>
              </w:rPr>
              <w:t>i týchto konzultácií, pričom</w:t>
            </w:r>
            <w:r w:rsidRPr="001F4F56">
              <w:rPr>
                <w:rFonts w:ascii="Times New Roman" w:hAnsi="Times New Roman"/>
                <w:i/>
              </w:rPr>
              <w:t xml:space="preserve"> sa na tomto stretnutí s p</w:t>
            </w:r>
            <w:r w:rsidRPr="001F4F56" w:rsidR="00936171">
              <w:rPr>
                <w:rFonts w:ascii="Times New Roman" w:hAnsi="Times New Roman"/>
                <w:i/>
              </w:rPr>
              <w:t>odnikateľskými subjektmi dohodlo</w:t>
            </w:r>
            <w:r w:rsidRPr="001F4F56">
              <w:rPr>
                <w:rFonts w:ascii="Times New Roman" w:hAnsi="Times New Roman"/>
                <w:i/>
              </w:rPr>
              <w:t xml:space="preserve"> na ich pokračovaní opätovne formou e-mailovej komunikácie.</w:t>
            </w:r>
            <w:r w:rsidRPr="001F4F56" w:rsidR="00E2405A">
              <w:rPr>
                <w:rFonts w:ascii="Times New Roman" w:hAnsi="Times New Roman"/>
                <w:i/>
              </w:rPr>
              <w:t xml:space="preserve"> Uzatvorenie konzultácií bolo dohodnuté na 1.7.2016.</w:t>
            </w:r>
          </w:p>
          <w:p w:rsidR="00A00D52" w:rsidRPr="001F4F56" w:rsidP="0055699C">
            <w:pPr>
              <w:bidi w:val="0"/>
              <w:jc w:val="both"/>
              <w:rPr>
                <w:rFonts w:ascii="Times New Roman" w:hAnsi="Times New Roman"/>
                <w:i/>
              </w:rPr>
            </w:pPr>
          </w:p>
          <w:p w:rsidR="00A00D52" w:rsidRPr="001F4F56" w:rsidP="0055699C">
            <w:pPr>
              <w:bidi w:val="0"/>
              <w:jc w:val="both"/>
              <w:rPr>
                <w:rFonts w:ascii="Times New Roman" w:hAnsi="Times New Roman"/>
                <w:i/>
              </w:rPr>
            </w:pPr>
            <w:r w:rsidRPr="001F4F56">
              <w:rPr>
                <w:rFonts w:ascii="Times New Roman" w:hAnsi="Times New Roman"/>
                <w:i/>
              </w:rPr>
              <w:t>Hlavné body konzultácií:</w:t>
            </w:r>
          </w:p>
          <w:p w:rsidR="00A00D52" w:rsidRPr="001F4F56" w:rsidP="0055699C">
            <w:pPr>
              <w:bidi w:val="0"/>
              <w:jc w:val="both"/>
              <w:rPr>
                <w:rFonts w:ascii="Times New Roman" w:hAnsi="Times New Roman"/>
                <w:i/>
              </w:rPr>
            </w:pPr>
            <w:r w:rsidRPr="001F4F56" w:rsidR="000C66A4">
              <w:rPr>
                <w:rFonts w:ascii="Times New Roman" w:hAnsi="Times New Roman"/>
                <w:i/>
              </w:rPr>
              <w:t>Hlavným bodom konzultácií bol o</w:t>
            </w:r>
            <w:r w:rsidRPr="001F4F56">
              <w:rPr>
                <w:rFonts w:ascii="Times New Roman" w:hAnsi="Times New Roman"/>
                <w:i/>
              </w:rPr>
              <w:t>bsah pripravovanej novely zákona č. 43/2004 Z. z.</w:t>
            </w:r>
            <w:r w:rsidRPr="001F4F56" w:rsidR="000C66A4">
              <w:rPr>
                <w:rFonts w:ascii="Times New Roman" w:hAnsi="Times New Roman"/>
                <w:i/>
              </w:rPr>
              <w:t>, ktorým</w:t>
            </w:r>
            <w:r w:rsidRPr="001F4F56">
              <w:rPr>
                <w:rFonts w:ascii="Times New Roman" w:hAnsi="Times New Roman"/>
                <w:i/>
              </w:rPr>
              <w:t xml:space="preserve"> </w:t>
            </w:r>
            <w:r w:rsidRPr="001F4F56" w:rsidR="0019078F">
              <w:rPr>
                <w:rFonts w:ascii="Times New Roman" w:hAnsi="Times New Roman"/>
                <w:i/>
              </w:rPr>
              <w:t>je</w:t>
            </w:r>
            <w:r w:rsidRPr="001F4F56">
              <w:rPr>
                <w:rFonts w:ascii="Times New Roman" w:hAnsi="Times New Roman"/>
                <w:i/>
              </w:rPr>
              <w:t xml:space="preserve"> úprava podmienok výplaty dôchodku formou programového výberu vyplácaného dôchodkovými správcovskými spoločnosťami a dočasného dôchodku vyplácaného poisťovňami. </w:t>
            </w:r>
            <w:r w:rsidRPr="001F4F56" w:rsidR="00D41EB5">
              <w:rPr>
                <w:rFonts w:ascii="Times New Roman" w:hAnsi="Times New Roman"/>
                <w:i/>
              </w:rPr>
              <w:t>Konkrétne</w:t>
            </w:r>
            <w:r w:rsidRPr="001F4F56" w:rsidR="000C66A4">
              <w:rPr>
                <w:rFonts w:ascii="Times New Roman" w:hAnsi="Times New Roman"/>
                <w:i/>
              </w:rPr>
              <w:t>:</w:t>
            </w:r>
          </w:p>
          <w:p w:rsidR="00A00D52" w:rsidRPr="001F4F56" w:rsidP="0055699C">
            <w:pPr>
              <w:bidi w:val="0"/>
              <w:jc w:val="both"/>
              <w:rPr>
                <w:rFonts w:ascii="Times New Roman" w:hAnsi="Times New Roman"/>
                <w:i/>
              </w:rPr>
            </w:pPr>
            <w:r w:rsidRPr="001F4F56">
              <w:rPr>
                <w:rFonts w:ascii="Times New Roman" w:hAnsi="Times New Roman"/>
                <w:i/>
              </w:rPr>
              <w:t>-              vypustenie podmienky, aby bol úhrn kráteného dôchodku z I. piliera a doživotného dôchodku z II. piliera vyšší než suma nekráteného dôchodku z I. piliera</w:t>
            </w:r>
            <w:r w:rsidRPr="001F4F56" w:rsidR="005D5C5C">
              <w:rPr>
                <w:rFonts w:ascii="Times New Roman" w:hAnsi="Times New Roman"/>
                <w:i/>
              </w:rPr>
              <w:t>;</w:t>
            </w:r>
            <w:r w:rsidRPr="001F4F56">
              <w:rPr>
                <w:rFonts w:ascii="Times New Roman" w:hAnsi="Times New Roman"/>
                <w:i/>
              </w:rPr>
              <w:t xml:space="preserve"> </w:t>
            </w:r>
          </w:p>
          <w:p w:rsidR="00A00D52" w:rsidRPr="001F4F56" w:rsidP="0055699C">
            <w:pPr>
              <w:bidi w:val="0"/>
              <w:jc w:val="both"/>
              <w:rPr>
                <w:rFonts w:ascii="Times New Roman" w:hAnsi="Times New Roman"/>
                <w:i/>
              </w:rPr>
            </w:pPr>
            <w:r w:rsidRPr="001F4F56">
              <w:rPr>
                <w:rFonts w:ascii="Times New Roman" w:hAnsi="Times New Roman"/>
                <w:i/>
              </w:rPr>
              <w:t>-              vypustenie osobitných podmienok poberania programového výberu pre tých, ktorí nemajú krátený dôchodok z I. piliera a zjednotenie podmienok pre všetkých sporiteľov</w:t>
            </w:r>
            <w:r w:rsidRPr="001F4F56" w:rsidR="005D5C5C">
              <w:rPr>
                <w:rFonts w:ascii="Times New Roman" w:hAnsi="Times New Roman"/>
                <w:i/>
              </w:rPr>
              <w:t>;</w:t>
            </w:r>
          </w:p>
          <w:p w:rsidR="00A00D52" w:rsidRPr="001F4F56" w:rsidP="0055699C">
            <w:pPr>
              <w:bidi w:val="0"/>
              <w:jc w:val="both"/>
              <w:rPr>
                <w:rFonts w:ascii="Times New Roman" w:hAnsi="Times New Roman"/>
                <w:i/>
              </w:rPr>
            </w:pPr>
            <w:r w:rsidRPr="001F4F56">
              <w:rPr>
                <w:rFonts w:ascii="Times New Roman" w:hAnsi="Times New Roman"/>
                <w:i/>
              </w:rPr>
              <w:t>-              vyplácanie dôcho</w:t>
            </w:r>
            <w:r w:rsidRPr="001F4F56" w:rsidR="00104AFB">
              <w:rPr>
                <w:rFonts w:ascii="Times New Roman" w:hAnsi="Times New Roman"/>
                <w:i/>
              </w:rPr>
              <w:t>dku formou programového výberu alebo dočasného dôchodku</w:t>
            </w:r>
            <w:r w:rsidRPr="001F4F56">
              <w:rPr>
                <w:rFonts w:ascii="Times New Roman" w:hAnsi="Times New Roman"/>
                <w:i/>
              </w:rPr>
              <w:t xml:space="preserve"> bude možné po splnení jedinej podmienky a to, ak súčet súm doživotných dôchodkov vyplácaných z I. piliera, výsluhových dôchodkov, obdobných dôchodkov vyplácaných z cudziny a doživotných dôchodkov z II. piliera bude vyšší ako novo-určená</w:t>
            </w:r>
            <w:r w:rsidRPr="001F4F56" w:rsidR="00CD5597">
              <w:rPr>
                <w:rFonts w:ascii="Times New Roman" w:hAnsi="Times New Roman"/>
                <w:i/>
              </w:rPr>
              <w:t xml:space="preserve"> hranica /O jej výške sa uvaž</w:t>
            </w:r>
            <w:r w:rsidRPr="001F4F56" w:rsidR="005D5C5C">
              <w:rPr>
                <w:rFonts w:ascii="Times New Roman" w:hAnsi="Times New Roman"/>
                <w:i/>
              </w:rPr>
              <w:t>ova</w:t>
            </w:r>
            <w:r w:rsidRPr="001F4F56" w:rsidR="00CD5597">
              <w:rPr>
                <w:rFonts w:ascii="Times New Roman" w:hAnsi="Times New Roman"/>
                <w:i/>
              </w:rPr>
              <w:t>lo</w:t>
            </w:r>
            <w:r w:rsidRPr="001F4F56">
              <w:rPr>
                <w:rFonts w:ascii="Times New Roman" w:hAnsi="Times New Roman"/>
                <w:i/>
              </w:rPr>
              <w:t xml:space="preserve"> v rozmedzí od 1,2</w:t>
            </w:r>
            <w:r w:rsidRPr="001F4F56" w:rsidR="005D5C5C">
              <w:rPr>
                <w:rFonts w:ascii="Times New Roman" w:hAnsi="Times New Roman"/>
                <w:i/>
              </w:rPr>
              <w:t>-</w:t>
            </w:r>
            <w:r w:rsidRPr="001F4F56">
              <w:rPr>
                <w:rFonts w:ascii="Times New Roman" w:hAnsi="Times New Roman"/>
                <w:i/>
              </w:rPr>
              <w:t xml:space="preserve">násobku životného minima po hranicu priemerného starobného dôchodku (približne 414,70 eur k 30. aprílu 2016)/. </w:t>
            </w:r>
          </w:p>
          <w:p w:rsidR="00A00D52" w:rsidRPr="001F4F56" w:rsidP="0055699C">
            <w:pPr>
              <w:bidi w:val="0"/>
              <w:jc w:val="both"/>
              <w:rPr>
                <w:rFonts w:ascii="Times New Roman" w:hAnsi="Times New Roman"/>
                <w:i/>
              </w:rPr>
            </w:pPr>
          </w:p>
          <w:p w:rsidR="00140AAF" w:rsidP="0055699C">
            <w:pPr>
              <w:bidi w:val="0"/>
              <w:jc w:val="both"/>
              <w:rPr>
                <w:rFonts w:ascii="Times New Roman" w:hAnsi="Times New Roman"/>
                <w:i/>
              </w:rPr>
            </w:pPr>
            <w:r w:rsidRPr="00A11A3E" w:rsidR="0019078F">
              <w:rPr>
                <w:rFonts w:ascii="Times New Roman" w:hAnsi="Times New Roman"/>
                <w:i/>
                <w:u w:val="single"/>
              </w:rPr>
              <w:t>Výsledky konzultácií:</w:t>
            </w:r>
            <w:r w:rsidRPr="001F4F56" w:rsidR="00837F96">
              <w:rPr>
                <w:rFonts w:ascii="Times New Roman" w:hAnsi="Times New Roman"/>
                <w:i/>
              </w:rPr>
              <w:t xml:space="preserve"> </w:t>
            </w:r>
          </w:p>
          <w:p w:rsidR="00140AAF" w:rsidRPr="00140AAF" w:rsidP="0055699C">
            <w:pPr>
              <w:bidi w:val="0"/>
              <w:jc w:val="both"/>
              <w:rPr>
                <w:rFonts w:ascii="Times New Roman" w:hAnsi="Times New Roman"/>
                <w:i/>
              </w:rPr>
            </w:pPr>
            <w:r w:rsidRPr="00140AAF">
              <w:rPr>
                <w:rFonts w:ascii="Times New Roman" w:hAnsi="Times New Roman"/>
                <w:i/>
              </w:rPr>
              <w:t>Stanoviská konzultovaných subjektov k pôvodne diskutovaným hraniciam nároku na programový výber / dočasný dôchodok. Upozorňujeme, že hranica nároku na programový výber / dočasný dôchodok sa následne zmenila.</w:t>
            </w:r>
          </w:p>
          <w:p w:rsidR="007C6C91" w:rsidRPr="00A11A3E" w:rsidP="0055699C">
            <w:pPr>
              <w:bidi w:val="0"/>
              <w:jc w:val="both"/>
              <w:rPr>
                <w:rFonts w:ascii="Times New Roman" w:hAnsi="Times New Roman"/>
                <w:i/>
                <w:highlight w:val="yellow"/>
              </w:rPr>
            </w:pPr>
            <w:r w:rsidRPr="00A11A3E" w:rsidR="00837F96">
              <w:rPr>
                <w:rFonts w:ascii="Times New Roman" w:hAnsi="Times New Roman"/>
                <w:i/>
              </w:rPr>
              <w:t xml:space="preserve">Dotknuté subjekty ocenili záujem konzultovať </w:t>
            </w:r>
            <w:r w:rsidRPr="00A11A3E" w:rsidR="00E6182C">
              <w:rPr>
                <w:rFonts w:ascii="Times New Roman" w:hAnsi="Times New Roman"/>
                <w:i/>
              </w:rPr>
              <w:t>prípravu zmeny zákona.</w:t>
            </w:r>
            <w:r w:rsidRPr="00A11A3E" w:rsidR="00837F96">
              <w:rPr>
                <w:rFonts w:ascii="Times New Roman" w:hAnsi="Times New Roman"/>
                <w:i/>
              </w:rPr>
              <w:t xml:space="preserve"> </w:t>
            </w:r>
            <w:r w:rsidR="00A11A3E">
              <w:rPr>
                <w:rFonts w:ascii="Times New Roman" w:hAnsi="Times New Roman"/>
                <w:i/>
                <w:iCs/>
              </w:rPr>
              <w:t>Slovenská asociácia poisťovní (SLASPO) napriek predloženým argumentom zo strany ministerstva zaslala záverečné nesúhlasné stanovisko, ktoré o. i. odôvodnila najmä tým, že navrhovaná právna úprava bude mať dopad na adekvátnosť dôchodkového zabezpečenia sporiteľov, nízky záujem sporiteľov o dôchodok z II. piliera bol v roku 2015 ovplyvnený otvorením II. piliera a uvedená zmena podľa názoru SLASPO prispeje k zníženiu atraktivity trhu, ako aj konkurencie na trhu výplat dôchodkov z II. piliera. Asociácia dôchodkových správcovských spoločností v záverečnom stanovisku uviedla, že by sa priklonili k čo najvyššej hranici v rámci uvedeného rozpätia, t. j. hranici priemerného starobného dôchodku a to z dôvodu, aby boli sporitelia doživotne zabezpečení v čo najvyššej miere.</w:t>
            </w:r>
          </w:p>
          <w:p w:rsidR="00E2405A" w:rsidRPr="001F4F56" w:rsidP="0055699C">
            <w:pPr>
              <w:bidi w:val="0"/>
              <w:jc w:val="both"/>
              <w:rPr>
                <w:rFonts w:ascii="Times New Roman" w:hAnsi="Times New Roman"/>
                <w:i/>
              </w:rPr>
            </w:pPr>
          </w:p>
          <w:p w:rsidR="009F2DFA" w:rsidRPr="001F4F56" w:rsidP="0055699C">
            <w:pPr>
              <w:bidi w:val="0"/>
              <w:jc w:val="both"/>
              <w:rPr>
                <w:rFonts w:ascii="Times New Roman" w:hAnsi="Times New Roman"/>
                <w:i/>
              </w:rPr>
            </w:pPr>
            <w:r w:rsidRPr="001F4F56" w:rsidR="007C6C91">
              <w:rPr>
                <w:rFonts w:ascii="Times New Roman" w:hAnsi="Times New Roman"/>
                <w:i/>
              </w:rPr>
              <w:t xml:space="preserve">Pozn.: uvedené konzultácie </w:t>
            </w:r>
            <w:r w:rsidRPr="001F4F56" w:rsidR="00700A50">
              <w:rPr>
                <w:rFonts w:ascii="Times New Roman" w:hAnsi="Times New Roman"/>
                <w:i/>
              </w:rPr>
              <w:t xml:space="preserve">MPSVR SR </w:t>
            </w:r>
            <w:r w:rsidRPr="001F4F56" w:rsidR="007C6C91">
              <w:rPr>
                <w:rFonts w:ascii="Times New Roman" w:hAnsi="Times New Roman"/>
                <w:i/>
              </w:rPr>
              <w:t>zorganizovalo na dobrovo</w:t>
            </w:r>
            <w:r w:rsidRPr="001F4F56" w:rsidR="00E2405A">
              <w:rPr>
                <w:rFonts w:ascii="Times New Roman" w:hAnsi="Times New Roman"/>
                <w:i/>
              </w:rPr>
              <w:t xml:space="preserve">ľnej báze </w:t>
            </w:r>
            <w:r w:rsidRPr="001F4F56" w:rsidR="007C6C91">
              <w:rPr>
                <w:rFonts w:ascii="Times New Roman" w:hAnsi="Times New Roman"/>
                <w:i/>
              </w:rPr>
              <w:t xml:space="preserve">napriek skutočnosti, že o potrebe vykonať konzultácie Ministerstvo hospodárstva SR </w:t>
            </w:r>
            <w:r w:rsidR="0057204E">
              <w:rPr>
                <w:rFonts w:ascii="Times New Roman" w:hAnsi="Times New Roman"/>
                <w:i/>
              </w:rPr>
              <w:t xml:space="preserve">v danom čase </w:t>
            </w:r>
            <w:r w:rsidRPr="001F4F56" w:rsidR="007C6C91">
              <w:rPr>
                <w:rFonts w:ascii="Times New Roman" w:hAnsi="Times New Roman"/>
                <w:i/>
              </w:rPr>
              <w:t xml:space="preserve">nerozhodlo a neinformovalo </w:t>
            </w:r>
            <w:r w:rsidRPr="001F4F56" w:rsidR="00700A50">
              <w:rPr>
                <w:rFonts w:ascii="Times New Roman" w:hAnsi="Times New Roman"/>
                <w:i/>
              </w:rPr>
              <w:t>MPSVR SR</w:t>
            </w:r>
            <w:r w:rsidRPr="001F4F56" w:rsidR="007C6C91">
              <w:rPr>
                <w:rFonts w:ascii="Times New Roman" w:hAnsi="Times New Roman"/>
                <w:i/>
              </w:rPr>
              <w:t xml:space="preserve"> ako predkladateľa o povinnosti vykonať konzultácie v zmysle Jednotnej metodiky na posudzovanie vybraných vplyvov</w:t>
            </w:r>
            <w:r w:rsidRPr="001F4F56" w:rsidR="00700A50">
              <w:rPr>
                <w:rFonts w:ascii="Times New Roman" w:hAnsi="Times New Roman"/>
                <w:i/>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1F4F56" w:rsidP="0055699C">
            <w:pPr>
              <w:bidi w:val="0"/>
              <w:jc w:val="both"/>
              <w:rPr>
                <w:rFonts w:ascii="Times New Roman" w:hAnsi="Times New Roman"/>
                <w:b/>
                <w:sz w:val="24"/>
              </w:rPr>
            </w:pPr>
            <w:r w:rsidRPr="001F4F56" w:rsidR="002B1108">
              <w:rPr>
                <w:rFonts w:ascii="Times New Roman" w:hAnsi="Times New Roman"/>
                <w:b/>
                <w:sz w:val="24"/>
              </w:rPr>
              <w:t>3</w:t>
            </w:r>
            <w:r w:rsidRPr="001F4F56">
              <w:rPr>
                <w:rFonts w:ascii="Times New Roman" w:hAnsi="Times New Roman"/>
                <w:b/>
                <w:sz w:val="24"/>
              </w:rPr>
              <w:t>.3 Náklady regulácie</w:t>
            </w:r>
          </w:p>
          <w:p w:rsidR="009F2DFA" w:rsidRPr="001F4F56" w:rsidP="0055699C">
            <w:pPr>
              <w:bidi w:val="0"/>
              <w:jc w:val="both"/>
              <w:rPr>
                <w:rFonts w:ascii="Times New Roman" w:hAnsi="Times New Roman"/>
                <w:b/>
              </w:rPr>
            </w:pPr>
            <w:r w:rsidRPr="001F4F56">
              <w:rPr>
                <w:rFonts w:ascii="Times New Roman" w:hAnsi="Times New Roman"/>
                <w:sz w:val="24"/>
              </w:rPr>
              <w:t xml:space="preserve">      - </w:t>
            </w:r>
            <w:r w:rsidRPr="001F4F5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r w:rsidRPr="001F4F56" w:rsidR="002B1108">
              <w:rPr>
                <w:rFonts w:ascii="Times New Roman" w:hAnsi="Times New Roman"/>
                <w:b/>
                <w:i/>
              </w:rPr>
              <w:t>3</w:t>
            </w:r>
            <w:r w:rsidRPr="001F4F56">
              <w:rPr>
                <w:rFonts w:ascii="Times New Roman" w:hAnsi="Times New Roman"/>
                <w:b/>
                <w:i/>
              </w:rPr>
              <w:t>.3.1 Priame finančné náklady</w:t>
            </w:r>
          </w:p>
          <w:p w:rsidR="009F2DFA" w:rsidRPr="001F4F56" w:rsidP="0055699C">
            <w:pPr>
              <w:bidi w:val="0"/>
              <w:jc w:val="both"/>
              <w:rPr>
                <w:rFonts w:ascii="Times New Roman" w:hAnsi="Times New Roman"/>
                <w:i/>
              </w:rPr>
            </w:pPr>
            <w:r w:rsidRPr="001F4F56">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p>
          <w:p w:rsidR="009F2DFA" w:rsidRPr="001F4F56" w:rsidP="0055699C">
            <w:pPr>
              <w:bidi w:val="0"/>
              <w:jc w:val="both"/>
              <w:rPr>
                <w:rFonts w:ascii="Times New Roman" w:hAnsi="Times New Roman"/>
                <w:b/>
                <w:i/>
              </w:rPr>
            </w:pPr>
            <w:r w:rsidR="00B54C80">
              <w:rPr>
                <w:rFonts w:ascii="Times New Roman" w:hAnsi="Times New Roman"/>
                <w:i/>
              </w:rPr>
              <w:t>Vládny n</w:t>
            </w:r>
            <w:r w:rsidRPr="001F4F56" w:rsidR="0019078F">
              <w:rPr>
                <w:rFonts w:ascii="Times New Roman" w:hAnsi="Times New Roman"/>
                <w:i/>
              </w:rPr>
              <w:t>ávrh zákona nemá vplyv na výšku priamych finančných nákladov.</w:t>
            </w:r>
          </w:p>
          <w:p w:rsidR="009F2DFA" w:rsidRPr="001F4F56" w:rsidP="0055699C">
            <w:pPr>
              <w:bidi w:val="0"/>
              <w:jc w:val="both"/>
              <w:rPr>
                <w:rFonts w:ascii="Times New Roman" w:hAnsi="Times New Roman"/>
                <w:b/>
                <w:i/>
              </w:rPr>
            </w:pPr>
          </w:p>
          <w:p w:rsidR="009F2DFA" w:rsidRPr="001F4F56" w:rsidP="0055699C">
            <w:pPr>
              <w:bidi w:val="0"/>
              <w:jc w:val="both"/>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r w:rsidRPr="001F4F56" w:rsidR="002B1108">
              <w:rPr>
                <w:rFonts w:ascii="Times New Roman" w:hAnsi="Times New Roman"/>
                <w:b/>
                <w:i/>
              </w:rPr>
              <w:t>3</w:t>
            </w:r>
            <w:r w:rsidRPr="001F4F56">
              <w:rPr>
                <w:rFonts w:ascii="Times New Roman" w:hAnsi="Times New Roman"/>
                <w:b/>
                <w:i/>
              </w:rPr>
              <w:t>.3.2 Nepriame finančné náklady</w:t>
            </w:r>
          </w:p>
          <w:p w:rsidR="009F2DFA" w:rsidRPr="001F4F56" w:rsidP="0055699C">
            <w:pPr>
              <w:bidi w:val="0"/>
              <w:jc w:val="both"/>
              <w:rPr>
                <w:rFonts w:ascii="Times New Roman" w:hAnsi="Times New Roman"/>
                <w:i/>
              </w:rPr>
            </w:pPr>
            <w:r w:rsidRPr="001F4F56">
              <w:rPr>
                <w:rFonts w:ascii="Times New Roman" w:hAnsi="Times New Roman"/>
                <w:i/>
              </w:rPr>
              <w:t xml:space="preserve">Vyžaduje si predkladaný návrh dodatočné náklady na nákup tovarov alebo služieb? </w:t>
            </w:r>
            <w:r w:rsidRPr="001F4F56" w:rsidR="00B31A8E">
              <w:rPr>
                <w:rFonts w:ascii="Times New Roman" w:hAnsi="Times New Roman"/>
                <w:i/>
              </w:rPr>
              <w:t xml:space="preserve">Zvyšuje predkladaný návrh náklady súvisiace so zamestnávaním? </w:t>
            </w:r>
            <w:r w:rsidRPr="001F4F56">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p>
          <w:p w:rsidR="009F2DFA" w:rsidRPr="001F4F56" w:rsidP="0055699C">
            <w:pPr>
              <w:bidi w:val="0"/>
              <w:jc w:val="both"/>
              <w:rPr>
                <w:rFonts w:ascii="Times New Roman" w:hAnsi="Times New Roman"/>
                <w:b/>
                <w:i/>
              </w:rPr>
            </w:pPr>
          </w:p>
          <w:p w:rsidR="009F2DFA" w:rsidRPr="001F4F56" w:rsidP="0055699C">
            <w:pPr>
              <w:bidi w:val="0"/>
              <w:jc w:val="both"/>
              <w:rPr>
                <w:rFonts w:ascii="Times New Roman" w:hAnsi="Times New Roman"/>
                <w:b/>
                <w:i/>
              </w:rPr>
            </w:pPr>
            <w:r w:rsidR="00B54C80">
              <w:rPr>
                <w:rFonts w:ascii="Times New Roman" w:hAnsi="Times New Roman"/>
                <w:i/>
              </w:rPr>
              <w:t>Vládny n</w:t>
            </w:r>
            <w:r w:rsidRPr="001F4F56" w:rsidR="00B54C80">
              <w:rPr>
                <w:rFonts w:ascii="Times New Roman" w:hAnsi="Times New Roman"/>
                <w:i/>
              </w:rPr>
              <w:t xml:space="preserve">ávrh </w:t>
            </w:r>
            <w:r w:rsidRPr="001F4F56" w:rsidR="0019078F">
              <w:rPr>
                <w:rFonts w:ascii="Times New Roman" w:hAnsi="Times New Roman"/>
                <w:i/>
              </w:rPr>
              <w:t>zákona nemá vplyv na výšku nepriamych finančných nákladov.</w:t>
            </w:r>
          </w:p>
          <w:p w:rsidR="009F2DFA" w:rsidRPr="001F4F56" w:rsidP="0055699C">
            <w:pPr>
              <w:bidi w:val="0"/>
              <w:jc w:val="both"/>
              <w:rPr>
                <w:rFonts w:ascii="Times New Roman" w:hAnsi="Times New Roman"/>
                <w:b/>
                <w:i/>
              </w:rPr>
            </w:pPr>
          </w:p>
          <w:p w:rsidR="009F2DFA" w:rsidRPr="001F4F56" w:rsidP="0055699C">
            <w:pPr>
              <w:bidi w:val="0"/>
              <w:jc w:val="both"/>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r w:rsidRPr="001F4F56" w:rsidR="002B1108">
              <w:rPr>
                <w:rFonts w:ascii="Times New Roman" w:hAnsi="Times New Roman"/>
                <w:b/>
                <w:i/>
              </w:rPr>
              <w:t>3</w:t>
            </w:r>
            <w:r w:rsidRPr="001F4F56">
              <w:rPr>
                <w:rFonts w:ascii="Times New Roman" w:hAnsi="Times New Roman"/>
                <w:b/>
                <w:i/>
              </w:rPr>
              <w:t>.3.3 Administratívne náklady</w:t>
            </w:r>
          </w:p>
          <w:p w:rsidR="009F2DFA" w:rsidRPr="001F4F56" w:rsidP="0055699C">
            <w:pPr>
              <w:bidi w:val="0"/>
              <w:jc w:val="both"/>
              <w:rPr>
                <w:rFonts w:ascii="Times New Roman" w:hAnsi="Times New Roman"/>
                <w:i/>
              </w:rPr>
            </w:pPr>
            <w:r w:rsidRPr="001F4F56">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p>
          <w:p w:rsidR="008A5BF6" w:rsidRPr="001F4F56" w:rsidP="0055699C">
            <w:pPr>
              <w:bidi w:val="0"/>
              <w:jc w:val="both"/>
              <w:rPr>
                <w:rFonts w:ascii="Times New Roman" w:hAnsi="Times New Roman"/>
                <w:b/>
                <w:i/>
              </w:rPr>
            </w:pPr>
            <w:r w:rsidR="00B54C80">
              <w:rPr>
                <w:rFonts w:ascii="Times New Roman" w:hAnsi="Times New Roman"/>
                <w:i/>
              </w:rPr>
              <w:t>Vládny n</w:t>
            </w:r>
            <w:r w:rsidRPr="001F4F56" w:rsidR="00B54C80">
              <w:rPr>
                <w:rFonts w:ascii="Times New Roman" w:hAnsi="Times New Roman"/>
                <w:i/>
              </w:rPr>
              <w:t xml:space="preserve">ávrh </w:t>
            </w:r>
            <w:r w:rsidRPr="001F4F56">
              <w:rPr>
                <w:rFonts w:ascii="Times New Roman" w:hAnsi="Times New Roman"/>
                <w:i/>
              </w:rPr>
              <w:t>zákona nemá vplyv na výšku administratívnych nákladov.</w:t>
            </w:r>
          </w:p>
          <w:p w:rsidR="008A5BF6" w:rsidRPr="001F4F56" w:rsidP="0055699C">
            <w:pPr>
              <w:bidi w:val="0"/>
              <w:jc w:val="both"/>
              <w:rPr>
                <w:rFonts w:ascii="Times New Roman" w:hAnsi="Times New Roman"/>
                <w:b/>
                <w:i/>
              </w:rPr>
            </w:pPr>
          </w:p>
          <w:p w:rsidR="009F2DFA" w:rsidRPr="001F4F56" w:rsidP="0055699C">
            <w:pPr>
              <w:bidi w:val="0"/>
              <w:jc w:val="both"/>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sidR="002B1108">
              <w:rPr>
                <w:rFonts w:ascii="Times New Roman" w:hAnsi="Times New Roman"/>
                <w:b/>
                <w:i/>
              </w:rPr>
              <w:t>3</w:t>
            </w:r>
            <w:r w:rsidRPr="001F4F56">
              <w:rPr>
                <w:rFonts w:ascii="Times New Roman" w:hAnsi="Times New Roman"/>
                <w:b/>
                <w:i/>
              </w:rPr>
              <w:t>.3.4 Súhrnná tabuľka nákladov regulácie</w:t>
            </w:r>
          </w:p>
          <w:p w:rsidR="009F2DFA" w:rsidRPr="001F4F56" w:rsidP="0055699C">
            <w:pPr>
              <w:bidi w:val="0"/>
              <w:jc w:val="both"/>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spacing w:after="0" w:line="240" w:lineRule="auto"/>
                    <w:jc w:val="both"/>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spacing w:after="0" w:line="240" w:lineRule="auto"/>
                    <w:jc w:val="both"/>
                    <w:rPr>
                      <w:rFonts w:ascii="Times New Roman" w:hAnsi="Times New Roman"/>
                      <w:i/>
                    </w:rPr>
                  </w:pPr>
                  <w:r w:rsidRPr="001F4F56">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spacing w:after="0" w:line="240" w:lineRule="auto"/>
                    <w:jc w:val="both"/>
                    <w:rPr>
                      <w:rFonts w:ascii="Times New Roman" w:hAnsi="Times New Roman"/>
                      <w:i/>
                    </w:rPr>
                  </w:pPr>
                  <w:r w:rsidRPr="001F4F56">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r w:rsidRPr="001F4F56">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r w:rsidRPr="001F4F56">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b/>
                      <w:i/>
                    </w:rPr>
                  </w:pPr>
                  <w:r w:rsidRPr="001F4F56">
                    <w:rPr>
                      <w:rFonts w:ascii="Times New Roman" w:hAnsi="Times New Roman"/>
                      <w:b/>
                      <w:i/>
                    </w:rPr>
                    <w:t>0</w:t>
                  </w:r>
                </w:p>
              </w:tc>
            </w:tr>
          </w:tbl>
          <w:p w:rsidR="009F2DFA" w:rsidRPr="001F4F56" w:rsidP="0055699C">
            <w:pPr>
              <w:bidi w:val="0"/>
              <w:jc w:val="both"/>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1F4F56" w:rsidP="0055699C">
            <w:pPr>
              <w:bidi w:val="0"/>
              <w:jc w:val="both"/>
              <w:rPr>
                <w:rFonts w:ascii="Times New Roman" w:hAnsi="Times New Roman"/>
                <w:b/>
                <w:sz w:val="24"/>
              </w:rPr>
            </w:pPr>
            <w:r w:rsidRPr="001F4F56" w:rsidR="002B1108">
              <w:rPr>
                <w:rFonts w:ascii="Times New Roman" w:hAnsi="Times New Roman"/>
                <w:b/>
                <w:sz w:val="24"/>
              </w:rPr>
              <w:t>3</w:t>
            </w:r>
            <w:r w:rsidRPr="001F4F56">
              <w:rPr>
                <w:rFonts w:ascii="Times New Roman" w:hAnsi="Times New Roman"/>
                <w:b/>
                <w:sz w:val="24"/>
              </w:rPr>
              <w:t>.4 Konkurencieschopnosť a správanie sa podnikov na trhu</w:t>
            </w:r>
          </w:p>
          <w:p w:rsidR="009F2DFA" w:rsidRPr="001F4F56" w:rsidP="0055699C">
            <w:pPr>
              <w:bidi w:val="0"/>
              <w:jc w:val="both"/>
              <w:rPr>
                <w:rFonts w:ascii="Times New Roman" w:hAnsi="Times New Roman"/>
              </w:rPr>
            </w:pPr>
            <w:r w:rsidRPr="001F4F56">
              <w:rPr>
                <w:rFonts w:ascii="Times New Roman" w:hAnsi="Times New Roman"/>
                <w:b/>
                <w:sz w:val="24"/>
              </w:rPr>
              <w:t xml:space="preserve">       </w:t>
            </w:r>
            <w:r w:rsidRPr="001F4F56">
              <w:rPr>
                <w:rFonts w:ascii="Times New Roman" w:hAnsi="Times New Roman"/>
                <w:sz w:val="24"/>
              </w:rPr>
              <w:t xml:space="preserve">- </w:t>
            </w:r>
            <w:r w:rsidRPr="001F4F5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F2DFA" w:rsidRPr="001F4F56" w:rsidP="0055699C">
            <w:pPr>
              <w:bidi w:val="0"/>
              <w:jc w:val="both"/>
              <w:rPr>
                <w:rFonts w:ascii="Times New Roman" w:hAnsi="Times New Roman"/>
                <w:i/>
              </w:rPr>
            </w:pPr>
            <w:r w:rsidRPr="001F4F56">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1F4F56" w:rsidP="0055699C">
            <w:pPr>
              <w:bidi w:val="0"/>
              <w:jc w:val="both"/>
              <w:rPr>
                <w:rFonts w:ascii="Times New Roman" w:hAnsi="Times New Roman"/>
                <w:i/>
              </w:rPr>
            </w:pPr>
            <w:r w:rsidRPr="001F4F56">
              <w:rPr>
                <w:rFonts w:ascii="Times New Roman" w:hAnsi="Times New Roman"/>
                <w:i/>
              </w:rPr>
              <w:t>Ako ovplyvní cenu alebo dostupnosť základných zdrojov (suroviny, mechanizmy, pracovná sila, energie atď.)?</w:t>
            </w:r>
          </w:p>
          <w:p w:rsidR="009F2DFA" w:rsidRPr="001F4F56" w:rsidP="0055699C">
            <w:pPr>
              <w:bidi w:val="0"/>
              <w:jc w:val="both"/>
              <w:rPr>
                <w:rFonts w:ascii="Times New Roman" w:hAnsi="Times New Roman"/>
                <w:i/>
              </w:rPr>
            </w:pPr>
            <w:r w:rsidRPr="001F4F56">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p>
          <w:p w:rsidR="000B3ED5" w:rsidP="00104AFB">
            <w:pPr>
              <w:bidi w:val="0"/>
              <w:jc w:val="both"/>
              <w:rPr>
                <w:rFonts w:ascii="Times New Roman" w:hAnsi="Times New Roman"/>
                <w:i/>
                <w:iCs/>
              </w:rPr>
            </w:pPr>
            <w:r w:rsidRPr="001F4F56" w:rsidR="00104AFB">
              <w:rPr>
                <w:rFonts w:ascii="Times New Roman" w:hAnsi="Times New Roman"/>
                <w:i/>
                <w:iCs/>
              </w:rPr>
              <w:t>Rok 2015</w:t>
            </w:r>
            <w:r w:rsidR="00930894">
              <w:rPr>
                <w:rFonts w:ascii="Times New Roman" w:hAnsi="Times New Roman"/>
                <w:i/>
                <w:iCs/>
              </w:rPr>
              <w:t>,</w:t>
            </w:r>
            <w:r w:rsidRPr="001F4F56" w:rsidR="00104AFB">
              <w:rPr>
                <w:rFonts w:ascii="Times New Roman" w:hAnsi="Times New Roman"/>
                <w:i/>
                <w:iCs/>
              </w:rPr>
              <w:t xml:space="preserve"> ako prvý rok výplatnej fázy</w:t>
            </w:r>
            <w:r w:rsidR="00A87289">
              <w:rPr>
                <w:rFonts w:ascii="Times New Roman" w:hAnsi="Times New Roman"/>
                <w:i/>
                <w:iCs/>
              </w:rPr>
              <w:t xml:space="preserve">, </w:t>
            </w:r>
            <w:r w:rsidRPr="001F4F56" w:rsidR="00104AFB">
              <w:rPr>
                <w:rFonts w:ascii="Times New Roman" w:hAnsi="Times New Roman"/>
                <w:i/>
                <w:iCs/>
              </w:rPr>
              <w:t xml:space="preserve">ukázal, že viac ako polovica sporiteľov </w:t>
            </w:r>
            <w:r w:rsidRPr="001F4F56" w:rsidR="00A87289">
              <w:rPr>
                <w:rFonts w:ascii="Times New Roman" w:hAnsi="Times New Roman"/>
                <w:i/>
                <w:iCs/>
              </w:rPr>
              <w:t>ne</w:t>
            </w:r>
            <w:r w:rsidR="00A87289">
              <w:rPr>
                <w:rFonts w:ascii="Times New Roman" w:hAnsi="Times New Roman"/>
                <w:i/>
                <w:iCs/>
              </w:rPr>
              <w:t>uzatvorila</w:t>
            </w:r>
            <w:r w:rsidRPr="001F4F56" w:rsidR="00A87289">
              <w:rPr>
                <w:rFonts w:ascii="Times New Roman" w:hAnsi="Times New Roman"/>
                <w:i/>
                <w:iCs/>
              </w:rPr>
              <w:t xml:space="preserve"> </w:t>
            </w:r>
            <w:r w:rsidRPr="001F4F56" w:rsidR="00104AFB">
              <w:rPr>
                <w:rFonts w:ascii="Times New Roman" w:hAnsi="Times New Roman"/>
                <w:i/>
                <w:iCs/>
              </w:rPr>
              <w:t>zmluvu na dôchodok</w:t>
            </w:r>
            <w:r w:rsidR="00070A4C">
              <w:rPr>
                <w:rFonts w:ascii="Times New Roman" w:hAnsi="Times New Roman"/>
                <w:i/>
                <w:iCs/>
              </w:rPr>
              <w:t xml:space="preserve"> (či už s poisťovňou alebo dôchodkovou správcovskou spoločnosťou)</w:t>
            </w:r>
            <w:r w:rsidRPr="001F4F56" w:rsidR="00104AFB">
              <w:rPr>
                <w:rFonts w:ascii="Times New Roman" w:hAnsi="Times New Roman"/>
                <w:i/>
                <w:iCs/>
              </w:rPr>
              <w:t xml:space="preserve">,ktorého ponuka im bola zaslaná na ich vlastnú žiadosť. Osobitne sa to prejavilo pri ponukách na doživotný dôchodok bez možnosti programového výberu, kde k podpisu zmluvy </w:t>
            </w:r>
            <w:r w:rsidR="00070A4C">
              <w:rPr>
                <w:rFonts w:ascii="Times New Roman" w:hAnsi="Times New Roman"/>
                <w:i/>
                <w:iCs/>
              </w:rPr>
              <w:t xml:space="preserve">(s poisťovňou) </w:t>
            </w:r>
            <w:r w:rsidRPr="001F4F56" w:rsidR="00104AFB">
              <w:rPr>
                <w:rFonts w:ascii="Times New Roman" w:hAnsi="Times New Roman"/>
                <w:i/>
                <w:iCs/>
              </w:rPr>
              <w:t>prišlo len u 39% sporiteľov. Je možné o</w:t>
            </w:r>
            <w:r w:rsidRPr="001F4F56" w:rsidR="00E6182C">
              <w:rPr>
                <w:rFonts w:ascii="Times New Roman" w:hAnsi="Times New Roman"/>
                <w:i/>
                <w:iCs/>
              </w:rPr>
              <w:t xml:space="preserve">čakávať, že rozšírenie možnosti slobodne sa rozhodnúť </w:t>
            </w:r>
            <w:r w:rsidR="00A87289">
              <w:rPr>
                <w:rFonts w:ascii="Times New Roman" w:hAnsi="Times New Roman"/>
                <w:i/>
                <w:iCs/>
              </w:rPr>
              <w:t xml:space="preserve">o forme vyplácania dôchodku, bude viesť u </w:t>
            </w:r>
            <w:r w:rsidRPr="001F4F56" w:rsidR="00104AFB">
              <w:rPr>
                <w:rFonts w:ascii="Times New Roman" w:hAnsi="Times New Roman"/>
                <w:i/>
                <w:iCs/>
              </w:rPr>
              <w:t xml:space="preserve"> sporiteľov k</w:t>
            </w:r>
            <w:r w:rsidR="00070A4C">
              <w:rPr>
                <w:rFonts w:ascii="Times New Roman" w:hAnsi="Times New Roman"/>
                <w:i/>
                <w:iCs/>
              </w:rPr>
              <w:t xml:space="preserve"> celkovému </w:t>
            </w:r>
            <w:r w:rsidRPr="001F4F56" w:rsidR="00104AFB">
              <w:rPr>
                <w:rFonts w:ascii="Times New Roman" w:hAnsi="Times New Roman"/>
                <w:i/>
                <w:iCs/>
              </w:rPr>
              <w:t xml:space="preserve">nárastu percenta </w:t>
            </w:r>
            <w:r w:rsidR="00A87289">
              <w:rPr>
                <w:rFonts w:ascii="Times New Roman" w:hAnsi="Times New Roman"/>
                <w:i/>
                <w:iCs/>
              </w:rPr>
              <w:t>uzatvorených</w:t>
            </w:r>
            <w:r w:rsidRPr="001F4F56" w:rsidR="00A87289">
              <w:rPr>
                <w:rFonts w:ascii="Times New Roman" w:hAnsi="Times New Roman"/>
                <w:i/>
                <w:iCs/>
              </w:rPr>
              <w:t xml:space="preserve"> </w:t>
            </w:r>
            <w:r w:rsidR="00070A4C">
              <w:rPr>
                <w:rFonts w:ascii="Times New Roman" w:hAnsi="Times New Roman"/>
                <w:i/>
                <w:iCs/>
              </w:rPr>
              <w:t>„</w:t>
            </w:r>
            <w:r w:rsidRPr="001F4F56" w:rsidR="00104AFB">
              <w:rPr>
                <w:rFonts w:ascii="Times New Roman" w:hAnsi="Times New Roman"/>
                <w:i/>
                <w:iCs/>
              </w:rPr>
              <w:t>zmlúv</w:t>
            </w:r>
            <w:r w:rsidR="00070A4C">
              <w:rPr>
                <w:rFonts w:ascii="Times New Roman" w:hAnsi="Times New Roman"/>
                <w:i/>
                <w:iCs/>
              </w:rPr>
              <w:t xml:space="preserve"> na dôchodok“</w:t>
            </w:r>
            <w:r>
              <w:rPr>
                <w:rFonts w:ascii="Times New Roman" w:hAnsi="Times New Roman"/>
                <w:i/>
                <w:iCs/>
              </w:rPr>
              <w:t>, a to z dôvodu nárastu uzatvorených dohôd o vyplácaní dôchodku programovým výberom</w:t>
            </w:r>
            <w:r w:rsidR="00930894">
              <w:rPr>
                <w:rFonts w:ascii="Times New Roman" w:hAnsi="Times New Roman"/>
                <w:i/>
                <w:iCs/>
              </w:rPr>
              <w:t>.</w:t>
            </w:r>
          </w:p>
          <w:p w:rsidR="000B3ED5" w:rsidP="00104AFB">
            <w:pPr>
              <w:bidi w:val="0"/>
              <w:jc w:val="both"/>
              <w:rPr>
                <w:rFonts w:ascii="Times New Roman" w:hAnsi="Times New Roman"/>
                <w:i/>
                <w:iCs/>
              </w:rPr>
            </w:pPr>
          </w:p>
          <w:p w:rsidR="00104AFB" w:rsidRPr="001F4F56" w:rsidP="00104AFB">
            <w:pPr>
              <w:bidi w:val="0"/>
              <w:jc w:val="both"/>
              <w:rPr>
                <w:rFonts w:ascii="Times New Roman" w:hAnsi="Times New Roman"/>
                <w:i/>
              </w:rPr>
            </w:pPr>
            <w:r w:rsidRPr="001F4F56">
              <w:rPr>
                <w:rFonts w:ascii="Times New Roman" w:hAnsi="Times New Roman"/>
                <w:i/>
                <w:iCs/>
              </w:rPr>
              <w:t>Vplyv legislatívnej zmeny na životné poisťovne bude hlavne v tom, že sa zmenší časť trhu, ktorú budú mať garantovanú a rozšíri sa časť trhu</w:t>
            </w:r>
            <w:r w:rsidRPr="001F4F56" w:rsidR="00E6182C">
              <w:rPr>
                <w:rFonts w:ascii="Times New Roman" w:hAnsi="Times New Roman"/>
                <w:i/>
                <w:iCs/>
              </w:rPr>
              <w:t>,</w:t>
            </w:r>
            <w:r w:rsidRPr="001F4F56" w:rsidR="00742D24">
              <w:rPr>
                <w:rFonts w:ascii="Times New Roman" w:hAnsi="Times New Roman"/>
                <w:i/>
                <w:iCs/>
              </w:rPr>
              <w:t xml:space="preserve"> o ktorú budú môcť</w:t>
            </w:r>
            <w:r w:rsidRPr="001F4F56">
              <w:rPr>
                <w:rFonts w:ascii="Times New Roman" w:hAnsi="Times New Roman"/>
                <w:i/>
                <w:iCs/>
              </w:rPr>
              <w:t xml:space="preserve"> súťažiť. Dôležité je zdôrazniť, že </w:t>
            </w:r>
            <w:r w:rsidRPr="001F4F56" w:rsidR="001969CA">
              <w:rPr>
                <w:rFonts w:ascii="Times New Roman" w:hAnsi="Times New Roman"/>
                <w:i/>
                <w:iCs/>
              </w:rPr>
              <w:t xml:space="preserve">sporitelia </w:t>
            </w:r>
            <w:r w:rsidR="00A87289">
              <w:rPr>
                <w:rFonts w:ascii="Times New Roman" w:hAnsi="Times New Roman"/>
                <w:i/>
                <w:iCs/>
              </w:rPr>
              <w:t>nemusia</w:t>
            </w:r>
            <w:r w:rsidRPr="001F4F56" w:rsidR="00A87289">
              <w:rPr>
                <w:rFonts w:ascii="Times New Roman" w:hAnsi="Times New Roman"/>
                <w:i/>
                <w:iCs/>
              </w:rPr>
              <w:t xml:space="preserve"> </w:t>
            </w:r>
            <w:r w:rsidR="00A87289">
              <w:rPr>
                <w:rFonts w:ascii="Times New Roman" w:hAnsi="Times New Roman"/>
                <w:i/>
                <w:iCs/>
              </w:rPr>
              <w:t xml:space="preserve">využiť </w:t>
            </w:r>
            <w:r w:rsidRPr="001F4F56" w:rsidR="001969CA">
              <w:rPr>
                <w:rFonts w:ascii="Times New Roman" w:hAnsi="Times New Roman"/>
                <w:i/>
                <w:iCs/>
              </w:rPr>
              <w:t xml:space="preserve">celé svoje úspory </w:t>
            </w:r>
            <w:r w:rsidRPr="001F4F56">
              <w:rPr>
                <w:rFonts w:ascii="Times New Roman" w:hAnsi="Times New Roman"/>
                <w:i/>
                <w:iCs/>
              </w:rPr>
              <w:t xml:space="preserve">na programový výber. Prvý rok výplatnej fázy totiž ukázal, že približne 30 % kapitálu, ktorý mohol byť použitý na programový výber, bol nakoniec použitý na </w:t>
            </w:r>
            <w:r w:rsidRPr="001F4F56" w:rsidR="001969CA">
              <w:rPr>
                <w:rFonts w:ascii="Times New Roman" w:hAnsi="Times New Roman"/>
                <w:i/>
                <w:iCs/>
              </w:rPr>
              <w:t>zakúpenie poistného</w:t>
            </w:r>
            <w:r w:rsidRPr="001F4F56">
              <w:rPr>
                <w:rFonts w:ascii="Times New Roman" w:hAnsi="Times New Roman"/>
                <w:i/>
                <w:iCs/>
              </w:rPr>
              <w:t xml:space="preserve"> produkt</w:t>
            </w:r>
            <w:r w:rsidRPr="001F4F56" w:rsidR="001969CA">
              <w:rPr>
                <w:rFonts w:ascii="Times New Roman" w:hAnsi="Times New Roman"/>
                <w:i/>
                <w:iCs/>
              </w:rPr>
              <w:t>u</w:t>
            </w:r>
            <w:r w:rsidRPr="001F4F56">
              <w:rPr>
                <w:rFonts w:ascii="Times New Roman" w:hAnsi="Times New Roman"/>
                <w:i/>
                <w:iCs/>
              </w:rPr>
              <w:t xml:space="preserve">. </w:t>
            </w:r>
          </w:p>
          <w:p w:rsidR="00104AFB" w:rsidRPr="001F4F56" w:rsidP="00104AFB">
            <w:pPr>
              <w:bidi w:val="0"/>
              <w:jc w:val="both"/>
              <w:rPr>
                <w:rFonts w:ascii="Times New Roman" w:hAnsi="Times New Roman"/>
                <w:i/>
              </w:rPr>
            </w:pPr>
            <w:r w:rsidRPr="001F4F56">
              <w:rPr>
                <w:rFonts w:ascii="Times New Roman" w:hAnsi="Times New Roman"/>
                <w:i/>
                <w:iCs/>
              </w:rPr>
              <w:t> </w:t>
            </w:r>
          </w:p>
          <w:p w:rsidR="00EF36DF" w:rsidP="0055699C">
            <w:pPr>
              <w:bidi w:val="0"/>
              <w:jc w:val="both"/>
              <w:rPr>
                <w:rFonts w:ascii="Times New Roman" w:hAnsi="Times New Roman"/>
                <w:i/>
              </w:rPr>
            </w:pPr>
            <w:r w:rsidRPr="001F4F56" w:rsidR="00104AFB">
              <w:rPr>
                <w:rFonts w:ascii="Times New Roman" w:hAnsi="Times New Roman"/>
                <w:i/>
                <w:iCs/>
              </w:rPr>
              <w:t xml:space="preserve">Predpokladá sa, že uvedená zmena v nastavení výplatnej fázy môže mať v dlhodobom horizonte pozitívny vplyv na dôchodkové správcovské spoločnosti z dôvodu zvýšenia motivácie poistencov vstupovať do II. piliera dôchodkového systému. Zvýšená motivácia môže byť podmienená tým, že v budúcnosti sa väčšia časť z nich bude </w:t>
            </w:r>
            <w:r w:rsidRPr="001F4F56" w:rsidR="00104AFB">
              <w:rPr>
                <w:rFonts w:ascii="Times New Roman" w:hAnsi="Times New Roman"/>
                <w:i/>
              </w:rPr>
              <w:t xml:space="preserve">môcť </w:t>
            </w:r>
            <w:r w:rsidRPr="001F4F56" w:rsidR="00E6182C">
              <w:rPr>
                <w:rFonts w:ascii="Times New Roman" w:hAnsi="Times New Roman"/>
                <w:i/>
              </w:rPr>
              <w:t>rozhodnúť akým spôsobom naloží s</w:t>
            </w:r>
            <w:r w:rsidRPr="001F4F56" w:rsidR="00104AFB">
              <w:rPr>
                <w:rFonts w:ascii="Times New Roman" w:hAnsi="Times New Roman"/>
                <w:i/>
              </w:rPr>
              <w:t>o svojimi úsporami</w:t>
            </w:r>
            <w:r w:rsidR="00E26462">
              <w:rPr>
                <w:rFonts w:ascii="Times New Roman" w:hAnsi="Times New Roman"/>
                <w:i/>
              </w:rPr>
              <w:t>.</w:t>
            </w:r>
          </w:p>
          <w:p w:rsidR="005054ED" w:rsidRPr="001F4F56" w:rsidP="0055699C">
            <w:pPr>
              <w:bidi w:val="0"/>
              <w:jc w:val="both"/>
              <w:rPr>
                <w:rFonts w:ascii="Times New Roman" w:hAnsi="Times New Roman"/>
                <w:i/>
              </w:rPr>
            </w:pPr>
          </w:p>
          <w:p w:rsidR="0059019D" w:rsidRPr="001F4F56" w:rsidP="0055699C">
            <w:pPr>
              <w:bidi w:val="0"/>
              <w:jc w:val="both"/>
              <w:rPr>
                <w:rFonts w:ascii="Times New Roman" w:hAnsi="Times New Roman"/>
                <w:i/>
              </w:rPr>
            </w:pPr>
            <w:r w:rsidRPr="001F4F56" w:rsidR="00104AFB">
              <w:rPr>
                <w:rFonts w:ascii="Times New Roman" w:hAnsi="Times New Roman"/>
                <w:i/>
              </w:rPr>
              <w:t>Je dôležité</w:t>
            </w:r>
            <w:r w:rsidRPr="001F4F56" w:rsidR="00840A1D">
              <w:rPr>
                <w:rFonts w:ascii="Times New Roman" w:hAnsi="Times New Roman"/>
                <w:i/>
              </w:rPr>
              <w:t xml:space="preserve"> upozorniť, že existuje množstvo faktorov, ktoré môžu mať vplyv na mieru dopadu predkladanej právnej úpravy na podnikateľské subjekty, avšak ich presná kvantifikácia nie je možná, keďže sú silne podmienené behaviorálnymi aspektmi zúčastnených strán a ďalšími externými faktormi.</w:t>
            </w:r>
          </w:p>
          <w:p w:rsidR="00EF36DF" w:rsidRPr="001F4F56" w:rsidP="0055699C">
            <w:pPr>
              <w:bidi w:val="0"/>
              <w:jc w:val="both"/>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1F4F56" w:rsidP="0055699C">
            <w:pPr>
              <w:bidi w:val="0"/>
              <w:jc w:val="both"/>
              <w:rPr>
                <w:rFonts w:ascii="Times New Roman" w:hAnsi="Times New Roman"/>
                <w:b/>
                <w:sz w:val="24"/>
              </w:rPr>
            </w:pPr>
            <w:r w:rsidRPr="001F4F56" w:rsidR="002B1108">
              <w:rPr>
                <w:rFonts w:ascii="Times New Roman" w:hAnsi="Times New Roman"/>
                <w:b/>
                <w:sz w:val="24"/>
              </w:rPr>
              <w:t>3</w:t>
            </w:r>
            <w:r w:rsidRPr="001F4F56">
              <w:rPr>
                <w:rFonts w:ascii="Times New Roman" w:hAnsi="Times New Roman"/>
                <w:b/>
                <w:sz w:val="24"/>
              </w:rPr>
              <w:t xml:space="preserve">.5 Inovácie </w:t>
            </w:r>
          </w:p>
          <w:p w:rsidR="009F2DFA" w:rsidRPr="001F4F56" w:rsidP="0055699C">
            <w:pPr>
              <w:bidi w:val="0"/>
              <w:jc w:val="both"/>
              <w:rPr>
                <w:rFonts w:ascii="Times New Roman" w:hAnsi="Times New Roman"/>
                <w:b/>
              </w:rPr>
            </w:pPr>
            <w:r w:rsidRPr="001F4F56">
              <w:rPr>
                <w:rFonts w:ascii="Times New Roman" w:hAnsi="Times New Roman"/>
                <w:sz w:val="24"/>
              </w:rPr>
              <w:t xml:space="preserve">       - </w:t>
            </w:r>
            <w:r w:rsidRPr="001F4F5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1F4F56" w:rsidP="0055699C">
            <w:pPr>
              <w:bidi w:val="0"/>
              <w:jc w:val="both"/>
              <w:rPr>
                <w:rFonts w:ascii="Times New Roman" w:hAnsi="Times New Roman"/>
                <w:i/>
              </w:rPr>
            </w:pPr>
            <w:r w:rsidRPr="001F4F56">
              <w:rPr>
                <w:rFonts w:ascii="Times New Roman" w:hAnsi="Times New Roman"/>
                <w:i/>
              </w:rPr>
              <w:t>Uveďte, ako podporuje navrhovaná zmena inovácie.</w:t>
            </w:r>
          </w:p>
          <w:p w:rsidR="009F2DFA" w:rsidRPr="001F4F56" w:rsidP="0055699C">
            <w:pPr>
              <w:bidi w:val="0"/>
              <w:jc w:val="both"/>
              <w:rPr>
                <w:rFonts w:ascii="Times New Roman" w:hAnsi="Times New Roman"/>
                <w:i/>
              </w:rPr>
            </w:pPr>
            <w:r w:rsidRPr="001F4F56">
              <w:rPr>
                <w:rFonts w:ascii="Times New Roman" w:hAnsi="Times New Roman"/>
                <w:i/>
              </w:rPr>
              <w:t>Zjednodušuje uvedenie alebo rozšírenie nových výrobných metód, technológií a výrobkov na trh?</w:t>
            </w:r>
          </w:p>
          <w:p w:rsidR="009F2DFA" w:rsidRPr="001F4F56" w:rsidP="0055699C">
            <w:pPr>
              <w:bidi w:val="0"/>
              <w:jc w:val="both"/>
              <w:rPr>
                <w:rFonts w:ascii="Times New Roman" w:hAnsi="Times New Roman"/>
                <w:i/>
              </w:rPr>
            </w:pPr>
            <w:r w:rsidRPr="001F4F56">
              <w:rPr>
                <w:rFonts w:ascii="Times New Roman" w:hAnsi="Times New Roman"/>
                <w:i/>
              </w:rPr>
              <w:t xml:space="preserve">Uveďte, ako vplýva navrhovaná zmena na </w:t>
            </w:r>
            <w:r w:rsidRPr="001F4F56" w:rsidR="00904C9B">
              <w:rPr>
                <w:rFonts w:ascii="Times New Roman" w:hAnsi="Times New Roman"/>
                <w:i/>
              </w:rPr>
              <w:t xml:space="preserve">jednotlivé </w:t>
            </w:r>
            <w:r w:rsidRPr="001F4F56">
              <w:rPr>
                <w:rFonts w:ascii="Times New Roman" w:hAnsi="Times New Roman"/>
                <w:i/>
              </w:rPr>
              <w:t>práva duševného vlastníctva (</w:t>
            </w:r>
            <w:r w:rsidRPr="001F4F56" w:rsidR="00904C9B">
              <w:rPr>
                <w:rFonts w:ascii="Times New Roman" w:hAnsi="Times New Roman"/>
                <w:i/>
              </w:rPr>
              <w:t xml:space="preserve">napr. </w:t>
            </w:r>
            <w:r w:rsidRPr="001F4F56">
              <w:rPr>
                <w:rFonts w:ascii="Times New Roman" w:hAnsi="Times New Roman"/>
                <w:i/>
              </w:rPr>
              <w:t xml:space="preserve">patenty, ochranné známky, </w:t>
            </w:r>
            <w:r w:rsidRPr="001F4F56" w:rsidR="00904C9B">
              <w:rPr>
                <w:rFonts w:ascii="Times New Roman" w:hAnsi="Times New Roman"/>
                <w:i/>
              </w:rPr>
              <w:t>autorské práva</w:t>
            </w:r>
            <w:r w:rsidRPr="001F4F56">
              <w:rPr>
                <w:rFonts w:ascii="Times New Roman" w:hAnsi="Times New Roman"/>
                <w:i/>
              </w:rPr>
              <w:t>, vlastníctvo know-how).</w:t>
            </w:r>
          </w:p>
          <w:p w:rsidR="009F2DFA" w:rsidRPr="001F4F56" w:rsidP="0055699C">
            <w:pPr>
              <w:bidi w:val="0"/>
              <w:jc w:val="both"/>
              <w:rPr>
                <w:rFonts w:ascii="Times New Roman" w:hAnsi="Times New Roman"/>
                <w:i/>
              </w:rPr>
            </w:pPr>
            <w:r w:rsidRPr="001F4F56">
              <w:rPr>
                <w:rFonts w:ascii="Times New Roman" w:hAnsi="Times New Roman"/>
                <w:i/>
              </w:rPr>
              <w:t>Podporuje vyššiu efektivitu výroby/využívania zdrojov? Ak áno, ako?</w:t>
            </w:r>
          </w:p>
          <w:p w:rsidR="00837639" w:rsidRPr="001F4F56" w:rsidP="0055699C">
            <w:pPr>
              <w:bidi w:val="0"/>
              <w:jc w:val="both"/>
              <w:rPr>
                <w:rFonts w:ascii="Times New Roman" w:hAnsi="Times New Roman"/>
              </w:rPr>
            </w:pPr>
            <w:r w:rsidRPr="001F4F56">
              <w:rPr>
                <w:rFonts w:ascii="Times New Roman" w:hAnsi="Times New Roman"/>
                <w:i/>
              </w:rPr>
              <w:t>Vytvorí zmena nové pracovné miesta pre zamestnancov výskumu a vývoja v SR?</w:t>
            </w:r>
          </w:p>
        </w:tc>
      </w:tr>
      <w:tr>
        <w:tblPrEx>
          <w:tblW w:w="0" w:type="auto"/>
          <w:tblLook w:val="04A0"/>
        </w:tblPrEx>
        <w:trPr>
          <w:trHeight w:val="85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8A5BF6" w:rsidRPr="001F4F56" w:rsidP="0055699C">
            <w:pPr>
              <w:bidi w:val="0"/>
              <w:jc w:val="both"/>
              <w:rPr>
                <w:rFonts w:ascii="Times New Roman" w:hAnsi="Times New Roman"/>
                <w:i/>
              </w:rPr>
            </w:pPr>
          </w:p>
          <w:p w:rsidR="001969CA" w:rsidRPr="00E26462" w:rsidP="00E26462">
            <w:pPr>
              <w:bidi w:val="0"/>
              <w:jc w:val="both"/>
              <w:rPr>
                <w:rFonts w:ascii="Times New Roman" w:hAnsi="Times New Roman"/>
                <w:b/>
              </w:rPr>
            </w:pPr>
            <w:r w:rsidRPr="00CA358D" w:rsidR="00E26462">
              <w:rPr>
                <w:rFonts w:ascii="Times New Roman" w:hAnsi="Times New Roman"/>
                <w:i/>
              </w:rPr>
              <w:t>V súčasnosti ť</w:t>
            </w:r>
            <w:r w:rsidRPr="00CA358D" w:rsidR="005054ED">
              <w:rPr>
                <w:rFonts w:ascii="Times New Roman" w:hAnsi="Times New Roman"/>
                <w:i/>
              </w:rPr>
              <w:t>ažko odhadnúť</w:t>
            </w:r>
            <w:r w:rsidRPr="00CA358D" w:rsidR="00E26462">
              <w:rPr>
                <w:rFonts w:ascii="Times New Roman" w:hAnsi="Times New Roman"/>
                <w:i/>
              </w:rPr>
              <w:t xml:space="preserve"> vplyv na inovácie. Kapitál, ktorý si sporitelia budú môcť vybrať prostredníctvom programového výberu, budú môcť následne použiť aj na produkty neregulované zákonom o starobnom dôchodkovom sporení poskytované nielen poisťovňami, ale aj inými finančnými inštitúciami.</w:t>
            </w:r>
            <w:r w:rsidRPr="00D315EC" w:rsidR="00E26462">
              <w:rPr>
                <w:rFonts w:ascii="Times New Roman" w:hAnsi="Times New Roman"/>
              </w:rPr>
              <w:t xml:space="preserve"> </w:t>
            </w:r>
          </w:p>
        </w:tc>
      </w:tr>
    </w:tbl>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rPr>
      </w:pPr>
    </w:p>
    <w:p w:rsidR="009F2DFA" w:rsidRPr="001F4F56" w:rsidP="0055699C">
      <w:pPr>
        <w:bidi w:val="0"/>
        <w:jc w:val="both"/>
        <w:rPr>
          <w:rFonts w:ascii="Times New Roman" w:hAnsi="Times New Roman"/>
          <w:b/>
          <w:sz w:val="24"/>
        </w:rPr>
      </w:pPr>
    </w:p>
    <w:sectPr>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Gothic">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9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3633E">
      <w:rPr>
        <w:rFonts w:ascii="Times New Roman" w:hAnsi="Times New Roman"/>
        <w:noProof/>
      </w:rPr>
      <w:t>1</w:t>
    </w:r>
    <w:r>
      <w:rPr>
        <w:rFonts w:ascii="Times New Roman" w:hAnsi="Times New Roman"/>
      </w:rPr>
      <w:fldChar w:fldCharType="end"/>
    </w:r>
  </w:p>
  <w:p w:rsidR="009F2DFA">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9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93">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93">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E49444D"/>
    <w:multiLevelType w:val="hybridMultilevel"/>
    <w:tmpl w:val="859AD640"/>
    <w:lvl w:ilvl="0">
      <w:start w:val="7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160619"/>
    <w:multiLevelType w:val="hybridMultilevel"/>
    <w:tmpl w:val="D396B57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2D4278E"/>
    <w:multiLevelType w:val="hybridMultilevel"/>
    <w:tmpl w:val="8D50A3E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2DB55DE"/>
    <w:multiLevelType w:val="hybridMultilevel"/>
    <w:tmpl w:val="E0FA9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1">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88218F5"/>
    <w:multiLevelType w:val="hybridMultilevel"/>
    <w:tmpl w:val="C198A068"/>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7">
    <w:nsid w:val="7C523657"/>
    <w:multiLevelType w:val="hybridMultilevel"/>
    <w:tmpl w:val="D31438D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C674AF6"/>
    <w:multiLevelType w:val="hybridMultilevel"/>
    <w:tmpl w:val="EE968E5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12"/>
  </w:num>
  <w:num w:numId="5">
    <w:abstractNumId w:val="3"/>
  </w:num>
  <w:num w:numId="6">
    <w:abstractNumId w:val="8"/>
  </w:num>
  <w:num w:numId="7">
    <w:abstractNumId w:val="15"/>
  </w:num>
  <w:num w:numId="8">
    <w:abstractNumId w:val="4"/>
  </w:num>
  <w:num w:numId="9">
    <w:abstractNumId w:val="0"/>
  </w:num>
  <w:num w:numId="10">
    <w:abstractNumId w:val="16"/>
  </w:num>
  <w:num w:numId="11">
    <w:abstractNumId w:val="10"/>
  </w:num>
  <w:num w:numId="12">
    <w:abstractNumId w:val="6"/>
  </w:num>
  <w:num w:numId="13">
    <w:abstractNumId w:val="17"/>
  </w:num>
  <w:num w:numId="14">
    <w:abstractNumId w:val="5"/>
  </w:num>
  <w:num w:numId="15">
    <w:abstractNumId w:val="9"/>
  </w:num>
  <w:num w:numId="16">
    <w:abstractNumId w:val="2"/>
  </w:num>
  <w:num w:numId="17">
    <w:abstractNumId w:val="14"/>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FB5C13"/>
    <w:rsid w:val="0002304C"/>
    <w:rsid w:val="00052C57"/>
    <w:rsid w:val="00070A4C"/>
    <w:rsid w:val="00094142"/>
    <w:rsid w:val="000969E5"/>
    <w:rsid w:val="000A15AE"/>
    <w:rsid w:val="000A60B0"/>
    <w:rsid w:val="000B3ED5"/>
    <w:rsid w:val="000C66A4"/>
    <w:rsid w:val="000F16CE"/>
    <w:rsid w:val="00103741"/>
    <w:rsid w:val="00104AFB"/>
    <w:rsid w:val="001360D7"/>
    <w:rsid w:val="00140AAF"/>
    <w:rsid w:val="00154881"/>
    <w:rsid w:val="00171307"/>
    <w:rsid w:val="001807C2"/>
    <w:rsid w:val="0018164B"/>
    <w:rsid w:val="0019078F"/>
    <w:rsid w:val="001969CA"/>
    <w:rsid w:val="001B6E8D"/>
    <w:rsid w:val="001C178A"/>
    <w:rsid w:val="001C6E4A"/>
    <w:rsid w:val="001F3052"/>
    <w:rsid w:val="001F4F56"/>
    <w:rsid w:val="00206E33"/>
    <w:rsid w:val="00263F55"/>
    <w:rsid w:val="002A651B"/>
    <w:rsid w:val="002B1108"/>
    <w:rsid w:val="002F3153"/>
    <w:rsid w:val="00301C1D"/>
    <w:rsid w:val="0034210E"/>
    <w:rsid w:val="00374A81"/>
    <w:rsid w:val="003A0428"/>
    <w:rsid w:val="003A4AB0"/>
    <w:rsid w:val="003B2511"/>
    <w:rsid w:val="003F63AC"/>
    <w:rsid w:val="00413CAF"/>
    <w:rsid w:val="00422835"/>
    <w:rsid w:val="004248DB"/>
    <w:rsid w:val="004366AD"/>
    <w:rsid w:val="00447DE4"/>
    <w:rsid w:val="004A116A"/>
    <w:rsid w:val="004C6483"/>
    <w:rsid w:val="004F031C"/>
    <w:rsid w:val="004F4956"/>
    <w:rsid w:val="005054ED"/>
    <w:rsid w:val="00506393"/>
    <w:rsid w:val="00512516"/>
    <w:rsid w:val="0052297F"/>
    <w:rsid w:val="00530184"/>
    <w:rsid w:val="00530ECF"/>
    <w:rsid w:val="005523B9"/>
    <w:rsid w:val="0055699C"/>
    <w:rsid w:val="0057204E"/>
    <w:rsid w:val="0057257C"/>
    <w:rsid w:val="00577C3D"/>
    <w:rsid w:val="0059019D"/>
    <w:rsid w:val="005D5941"/>
    <w:rsid w:val="005D5C5C"/>
    <w:rsid w:val="005D6C81"/>
    <w:rsid w:val="005D7E8C"/>
    <w:rsid w:val="0066532A"/>
    <w:rsid w:val="006679CB"/>
    <w:rsid w:val="00691ED3"/>
    <w:rsid w:val="006B0C78"/>
    <w:rsid w:val="006C26C5"/>
    <w:rsid w:val="006D025D"/>
    <w:rsid w:val="006D5878"/>
    <w:rsid w:val="006E5044"/>
    <w:rsid w:val="00700A50"/>
    <w:rsid w:val="007274EA"/>
    <w:rsid w:val="007371B9"/>
    <w:rsid w:val="00742D24"/>
    <w:rsid w:val="00780BA6"/>
    <w:rsid w:val="007B16FE"/>
    <w:rsid w:val="007B71A4"/>
    <w:rsid w:val="007C6C91"/>
    <w:rsid w:val="007D0AEA"/>
    <w:rsid w:val="00805B41"/>
    <w:rsid w:val="00835A91"/>
    <w:rsid w:val="00837639"/>
    <w:rsid w:val="00837F96"/>
    <w:rsid w:val="00840A1D"/>
    <w:rsid w:val="00846B22"/>
    <w:rsid w:val="00884D63"/>
    <w:rsid w:val="00885592"/>
    <w:rsid w:val="00891ACD"/>
    <w:rsid w:val="008A1252"/>
    <w:rsid w:val="008A1AC7"/>
    <w:rsid w:val="008A5BF6"/>
    <w:rsid w:val="008B45E5"/>
    <w:rsid w:val="00901433"/>
    <w:rsid w:val="00904C9B"/>
    <w:rsid w:val="00930894"/>
    <w:rsid w:val="00936171"/>
    <w:rsid w:val="009511C9"/>
    <w:rsid w:val="00980D8C"/>
    <w:rsid w:val="009E79F8"/>
    <w:rsid w:val="009F2DFA"/>
    <w:rsid w:val="00A00D52"/>
    <w:rsid w:val="00A11A3E"/>
    <w:rsid w:val="00A13E87"/>
    <w:rsid w:val="00A16992"/>
    <w:rsid w:val="00A52B80"/>
    <w:rsid w:val="00A87289"/>
    <w:rsid w:val="00AB5A95"/>
    <w:rsid w:val="00AE0C57"/>
    <w:rsid w:val="00AF1689"/>
    <w:rsid w:val="00B31A8E"/>
    <w:rsid w:val="00B32330"/>
    <w:rsid w:val="00B41A1C"/>
    <w:rsid w:val="00B51E9D"/>
    <w:rsid w:val="00B54C80"/>
    <w:rsid w:val="00B7317C"/>
    <w:rsid w:val="00B77CC3"/>
    <w:rsid w:val="00B928A4"/>
    <w:rsid w:val="00BA073A"/>
    <w:rsid w:val="00BE3993"/>
    <w:rsid w:val="00C3633E"/>
    <w:rsid w:val="00C43BD3"/>
    <w:rsid w:val="00C473CF"/>
    <w:rsid w:val="00C51793"/>
    <w:rsid w:val="00C709EF"/>
    <w:rsid w:val="00C95A14"/>
    <w:rsid w:val="00CA14D9"/>
    <w:rsid w:val="00CA358D"/>
    <w:rsid w:val="00CA5ED8"/>
    <w:rsid w:val="00CB0B91"/>
    <w:rsid w:val="00CB32A2"/>
    <w:rsid w:val="00CB3623"/>
    <w:rsid w:val="00CD5597"/>
    <w:rsid w:val="00CD6C7C"/>
    <w:rsid w:val="00CF45C4"/>
    <w:rsid w:val="00D2077B"/>
    <w:rsid w:val="00D315EC"/>
    <w:rsid w:val="00D41EB5"/>
    <w:rsid w:val="00D535B4"/>
    <w:rsid w:val="00D83D06"/>
    <w:rsid w:val="00D92A19"/>
    <w:rsid w:val="00D9766C"/>
    <w:rsid w:val="00DA0B82"/>
    <w:rsid w:val="00E070E1"/>
    <w:rsid w:val="00E13380"/>
    <w:rsid w:val="00E14076"/>
    <w:rsid w:val="00E2405A"/>
    <w:rsid w:val="00E26462"/>
    <w:rsid w:val="00E4096F"/>
    <w:rsid w:val="00E417EF"/>
    <w:rsid w:val="00E617C6"/>
    <w:rsid w:val="00E6182C"/>
    <w:rsid w:val="00E71176"/>
    <w:rsid w:val="00E86AD1"/>
    <w:rsid w:val="00EB0CC2"/>
    <w:rsid w:val="00EF36DF"/>
    <w:rsid w:val="00F0704A"/>
    <w:rsid w:val="00F32DCE"/>
    <w:rsid w:val="00F41620"/>
    <w:rsid w:val="00F470C5"/>
    <w:rsid w:val="00F65318"/>
    <w:rsid w:val="00F7014A"/>
    <w:rsid w:val="00F73684"/>
    <w:rsid w:val="00F9785D"/>
    <w:rsid w:val="00FA6345"/>
    <w:rsid w:val="00FB19DE"/>
    <w:rsid w:val="00FB5C13"/>
    <w:rsid w:val="00FC17AA"/>
    <w:rsid w:val="00FC20C0"/>
    <w:rsid w:val="00FC4774"/>
    <w:rsid w:val="00FD794A"/>
    <w:rsid w:val="00FE017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character" w:styleId="CommentReference">
    <w:name w:val="annotation reference"/>
    <w:basedOn w:val="DefaultParagraphFont"/>
    <w:uiPriority w:val="99"/>
    <w:semiHidden/>
    <w:unhideWhenUsed/>
    <w:rsid w:val="00CA5ED8"/>
    <w:rPr>
      <w:rFonts w:cs="Times New Roman"/>
      <w:sz w:val="16"/>
      <w:szCs w:val="16"/>
      <w:rtl w:val="0"/>
      <w:cs w:val="0"/>
    </w:rPr>
  </w:style>
  <w:style w:type="paragraph" w:styleId="CommentText">
    <w:name w:val="annotation text"/>
    <w:basedOn w:val="Normal"/>
    <w:link w:val="TextkomentraChar"/>
    <w:uiPriority w:val="99"/>
    <w:semiHidden/>
    <w:unhideWhenUsed/>
    <w:rsid w:val="00CA5ED8"/>
    <w:pPr>
      <w:jc w:val="left"/>
    </w:pPr>
  </w:style>
  <w:style w:type="character" w:customStyle="1" w:styleId="TextkomentraChar">
    <w:name w:val="Text komentára Char"/>
    <w:basedOn w:val="DefaultParagraphFont"/>
    <w:link w:val="CommentText"/>
    <w:uiPriority w:val="99"/>
    <w:semiHidden/>
    <w:locked/>
    <w:rsid w:val="00CA5E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CA5ED8"/>
    <w:pPr>
      <w:jc w:val="left"/>
    </w:pPr>
    <w:rPr>
      <w:b/>
      <w:bCs/>
    </w:rPr>
  </w:style>
  <w:style w:type="character" w:customStyle="1" w:styleId="PredmetkomentraChar">
    <w:name w:val="Predmet komentára Char"/>
    <w:basedOn w:val="TextkomentraChar"/>
    <w:link w:val="CommentSubject"/>
    <w:uiPriority w:val="99"/>
    <w:semiHidden/>
    <w:locked/>
    <w:rsid w:val="00CA5ED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99F1-70B9-493C-A441-C6DF6F5B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1358</Words>
  <Characters>7744</Characters>
  <Application>Microsoft Office Word</Application>
  <DocSecurity>0</DocSecurity>
  <Lines>0</Lines>
  <Paragraphs>0</Paragraphs>
  <ScaleCrop>false</ScaleCrop>
  <Company>MPSVR SR</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2</cp:revision>
  <cp:lastPrinted>2016-12-06T14:59:00Z</cp:lastPrinted>
  <dcterms:created xsi:type="dcterms:W3CDTF">2016-12-15T12:24:00Z</dcterms:created>
  <dcterms:modified xsi:type="dcterms:W3CDTF">2016-12-15T12:24:00Z</dcterms:modified>
</cp:coreProperties>
</file>