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E0CE9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E0CE9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224847" w:rsidRPr="00CE0CE9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E0CE9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E0CE9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E0CE9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E0CE9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Pr="00CE0CE9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DF13A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DF13A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DF13A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Pr="00DF13A2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F13A2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DF13A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5648B4" w:rsidRPr="00DF13A2" w:rsidP="00844CFF">
            <w:pPr>
              <w:bidi w:val="0"/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Zmena podmienok umožní sporiteľom </w:t>
            </w:r>
            <w:r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slobodnejšiu voľbu </w:t>
            </w:r>
            <w:r w:rsidRPr="002E11B1"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ohľadom </w:t>
            </w:r>
            <w:r w:rsidRPr="002E1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čerpania </w:t>
            </w:r>
            <w:r w:rsidRPr="002E11B1"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ich </w:t>
            </w:r>
            <w:r w:rsidRPr="002E1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nasporenej sumy a</w:t>
            </w:r>
            <w:r w:rsidRPr="002E11B1"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umožní im</w:t>
            </w:r>
            <w:r w:rsidRPr="002E11B1" w:rsidR="0045463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2E11B1"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rozhodovať </w:t>
            </w:r>
            <w:r w:rsidRPr="002E11B1" w:rsidR="0045463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sa </w:t>
            </w:r>
            <w:r w:rsidRPr="002E11B1" w:rsidR="002568C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z ich pohľadu pre </w:t>
            </w:r>
            <w:r w:rsidRPr="002E11B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výhodnejšiu alternatívu poberania dôchodku. </w:t>
            </w:r>
            <w:r w:rsidRPr="002E11B1" w:rsidR="00524A7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Slobodnejší</w:t>
            </w:r>
            <w:r w:rsidRPr="00DF13A2" w:rsidR="00524A7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prístup k nasporenej sume umožní dôchodcom uspokojiť širšie spektrum potrieb, ktoré môžu zvýšiť kvalitu ich života</w:t>
            </w:r>
            <w:r w:rsidRPr="00DF13A2" w:rsidR="0045463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odvíjajú sa od ich osobitnej životnej situácie</w:t>
            </w:r>
            <w:r w:rsidRPr="00DF13A2" w:rsidR="00524A7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F13A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DF13A2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3417" w:rsidRPr="000A54B8" w:rsidP="003A34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Vyplácanie dôchodku sporiteľom formou programového výberu alebo dočasného dôchodku bude možné po splnení jedinej podmienky, a to, ak súčet súm doživotných dôchodkov vyplácaných z I. piliera, výsluhových dôchodkov, obdobných dôchodkov vyplácaných z cudziny a doživotných dôchodkov z II. piliera bude vyšší ako </w:t>
            </w:r>
            <w:r w:rsidRPr="000A54B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tzv. referenčná suma, t.j.  priemerná mesačná suma starobného dôchodku z I. piliera určená k 30. novembru kalendárneho roka.</w:t>
            </w:r>
          </w:p>
          <w:p w:rsidR="003A3417" w:rsidRPr="000A54B8" w:rsidP="003A34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0A54B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Na určenie referenčnej sumy sa použije starobný dôchodok z I. piliera, </w:t>
            </w:r>
          </w:p>
          <w:p w:rsidR="003A3417" w:rsidRPr="000A54B8" w:rsidP="003A3417">
            <w:pPr>
              <w:pStyle w:val="ListParagraph"/>
              <w:numPr>
                <w:numId w:val="18"/>
              </w:num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8">
              <w:rPr>
                <w:rFonts w:ascii="Times New Roman" w:hAnsi="Times New Roman"/>
                <w:i/>
                <w:sz w:val="20"/>
                <w:szCs w:val="20"/>
              </w:rPr>
              <w:t xml:space="preserve">na ktorý vznikol nárok po 31. decembri 2003 a nárok na výplatu ktorého trvá ku dňu, ku ktorému sa referenčná suma určuje, </w:t>
            </w:r>
          </w:p>
          <w:p w:rsidR="003A3417" w:rsidRPr="000A54B8" w:rsidP="003A3417">
            <w:pPr>
              <w:pStyle w:val="ListParagraph"/>
              <w:numPr>
                <w:numId w:val="18"/>
              </w:num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8">
              <w:rPr>
                <w:rFonts w:ascii="Times New Roman" w:hAnsi="Times New Roman"/>
                <w:i/>
                <w:sz w:val="20"/>
                <w:szCs w:val="20"/>
              </w:rPr>
              <w:t>ktorý by sa vyplácal v sume nezníženej za obdobie účasti na starobnom dôchodkovom sporení, ak nárok na starobný dôchodok z I. piliera vznikol poistencovi, ktorý je alebo bol sporiteľom, a</w:t>
            </w:r>
          </w:p>
          <w:p w:rsidR="003A3417" w:rsidRPr="000A54B8" w:rsidP="003A3417">
            <w:pPr>
              <w:pStyle w:val="ListParagraph"/>
              <w:numPr>
                <w:numId w:val="18"/>
              </w:num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8">
              <w:rPr>
                <w:rFonts w:ascii="Times New Roman" w:hAnsi="Times New Roman"/>
                <w:i/>
                <w:sz w:val="20"/>
                <w:szCs w:val="20"/>
              </w:rPr>
              <w:t>ktorý nebol znížený z dôvodu súbehu s inou dôchodkovou dávkou.</w:t>
            </w:r>
          </w:p>
          <w:p w:rsidR="003A3417" w:rsidRPr="000A54B8" w:rsidP="003A34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0A54B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Takto nastavená referenčná suma bude platná v kalendárnom roku nasledujúcom po kalendárnom roku, v ktorom sa určila. </w:t>
            </w:r>
          </w:p>
          <w:p w:rsidR="001D1579" w:rsidRPr="00DF13A2" w:rsidP="00F36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515298" w:rsidRPr="00DF13A2" w:rsidP="00F36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2568C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Prvou</w:t>
            </w:r>
            <w:r w:rsidRPr="00DF13A2" w:rsidR="002568C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pozitívne ovplyvnenou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skupinou sú sporitelia v druhom dôchodkovom pilieri, </w:t>
            </w:r>
            <w:r w:rsidRPr="00DF13A2" w:rsidR="00CE3AD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ktorí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spĺňajú vyššie uvedenú podmienku,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požiadali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už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o zaslanie ponuky dôchodku, ale zmluvu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následne </w:t>
            </w:r>
            <w:r w:rsidRPr="00DF13A2" w:rsidR="00CE3AD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neuzatvorili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. </w:t>
            </w:r>
            <w:r w:rsidRPr="00DF13A2" w:rsidR="00CE3AD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Je možné sa domnievať, že títo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sporitelia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medzi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ponukami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nenašli možnosť, pre ktorú by sa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boli ochotní rozhodnúť a čakajú na rozšírenie možností výberu. Tejto skupine ľudí zmena zákona prináša širšie možnosti, z ktorých keď si vyberú, tak sa im </w:t>
            </w:r>
            <w:r w:rsidRPr="00DF13A2" w:rsidR="00CE3AD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môže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zvýši</w:t>
            </w:r>
            <w:r w:rsidRPr="00DF13A2" w:rsidR="00CE3AD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ť ich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príjem na dôchodku. </w:t>
            </w:r>
          </w:p>
          <w:p w:rsidR="001D1579" w:rsidRPr="00DF13A2" w:rsidP="00F36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F74104" w:rsidP="0011354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Druhou</w:t>
            </w:r>
            <w:r w:rsidRPr="00DF13A2" w:rsidR="00071B8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pozitívne ovplyvnenou skupinou sú sporitelia, ktorým vznikne nárok na starobný dôchodok v budúcnosti a prekročia </w:t>
            </w:r>
            <w:r w:rsidRPr="00DF13A2" w:rsidR="0011354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vyššie uvedenú </w:t>
            </w:r>
            <w:r w:rsidR="0049017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referenčnú sumu</w:t>
            </w:r>
            <w:r w:rsidRPr="00DF13A2" w:rsidR="001D157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. Táto skupina bude mať širšie možnosti výberu oproti súčasnosti a budú si môcť naplánovať dôchodkové príjmy vo väčšej miere podľa svojich individuálnych potrieb. </w:t>
            </w:r>
          </w:p>
          <w:p w:rsidR="0058654F" w:rsidP="0011354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58654F" w:rsidRPr="00DF13A2" w:rsidP="004A3AA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F13A2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DF13A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  <w:p w:rsidR="006A00D8" w:rsidRPr="00DF13A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6A00D8" w:rsidRPr="00DF13A2" w:rsidP="005064C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7630D8" w:rsidRPr="00DF13A2" w:rsidP="006B44ED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15075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Ak budú sporitelia z dôvodu vyššieho </w:t>
            </w:r>
            <w:r w:rsidRPr="00DF13A2" w:rsidR="0084623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dosiahnutého </w:t>
            </w:r>
            <w:r w:rsidRPr="00DF13A2" w:rsidR="0015075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úžitku preferovať </w:t>
            </w:r>
            <w:r w:rsidRPr="00DF13A2" w:rsidR="00904B5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skôr </w:t>
            </w:r>
            <w:r w:rsidRPr="00DF13A2" w:rsidR="0015075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programový výber pred doživotnou anuitou, dôjde k</w:t>
            </w:r>
            <w:r w:rsidRPr="00DF13A2" w:rsidR="00904B5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zmene očakávaného vývoja anuitného</w:t>
            </w:r>
            <w:r w:rsidRPr="00DF13A2" w:rsidR="0015075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trhu</w:t>
            </w:r>
            <w:r w:rsidRPr="00DF13A2" w:rsidR="0084623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(počtu záujemcov o doživotnú anuitu). </w:t>
            </w:r>
            <w:r w:rsidRPr="00DF13A2" w:rsidR="00904B5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 časť sporiteľov to môže znamenať nárast príjmov na dôchodku a pre inú časť zníženie príjmov</w:t>
            </w:r>
            <w:r w:rsidR="00996BD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F13A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DF13A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  <w:p w:rsidR="006A00D8" w:rsidRPr="00DF13A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6A00D8" w:rsidRPr="00DF13A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64CD" w:rsidRPr="00DF13A2" w:rsidP="00F41319">
            <w:pPr>
              <w:bidi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7904F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Negatívne ovplyvnenou skupinou sú sporitelia, ktorým sa nerozšíri možnosť výberu formy vy</w:t>
            </w:r>
            <w:r w:rsidRPr="00DF13A2" w:rsidR="005A35A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plácania ich dôchodkových úspor.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E69FF" w:rsidRPr="00DF13A2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DF13A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96BD6" w:rsidP="0099638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Hranica, pri ktorej vzniká nárok na programový výber alebo dočasný dôchodok bola stanovená tak, aby sa minimalizovalo riziko chudoby alebo sociálneho vylúčenia u sporiteľov. </w:t>
            </w:r>
          </w:p>
          <w:p w:rsidR="00996BD6" w:rsidP="0099638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996384" w:rsidRPr="00DF13A2" w:rsidP="0099638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Vyplácanie dôchodku sporiteľom formou programového výberu alebo dočasného dôchodku bude možné až vtedy, ak súčet súm doživotných dôchodkov vyplácaných z I. piliera, výsluhových dôchodkov, obdobných dôchodkov vyplácaných z cudziny a doživotných dôchodkov z II. piliera bude vyšší ako </w:t>
            </w:r>
            <w:r w:rsidR="003A341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referenčná suma.</w:t>
            </w:r>
          </w:p>
          <w:p w:rsidR="00996384" w:rsidRPr="00DF13A2" w:rsidP="0099638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</w:tbl>
    <w:p w:rsidR="00224847" w:rsidRPr="00DF13A2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DF13A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DF13A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DF13A2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Pr="00DF13A2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F13A2" w:rsidP="006002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Pr="00DF13A2" w:rsidR="00600239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Sporitelia, ktorým sa rozšíri možnosť výberu formy vyplácania ich dôchodkových úspor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DF13A2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</w:t>
            </w:r>
            <w:r w:rsidRPr="00DF13A2" w:rsidR="00B25B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E818EB" w:rsidRPr="00DF13A2" w:rsidP="0085611F">
            <w:pPr>
              <w:bidi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60023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bude spočívať v</w:t>
            </w:r>
            <w:r w:rsidRPr="00DF13A2" w:rsidR="002564D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 rozšírení </w:t>
            </w:r>
            <w:r w:rsidRPr="00DF13A2" w:rsidR="0060023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možnosti rozhodnúť sa pre také časové rozloženie čerpania dôchodkových úspor, ktoré viac zodpovedá individuálnym preferenciám a životným situáciám jednotlivých sporiteľov. Vzhľadom k tomu, že nie je možné poznať tieto individuálne preferencie, tak nie je možné kvantifikovať</w:t>
            </w:r>
            <w:r w:rsidRPr="00DF13A2" w:rsidR="002564D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očakávanú zmenu čerpania dôchodkových úspor v čase.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DF13A2" w:rsidP="00A90211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Negatívny vplyv - priemerný pokles príjmov</w:t>
            </w:r>
            <w:r w:rsidRPr="00DF13A2" w:rsidR="00B25B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9B246F" w:rsidRPr="00DF13A2" w:rsidP="009B246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8629FA" w:rsidR="002844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Negatívne vplyvy je </w:t>
            </w:r>
            <w:r w:rsidRPr="008629F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 súčasnosti </w:t>
            </w:r>
            <w:r w:rsidRPr="008629FA" w:rsidR="002844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ťažké </w:t>
            </w:r>
            <w:r w:rsidRPr="008629F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presne </w:t>
            </w:r>
            <w:r w:rsidRPr="008629FA" w:rsidR="002844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odhadnúť.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8629FA" w:rsidR="008629FA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>Je možné očakávať, že ponuky dôchodkov v budúcom období budú korešpondovať so zmenami štruktúry poistného kmeňa. Negatívne zmeny v štruktúre môžu negatívne ovplyvniť aj výšku dôchodkov. Môžu však nastať aj pozitívne zmeny v štruktúre, ktoré môžu mať pozitívny vplyv na výšku dôchodkov.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F13A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326" w:rsidP="001B4E75">
            <w:pPr>
              <w:bidi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2564D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nasledujúcich troch rokoch sa vplyvom legislatívnej zmeny rozšíri možnosť výberu formy vyplácania dôchodkových úspor približne</w:t>
            </w:r>
            <w:r w:rsidR="00895D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8629FA" w:rsidR="001B4E7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8629FA" w:rsidR="003064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5</w:t>
            </w:r>
            <w:r w:rsidRPr="008629FA" w:rsidR="001B4E7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</w:t>
            </w:r>
            <w:r w:rsidRPr="008629FA" w:rsidR="002564D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sporiteľom</w:t>
            </w:r>
            <w:r w:rsidRPr="00DF13A2" w:rsidR="00DB5B4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(</w:t>
            </w:r>
            <w:r w:rsidR="009840A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49</w:t>
            </w:r>
            <w:r w:rsidR="00D956B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00 sporiteľom, </w:t>
            </w:r>
            <w:r w:rsidR="001833B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ktorí </w:t>
            </w:r>
            <w:r w:rsidRPr="00DF13A2" w:rsidR="00DB5B4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splnia nárok na starobný dôchodok</w:t>
            </w:r>
            <w:r w:rsidR="00D956B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cca </w:t>
            </w:r>
            <w:r w:rsidR="006E4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ďalším 1600 sporiteľom, o ktorých predpokladáme, že v najbližších troch rokoch požiadajú o predčasný starobný dôchodok z I. piliera </w:t>
            </w:r>
            <w:r w:rsidRPr="00DF13A2" w:rsidR="00DB5B4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).</w:t>
            </w:r>
            <w:r w:rsidRPr="00DF13A2" w:rsidR="002564D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Nie je však možné očakávať, že ju aj všetci využijú. Prvý rok výplatnej fázy totiž ukázal, že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30% kapitálu, ktorý mohol byť použitý na programový výber, bol napriek tomu použitý na poistný produkt. </w:t>
            </w:r>
          </w:p>
          <w:p w:rsidR="007E627A" w:rsidP="001B4E75">
            <w:pPr>
              <w:bidi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7E627A" w:rsidRPr="00DF13A2" w:rsidP="001B4E75">
            <w:pPr>
              <w:bidi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FB9" w:rsidRPr="00DF13A2" w:rsidP="006E4B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  <w:r w:rsidRPr="00DF13A2" w:rsidR="007904FF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Sporitelia, ktorým sa nerozšíri možnosť výberu formy vyplácania ich dôchodkových úspor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8C3FB9" w:rsidRPr="00DF13A2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</w:t>
            </w:r>
            <w:r w:rsidRPr="00DF13A2" w:rsidR="00B25B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2739D" w:rsidRPr="00DF13A2" w:rsidP="00A2739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 dlhodobom horizonte existuje teoretická možnosť pozitívneho vplyvu na rozvoj konkurencie na trhu výplat dôchodkov z II. piliera. </w:t>
            </w:r>
          </w:p>
          <w:p w:rsidR="008C3FB9" w:rsidRPr="00DF13A2" w:rsidP="008E30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7904F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8C3FB9" w:rsidRPr="00DF13A2" w:rsidP="00A90211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Negatívny vplyv - priemerný pokles príjmov</w:t>
            </w:r>
            <w:r w:rsidRPr="00DF13A2" w:rsidR="00B25BE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577326" w:rsidRPr="00DF13A2" w:rsidP="008E30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5A35A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Sporitelia, ktorí</w:t>
            </w:r>
            <w:r w:rsidRPr="00DF13A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by za súčasných právnych podmienok nemali nárok na programový výber alebo dočasný dôchodok a ani novelou zákona tento nárok nenadobudnú, si budú môcť aj naďalej vybrať len z poistných produktov, ktoré im ponúknu životné poisťovne. </w:t>
            </w:r>
          </w:p>
          <w:p w:rsidR="0081772B" w:rsidRPr="00CE0CE9" w:rsidP="008E30C1">
            <w:pPr>
              <w:bidi w:val="0"/>
              <w:spacing w:after="24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F13A2" w:rsidR="0057732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Je možné očakávať, že ponuky dôchodkov v budúcom období budú korešpondovať so zmenami štruktúry anuitného poistného kmeňa. Negatívne zmeny v štruktúre môžu negatívne ovplyvniť aj výšku dôchodkov a pozitívne zmeny v štruktúre môžu mať pozitívny vplyv na výšku dôchodkov. Realitu je ťažko odhadnúť, pretože bude vychádzať zo zmeny správania sa dôchodcov na základe ich osobných preferencií a životných situácií.</w:t>
            </w:r>
            <w:r w:rsidRPr="00CE0CE9" w:rsidR="0057732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FB9" w:rsidRPr="00CE0CE9" w:rsidP="00913383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18EB" w:rsidRPr="00CE0CE9" w:rsidP="009840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E0CE9" w:rsidR="00594EB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 nasledujúcich 3 rokoch sa </w:t>
            </w:r>
            <w:r w:rsidRPr="00CE0CE9" w:rsidR="007904F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počet sporiteľov, ktorým sa nerozšíri možnosť výberu formy vyplácania ich dôchodkových úspor odhaduje na približne </w:t>
            </w:r>
            <w:r w:rsidR="00AB162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64</w:t>
            </w:r>
            <w:r w:rsidR="006E4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</w:t>
            </w:r>
            <w:r w:rsidRPr="008629FA" w:rsidR="007904F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ľudí</w:t>
            </w:r>
            <w:r w:rsidR="006E4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. (Z toho cca </w:t>
            </w:r>
            <w:r w:rsidR="00AB162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4</w:t>
            </w:r>
            <w:r w:rsidR="000E478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</w:t>
            </w:r>
            <w:r w:rsidR="006E4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00 bude musieť čerpať nasporené prostriedky formou doživotného dôchodku a cca </w:t>
            </w:r>
            <w:r w:rsidR="00AB162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23</w:t>
            </w:r>
            <w:r w:rsidR="006E4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 sporiteľov</w:t>
            </w:r>
            <w:r w:rsidR="00B37CC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nebude mať dostatočnú nasporenú sumu na kúpu doživotného dôchodku, preto bude čerpať svoje prostriedky </w:t>
            </w:r>
            <w:r w:rsidR="00F25A5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režime „malá nasporená suma“</w:t>
            </w:r>
            <w:r w:rsidR="006E4B2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.)</w:t>
            </w:r>
            <w:r w:rsidRPr="00CE0CE9" w:rsidR="007904F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A30F1C" w:rsidRPr="00CE0CE9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CE0CE9"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RPr="00CE0CE9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E0CE9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CE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E0CE9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E0CE9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Pr="00CE0CE9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E0CE9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E0CE9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FE4FAB" w:rsidRPr="00CE0CE9" w:rsidP="00FE4FA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Sporiteľom, ktorým legislatívna zmena rozšíri možnosť výberu formy vyplácania ich dôchodkových úspor (programovým výberom resp. dočasným dôchodkom), </w:t>
            </w:r>
            <w:r w:rsidR="005755B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zároveň poskytne možnosť financovať ich individuálne </w:t>
            </w:r>
            <w:r w:rsidRPr="008D24BC" w:rsidR="005755B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potreby. </w:t>
            </w:r>
          </w:p>
          <w:p w:rsidR="00FE4FAB" w:rsidRPr="00CE0CE9" w:rsidP="008E30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3A1F28" w:rsidRPr="00CE0CE9" w:rsidP="008E30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E0CE9" w:rsidR="00A20D9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Sprístupnenie úspor vo vyššej sume umožní sporiteľom zmeniť súčasnú štruktúru výdavkov (napríklad vo forme splátky úverov), čím </w:t>
            </w: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sa im </w:t>
            </w:r>
            <w:r w:rsidRPr="00CE0CE9" w:rsidR="005A35A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do budúcnosti </w:t>
            </w: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zvýši disponibilný príjem. Zároveň je možné očakávať, že nasporenú sumu môžu použiť na úhradu výdavkov spojených so sociál</w:t>
            </w:r>
            <w:r w:rsidRPr="00CE0CE9" w:rsidR="00FE4F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nymi službami či zdravotným </w:t>
            </w:r>
            <w:r w:rsidRPr="00CE0CE9" w:rsidR="000040A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postihnutím</w:t>
            </w:r>
            <w:r w:rsidRPr="00CE0CE9" w:rsidR="00FE4F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,</w:t>
            </w: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čím sa zvýši kvalita ich života. </w:t>
            </w:r>
          </w:p>
          <w:p w:rsidR="00A30F1C" w:rsidRPr="00CE0CE9" w:rsidP="002816C1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</w:tbl>
    <w:p w:rsidR="00A30F1C" w:rsidRPr="00CE0CE9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E0CE9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E0CE9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Pr="00CE0CE9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E0CE9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E0CE9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0F1C" w:rsidRPr="00CE0CE9" w:rsidP="008E30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E0CE9" w:rsidR="00E818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Keďže n</w:t>
            </w:r>
            <w:r w:rsidRPr="00CE0CE9" w:rsidR="00437C2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ovela zákona má </w:t>
            </w:r>
            <w:r w:rsidRPr="00CE0CE9" w:rsidR="00594EB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priamy </w:t>
            </w:r>
            <w:r w:rsidRPr="00CE0CE9" w:rsidR="00437C2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v zásade  iba na dôchodcov</w:t>
            </w:r>
            <w:r w:rsidRPr="00CE0CE9" w:rsidR="00E818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, v</w:t>
            </w:r>
            <w:r w:rsidRPr="00CE0CE9" w:rsidR="00437C2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šetky pozitívne aj negatívne vplyvy na túto skupinu sú uvedené v bode 4.1.</w:t>
            </w:r>
          </w:p>
          <w:p w:rsidR="00A30F1C" w:rsidRPr="00CE0CE9" w:rsidP="002A182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Pr="00CE0CE9">
      <w:pPr>
        <w:bidi w:val="0"/>
      </w:pPr>
    </w:p>
    <w:p w:rsidR="00C63956" w:rsidRPr="00CE0CE9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E0CE9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E0CE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E0CE9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E0CE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E0CE9" w:rsidP="000020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Pr="00CE0CE9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A51BE" w:rsidRPr="00CE0CE9" w:rsidP="00CA51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D4982" w:rsidRPr="00CE0CE9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eastAsia="sk-SK"/>
              </w:rPr>
            </w:pPr>
            <w:r w:rsidR="00A9021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CA51B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dodržiava povinnosť rovnakého zaobchádzania so skupinami alebo jednotlivcami na základe pohlavia, rasy, etnicity, náboženstva alebo viery, zdravotného postihnutia a sexuálnej orientácie. </w:t>
            </w:r>
          </w:p>
        </w:tc>
      </w:tr>
    </w:tbl>
    <w:p w:rsidR="00C63956" w:rsidRPr="00CE0CE9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E0CE9" w:rsidP="000020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Pr="00CE0CE9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E0CE9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E0CE9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E0CE9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E0CE9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E0CE9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E0CE9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CE0CE9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E0CE9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E0CE9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A9021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134B3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rovnosť príležitostí.</w:t>
            </w:r>
          </w:p>
          <w:p w:rsidR="00CA6BAF" w:rsidRPr="00CE0CE9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Pr="00CE0CE9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CE0CE9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E0CE9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CE0CE9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CE0CE9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E0CE9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CE0CE9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CE0CE9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Pr="00CE0CE9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CE0CE9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CE0CE9" w:rsidP="00F871A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871A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A9714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CE0C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CE0CE9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CE0CE9" w:rsidP="00F871A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871A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BA5BA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</w:t>
            </w:r>
            <w:r w:rsidRPr="00CE0CE9" w:rsidR="00A9714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CE0C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CE0CE9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CE0CE9" w:rsidP="00F871A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871A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A9714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CE0C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CE0CE9" w:rsidP="00A9021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CE0C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CE0CE9" w:rsidP="00F871A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871A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A9714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CE0C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CE0CE9" w:rsidP="00A90211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="0000202E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>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CE0CE9" w:rsidP="00F871A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871A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A9714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E9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CE0CE9" w:rsidP="000020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E0CE9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CE0CE9" w:rsidP="00F871A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F871A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E0CE9" w:rsidR="00A9714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zamestnanosť a na trh práce.</w:t>
            </w:r>
          </w:p>
        </w:tc>
      </w:tr>
    </w:tbl>
    <w:p w:rsidR="00B90A2F" w:rsidRPr="00CE0CE9" w:rsidP="00CD4982">
      <w:pPr>
        <w:bidi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1D6749" w:rsidRPr="00CE0CE9" w:rsidP="001D6749">
      <w:pPr>
        <w:bidi w:val="0"/>
        <w:spacing w:after="0" w:line="240" w:lineRule="auto"/>
        <w:outlineLvl w:val="0"/>
        <w:rPr>
          <w:rFonts w:ascii="Times New Roman" w:hAnsi="Times New Roman"/>
          <w:bCs/>
          <w:sz w:val="24"/>
          <w:szCs w:val="20"/>
          <w:lang w:eastAsia="sk-SK"/>
        </w:rPr>
      </w:pPr>
      <w:r w:rsidRPr="00CE0CE9">
        <w:rPr>
          <w:rFonts w:ascii="Times New Roman" w:hAnsi="Times New Roman"/>
          <w:b/>
          <w:sz w:val="24"/>
          <w:szCs w:val="20"/>
          <w:lang w:eastAsia="sk-SK"/>
        </w:rPr>
        <w:t xml:space="preserve"> </w:t>
      </w:r>
    </w:p>
    <w:p w:rsidR="00CB3623" w:rsidRPr="00CE0CE9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DE51AC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DE51AC">
      <w:rPr>
        <w:rFonts w:ascii="Times New Roman" w:hAnsi="Times New Roman"/>
        <w:noProof/>
      </w:rPr>
      <w:t>7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2472D5"/>
    <w:multiLevelType w:val="hybridMultilevel"/>
    <w:tmpl w:val="751415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D06F82"/>
    <w:multiLevelType w:val="hybridMultilevel"/>
    <w:tmpl w:val="1750D6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2C485F"/>
    <w:multiLevelType w:val="hybridMultilevel"/>
    <w:tmpl w:val="395A7CB4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14517"/>
    <w:multiLevelType w:val="hybridMultilevel"/>
    <w:tmpl w:val="33CEAC14"/>
    <w:lvl w:ilvl="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4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F3018"/>
    <w:multiLevelType w:val="hybridMultilevel"/>
    <w:tmpl w:val="7602C6BE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5"/>
  </w:num>
  <w:num w:numId="5">
    <w:abstractNumId w:val="13"/>
  </w:num>
  <w:num w:numId="6">
    <w:abstractNumId w:val="17"/>
  </w:num>
  <w:num w:numId="7">
    <w:abstractNumId w:val="0"/>
  </w:num>
  <w:num w:numId="8">
    <w:abstractNumId w:val="14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0202E"/>
    <w:rsid w:val="000040A9"/>
    <w:rsid w:val="000274D0"/>
    <w:rsid w:val="00032DFB"/>
    <w:rsid w:val="00043120"/>
    <w:rsid w:val="0006329A"/>
    <w:rsid w:val="00065EDE"/>
    <w:rsid w:val="00071B86"/>
    <w:rsid w:val="00087E9E"/>
    <w:rsid w:val="00092801"/>
    <w:rsid w:val="000A21F5"/>
    <w:rsid w:val="000A54B8"/>
    <w:rsid w:val="000B0711"/>
    <w:rsid w:val="000B4B54"/>
    <w:rsid w:val="000C1631"/>
    <w:rsid w:val="000C6533"/>
    <w:rsid w:val="000D1DF2"/>
    <w:rsid w:val="000D226A"/>
    <w:rsid w:val="000E2A9B"/>
    <w:rsid w:val="000E4787"/>
    <w:rsid w:val="000F43EB"/>
    <w:rsid w:val="00100657"/>
    <w:rsid w:val="00113541"/>
    <w:rsid w:val="00114AEE"/>
    <w:rsid w:val="00134B38"/>
    <w:rsid w:val="0013793B"/>
    <w:rsid w:val="00144CE6"/>
    <w:rsid w:val="00150758"/>
    <w:rsid w:val="00165321"/>
    <w:rsid w:val="001833BE"/>
    <w:rsid w:val="00190831"/>
    <w:rsid w:val="001B4E75"/>
    <w:rsid w:val="001B6471"/>
    <w:rsid w:val="001C3BBE"/>
    <w:rsid w:val="001D1579"/>
    <w:rsid w:val="001D23E8"/>
    <w:rsid w:val="001D5947"/>
    <w:rsid w:val="001D6749"/>
    <w:rsid w:val="001F7932"/>
    <w:rsid w:val="00204D10"/>
    <w:rsid w:val="002152CA"/>
    <w:rsid w:val="0021753B"/>
    <w:rsid w:val="00224847"/>
    <w:rsid w:val="00227A26"/>
    <w:rsid w:val="00235F26"/>
    <w:rsid w:val="00240A2C"/>
    <w:rsid w:val="002564D2"/>
    <w:rsid w:val="002568C1"/>
    <w:rsid w:val="00270F29"/>
    <w:rsid w:val="00275F99"/>
    <w:rsid w:val="002816C1"/>
    <w:rsid w:val="002844E4"/>
    <w:rsid w:val="002A1825"/>
    <w:rsid w:val="002B522B"/>
    <w:rsid w:val="002E11B1"/>
    <w:rsid w:val="00302468"/>
    <w:rsid w:val="003044BE"/>
    <w:rsid w:val="00306410"/>
    <w:rsid w:val="0031729F"/>
    <w:rsid w:val="00317634"/>
    <w:rsid w:val="00337B5D"/>
    <w:rsid w:val="0035110F"/>
    <w:rsid w:val="003541E9"/>
    <w:rsid w:val="00357E2A"/>
    <w:rsid w:val="00362CBF"/>
    <w:rsid w:val="003849C7"/>
    <w:rsid w:val="003A1F28"/>
    <w:rsid w:val="003A3417"/>
    <w:rsid w:val="003A4C0A"/>
    <w:rsid w:val="003E3E53"/>
    <w:rsid w:val="003F0807"/>
    <w:rsid w:val="00402FDF"/>
    <w:rsid w:val="0040544D"/>
    <w:rsid w:val="00405D15"/>
    <w:rsid w:val="00407A64"/>
    <w:rsid w:val="0041782D"/>
    <w:rsid w:val="00417A8E"/>
    <w:rsid w:val="00437C24"/>
    <w:rsid w:val="00440AD3"/>
    <w:rsid w:val="0045463D"/>
    <w:rsid w:val="00455D88"/>
    <w:rsid w:val="004604A5"/>
    <w:rsid w:val="00465BFF"/>
    <w:rsid w:val="00466488"/>
    <w:rsid w:val="00475947"/>
    <w:rsid w:val="00480E2E"/>
    <w:rsid w:val="00481501"/>
    <w:rsid w:val="00490178"/>
    <w:rsid w:val="0049290E"/>
    <w:rsid w:val="00497C44"/>
    <w:rsid w:val="004A3AAA"/>
    <w:rsid w:val="004C26B9"/>
    <w:rsid w:val="004D443A"/>
    <w:rsid w:val="004F2664"/>
    <w:rsid w:val="004F2925"/>
    <w:rsid w:val="005064CD"/>
    <w:rsid w:val="00515298"/>
    <w:rsid w:val="0051643C"/>
    <w:rsid w:val="00520808"/>
    <w:rsid w:val="00524A7D"/>
    <w:rsid w:val="00537FC7"/>
    <w:rsid w:val="00555352"/>
    <w:rsid w:val="005648B4"/>
    <w:rsid w:val="00574447"/>
    <w:rsid w:val="00575355"/>
    <w:rsid w:val="005755B9"/>
    <w:rsid w:val="00577326"/>
    <w:rsid w:val="00585AD3"/>
    <w:rsid w:val="0058654F"/>
    <w:rsid w:val="00594EB7"/>
    <w:rsid w:val="005A35AF"/>
    <w:rsid w:val="005A57C8"/>
    <w:rsid w:val="005B38C8"/>
    <w:rsid w:val="005D14D1"/>
    <w:rsid w:val="005D52DB"/>
    <w:rsid w:val="005D6AFE"/>
    <w:rsid w:val="00600239"/>
    <w:rsid w:val="0061103C"/>
    <w:rsid w:val="006238B2"/>
    <w:rsid w:val="006252B8"/>
    <w:rsid w:val="00625651"/>
    <w:rsid w:val="00630F46"/>
    <w:rsid w:val="00656F02"/>
    <w:rsid w:val="0066460E"/>
    <w:rsid w:val="00697D7B"/>
    <w:rsid w:val="006A00D8"/>
    <w:rsid w:val="006A5E0E"/>
    <w:rsid w:val="006B34DA"/>
    <w:rsid w:val="006B44ED"/>
    <w:rsid w:val="006D3F1B"/>
    <w:rsid w:val="006E22DD"/>
    <w:rsid w:val="006E4B22"/>
    <w:rsid w:val="006E6B7F"/>
    <w:rsid w:val="00714AFC"/>
    <w:rsid w:val="007630D8"/>
    <w:rsid w:val="007904FF"/>
    <w:rsid w:val="007A34EA"/>
    <w:rsid w:val="007B003C"/>
    <w:rsid w:val="007B2F3B"/>
    <w:rsid w:val="007E1733"/>
    <w:rsid w:val="007E627A"/>
    <w:rsid w:val="007F0994"/>
    <w:rsid w:val="007F3DF7"/>
    <w:rsid w:val="007F64BB"/>
    <w:rsid w:val="00801937"/>
    <w:rsid w:val="008150C1"/>
    <w:rsid w:val="0081772B"/>
    <w:rsid w:val="00844CFF"/>
    <w:rsid w:val="00846235"/>
    <w:rsid w:val="0085611F"/>
    <w:rsid w:val="008629FA"/>
    <w:rsid w:val="00873B61"/>
    <w:rsid w:val="00881728"/>
    <w:rsid w:val="00895D10"/>
    <w:rsid w:val="008A4F7C"/>
    <w:rsid w:val="008C3FB9"/>
    <w:rsid w:val="008D07AB"/>
    <w:rsid w:val="008D0A3B"/>
    <w:rsid w:val="008D24BC"/>
    <w:rsid w:val="008D2636"/>
    <w:rsid w:val="008E30C1"/>
    <w:rsid w:val="008F00B3"/>
    <w:rsid w:val="008F4DEF"/>
    <w:rsid w:val="00904B5D"/>
    <w:rsid w:val="00913383"/>
    <w:rsid w:val="0091457B"/>
    <w:rsid w:val="00920E13"/>
    <w:rsid w:val="00921D53"/>
    <w:rsid w:val="0092282F"/>
    <w:rsid w:val="00943698"/>
    <w:rsid w:val="009516B0"/>
    <w:rsid w:val="00967FFC"/>
    <w:rsid w:val="00972E46"/>
    <w:rsid w:val="009840A4"/>
    <w:rsid w:val="00994C53"/>
    <w:rsid w:val="00996384"/>
    <w:rsid w:val="00996BD6"/>
    <w:rsid w:val="00997B26"/>
    <w:rsid w:val="009B246F"/>
    <w:rsid w:val="009B755F"/>
    <w:rsid w:val="009F385D"/>
    <w:rsid w:val="00A00AFC"/>
    <w:rsid w:val="00A0106E"/>
    <w:rsid w:val="00A1165F"/>
    <w:rsid w:val="00A20D97"/>
    <w:rsid w:val="00A2739D"/>
    <w:rsid w:val="00A30F1C"/>
    <w:rsid w:val="00A462EA"/>
    <w:rsid w:val="00A53AFA"/>
    <w:rsid w:val="00A605B0"/>
    <w:rsid w:val="00A87D5B"/>
    <w:rsid w:val="00A90211"/>
    <w:rsid w:val="00A97146"/>
    <w:rsid w:val="00AB162A"/>
    <w:rsid w:val="00AF39B8"/>
    <w:rsid w:val="00B25BE4"/>
    <w:rsid w:val="00B32452"/>
    <w:rsid w:val="00B37CC9"/>
    <w:rsid w:val="00B4080A"/>
    <w:rsid w:val="00B42B43"/>
    <w:rsid w:val="00B437B3"/>
    <w:rsid w:val="00B4789A"/>
    <w:rsid w:val="00B86182"/>
    <w:rsid w:val="00B87FAE"/>
    <w:rsid w:val="00B90A2F"/>
    <w:rsid w:val="00B95C7D"/>
    <w:rsid w:val="00BA093A"/>
    <w:rsid w:val="00BA5BA9"/>
    <w:rsid w:val="00BB48D5"/>
    <w:rsid w:val="00BB544C"/>
    <w:rsid w:val="00BB5638"/>
    <w:rsid w:val="00BC22E3"/>
    <w:rsid w:val="00BF3ADE"/>
    <w:rsid w:val="00C070BC"/>
    <w:rsid w:val="00C447D8"/>
    <w:rsid w:val="00C46260"/>
    <w:rsid w:val="00C46F65"/>
    <w:rsid w:val="00C63956"/>
    <w:rsid w:val="00C77AA2"/>
    <w:rsid w:val="00C84012"/>
    <w:rsid w:val="00CA023C"/>
    <w:rsid w:val="00CA3E12"/>
    <w:rsid w:val="00CA51BE"/>
    <w:rsid w:val="00CA6BAF"/>
    <w:rsid w:val="00CB3623"/>
    <w:rsid w:val="00CD4982"/>
    <w:rsid w:val="00CE0CE9"/>
    <w:rsid w:val="00CE1285"/>
    <w:rsid w:val="00CE3AD0"/>
    <w:rsid w:val="00D54060"/>
    <w:rsid w:val="00D560F4"/>
    <w:rsid w:val="00D829FE"/>
    <w:rsid w:val="00D856F7"/>
    <w:rsid w:val="00D921AE"/>
    <w:rsid w:val="00D956BF"/>
    <w:rsid w:val="00D95D83"/>
    <w:rsid w:val="00DA4453"/>
    <w:rsid w:val="00DB5B4C"/>
    <w:rsid w:val="00DC3936"/>
    <w:rsid w:val="00DD01CA"/>
    <w:rsid w:val="00DD59C1"/>
    <w:rsid w:val="00DE51AC"/>
    <w:rsid w:val="00DE7DDD"/>
    <w:rsid w:val="00DF13A2"/>
    <w:rsid w:val="00DF41EF"/>
    <w:rsid w:val="00DF5AC4"/>
    <w:rsid w:val="00E07E86"/>
    <w:rsid w:val="00E13108"/>
    <w:rsid w:val="00E1659F"/>
    <w:rsid w:val="00E22685"/>
    <w:rsid w:val="00E26347"/>
    <w:rsid w:val="00E26A0C"/>
    <w:rsid w:val="00E31369"/>
    <w:rsid w:val="00E40428"/>
    <w:rsid w:val="00E538C0"/>
    <w:rsid w:val="00E56934"/>
    <w:rsid w:val="00E62F83"/>
    <w:rsid w:val="00E754CD"/>
    <w:rsid w:val="00E80608"/>
    <w:rsid w:val="00E818EB"/>
    <w:rsid w:val="00EB2E67"/>
    <w:rsid w:val="00EC00C5"/>
    <w:rsid w:val="00EE69FF"/>
    <w:rsid w:val="00EF0C21"/>
    <w:rsid w:val="00EF6172"/>
    <w:rsid w:val="00F02334"/>
    <w:rsid w:val="00F2597D"/>
    <w:rsid w:val="00F25A55"/>
    <w:rsid w:val="00F30B4E"/>
    <w:rsid w:val="00F364DC"/>
    <w:rsid w:val="00F3697D"/>
    <w:rsid w:val="00F41319"/>
    <w:rsid w:val="00F543D0"/>
    <w:rsid w:val="00F65F2E"/>
    <w:rsid w:val="00F7360C"/>
    <w:rsid w:val="00F74104"/>
    <w:rsid w:val="00F74B56"/>
    <w:rsid w:val="00F7696B"/>
    <w:rsid w:val="00F77D10"/>
    <w:rsid w:val="00F871AD"/>
    <w:rsid w:val="00F938A1"/>
    <w:rsid w:val="00F944DF"/>
    <w:rsid w:val="00FA11DD"/>
    <w:rsid w:val="00FB7660"/>
    <w:rsid w:val="00FE4FAB"/>
    <w:rsid w:val="00FF5A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55D88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EB2E6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F3ADE"/>
    <w:pPr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F3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EDA1-CDC3-4178-A06B-76F551E0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2177</Words>
  <Characters>12415</Characters>
  <Application>Microsoft Office Word</Application>
  <DocSecurity>0</DocSecurity>
  <Lines>0</Lines>
  <Paragraphs>0</Paragraphs>
  <ScaleCrop>false</ScaleCrop>
  <Company>MPSVR SR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2016-12-01T10:46:00Z</cp:lastPrinted>
  <dcterms:created xsi:type="dcterms:W3CDTF">2016-12-15T12:23:00Z</dcterms:created>
  <dcterms:modified xsi:type="dcterms:W3CDTF">2016-12-15T12:23:00Z</dcterms:modified>
</cp:coreProperties>
</file>