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44634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A66B4D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6B4D" w:rsidRPr="00944634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01A1" w:rsidRPr="00944634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44634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44634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0E41" w:rsidRPr="00944634" w:rsidP="007B5018">
            <w:pPr>
              <w:bidi w:val="0"/>
              <w:jc w:val="both"/>
              <w:rPr>
                <w:rFonts w:ascii="Times New Roman" w:hAnsi="Times New Roman"/>
              </w:rPr>
            </w:pPr>
            <w:r w:rsidR="007B5018">
              <w:rPr>
                <w:rFonts w:ascii="Times New Roman" w:hAnsi="Times New Roman"/>
              </w:rPr>
              <w:t>Vládny n</w:t>
            </w:r>
            <w:r w:rsidRPr="00944634">
              <w:rPr>
                <w:rFonts w:ascii="Times New Roman" w:hAnsi="Times New Roman"/>
              </w:rPr>
              <w:t>ávrh zákona, ktorým sa mení a dopĺňa zákon č. 43/2004 Z. z. o starobnom dôchodkovom sporení a o zmene a doplnení niektorých zákonov v znení neskorších predpisov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44634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44634" w:rsidP="007B71A4">
            <w:pPr>
              <w:bidi w:val="0"/>
              <w:rPr>
                <w:rFonts w:ascii="Times New Roman" w:hAnsi="Times New Roman"/>
              </w:rPr>
            </w:pPr>
            <w:r w:rsidRPr="00944634" w:rsidR="000734A2">
              <w:rPr>
                <w:rFonts w:ascii="Times New Roman" w:hAnsi="Times New Roman"/>
              </w:rPr>
              <w:t>M</w:t>
            </w:r>
            <w:r w:rsidRPr="00944634" w:rsidR="00D002E3">
              <w:rPr>
                <w:rFonts w:ascii="Times New Roman" w:hAnsi="Times New Roman"/>
              </w:rPr>
              <w:t>inister práce, sociálnych vecí a rodiny Slovenskej republiky</w:t>
            </w:r>
          </w:p>
          <w:p w:rsidR="003501A1" w:rsidRPr="00944634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944634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944634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44634" w:rsidP="007B71A4">
            <w:pPr>
              <w:bidi w:val="0"/>
              <w:rPr>
                <w:rFonts w:ascii="Times New Roman" w:hAnsi="Times New Roman"/>
              </w:rPr>
            </w:pPr>
            <w:r w:rsidRPr="00944634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44634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944634" w:rsidR="00B014B9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44634" w:rsidP="007B71A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944634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44634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944634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44634" w:rsidP="007B71A4">
            <w:pPr>
              <w:bidi w:val="0"/>
              <w:rPr>
                <w:rFonts w:ascii="Times New Roman" w:hAnsi="Times New Roman"/>
              </w:rPr>
            </w:pPr>
            <w:r w:rsidRPr="00944634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44634" w:rsidP="007B71A4">
            <w:pPr>
              <w:bidi w:val="0"/>
              <w:rPr>
                <w:rFonts w:ascii="Times New Roman" w:hAnsi="Times New Roman"/>
              </w:rPr>
            </w:pPr>
          </w:p>
          <w:p w:rsidR="003501A1" w:rsidRPr="00944634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44634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A2" w:rsidRPr="00944634" w:rsidP="000734A2">
            <w:pPr>
              <w:bidi w:val="0"/>
              <w:rPr>
                <w:rFonts w:ascii="Times New Roman" w:hAnsi="Times New Roman"/>
                <w:i/>
              </w:rPr>
            </w:pPr>
            <w:r w:rsidRPr="00944634">
              <w:rPr>
                <w:rFonts w:ascii="Times New Roman" w:hAnsi="Times New Roman"/>
                <w:i/>
              </w:rPr>
              <w:t xml:space="preserve">Začiatok: </w:t>
            </w:r>
            <w:r w:rsidR="00594A76">
              <w:rPr>
                <w:rFonts w:ascii="Times New Roman" w:hAnsi="Times New Roman"/>
                <w:i/>
              </w:rPr>
              <w:t>2</w:t>
            </w:r>
            <w:r w:rsidRPr="00944634">
              <w:rPr>
                <w:rFonts w:ascii="Times New Roman" w:hAnsi="Times New Roman"/>
                <w:i/>
              </w:rPr>
              <w:t xml:space="preserve">1.7.2016 </w:t>
            </w:r>
          </w:p>
          <w:p w:rsidR="003501A1" w:rsidRPr="00944634" w:rsidP="000734A2">
            <w:pPr>
              <w:bidi w:val="0"/>
              <w:rPr>
                <w:rFonts w:ascii="Times New Roman" w:hAnsi="Times New Roman"/>
                <w:i/>
              </w:rPr>
            </w:pPr>
            <w:r w:rsidR="00594A76">
              <w:rPr>
                <w:rFonts w:ascii="Times New Roman" w:hAnsi="Times New Roman"/>
                <w:i/>
              </w:rPr>
              <w:t>Koniec:   25</w:t>
            </w:r>
            <w:r w:rsidRPr="00944634" w:rsidR="000734A2">
              <w:rPr>
                <w:rFonts w:ascii="Times New Roman" w:hAnsi="Times New Roman"/>
                <w:i/>
              </w:rPr>
              <w:t>.7.2016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44634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Predpokladaný termín predloženia na MPK</w:t>
            </w:r>
            <w:r w:rsidRPr="00944634"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A2" w:rsidRPr="00944634" w:rsidP="000734A2">
            <w:pPr>
              <w:bidi w:val="0"/>
              <w:rPr>
                <w:rFonts w:ascii="Times New Roman" w:hAnsi="Times New Roman"/>
                <w:i/>
              </w:rPr>
            </w:pPr>
            <w:r w:rsidRPr="00944634">
              <w:rPr>
                <w:rFonts w:ascii="Times New Roman" w:hAnsi="Times New Roman"/>
                <w:i/>
              </w:rPr>
              <w:t xml:space="preserve">Začiatok: 5.8.2016 </w:t>
            </w:r>
          </w:p>
          <w:p w:rsidR="003501A1" w:rsidRPr="00944634" w:rsidP="000734A2">
            <w:pPr>
              <w:bidi w:val="0"/>
              <w:rPr>
                <w:rFonts w:ascii="Times New Roman" w:hAnsi="Times New Roman"/>
                <w:i/>
              </w:rPr>
            </w:pPr>
            <w:r w:rsidRPr="00944634" w:rsidR="000734A2">
              <w:rPr>
                <w:rFonts w:ascii="Times New Roman" w:hAnsi="Times New Roman"/>
                <w:i/>
              </w:rPr>
              <w:t>Koniec:   25.8.2016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44634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Predpokladaný termín predloženia na Rokovanie vlády SR</w:t>
            </w:r>
            <w:r w:rsidRPr="00944634"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44634" w:rsidP="004E3A90">
            <w:pPr>
              <w:bidi w:val="0"/>
              <w:rPr>
                <w:rFonts w:ascii="Times New Roman" w:hAnsi="Times New Roman"/>
                <w:i/>
              </w:rPr>
            </w:pPr>
            <w:r w:rsidR="00C02464">
              <w:rPr>
                <w:rFonts w:ascii="Times New Roman" w:hAnsi="Times New Roman"/>
                <w:i/>
              </w:rPr>
              <w:t>14.12.2016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944634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44634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Defin</w:t>
            </w:r>
            <w:r w:rsidRPr="00944634" w:rsidR="00AC2477">
              <w:rPr>
                <w:rFonts w:ascii="Times New Roman" w:hAnsi="Times New Roman"/>
                <w:b/>
              </w:rPr>
              <w:t>ovanie</w:t>
            </w:r>
            <w:r w:rsidRPr="00944634">
              <w:rPr>
                <w:rFonts w:ascii="Times New Roman" w:hAnsi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D5159" w:rsidRPr="00944634" w:rsidP="007B5018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Pr="00944634" w:rsidR="00817BAA">
              <w:rPr>
                <w:rFonts w:ascii="Times New Roman" w:hAnsi="Times New Roman"/>
                <w:i/>
              </w:rPr>
              <w:t>Súčasné nastavenie podmienok pre vyplácanie dôchodku z II. piliera programovým výberom umož</w:t>
            </w:r>
            <w:r w:rsidRPr="00944634">
              <w:rPr>
                <w:rFonts w:ascii="Times New Roman" w:hAnsi="Times New Roman"/>
                <w:i/>
              </w:rPr>
              <w:t>nilo v roku 2015</w:t>
            </w:r>
            <w:r w:rsidRPr="00944634" w:rsidR="00817BAA">
              <w:rPr>
                <w:rFonts w:ascii="Times New Roman" w:hAnsi="Times New Roman"/>
                <w:i/>
              </w:rPr>
              <w:t xml:space="preserve"> využiť túto možnosť  </w:t>
            </w:r>
            <w:r w:rsidRPr="00944634" w:rsidR="00FD09A8">
              <w:rPr>
                <w:rFonts w:ascii="Times New Roman" w:hAnsi="Times New Roman"/>
                <w:i/>
              </w:rPr>
              <w:t xml:space="preserve">len </w:t>
            </w:r>
            <w:r w:rsidRPr="00944634" w:rsidR="00380F35">
              <w:rPr>
                <w:rFonts w:ascii="Times New Roman" w:hAnsi="Times New Roman"/>
                <w:i/>
              </w:rPr>
              <w:t xml:space="preserve">cca </w:t>
            </w:r>
            <w:r w:rsidRPr="00944634" w:rsidR="00DD68A6">
              <w:rPr>
                <w:rFonts w:ascii="Times New Roman" w:hAnsi="Times New Roman"/>
                <w:i/>
              </w:rPr>
              <w:t xml:space="preserve">16 </w:t>
            </w:r>
            <w:r w:rsidRPr="00944634" w:rsidR="00380F35">
              <w:rPr>
                <w:rFonts w:ascii="Times New Roman" w:hAnsi="Times New Roman"/>
                <w:i/>
              </w:rPr>
              <w:t xml:space="preserve">% </w:t>
            </w:r>
            <w:r w:rsidRPr="00944634" w:rsidR="008171B3">
              <w:rPr>
                <w:rFonts w:ascii="Times New Roman" w:hAnsi="Times New Roman"/>
                <w:i/>
              </w:rPr>
              <w:t>sporiteľo</w:t>
            </w:r>
            <w:r w:rsidR="008171B3">
              <w:rPr>
                <w:rFonts w:ascii="Times New Roman" w:hAnsi="Times New Roman"/>
                <w:i/>
              </w:rPr>
              <w:t>v</w:t>
            </w:r>
            <w:r w:rsidRPr="00944634" w:rsidR="00380F35">
              <w:rPr>
                <w:rFonts w:ascii="Times New Roman" w:hAnsi="Times New Roman"/>
                <w:i/>
              </w:rPr>
              <w:t>,</w:t>
            </w:r>
            <w:r w:rsidRPr="00944634">
              <w:rPr>
                <w:rFonts w:ascii="Times New Roman" w:hAnsi="Times New Roman"/>
                <w:i/>
              </w:rPr>
              <w:t xml:space="preserve"> ktorí v danom roku požiadali o dôchodok z II. piliera a bola im vyhotovená ponuka na dôchodok</w:t>
            </w:r>
            <w:r w:rsidRPr="00944634" w:rsidR="00380F35">
              <w:rPr>
                <w:rFonts w:ascii="Times New Roman" w:hAnsi="Times New Roman"/>
                <w:i/>
              </w:rPr>
              <w:t xml:space="preserve"> z II. piliera</w:t>
            </w:r>
            <w:r w:rsidRPr="00944634" w:rsidR="00817BAA">
              <w:rPr>
                <w:rFonts w:ascii="Times New Roman" w:hAnsi="Times New Roman"/>
                <w:i/>
              </w:rPr>
              <w:t xml:space="preserve">. </w:t>
            </w:r>
            <w:r w:rsidRPr="00944634" w:rsidR="00CD467C">
              <w:rPr>
                <w:rFonts w:ascii="Times New Roman" w:hAnsi="Times New Roman"/>
                <w:i/>
              </w:rPr>
              <w:t xml:space="preserve">Ostatných </w:t>
            </w:r>
            <w:r w:rsidRPr="00944634" w:rsidR="00DD68A6">
              <w:rPr>
                <w:rFonts w:ascii="Times New Roman" w:hAnsi="Times New Roman"/>
                <w:i/>
              </w:rPr>
              <w:t xml:space="preserve">84 </w:t>
            </w:r>
            <w:r w:rsidRPr="00944634" w:rsidR="00CD467C">
              <w:rPr>
                <w:rFonts w:ascii="Times New Roman" w:hAnsi="Times New Roman"/>
                <w:i/>
              </w:rPr>
              <w:t>% sporiteľov teda nem</w:t>
            </w:r>
            <w:r w:rsidRPr="00944634">
              <w:rPr>
                <w:rFonts w:ascii="Times New Roman" w:hAnsi="Times New Roman"/>
                <w:i/>
              </w:rPr>
              <w:t>ohlo</w:t>
            </w:r>
            <w:r w:rsidRPr="00944634" w:rsidR="00CD467C">
              <w:rPr>
                <w:rFonts w:ascii="Times New Roman" w:hAnsi="Times New Roman"/>
                <w:i/>
              </w:rPr>
              <w:t xml:space="preserve"> slobodne rozhodovať o tom, ako so svojimi úsporami so systému starobné</w:t>
            </w:r>
            <w:r w:rsidRPr="00944634" w:rsidR="00DD68A6">
              <w:rPr>
                <w:rFonts w:ascii="Times New Roman" w:hAnsi="Times New Roman"/>
                <w:i/>
              </w:rPr>
              <w:t>ho dôchodkového sporenia naloží</w:t>
            </w:r>
            <w:r w:rsidRPr="00944634" w:rsidR="00CD467C">
              <w:rPr>
                <w:rFonts w:ascii="Times New Roman" w:hAnsi="Times New Roman"/>
                <w:i/>
              </w:rPr>
              <w:t>.</w:t>
            </w:r>
            <w:r w:rsidRPr="00944634" w:rsidR="00DD68A6">
              <w:rPr>
                <w:rFonts w:ascii="Times New Roman" w:hAnsi="Times New Roman"/>
                <w:i/>
              </w:rPr>
              <w:t xml:space="preserve"> Je dôležité</w:t>
            </w:r>
            <w:r w:rsidRPr="00944634" w:rsidR="00DB60F3">
              <w:rPr>
                <w:rFonts w:ascii="Times New Roman" w:hAnsi="Times New Roman"/>
                <w:i/>
              </w:rPr>
              <w:t>,</w:t>
            </w:r>
            <w:r w:rsidRPr="00944634" w:rsidR="00DD68A6">
              <w:rPr>
                <w:rFonts w:ascii="Times New Roman" w:hAnsi="Times New Roman"/>
                <w:i/>
              </w:rPr>
              <w:t xml:space="preserve"> aby sporiteľ mohol rozhodovať o svojich úsporách zo systému starobného dôchodkového sporenia</w:t>
            </w:r>
            <w:r w:rsidRPr="00944634">
              <w:rPr>
                <w:rFonts w:ascii="Times New Roman" w:hAnsi="Times New Roman"/>
                <w:i/>
              </w:rPr>
              <w:t>,</w:t>
            </w:r>
            <w:r w:rsidRPr="00944634" w:rsidR="00DD68A6">
              <w:rPr>
                <w:rFonts w:ascii="Times New Roman" w:hAnsi="Times New Roman"/>
                <w:i/>
              </w:rPr>
              <w:t xml:space="preserve"> avšak taktiež je dôležité naplniť účel starobného dôchodkového sporenia, ktorým je zabezpečiť spolu s dôchodkovým poistením</w:t>
            </w:r>
            <w:r w:rsidRPr="00944634" w:rsidR="00982CB9">
              <w:rPr>
                <w:rFonts w:ascii="Times New Roman" w:hAnsi="Times New Roman"/>
                <w:i/>
              </w:rPr>
              <w:t xml:space="preserve"> podľa zákona </w:t>
            </w:r>
            <w:r w:rsidRPr="00944634" w:rsidR="002D5BF8">
              <w:rPr>
                <w:rFonts w:ascii="Times New Roman" w:hAnsi="Times New Roman"/>
                <w:i/>
              </w:rPr>
              <w:t>o sociálnom</w:t>
            </w:r>
            <w:r w:rsidRPr="00944634" w:rsidR="00982CB9">
              <w:rPr>
                <w:rFonts w:ascii="Times New Roman" w:hAnsi="Times New Roman"/>
                <w:i/>
              </w:rPr>
              <w:t xml:space="preserve"> poistení</w:t>
            </w:r>
            <w:r w:rsidRPr="00944634" w:rsidR="00DD68A6">
              <w:rPr>
                <w:rFonts w:ascii="Times New Roman" w:hAnsi="Times New Roman"/>
                <w:i/>
              </w:rPr>
              <w:t xml:space="preserve"> </w:t>
            </w:r>
            <w:r w:rsidRPr="00944634">
              <w:rPr>
                <w:rFonts w:ascii="Times New Roman" w:hAnsi="Times New Roman"/>
                <w:i/>
              </w:rPr>
              <w:t>(</w:t>
            </w:r>
            <w:r w:rsidRPr="00944634" w:rsidR="00DD68A6">
              <w:rPr>
                <w:rFonts w:ascii="Times New Roman" w:hAnsi="Times New Roman"/>
                <w:i/>
              </w:rPr>
              <w:t>dostatočný</w:t>
            </w:r>
            <w:r w:rsidRPr="00944634">
              <w:rPr>
                <w:rFonts w:ascii="Times New Roman" w:hAnsi="Times New Roman"/>
                <w:i/>
              </w:rPr>
              <w:t>)</w:t>
            </w:r>
            <w:r w:rsidRPr="00944634" w:rsidR="00DD68A6">
              <w:rPr>
                <w:rFonts w:ascii="Times New Roman" w:hAnsi="Times New Roman"/>
                <w:i/>
              </w:rPr>
              <w:t xml:space="preserve"> príjem sporiteľovi v starobe. Potrebou je nájsť </w:t>
            </w:r>
            <w:r w:rsidRPr="00944634">
              <w:rPr>
                <w:rFonts w:ascii="Times New Roman" w:hAnsi="Times New Roman"/>
                <w:i/>
              </w:rPr>
              <w:t>primeranú rovnováhu medzi možnosťou slobodne nakladať so svojimi úsporami v II. pilieri a</w:t>
            </w:r>
            <w:r w:rsidRPr="00944634" w:rsidR="00A12A34">
              <w:rPr>
                <w:rFonts w:ascii="Times New Roman" w:hAnsi="Times New Roman"/>
                <w:i/>
              </w:rPr>
              <w:t xml:space="preserve"> potrebou primeraného a dostatočného zabezpečenia počas celého obdobia na dôchodku.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44634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B682A" w:rsidRPr="00944634" w:rsidP="003B682A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944634">
              <w:rPr>
                <w:rFonts w:ascii="Times New Roman" w:hAnsi="Times New Roman"/>
                <w:i/>
              </w:rPr>
              <w:t xml:space="preserve">Účelom predkladaného </w:t>
            </w:r>
            <w:r w:rsidR="00C567F9">
              <w:rPr>
                <w:rFonts w:ascii="Times New Roman" w:hAnsi="Times New Roman"/>
                <w:i/>
              </w:rPr>
              <w:t xml:space="preserve">vládneho </w:t>
            </w:r>
            <w:r w:rsidRPr="00944634">
              <w:rPr>
                <w:rFonts w:ascii="Times New Roman" w:hAnsi="Times New Roman"/>
                <w:i/>
              </w:rPr>
              <w:t>návrhu zákona je úprava podmienok vyplácania starobného dôchodku a predčasného starobného dôchodku programovým výberom a z dôvodu zachovania rovnakých podmienok pre vyplácanie programového výberu a dočasného dôchodku aj úprava podmienok vyplácania dočasného starobného a dočasného predčasného starobného dôchodku, s cieľom zabezpečiť väčšiemu počtu sporiteľov možnosť</w:t>
            </w:r>
            <w:r w:rsidR="00523567">
              <w:rPr>
                <w:rFonts w:ascii="Times New Roman" w:hAnsi="Times New Roman"/>
                <w:i/>
              </w:rPr>
              <w:t xml:space="preserve"> slobodnejšie sa rozhodovať pre rôzne formy vyplácania dôchodkov. </w:t>
            </w:r>
          </w:p>
          <w:p w:rsidR="00E70E41" w:rsidRPr="00944634" w:rsidP="00817BAA">
            <w:pPr>
              <w:bidi w:val="0"/>
              <w:rPr>
                <w:rFonts w:ascii="Times New Roman" w:hAnsi="Times New Roman"/>
                <w:i/>
              </w:rPr>
            </w:pPr>
          </w:p>
          <w:p w:rsidR="007E56A6" w:rsidRPr="007A784A" w:rsidP="007A784A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="00C567F9">
              <w:rPr>
                <w:rFonts w:ascii="Times New Roman" w:hAnsi="Times New Roman"/>
                <w:i/>
              </w:rPr>
              <w:t xml:space="preserve">O vládnom </w:t>
            </w:r>
            <w:r w:rsidRPr="00944634" w:rsidR="008474C8">
              <w:rPr>
                <w:rFonts w:ascii="Times New Roman" w:hAnsi="Times New Roman"/>
                <w:i/>
              </w:rPr>
              <w:t>návrhu zákona  sa určuje nová hranica sumy, s ktorou sa bude porovnávať súčet doživotne poberaných dôchodkov sporiteľa.</w:t>
            </w:r>
            <w:r w:rsidRPr="007A784A" w:rsidR="008474C8">
              <w:rPr>
                <w:rFonts w:ascii="Times New Roman" w:hAnsi="Times New Roman"/>
                <w:i/>
              </w:rPr>
              <w:t xml:space="preserve"> </w:t>
            </w:r>
            <w:r w:rsidRPr="00944634" w:rsidR="008474C8">
              <w:rPr>
                <w:rFonts w:ascii="Times New Roman" w:hAnsi="Times New Roman"/>
                <w:i/>
              </w:rPr>
              <w:t xml:space="preserve">Touto hranicou </w:t>
            </w:r>
            <w:r w:rsidRPr="00944634" w:rsidR="00A12A34">
              <w:rPr>
                <w:rFonts w:ascii="Times New Roman" w:hAnsi="Times New Roman"/>
                <w:i/>
              </w:rPr>
              <w:t>má byť pri novom nastavení</w:t>
            </w:r>
            <w:r w:rsidRPr="00944634" w:rsidR="008474C8">
              <w:rPr>
                <w:rFonts w:ascii="Times New Roman" w:hAnsi="Times New Roman"/>
                <w:i/>
              </w:rPr>
              <w:t> </w:t>
            </w:r>
            <w:r w:rsidRPr="00944634" w:rsidR="00A12A34">
              <w:rPr>
                <w:rFonts w:ascii="Times New Roman" w:hAnsi="Times New Roman"/>
                <w:i/>
              </w:rPr>
              <w:t>zákona</w:t>
            </w:r>
            <w:r>
              <w:rPr>
                <w:rFonts w:ascii="Times New Roman" w:hAnsi="Times New Roman"/>
                <w:i/>
              </w:rPr>
              <w:t>, tzv.</w:t>
            </w:r>
            <w:r w:rsidRPr="00944634" w:rsidR="00A12A3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r</w:t>
            </w:r>
            <w:r w:rsidRPr="007A784A">
              <w:rPr>
                <w:rFonts w:ascii="Times New Roman" w:hAnsi="Times New Roman"/>
                <w:i/>
              </w:rPr>
              <w:t>eferenčná suma</w:t>
            </w:r>
            <w:r>
              <w:rPr>
                <w:rFonts w:ascii="Times New Roman" w:hAnsi="Times New Roman"/>
                <w:i/>
              </w:rPr>
              <w:t>, t.j.</w:t>
            </w:r>
            <w:r w:rsidRPr="00E16738">
              <w:rPr>
                <w:rFonts w:ascii="Times New Roman" w:hAnsi="Times New Roman"/>
                <w:i/>
              </w:rPr>
              <w:t xml:space="preserve"> </w:t>
            </w:r>
            <w:r w:rsidRPr="007A784A">
              <w:rPr>
                <w:rFonts w:ascii="Times New Roman" w:hAnsi="Times New Roman"/>
                <w:i/>
              </w:rPr>
              <w:t xml:space="preserve"> priemerná mesačná suma starobného dôchodku </w:t>
            </w:r>
            <w:r>
              <w:rPr>
                <w:rFonts w:ascii="Times New Roman" w:hAnsi="Times New Roman"/>
                <w:i/>
              </w:rPr>
              <w:t>z I. piliera</w:t>
            </w:r>
            <w:r w:rsidRPr="007A784A">
              <w:rPr>
                <w:rFonts w:ascii="Times New Roman" w:hAnsi="Times New Roman"/>
                <w:i/>
              </w:rPr>
              <w:t xml:space="preserve"> určená k 30. novembru kalendárneho roka.</w:t>
            </w:r>
          </w:p>
          <w:p w:rsidR="007E56A6" w:rsidRPr="007A784A" w:rsidP="007A784A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7A784A">
              <w:rPr>
                <w:rFonts w:ascii="Times New Roman" w:hAnsi="Times New Roman"/>
                <w:i/>
              </w:rPr>
              <w:t xml:space="preserve">Na určenie referenčnej sumy sa použije starobný dôchodok </w:t>
            </w:r>
            <w:r>
              <w:rPr>
                <w:rFonts w:ascii="Times New Roman" w:hAnsi="Times New Roman"/>
                <w:i/>
              </w:rPr>
              <w:t>z I. piliera,</w:t>
            </w:r>
            <w:r w:rsidRPr="007A784A">
              <w:rPr>
                <w:rFonts w:ascii="Times New Roman" w:hAnsi="Times New Roman"/>
                <w:i/>
              </w:rPr>
              <w:t xml:space="preserve"> </w:t>
            </w:r>
          </w:p>
          <w:p w:rsidR="007E56A6" w:rsidRPr="007A784A" w:rsidP="007E56A6">
            <w:pPr>
              <w:pStyle w:val="ListParagraph"/>
              <w:numPr>
                <w:numId w:val="13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7A784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na ktorý vznikol nárok po 31. decembri 2003 a nárok na výplatu ktorého trvá ku dňu, ku ktorému sa referenčná suma určuje, </w:t>
            </w:r>
          </w:p>
          <w:p w:rsidR="007E56A6" w:rsidRPr="007A784A" w:rsidP="007E56A6">
            <w:pPr>
              <w:pStyle w:val="ListParagraph"/>
              <w:numPr>
                <w:numId w:val="13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7A784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ktorý by sa vyplácal v sume nezníženej za obdobie účasti na starobnom dôchodkovom sporení, ak nárok na starobný dôchodok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z I. piliera </w:t>
            </w:r>
            <w:r w:rsidRPr="007A784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vznikol poistencovi, ktorý je alebo bol sporiteľom, a</w:t>
            </w:r>
          </w:p>
          <w:p w:rsidR="007E56A6" w:rsidRPr="007A784A" w:rsidP="007E56A6">
            <w:pPr>
              <w:pStyle w:val="ListParagraph"/>
              <w:numPr>
                <w:numId w:val="13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7A784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ktorý nebol znížený z dôvodu súbehu s inou dôchodkovou dávkou.</w:t>
            </w:r>
          </w:p>
          <w:p w:rsidR="007E56A6" w:rsidRPr="007A784A" w:rsidP="007A784A">
            <w:pPr>
              <w:bidi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Takto nastavená r</w:t>
            </w:r>
            <w:r w:rsidRPr="007A784A">
              <w:rPr>
                <w:rFonts w:ascii="Times New Roman" w:hAnsi="Times New Roman"/>
                <w:i/>
              </w:rPr>
              <w:t xml:space="preserve">eferenčná suma </w:t>
            </w:r>
            <w:r>
              <w:rPr>
                <w:rFonts w:ascii="Times New Roman" w:hAnsi="Times New Roman"/>
                <w:i/>
              </w:rPr>
              <w:t>bude</w:t>
            </w:r>
            <w:r w:rsidRPr="007A784A">
              <w:rPr>
                <w:rFonts w:ascii="Times New Roman" w:hAnsi="Times New Roman"/>
                <w:i/>
              </w:rPr>
              <w:t xml:space="preserve"> platná v kalendárnom roku nasledujúcom po kalen</w:t>
            </w:r>
            <w:r w:rsidRPr="00E16738">
              <w:rPr>
                <w:rFonts w:ascii="Times New Roman" w:hAnsi="Times New Roman"/>
                <w:i/>
              </w:rPr>
              <w:t>dárnom roku, v ktorom sa určila</w:t>
            </w:r>
            <w:r>
              <w:rPr>
                <w:rFonts w:ascii="Times New Roman" w:hAnsi="Times New Roman"/>
                <w:i/>
              </w:rPr>
              <w:t xml:space="preserve">. </w:t>
            </w:r>
          </w:p>
          <w:p w:rsidR="003A4DF2" w:rsidP="00FD09A8">
            <w:pPr>
              <w:bidi w:val="0"/>
              <w:jc w:val="both"/>
              <w:rPr>
                <w:rFonts w:ascii="Times New Roman" w:hAnsi="Times New Roman"/>
                <w:i/>
              </w:rPr>
            </w:pPr>
          </w:p>
          <w:p w:rsidR="00ED036F" w:rsidRPr="003D4C7E" w:rsidP="00ED036F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7E56A6">
              <w:rPr>
                <w:rFonts w:ascii="Times New Roman" w:hAnsi="Times New Roman"/>
                <w:i/>
              </w:rPr>
              <w:t xml:space="preserve">Za predpokladu, že nedôjde k signifikantným  zmenám relevantných charakteristík sporiteľov oproti sporiteľom </w:t>
            </w:r>
            <w:r w:rsidRPr="007A784A">
              <w:rPr>
                <w:rFonts w:ascii="Times New Roman" w:hAnsi="Times New Roman"/>
                <w:i/>
              </w:rPr>
              <w:t>doteraz žiadajúcim o dôchodok, by nárok na programový výber a dočasný dôchodok mohla v budúcnosti získať približne polovica sporiteľov. S úsporami, nad rámec ich zabezpečenia vo výške</w:t>
            </w:r>
            <w:r w:rsidR="00314A38">
              <w:rPr>
                <w:rFonts w:ascii="Times New Roman" w:hAnsi="Times New Roman"/>
                <w:i/>
              </w:rPr>
              <w:t xml:space="preserve"> </w:t>
            </w:r>
            <w:r w:rsidR="00EC128E">
              <w:rPr>
                <w:rFonts w:ascii="Times New Roman" w:hAnsi="Times New Roman"/>
                <w:i/>
              </w:rPr>
              <w:t>referenčnej sumy</w:t>
            </w:r>
            <w:r w:rsidRPr="00EC128E">
              <w:rPr>
                <w:rFonts w:ascii="Times New Roman" w:hAnsi="Times New Roman"/>
                <w:i/>
              </w:rPr>
              <w:t xml:space="preserve">, by sa po novom mohli slobodne rozhodovať, či ich použijú na navýšenie či kúpu anuity, dočasného dôchodku alebo </w:t>
            </w:r>
            <w:r w:rsidRPr="003D4C7E">
              <w:rPr>
                <w:rFonts w:ascii="Times New Roman" w:hAnsi="Times New Roman"/>
                <w:i/>
              </w:rPr>
              <w:t xml:space="preserve">ich použijú na programový výber.   </w:t>
            </w:r>
          </w:p>
          <w:p w:rsidR="00E70E41" w:rsidRPr="00944634" w:rsidP="005D6F08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44634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45445A" w:rsidRPr="00944634" w:rsidP="0045445A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944634">
              <w:rPr>
                <w:rFonts w:ascii="Times New Roman" w:hAnsi="Times New Roman"/>
                <w:i/>
              </w:rPr>
              <w:t>Tri poisťovne zapojené do vyplácania dôchodkov z II. piliera,  šesť dôchodkových správcovských spoločností, všetci sporitelia v systéme starobného dôchodkového sporenia, ktorí budú žiadať o dôchodok z II. piliera.</w:t>
            </w:r>
          </w:p>
          <w:p w:rsidR="003501A1" w:rsidRPr="00944634" w:rsidP="00817BAA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44634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D09A8" w:rsidRPr="00944634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FD09A8" w:rsidRPr="00944634" w:rsidP="00FE1C21">
            <w:pPr>
              <w:bidi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944634">
              <w:rPr>
                <w:rFonts w:ascii="Times New Roman" w:hAnsi="Times New Roman"/>
                <w:i/>
                <w:szCs w:val="24"/>
              </w:rPr>
              <w:t xml:space="preserve">V  Programovom vyhlásení vlády SR na roky 2016-2020 sa vláda zaviazala priblížiť možnosť výplaty starobného dôchodku resp. predčasného starobného dôchodku z II. piliera programovým výberom širšiemu okruhu sporiteľov. </w:t>
            </w:r>
          </w:p>
          <w:p w:rsidR="00FD09A8" w:rsidRPr="00944634" w:rsidP="00FE1C21">
            <w:pPr>
              <w:bidi w:val="0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FD09A8" w:rsidRPr="00944634" w:rsidP="00FE1C21">
            <w:pPr>
              <w:bidi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944634">
              <w:rPr>
                <w:rFonts w:ascii="Times New Roman" w:hAnsi="Times New Roman"/>
                <w:i/>
                <w:szCs w:val="24"/>
              </w:rPr>
              <w:t>Alternatívne sa diskutovalo o znížení hranice pre umožnenie programového výberu v </w:t>
            </w:r>
            <w:r w:rsidR="000B3352">
              <w:rPr>
                <w:rFonts w:ascii="Times New Roman" w:hAnsi="Times New Roman"/>
                <w:i/>
                <w:szCs w:val="24"/>
              </w:rPr>
              <w:t>4</w:t>
            </w:r>
            <w:r w:rsidRPr="00944634" w:rsidR="000B3352">
              <w:rPr>
                <w:rFonts w:ascii="Times New Roman" w:hAnsi="Times New Roman"/>
                <w:i/>
                <w:szCs w:val="24"/>
              </w:rPr>
              <w:t xml:space="preserve"> variantoch</w:t>
            </w:r>
            <w:r w:rsidRPr="00944634">
              <w:rPr>
                <w:rFonts w:ascii="Times New Roman" w:hAnsi="Times New Roman"/>
                <w:i/>
                <w:szCs w:val="24"/>
              </w:rPr>
              <w:t>:</w:t>
            </w:r>
          </w:p>
          <w:p w:rsidR="00FD09A8" w:rsidRPr="00944634" w:rsidP="00FE1C21">
            <w:pPr>
              <w:pStyle w:val="ListParagraph"/>
              <w:numPr>
                <w:numId w:val="12"/>
              </w:numPr>
              <w:bidi w:val="0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944634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na úrovni 1,2 násobku živ</w:t>
            </w:r>
            <w:r w:rsidRPr="00944634" w:rsidR="00FE1C21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o</w:t>
            </w:r>
            <w:r w:rsidRPr="00944634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tného minima,</w:t>
            </w:r>
          </w:p>
          <w:p w:rsidR="00534F7E" w:rsidRPr="00944634" w:rsidP="00FE1C21">
            <w:pPr>
              <w:pStyle w:val="ListParagraph"/>
              <w:numPr>
                <w:numId w:val="12"/>
              </w:numPr>
              <w:bidi w:val="0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944634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na úrovni 1,6 násobku životného minima,</w:t>
            </w:r>
          </w:p>
          <w:p w:rsidR="00FD09A8" w:rsidRPr="00944634" w:rsidP="00FE1C21">
            <w:pPr>
              <w:pStyle w:val="ListParagraph"/>
              <w:numPr>
                <w:numId w:val="12"/>
              </w:numPr>
              <w:bidi w:val="0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944634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na úrovni 2 násobku životného minima,</w:t>
            </w:r>
          </w:p>
          <w:p w:rsidR="00FD09A8" w:rsidRPr="00944634" w:rsidP="00FE1C21">
            <w:pPr>
              <w:pStyle w:val="ListParagraph"/>
              <w:numPr>
                <w:numId w:val="12"/>
              </w:numPr>
              <w:bidi w:val="0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944634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na úrovni priemerného vyplácaného starobného dôchodku.</w:t>
            </w:r>
          </w:p>
          <w:p w:rsidR="00FD09A8" w:rsidRPr="00944634" w:rsidP="00FE1C21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944634">
              <w:rPr>
                <w:rFonts w:ascii="Times New Roman" w:hAnsi="Times New Roman"/>
                <w:i/>
              </w:rPr>
              <w:t xml:space="preserve">Všetky </w:t>
            </w:r>
            <w:r w:rsidR="000B3352">
              <w:rPr>
                <w:rFonts w:ascii="Times New Roman" w:hAnsi="Times New Roman"/>
                <w:i/>
              </w:rPr>
              <w:t>4</w:t>
            </w:r>
            <w:r w:rsidRPr="00944634" w:rsidR="000B3352">
              <w:rPr>
                <w:rFonts w:ascii="Times New Roman" w:hAnsi="Times New Roman"/>
                <w:i/>
              </w:rPr>
              <w:t xml:space="preserve"> </w:t>
            </w:r>
            <w:r w:rsidRPr="00944634">
              <w:rPr>
                <w:rFonts w:ascii="Times New Roman" w:hAnsi="Times New Roman"/>
                <w:i/>
              </w:rPr>
              <w:t xml:space="preserve">spomenuté varianty by viedli k naplneniu príslušného cieľa z programového vyhlásenia vlády. </w:t>
            </w:r>
            <w:r w:rsidRPr="00944634" w:rsidR="00FE1C21">
              <w:rPr>
                <w:rFonts w:ascii="Times New Roman" w:hAnsi="Times New Roman"/>
                <w:i/>
              </w:rPr>
              <w:t xml:space="preserve">Nakoniec bola vybraná </w:t>
            </w:r>
            <w:r w:rsidR="00E24B20">
              <w:rPr>
                <w:rFonts w:ascii="Times New Roman" w:hAnsi="Times New Roman"/>
                <w:i/>
              </w:rPr>
              <w:t xml:space="preserve">piata </w:t>
            </w:r>
            <w:r w:rsidRPr="00944634" w:rsidR="00534F7E">
              <w:rPr>
                <w:rFonts w:ascii="Times New Roman" w:hAnsi="Times New Roman"/>
                <w:i/>
              </w:rPr>
              <w:t>alternatíva</w:t>
            </w:r>
            <w:r w:rsidR="00E24B20">
              <w:rPr>
                <w:rFonts w:ascii="Times New Roman" w:hAnsi="Times New Roman"/>
                <w:i/>
              </w:rPr>
              <w:t xml:space="preserve">, ktorou je </w:t>
            </w:r>
            <w:r w:rsidR="00EC128E">
              <w:rPr>
                <w:rFonts w:ascii="Times New Roman" w:hAnsi="Times New Roman"/>
                <w:i/>
              </w:rPr>
              <w:t>hranica na úrovni</w:t>
            </w:r>
            <w:r w:rsidR="007E56A6">
              <w:rPr>
                <w:rFonts w:ascii="Times New Roman" w:hAnsi="Times New Roman"/>
                <w:i/>
              </w:rPr>
              <w:t xml:space="preserve"> </w:t>
            </w:r>
            <w:r w:rsidR="00EC128E">
              <w:rPr>
                <w:rFonts w:ascii="Times New Roman" w:hAnsi="Times New Roman"/>
                <w:i/>
              </w:rPr>
              <w:t>vyššie definovanej referenčnej sumy</w:t>
            </w:r>
            <w:r w:rsidR="007E56A6">
              <w:rPr>
                <w:rFonts w:ascii="Times New Roman" w:hAnsi="Times New Roman"/>
                <w:i/>
              </w:rPr>
              <w:t xml:space="preserve">. </w:t>
            </w:r>
            <w:r w:rsidRPr="0063009E" w:rsidR="00567C16">
              <w:rPr>
                <w:rFonts w:ascii="Times New Roman" w:hAnsi="Times New Roman"/>
                <w:i/>
              </w:rPr>
              <w:t>(</w:t>
            </w:r>
            <w:r w:rsidR="007E56A6">
              <w:rPr>
                <w:rFonts w:ascii="Times New Roman" w:hAnsi="Times New Roman"/>
                <w:i/>
              </w:rPr>
              <w:t>Výška tejto sumy</w:t>
            </w:r>
            <w:r w:rsidRPr="0063009E" w:rsidR="00567C16">
              <w:rPr>
                <w:rFonts w:ascii="Times New Roman" w:hAnsi="Times New Roman"/>
                <w:i/>
              </w:rPr>
              <w:t xml:space="preserve"> bola k 31.12.2015 </w:t>
            </w:r>
            <w:r w:rsidRPr="007A784A" w:rsidR="0063009E">
              <w:rPr>
                <w:rFonts w:ascii="Times New Roman" w:hAnsi="Times New Roman"/>
                <w:i/>
              </w:rPr>
              <w:t xml:space="preserve">cca </w:t>
            </w:r>
            <w:r w:rsidRPr="0063009E" w:rsidR="00567C16">
              <w:rPr>
                <w:rFonts w:ascii="Times New Roman" w:hAnsi="Times New Roman"/>
                <w:i/>
              </w:rPr>
              <w:t>42</w:t>
            </w:r>
            <w:r w:rsidRPr="007A784A" w:rsidR="0063009E">
              <w:rPr>
                <w:rFonts w:ascii="Times New Roman" w:hAnsi="Times New Roman"/>
                <w:i/>
              </w:rPr>
              <w:t>4</w:t>
            </w:r>
            <w:r w:rsidRPr="0063009E" w:rsidR="00567C16">
              <w:rPr>
                <w:rFonts w:ascii="Times New Roman" w:hAnsi="Times New Roman"/>
                <w:i/>
              </w:rPr>
              <w:t xml:space="preserve"> eur, k 30.6.2016</w:t>
            </w:r>
            <w:r w:rsidRPr="007A784A" w:rsidR="0063009E">
              <w:rPr>
                <w:rFonts w:ascii="Times New Roman" w:hAnsi="Times New Roman"/>
                <w:i/>
              </w:rPr>
              <w:t xml:space="preserve"> cca </w:t>
            </w:r>
            <w:r w:rsidRPr="0063009E" w:rsidR="00567C16">
              <w:rPr>
                <w:rFonts w:ascii="Times New Roman" w:hAnsi="Times New Roman"/>
                <w:i/>
              </w:rPr>
              <w:t xml:space="preserve"> 42</w:t>
            </w:r>
            <w:r w:rsidRPr="007A784A" w:rsidR="0063009E">
              <w:rPr>
                <w:rFonts w:ascii="Times New Roman" w:hAnsi="Times New Roman"/>
                <w:i/>
              </w:rPr>
              <w:t>8</w:t>
            </w:r>
            <w:r w:rsidRPr="0063009E" w:rsidR="00567C16">
              <w:rPr>
                <w:rFonts w:ascii="Times New Roman" w:hAnsi="Times New Roman"/>
                <w:i/>
              </w:rPr>
              <w:t xml:space="preserve"> eur.)</w:t>
            </w:r>
          </w:p>
          <w:p w:rsidR="00FD09A8" w:rsidRPr="00944634" w:rsidP="00FE1C21">
            <w:pPr>
              <w:bidi w:val="0"/>
              <w:jc w:val="both"/>
              <w:rPr>
                <w:rFonts w:ascii="Times New Roman" w:hAnsi="Times New Roman"/>
                <w:i/>
              </w:rPr>
            </w:pPr>
          </w:p>
          <w:p w:rsidR="00CD467C" w:rsidRPr="00944634" w:rsidP="00FE1C21">
            <w:pPr>
              <w:bidi w:val="0"/>
              <w:jc w:val="both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44634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944634" w:rsidP="007B71A4">
            <w:pPr>
              <w:bidi w:val="0"/>
              <w:rPr>
                <w:rFonts w:ascii="Times New Roman" w:hAnsi="Times New Roman"/>
                <w:i/>
              </w:rPr>
            </w:pPr>
            <w:r w:rsidRPr="00944634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944634" w:rsidR="00010A89">
              <w:rPr>
                <w:rFonts w:ascii="MS Gothic" w:eastAsia="MS Gothic" w:hAnsi="MS Gothic" w:hint="eastAsia"/>
              </w:rPr>
              <w:t>☒</w:t>
            </w:r>
            <w:r w:rsidRPr="00944634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944634" w:rsidR="00010A89">
              <w:rPr>
                <w:rFonts w:ascii="MS Gothic" w:eastAsia="MS Gothic" w:hAnsi="MS Gothic" w:hint="eastAsia"/>
              </w:rPr>
              <w:t>☐</w:t>
            </w:r>
            <w:r w:rsidRPr="00944634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44634" w:rsidP="007B5018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944634" w:rsidR="007B7041">
              <w:rPr>
                <w:rFonts w:ascii="Times New Roman" w:hAnsi="Times New Roman"/>
                <w:i/>
              </w:rPr>
              <w:t>Opatrenie Ministerstva práce, sociálnych vecí a rodiny Slovenskej republiky</w:t>
            </w:r>
            <w:r w:rsidRPr="00944634" w:rsidR="00380F35">
              <w:rPr>
                <w:rFonts w:ascii="Times New Roman" w:hAnsi="Times New Roman"/>
                <w:i/>
              </w:rPr>
              <w:t xml:space="preserve"> č. 415/2014 Z. z.</w:t>
            </w:r>
            <w:r w:rsidRPr="00944634" w:rsidR="007B7041">
              <w:rPr>
                <w:rFonts w:ascii="Times New Roman" w:hAnsi="Times New Roman"/>
                <w:i/>
              </w:rPr>
              <w:t>, ktorým sa ustanovuje vzor informácie o dôchodkoch zo starobného dôchodkového sporenia.</w:t>
            </w:r>
          </w:p>
          <w:p w:rsidR="007B7041" w:rsidRPr="00944634" w:rsidP="007B5018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944634">
              <w:rPr>
                <w:rFonts w:ascii="Times New Roman" w:hAnsi="Times New Roman"/>
                <w:i/>
              </w:rPr>
              <w:t>Opatrenie Ministerstva práce, sociálnych vecí a rodiny Slovenskej republiky</w:t>
            </w:r>
            <w:r w:rsidRPr="00944634" w:rsidR="00380F35">
              <w:rPr>
                <w:rFonts w:ascii="Times New Roman" w:hAnsi="Times New Roman"/>
                <w:i/>
              </w:rPr>
              <w:t xml:space="preserve"> č. 157/2015 Z.</w:t>
            </w:r>
            <w:r w:rsidRPr="00944634" w:rsidR="005D769E">
              <w:rPr>
                <w:rFonts w:ascii="Times New Roman" w:hAnsi="Times New Roman"/>
                <w:i/>
              </w:rPr>
              <w:t xml:space="preserve"> </w:t>
            </w:r>
            <w:r w:rsidRPr="00944634" w:rsidR="00380F35">
              <w:rPr>
                <w:rFonts w:ascii="Times New Roman" w:hAnsi="Times New Roman"/>
                <w:i/>
              </w:rPr>
              <w:t>z.</w:t>
            </w:r>
            <w:r w:rsidRPr="00944634">
              <w:rPr>
                <w:rFonts w:ascii="Times New Roman" w:hAnsi="Times New Roman"/>
                <w:i/>
              </w:rPr>
              <w:t xml:space="preserve">, ktorým sa ustanovuje vzor ponukového listu.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44634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014B9" w:rsidRPr="00944634" w:rsidP="00380F35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44634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Preskúmanie účelnosti</w:t>
            </w:r>
            <w:r w:rsidRPr="00944634" w:rsidR="00F62771">
              <w:rPr>
                <w:rFonts w:ascii="Times New Roman" w:hAnsi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44634" w:rsidP="00380F35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944634" w:rsidP="00F22831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944634" w:rsidP="003501A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944634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44634" w:rsidP="007B71A4">
            <w:pPr>
              <w:bidi w:val="0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44634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44634" w:rsidR="00A34A45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944634" w:rsidR="007B7041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44634" w:rsidP="007B71A4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44634" w:rsidP="007B71A4">
            <w:pPr>
              <w:bidi w:val="0"/>
              <w:rPr>
                <w:rFonts w:ascii="Times New Roman" w:hAnsi="Times New Roman"/>
              </w:rPr>
            </w:pPr>
            <w:r w:rsidRPr="00944634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944634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rPr>
                <w:rFonts w:ascii="Times New Roman" w:hAnsi="Times New Roman"/>
              </w:rPr>
            </w:pPr>
            <w:r w:rsidRPr="00944634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944634" w:rsidR="00010A89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rPr>
                <w:rFonts w:ascii="Times New Roman" w:hAnsi="Times New Roman"/>
              </w:rPr>
            </w:pPr>
            <w:r w:rsidRPr="00944634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944634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44634" w:rsidP="007B71A4">
            <w:pPr>
              <w:bidi w:val="0"/>
              <w:ind w:left="34"/>
              <w:rPr>
                <w:rFonts w:ascii="Times New Roman" w:hAnsi="Times New Roman"/>
              </w:rPr>
            </w:pPr>
            <w:r w:rsidRPr="00944634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44634" w:rsidP="004C794A">
            <w:pPr>
              <w:bidi w:val="0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44634" w:rsidR="00351C42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44634" w:rsidR="00010A89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44634" w:rsidR="00010A89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44634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944634" w:rsidP="007B71A4">
            <w:pPr>
              <w:bidi w:val="0"/>
              <w:rPr>
                <w:rFonts w:ascii="Times New Roman" w:hAnsi="Times New Roman"/>
              </w:rPr>
            </w:pPr>
            <w:r w:rsidRPr="00944634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944634" w:rsidR="006D4F7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ind w:right="-108"/>
              <w:rPr>
                <w:rFonts w:ascii="Times New Roman" w:hAnsi="Times New Roman"/>
              </w:rPr>
            </w:pPr>
            <w:r w:rsidRPr="00944634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224260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rPr>
                <w:rFonts w:ascii="Times New Roman" w:hAnsi="Times New Roman"/>
              </w:rPr>
            </w:pPr>
            <w:r w:rsidRPr="00944634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944634" w:rsidR="006D4F7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44634" w:rsidP="007B71A4">
            <w:pPr>
              <w:bidi w:val="0"/>
              <w:ind w:left="54"/>
              <w:rPr>
                <w:rFonts w:ascii="Times New Roman" w:hAnsi="Times New Roman"/>
              </w:rPr>
            </w:pPr>
            <w:r w:rsidRPr="00944634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44634" w:rsidP="004C794A">
            <w:pPr>
              <w:bidi w:val="0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44634" w:rsidR="00B014B9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44634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44634" w:rsidR="00D24123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44634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44634" w:rsidP="004C794A">
            <w:pPr>
              <w:bidi w:val="0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44634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44634" w:rsidR="00B014B9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44634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44634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44634" w:rsidP="004C794A">
            <w:pPr>
              <w:bidi w:val="0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44634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44634" w:rsidR="00F51491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44634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44634" w:rsidR="00351C42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44634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944634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944634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44634" w:rsidP="00B8340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44634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44634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44634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944634" w:rsidP="00B8340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44634" w:rsidP="00B83402">
            <w:pPr>
              <w:bidi w:val="0"/>
              <w:spacing w:after="0" w:line="240" w:lineRule="auto"/>
              <w:ind w:left="196" w:hanging="196"/>
              <w:rPr>
                <w:rFonts w:ascii="Times New Roman" w:hAnsi="Times New Roman"/>
                <w:b/>
                <w:lang w:eastAsia="en-US"/>
              </w:rPr>
            </w:pPr>
            <w:r w:rsidRPr="00944634">
              <w:rPr>
                <w:rFonts w:ascii="Times New Roman" w:hAnsi="Times New Roman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1A1559" w:rsidRPr="00944634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634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944634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944634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634" w:rsidR="00B014B9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944634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944634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634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1A1559" w:rsidRPr="00944634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44634" w:rsidP="00B83402">
            <w:pPr>
              <w:bidi w:val="0"/>
              <w:spacing w:after="0" w:line="240" w:lineRule="auto"/>
              <w:ind w:left="168" w:hanging="168"/>
              <w:rPr>
                <w:rFonts w:ascii="Times New Roman" w:hAnsi="Times New Roman"/>
                <w:b/>
                <w:lang w:eastAsia="en-US"/>
              </w:rPr>
            </w:pPr>
            <w:r w:rsidRPr="00944634">
              <w:rPr>
                <w:rFonts w:ascii="Times New Roman" w:hAnsi="Times New Roman"/>
                <w:b/>
                <w:lang w:eastAsia="en-US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1A1559" w:rsidRPr="00944634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634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944634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944634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224260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944634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944634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224260">
              <w:rPr>
                <w:rFonts w:ascii="MS Gothic" w:eastAsia="MS Gothic" w:hAnsi="MS Gothic" w:cs="MS Mincho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1A1559" w:rsidRPr="00944634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66B4D" w:rsidP="00B83402">
            <w:pPr>
              <w:bidi w:val="0"/>
              <w:spacing w:after="0" w:line="240" w:lineRule="auto"/>
              <w:ind w:left="168" w:hanging="168"/>
              <w:rPr>
                <w:rFonts w:ascii="Times New Roman" w:hAnsi="Times New Roman"/>
                <w:b/>
                <w:lang w:eastAsia="en-US"/>
              </w:rPr>
            </w:pPr>
          </w:p>
          <w:p w:rsidR="00A66B4D" w:rsidRPr="00944634" w:rsidP="00B83402">
            <w:pPr>
              <w:bidi w:val="0"/>
              <w:spacing w:after="0" w:line="240" w:lineRule="auto"/>
              <w:ind w:left="168" w:hanging="168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66B4D" w:rsidRPr="00944634" w:rsidP="00EB1608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66B4D" w:rsidRPr="00944634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66B4D" w:rsidP="00EB1608">
            <w:pPr>
              <w:bidi w:val="0"/>
              <w:spacing w:after="0" w:line="240" w:lineRule="auto"/>
              <w:jc w:val="center"/>
              <w:rPr>
                <w:rFonts w:ascii="MS Gothic" w:eastAsia="MS Gothic" w:hAnsi="MS Gothic"/>
                <w:b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66B4D" w:rsidRPr="00944634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66B4D" w:rsidP="00EB1608">
            <w:pPr>
              <w:bidi w:val="0"/>
              <w:spacing w:after="0" w:line="240" w:lineRule="auto"/>
              <w:jc w:val="center"/>
              <w:rPr>
                <w:rFonts w:ascii="MS Gothic" w:eastAsia="MS Gothic" w:hAnsi="MS Gothic" w:cs="MS Mincho"/>
                <w:b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6B4D" w:rsidRPr="00944634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</w:tbl>
    <w:p w:rsidR="003501A1" w:rsidRPr="00944634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944634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5C6E3F" w:rsidRPr="00944634" w:rsidP="00E116B3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u w:val="single"/>
              </w:rPr>
            </w:pPr>
            <w:r w:rsidRPr="00944634" w:rsidR="00B014B9">
              <w:rPr>
                <w:rFonts w:ascii="Times New Roman" w:hAnsi="Times New Roman"/>
                <w:u w:val="single"/>
              </w:rPr>
              <w:t>Vplyvy na rozpočet verejnej správy</w:t>
            </w:r>
            <w:r w:rsidRPr="00944634" w:rsidR="005D4766">
              <w:rPr>
                <w:rFonts w:ascii="Times New Roman" w:hAnsi="Times New Roman"/>
                <w:u w:val="single"/>
              </w:rPr>
              <w:t>:</w:t>
            </w:r>
          </w:p>
          <w:p w:rsidR="005C6E3F" w:rsidRPr="00944634" w:rsidP="00E116B3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44634" w:rsidR="006D4F77">
              <w:rPr>
                <w:rFonts w:ascii="Times New Roman" w:hAnsi="Times New Roman"/>
                <w:i/>
                <w:sz w:val="20"/>
                <w:szCs w:val="20"/>
              </w:rPr>
              <w:t>celkový vplyv na rozpočet verejnej správy v najbližších troch rokoch sa nepredpokladá žiadn</w:t>
            </w:r>
            <w:r w:rsidR="007B5018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 w:rsidRPr="00944634" w:rsidR="006D4F77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F26E80" w:rsidRPr="00944634" w:rsidP="00E116B3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51C42" w:rsidRPr="00944634" w:rsidP="005C6E3F">
            <w:pPr>
              <w:pStyle w:val="NormalWeb"/>
              <w:numPr>
                <w:numId w:val="8"/>
              </w:numPr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="007B5018">
              <w:rPr>
                <w:rFonts w:ascii="Times New Roman" w:hAnsi="Times New Roman"/>
                <w:i/>
                <w:sz w:val="20"/>
                <w:szCs w:val="20"/>
              </w:rPr>
              <w:t xml:space="preserve">vládny </w:t>
            </w:r>
            <w:r w:rsidRPr="00944634">
              <w:rPr>
                <w:rFonts w:ascii="Times New Roman" w:hAnsi="Times New Roman"/>
                <w:i/>
                <w:sz w:val="20"/>
                <w:szCs w:val="20"/>
              </w:rPr>
              <w:t>návrh zákona nemá vplyv na verejné financie z dôvodu potreb</w:t>
            </w:r>
            <w:r w:rsidRPr="00944634" w:rsidR="00F26E80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 w:rsidRPr="00944634">
              <w:rPr>
                <w:rFonts w:ascii="Times New Roman" w:hAnsi="Times New Roman"/>
                <w:i/>
                <w:sz w:val="20"/>
                <w:szCs w:val="20"/>
              </w:rPr>
              <w:t xml:space="preserve"> úprav Centrálneho informačného ponukového systému prevádzkovaného Sociálnou poisťovňou,</w:t>
            </w:r>
            <w:r w:rsidRPr="00944634" w:rsidR="00F26E80">
              <w:rPr>
                <w:rFonts w:ascii="Times New Roman" w:hAnsi="Times New Roman"/>
                <w:i/>
                <w:sz w:val="20"/>
                <w:szCs w:val="20"/>
              </w:rPr>
              <w:t xml:space="preserve"> nakoľko tieto </w:t>
            </w:r>
            <w:r w:rsidRPr="00944634" w:rsidR="005D4766">
              <w:rPr>
                <w:rFonts w:ascii="Times New Roman" w:hAnsi="Times New Roman"/>
                <w:i/>
                <w:sz w:val="20"/>
                <w:szCs w:val="20"/>
              </w:rPr>
              <w:t xml:space="preserve">úpravy </w:t>
            </w:r>
            <w:r w:rsidRPr="00944634" w:rsidR="00F26E80">
              <w:rPr>
                <w:rFonts w:ascii="Times New Roman" w:hAnsi="Times New Roman"/>
                <w:i/>
                <w:sz w:val="20"/>
                <w:szCs w:val="20"/>
              </w:rPr>
              <w:t>budú</w:t>
            </w:r>
            <w:r w:rsidRPr="00944634">
              <w:rPr>
                <w:rFonts w:ascii="Times New Roman" w:hAnsi="Times New Roman"/>
                <w:i/>
                <w:sz w:val="20"/>
                <w:szCs w:val="20"/>
              </w:rPr>
              <w:t xml:space="preserve"> realizovan</w:t>
            </w:r>
            <w:r w:rsidRPr="00944634" w:rsidR="00F26E80">
              <w:rPr>
                <w:rFonts w:ascii="Times New Roman" w:hAnsi="Times New Roman"/>
                <w:i/>
                <w:sz w:val="20"/>
                <w:szCs w:val="20"/>
              </w:rPr>
              <w:t>é</w:t>
            </w:r>
            <w:r w:rsidRPr="00944634">
              <w:rPr>
                <w:rFonts w:ascii="Times New Roman" w:hAnsi="Times New Roman"/>
                <w:i/>
                <w:sz w:val="20"/>
                <w:szCs w:val="20"/>
              </w:rPr>
              <w:t xml:space="preserve"> vlastnými kapacitami Sociálnej poisťovne a hraden</w:t>
            </w:r>
            <w:r w:rsidRPr="00944634" w:rsidR="00F26E80">
              <w:rPr>
                <w:rFonts w:ascii="Times New Roman" w:hAnsi="Times New Roman"/>
                <w:i/>
                <w:sz w:val="20"/>
                <w:szCs w:val="20"/>
              </w:rPr>
              <w:t>é</w:t>
            </w:r>
            <w:r w:rsidRPr="00944634">
              <w:rPr>
                <w:rFonts w:ascii="Times New Roman" w:hAnsi="Times New Roman"/>
                <w:i/>
                <w:sz w:val="20"/>
                <w:szCs w:val="20"/>
              </w:rPr>
              <w:t xml:space="preserve"> v rámci  rozpočtu Sociálnej poisťovne na rok </w:t>
            </w:r>
            <w:r w:rsidRPr="0063009E">
              <w:rPr>
                <w:rFonts w:ascii="Times New Roman" w:hAnsi="Times New Roman"/>
                <w:i/>
                <w:sz w:val="20"/>
                <w:szCs w:val="20"/>
              </w:rPr>
              <w:t>201</w:t>
            </w:r>
            <w:r w:rsidRPr="007A784A" w:rsidR="0063009E">
              <w:rPr>
                <w:rFonts w:ascii="Times New Roman" w:hAnsi="Times New Roman"/>
                <w:i/>
                <w:sz w:val="20"/>
                <w:szCs w:val="20"/>
              </w:rPr>
              <w:t>7</w:t>
            </w:r>
            <w:r w:rsidRPr="0063009E">
              <w:rPr>
                <w:rFonts w:ascii="Times New Roman" w:hAnsi="Times New Roman"/>
                <w:i/>
                <w:sz w:val="20"/>
                <w:szCs w:val="20"/>
              </w:rPr>
              <w:t xml:space="preserve"> a jej rozpočtového výhľadu na roky 201</w:t>
            </w:r>
            <w:r w:rsidRPr="007A784A" w:rsidR="0063009E">
              <w:rPr>
                <w:rFonts w:ascii="Times New Roman" w:hAnsi="Times New Roman"/>
                <w:i/>
                <w:sz w:val="20"/>
                <w:szCs w:val="20"/>
              </w:rPr>
              <w:t>8</w:t>
            </w:r>
            <w:r w:rsidRPr="0063009E">
              <w:rPr>
                <w:rFonts w:ascii="Times New Roman" w:hAnsi="Times New Roman"/>
                <w:i/>
                <w:sz w:val="20"/>
                <w:szCs w:val="20"/>
              </w:rPr>
              <w:t xml:space="preserve"> a 201</w:t>
            </w:r>
            <w:r w:rsidRPr="007A784A" w:rsidR="0063009E"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 w:rsidRPr="0063009E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94463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B872C3" w:rsidRPr="00944634" w:rsidP="00B872C3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D4F77" w:rsidRPr="00944634" w:rsidP="006D4F77">
            <w:pPr>
              <w:pStyle w:val="NormalWeb"/>
              <w:numPr>
                <w:numId w:val="4"/>
              </w:numPr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44634">
              <w:rPr>
                <w:rFonts w:ascii="Times New Roman" w:hAnsi="Times New Roman"/>
                <w:i/>
                <w:sz w:val="20"/>
                <w:szCs w:val="20"/>
              </w:rPr>
              <w:t xml:space="preserve">v najbližších troch rokoch </w:t>
            </w:r>
            <w:r w:rsidRPr="00944634" w:rsidR="00F26E80">
              <w:rPr>
                <w:rFonts w:ascii="Times New Roman" w:hAnsi="Times New Roman"/>
                <w:i/>
                <w:sz w:val="20"/>
                <w:szCs w:val="20"/>
              </w:rPr>
              <w:t xml:space="preserve">sa nepredpokladá žiaden </w:t>
            </w:r>
            <w:r w:rsidRPr="00944634">
              <w:rPr>
                <w:rFonts w:ascii="Times New Roman" w:hAnsi="Times New Roman"/>
                <w:i/>
                <w:sz w:val="20"/>
                <w:szCs w:val="20"/>
              </w:rPr>
              <w:t>signifikantný vplyv</w:t>
            </w:r>
            <w:r w:rsidR="00C567F9">
              <w:rPr>
                <w:rFonts w:ascii="Times New Roman" w:hAnsi="Times New Roman"/>
                <w:i/>
                <w:sz w:val="20"/>
                <w:szCs w:val="20"/>
              </w:rPr>
              <w:t xml:space="preserve"> vládneho</w:t>
            </w:r>
            <w:r w:rsidRPr="00944634" w:rsidR="00F26E80">
              <w:rPr>
                <w:rFonts w:ascii="Times New Roman" w:hAnsi="Times New Roman"/>
                <w:i/>
                <w:sz w:val="20"/>
                <w:szCs w:val="20"/>
              </w:rPr>
              <w:t xml:space="preserve"> návrhu zákona na </w:t>
            </w:r>
            <w:r w:rsidRPr="00944634">
              <w:rPr>
                <w:rFonts w:ascii="Times New Roman" w:hAnsi="Times New Roman"/>
                <w:i/>
                <w:sz w:val="20"/>
                <w:szCs w:val="20"/>
              </w:rPr>
              <w:t>verejné financie z dôvodu zvýšenej motivácie poistencov vstúpiť do II. piliera dôchodkového systému</w:t>
            </w:r>
            <w:r w:rsidRPr="00944634" w:rsidR="00F26E80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Pr="00944634">
              <w:rPr>
                <w:rFonts w:ascii="Times New Roman" w:hAnsi="Times New Roman"/>
                <w:i/>
                <w:sz w:val="20"/>
                <w:szCs w:val="20"/>
              </w:rPr>
              <w:t xml:space="preserve"> v dlhodobom horizonte </w:t>
            </w:r>
            <w:r w:rsidR="00C567F9">
              <w:rPr>
                <w:rFonts w:ascii="Times New Roman" w:hAnsi="Times New Roman"/>
                <w:i/>
                <w:sz w:val="20"/>
                <w:szCs w:val="20"/>
              </w:rPr>
              <w:t xml:space="preserve">vládny </w:t>
            </w:r>
            <w:r w:rsidRPr="00944634">
              <w:rPr>
                <w:rFonts w:ascii="Times New Roman" w:hAnsi="Times New Roman"/>
                <w:i/>
                <w:sz w:val="20"/>
                <w:szCs w:val="20"/>
              </w:rPr>
              <w:t xml:space="preserve">návrh zákona z tohto dôvodu môže </w:t>
            </w:r>
            <w:r w:rsidRPr="00944634" w:rsidR="000B3352">
              <w:rPr>
                <w:rFonts w:ascii="Times New Roman" w:hAnsi="Times New Roman"/>
                <w:i/>
                <w:sz w:val="20"/>
                <w:szCs w:val="20"/>
              </w:rPr>
              <w:t>ma</w:t>
            </w:r>
            <w:r w:rsidR="000B3352">
              <w:rPr>
                <w:rFonts w:ascii="Times New Roman" w:hAnsi="Times New Roman"/>
                <w:i/>
                <w:sz w:val="20"/>
                <w:szCs w:val="20"/>
              </w:rPr>
              <w:t>ť</w:t>
            </w:r>
            <w:r w:rsidRPr="00944634" w:rsidR="000B335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44634">
              <w:rPr>
                <w:rFonts w:ascii="Times New Roman" w:hAnsi="Times New Roman"/>
                <w:i/>
                <w:sz w:val="20"/>
                <w:szCs w:val="20"/>
              </w:rPr>
              <w:t>negatívny vplyv na výšku</w:t>
            </w:r>
            <w:r w:rsidRPr="00944634" w:rsidR="00F26E80">
              <w:rPr>
                <w:rFonts w:ascii="Times New Roman" w:hAnsi="Times New Roman"/>
                <w:i/>
                <w:sz w:val="20"/>
                <w:szCs w:val="20"/>
              </w:rPr>
              <w:t xml:space="preserve"> príjmov Sociálnej poisťovne z poistného na dôchodkové poistenie</w:t>
            </w:r>
            <w:r w:rsidRPr="00944634">
              <w:rPr>
                <w:rFonts w:ascii="Times New Roman" w:hAnsi="Times New Roman"/>
                <w:i/>
                <w:sz w:val="20"/>
                <w:szCs w:val="20"/>
              </w:rPr>
              <w:t>, avšak taktiež môže prispieť k udržateľnosti dôchodkového systému</w:t>
            </w:r>
            <w:r w:rsidRPr="00944634" w:rsidR="00F26E80">
              <w:rPr>
                <w:rFonts w:ascii="Times New Roman" w:hAnsi="Times New Roman"/>
                <w:i/>
                <w:sz w:val="20"/>
                <w:szCs w:val="20"/>
              </w:rPr>
              <w:t xml:space="preserve"> (vzhľadom na zníženie na výdavkovej strane).</w:t>
            </w:r>
            <w:r w:rsidRPr="0094463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61AF1" w:rsidRPr="00944634" w:rsidP="00E116B3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u w:val="single"/>
              </w:rPr>
            </w:pPr>
          </w:p>
          <w:p w:rsidR="009865E2" w:rsidRPr="00944634" w:rsidP="00E116B3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u w:val="single"/>
              </w:rPr>
            </w:pPr>
            <w:r w:rsidRPr="00944634" w:rsidR="0067729F">
              <w:rPr>
                <w:rFonts w:ascii="Times New Roman" w:hAnsi="Times New Roman"/>
                <w:u w:val="single"/>
              </w:rPr>
              <w:t>Vplyvy na podnikateľské prostredie</w:t>
            </w:r>
            <w:r w:rsidRPr="00944634" w:rsidR="005D4766">
              <w:rPr>
                <w:rFonts w:ascii="Times New Roman" w:hAnsi="Times New Roman"/>
                <w:u w:val="single"/>
              </w:rPr>
              <w:t>:</w:t>
            </w:r>
          </w:p>
          <w:p w:rsidR="0067729F" w:rsidRPr="00944634" w:rsidP="006D4F77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44634">
              <w:rPr>
                <w:rFonts w:ascii="Times New Roman" w:hAnsi="Times New Roman"/>
                <w:i/>
                <w:sz w:val="20"/>
                <w:szCs w:val="20"/>
              </w:rPr>
              <w:t xml:space="preserve">celkový vplyv </w:t>
            </w:r>
            <w:r w:rsidRPr="00944634" w:rsidR="003B682A">
              <w:rPr>
                <w:rFonts w:ascii="Times New Roman" w:hAnsi="Times New Roman"/>
                <w:i/>
                <w:sz w:val="20"/>
                <w:szCs w:val="20"/>
              </w:rPr>
              <w:t xml:space="preserve">na </w:t>
            </w:r>
            <w:r w:rsidRPr="00944634">
              <w:rPr>
                <w:rFonts w:ascii="Times New Roman" w:hAnsi="Times New Roman"/>
                <w:i/>
                <w:sz w:val="20"/>
                <w:szCs w:val="20"/>
              </w:rPr>
              <w:t xml:space="preserve">dotknuté podnikateľské subjekty  </w:t>
            </w:r>
            <w:r w:rsidRPr="00944634" w:rsidR="009865E2">
              <w:rPr>
                <w:rFonts w:ascii="Times New Roman" w:hAnsi="Times New Roman"/>
                <w:i/>
                <w:sz w:val="20"/>
                <w:szCs w:val="20"/>
              </w:rPr>
              <w:t>bude pozitívny aj negatívny:</w:t>
            </w:r>
          </w:p>
          <w:p w:rsidR="00F26E80" w:rsidRPr="00944634" w:rsidP="006D4F77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5548" w:rsidRPr="00944634" w:rsidP="006D4F77">
            <w:pPr>
              <w:pStyle w:val="NormalWeb"/>
              <w:numPr>
                <w:numId w:val="4"/>
              </w:numPr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44634">
              <w:rPr>
                <w:rFonts w:ascii="Times New Roman" w:hAnsi="Times New Roman"/>
                <w:i/>
                <w:sz w:val="20"/>
                <w:szCs w:val="20"/>
              </w:rPr>
              <w:t>na poisťovne, vy</w:t>
            </w:r>
            <w:r w:rsidRPr="00944634" w:rsidR="003B682A">
              <w:rPr>
                <w:rFonts w:ascii="Times New Roman" w:hAnsi="Times New Roman"/>
                <w:i/>
                <w:sz w:val="20"/>
                <w:szCs w:val="20"/>
              </w:rPr>
              <w:t>plácajúce dôchodky zo systému starobného dôchodkového sporenia</w:t>
            </w:r>
            <w:r w:rsidRPr="00944634">
              <w:rPr>
                <w:rFonts w:ascii="Times New Roman" w:hAnsi="Times New Roman"/>
                <w:i/>
                <w:sz w:val="20"/>
                <w:szCs w:val="20"/>
              </w:rPr>
              <w:t xml:space="preserve"> sa očakáva negatívny vplyv</w:t>
            </w:r>
            <w:r w:rsidRPr="00944634" w:rsidR="005650CD">
              <w:rPr>
                <w:rFonts w:ascii="Times New Roman" w:hAnsi="Times New Roman"/>
                <w:i/>
                <w:sz w:val="20"/>
                <w:szCs w:val="20"/>
              </w:rPr>
              <w:t xml:space="preserve"> (podrobnosti sú uvedené v ďalšej časti doložky)</w:t>
            </w:r>
          </w:p>
          <w:p w:rsidR="00F26E80" w:rsidRPr="00944634" w:rsidP="00F26E80">
            <w:pPr>
              <w:pStyle w:val="NormalWeb"/>
              <w:bidi w:val="0"/>
              <w:spacing w:before="0" w:beforeAutospacing="0" w:after="0" w:afterAutospacing="0"/>
              <w:ind w:left="72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5548" w:rsidRPr="00944634" w:rsidP="009D5548">
            <w:pPr>
              <w:pStyle w:val="NormalWeb"/>
              <w:numPr>
                <w:numId w:val="5"/>
              </w:numPr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44634">
              <w:rPr>
                <w:rFonts w:ascii="Times New Roman" w:hAnsi="Times New Roman"/>
                <w:i/>
                <w:sz w:val="20"/>
                <w:szCs w:val="20"/>
              </w:rPr>
              <w:t xml:space="preserve">na dôchodkové správcovské spoločnosti sa </w:t>
            </w:r>
            <w:r w:rsidRPr="00944634" w:rsidR="00F26E80">
              <w:rPr>
                <w:rFonts w:ascii="Times New Roman" w:hAnsi="Times New Roman"/>
                <w:i/>
                <w:sz w:val="20"/>
                <w:szCs w:val="20"/>
              </w:rPr>
              <w:t xml:space="preserve">v dlhodobom horizonte </w:t>
            </w:r>
            <w:r w:rsidRPr="00944634">
              <w:rPr>
                <w:rFonts w:ascii="Times New Roman" w:hAnsi="Times New Roman"/>
                <w:i/>
                <w:sz w:val="20"/>
                <w:szCs w:val="20"/>
              </w:rPr>
              <w:t>očakáva pozitívny vplyv</w:t>
            </w:r>
            <w:r w:rsidRPr="00944634" w:rsidR="005650CD">
              <w:rPr>
                <w:rFonts w:ascii="Times New Roman" w:hAnsi="Times New Roman"/>
                <w:i/>
                <w:sz w:val="20"/>
                <w:szCs w:val="20"/>
              </w:rPr>
              <w:t xml:space="preserve"> (podrobnosti sú uvedené v ďalšej časti doložky)</w:t>
            </w:r>
          </w:p>
          <w:p w:rsidR="00B014B9" w:rsidRPr="00944634" w:rsidP="005650CD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44634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B7041" w:rsidRPr="00944634" w:rsidP="007B7041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44634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51491" w:rsidRPr="00944634" w:rsidP="007B71A4">
            <w:pPr>
              <w:bidi w:val="0"/>
              <w:rPr>
                <w:rFonts w:ascii="Times New Roman" w:hAnsi="Times New Roman"/>
                <w:i/>
              </w:rPr>
            </w:pPr>
            <w:r w:rsidRPr="00944634" w:rsidR="0067729F">
              <w:rPr>
                <w:rFonts w:ascii="Times New Roman" w:hAnsi="Times New Roman"/>
                <w:i/>
              </w:rPr>
              <w:t xml:space="preserve">Sociálna poisťovňa: </w:t>
            </w:r>
          </w:p>
          <w:p w:rsidR="00F51491" w:rsidRPr="00944634" w:rsidP="007B71A4">
            <w:pPr>
              <w:pStyle w:val="ListParagraph"/>
              <w:numPr>
                <w:numId w:val="7"/>
              </w:numPr>
              <w:bidi w:val="0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944634" w:rsidR="0067729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dáta z </w:t>
            </w:r>
            <w:r w:rsidRPr="00944634" w:rsidR="00F26E8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C</w:t>
            </w:r>
            <w:r w:rsidRPr="00944634" w:rsidR="0067729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entrálneho informačného ponukového  systému</w:t>
            </w:r>
          </w:p>
          <w:p w:rsidR="00DD68A6" w:rsidRPr="00944634" w:rsidP="007B71A4">
            <w:pPr>
              <w:bidi w:val="0"/>
              <w:rPr>
                <w:rFonts w:ascii="Times New Roman" w:hAnsi="Times New Roman"/>
                <w:i/>
              </w:rPr>
            </w:pPr>
            <w:r w:rsidR="000B3352">
              <w:rPr>
                <w:rFonts w:ascii="Times New Roman" w:hAnsi="Times New Roman"/>
                <w:i/>
              </w:rPr>
              <w:t>Dôchodkové</w:t>
            </w:r>
            <w:r w:rsidRPr="00944634" w:rsidR="000B3352">
              <w:rPr>
                <w:rFonts w:ascii="Times New Roman" w:hAnsi="Times New Roman"/>
                <w:i/>
              </w:rPr>
              <w:t xml:space="preserve"> </w:t>
            </w:r>
            <w:r w:rsidRPr="00944634" w:rsidR="00F51491">
              <w:rPr>
                <w:rFonts w:ascii="Times New Roman" w:hAnsi="Times New Roman"/>
                <w:i/>
              </w:rPr>
              <w:t>správcovské spoločnosti</w:t>
            </w:r>
            <w:r w:rsidRPr="00944634" w:rsidR="0067729F">
              <w:rPr>
                <w:rFonts w:ascii="Times New Roman" w:hAnsi="Times New Roman"/>
                <w:i/>
              </w:rPr>
              <w:t xml:space="preserve">: </w:t>
            </w:r>
          </w:p>
          <w:p w:rsidR="003501A1" w:rsidRPr="00944634" w:rsidP="007B5018">
            <w:pPr>
              <w:pStyle w:val="ListParagraph"/>
              <w:numPr>
                <w:numId w:val="5"/>
              </w:numPr>
              <w:bidi w:val="0"/>
              <w:jc w:val="both"/>
              <w:rPr>
                <w:i/>
              </w:rPr>
            </w:pPr>
            <w:r w:rsidRPr="00944634" w:rsidR="0067729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dáta o sporiteľoch </w:t>
            </w:r>
            <w:r w:rsidRPr="00944634" w:rsidR="00DD68A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- </w:t>
            </w:r>
            <w:r w:rsidRPr="00944634" w:rsidR="0067729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budúcich poberateľoch</w:t>
            </w:r>
            <w:r w:rsidRPr="00944634" w:rsidR="005D476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,</w:t>
            </w:r>
            <w:r w:rsidRPr="00944634" w:rsidR="0067729F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 ich priemerných nasporených sumách</w:t>
            </w:r>
            <w:r w:rsidRPr="00944634" w:rsidR="005D476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priemerných odvedených príspevkoch za rok 2015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44634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44634">
              <w:rPr>
                <w:rFonts w:ascii="Times New Roman" w:hAnsi="Times New Roman"/>
                <w:b/>
              </w:rPr>
              <w:t>Stanovisko Komisie pre posudzovanie vybraných vplyvov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0236D" w:rsidP="005F6AC6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D0236D">
              <w:rPr>
                <w:rFonts w:ascii="Times New Roman" w:hAnsi="Times New Roman"/>
                <w:i/>
              </w:rPr>
              <w:t>Stála pracovná komisia na posudzova</w:t>
            </w:r>
            <w:r>
              <w:rPr>
                <w:rFonts w:ascii="Times New Roman" w:hAnsi="Times New Roman"/>
                <w:i/>
              </w:rPr>
              <w:t xml:space="preserve">nie vybraných vplyvov vyjadrila </w:t>
            </w:r>
            <w:r w:rsidRPr="003966C6">
              <w:rPr>
                <w:rFonts w:ascii="Times New Roman" w:hAnsi="Times New Roman"/>
                <w:b/>
                <w:i/>
              </w:rPr>
              <w:t>súhlasné stanovisko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0236D">
              <w:rPr>
                <w:rFonts w:ascii="Times New Roman" w:hAnsi="Times New Roman"/>
                <w:i/>
              </w:rPr>
              <w:t>s materiálom predloženým na predbežné pripom</w:t>
            </w:r>
            <w:r>
              <w:rPr>
                <w:rFonts w:ascii="Times New Roman" w:hAnsi="Times New Roman"/>
                <w:i/>
              </w:rPr>
              <w:t xml:space="preserve">ienkové konanie </w:t>
            </w:r>
            <w:r w:rsidRPr="003966C6">
              <w:rPr>
                <w:rFonts w:ascii="Times New Roman" w:hAnsi="Times New Roman"/>
                <w:b/>
                <w:i/>
              </w:rPr>
              <w:t>s návrhom na dopracovanie</w:t>
            </w:r>
            <w:r>
              <w:rPr>
                <w:rFonts w:ascii="Times New Roman" w:hAnsi="Times New Roman"/>
                <w:i/>
              </w:rPr>
              <w:t xml:space="preserve">. </w:t>
            </w:r>
          </w:p>
          <w:p w:rsidR="00D0236D" w:rsidP="005F6AC6">
            <w:pPr>
              <w:bidi w:val="0"/>
              <w:jc w:val="both"/>
              <w:rPr>
                <w:rFonts w:ascii="Times New Roman" w:hAnsi="Times New Roman"/>
                <w:i/>
              </w:rPr>
            </w:pPr>
          </w:p>
          <w:p w:rsidR="00D0236D" w:rsidRPr="00D0236D" w:rsidP="005F6AC6">
            <w:pPr>
              <w:bidi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Komisia odporučila</w:t>
            </w:r>
            <w:r w:rsidRPr="00D0236D">
              <w:rPr>
                <w:rFonts w:ascii="Times New Roman" w:hAnsi="Times New Roman"/>
                <w:i/>
              </w:rPr>
              <w:t xml:space="preserve"> predkladateľovi vyznačiť v doložke vybraných vplyvov, že materiál predpokladá negatívne vplyvy na procesy služieb vo verejnej správe a následne vypracovať aj Analýzu vplyvov na služby verejnej správy pre občana, a to v časti „7.3 Vplyv na procesy služieb vo verejnej správe“, vzhľadom k tomu, že Komisia považuje za vhodné uviesť, že tak ako vyplýva z dôvodovej správy - „</w:t>
            </w:r>
            <w:r w:rsidRPr="00314A38">
              <w:rPr>
                <w:rFonts w:ascii="Times New Roman" w:hAnsi="Times New Roman"/>
                <w:i/>
              </w:rPr>
              <w:t>Sociálnej poisťovni sa ustanovuje nová povinnosť určovať priemernú mesačnú sumu sólo starobného dôchodku zo Sociálnej poisťovne</w:t>
            </w:r>
            <w:r w:rsidRPr="00D0236D">
              <w:rPr>
                <w:rFonts w:ascii="Times New Roman" w:hAnsi="Times New Roman"/>
                <w:i/>
              </w:rPr>
              <w:t>, ktorý je vypočítaný len za samostatne vyplácané dôchodky.“, rovnako aj „je nevyhnutné ustanoviť povinnosť Sociálnej poisťovne sumu zverejňovať na webovom sídle“ - uvedené považuje Komisia za nové po</w:t>
            </w:r>
            <w:r>
              <w:rPr>
                <w:rFonts w:ascii="Times New Roman" w:hAnsi="Times New Roman"/>
                <w:i/>
              </w:rPr>
              <w:t>vinnosti pre Sociálnu poisťovňu.</w:t>
            </w:r>
          </w:p>
          <w:p w:rsidR="00D0236D" w:rsidRPr="00D0236D" w:rsidP="005F6AC6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i/>
              </w:rPr>
            </w:pPr>
          </w:p>
          <w:p w:rsidR="00D0236D" w:rsidP="005F6AC6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Komisia ďalej odporučila predkladateľovi, aby v</w:t>
            </w:r>
            <w:r w:rsidRPr="00D0236D">
              <w:rPr>
                <w:rFonts w:ascii="Times New Roman" w:hAnsi="Times New Roman"/>
                <w:i/>
              </w:rPr>
              <w:t> doložke vyznačil, že materiál nemá žiadne vplyvy na MSP.</w:t>
            </w:r>
          </w:p>
          <w:p w:rsidR="003966C6" w:rsidP="005F6AC6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i/>
              </w:rPr>
            </w:pPr>
          </w:p>
          <w:p w:rsidR="00D0236D" w:rsidRPr="00D0236D" w:rsidP="005F6AC6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i/>
              </w:rPr>
            </w:pPr>
            <w:r w:rsidR="003966C6">
              <w:rPr>
                <w:rFonts w:ascii="Times New Roman" w:hAnsi="Times New Roman"/>
                <w:i/>
              </w:rPr>
              <w:t>Uvedené pripomienky boli akceptované a následne zapracované v </w:t>
            </w:r>
            <w:r w:rsidR="005F6AC6">
              <w:rPr>
                <w:rFonts w:ascii="Times New Roman" w:hAnsi="Times New Roman"/>
                <w:i/>
              </w:rPr>
              <w:t>D</w:t>
            </w:r>
            <w:r w:rsidR="003966C6">
              <w:rPr>
                <w:rFonts w:ascii="Times New Roman" w:hAnsi="Times New Roman"/>
                <w:i/>
              </w:rPr>
              <w:t>oložke vybraných vplyvov a v </w:t>
            </w:r>
            <w:r w:rsidR="005F6AC6">
              <w:rPr>
                <w:rFonts w:ascii="Times New Roman" w:hAnsi="Times New Roman"/>
                <w:i/>
              </w:rPr>
              <w:t>A</w:t>
            </w:r>
            <w:r w:rsidR="003966C6">
              <w:rPr>
                <w:rFonts w:ascii="Times New Roman" w:hAnsi="Times New Roman"/>
                <w:i/>
              </w:rPr>
              <w:t xml:space="preserve">nalýze vplyvov na služby verejnej správy pre občana. </w:t>
            </w:r>
            <w:r w:rsidRPr="00D0236D">
              <w:rPr>
                <w:rFonts w:ascii="Times New Roman" w:hAnsi="Times New Roman"/>
                <w:i/>
              </w:rPr>
              <w:t xml:space="preserve"> </w:t>
            </w:r>
          </w:p>
          <w:p w:rsidR="003501A1" w:rsidRPr="00944634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</w:tbl>
    <w:p w:rsidR="003501A1" w:rsidRPr="00944634" w:rsidP="003501A1">
      <w:pPr>
        <w:bidi w:val="0"/>
        <w:rPr>
          <w:rFonts w:ascii="Times New Roman" w:hAnsi="Times New Roman"/>
          <w:b/>
        </w:rPr>
      </w:pPr>
    </w:p>
    <w:p w:rsidR="003501A1" w:rsidRPr="00944634" w:rsidP="003501A1">
      <w:pPr>
        <w:bidi w:val="0"/>
        <w:rPr>
          <w:rFonts w:ascii="Times New Roman" w:hAnsi="Times New Roman"/>
          <w:b/>
        </w:rPr>
      </w:pPr>
    </w:p>
    <w:p w:rsidR="00CB3623" w:rsidRPr="00944634">
      <w:pPr>
        <w:bidi w:val="0"/>
        <w:rPr>
          <w:rFonts w:ascii="Times New Roman" w:hAnsi="Times New Roman"/>
        </w:rPr>
      </w:pPr>
    </w:p>
    <w:sectPr w:rsidSect="004C60B8">
      <w:headerReference w:type="default" r:id="rId5"/>
      <w:footerReference w:type="default" r:id="rId6"/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49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C02E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EE2949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6D2"/>
    <w:multiLevelType w:val="hybridMultilevel"/>
    <w:tmpl w:val="9E024470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C54F5"/>
    <w:multiLevelType w:val="hybridMultilevel"/>
    <w:tmpl w:val="08482F6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0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AD209F"/>
    <w:multiLevelType w:val="hybridMultilevel"/>
    <w:tmpl w:val="0BDA0CC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86AE2"/>
    <w:multiLevelType w:val="hybridMultilevel"/>
    <w:tmpl w:val="512A221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162726B"/>
    <w:multiLevelType w:val="hybridMultilevel"/>
    <w:tmpl w:val="89A26DC8"/>
    <w:lvl w:ilvl="0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2C2A7CF2"/>
    <w:multiLevelType w:val="hybridMultilevel"/>
    <w:tmpl w:val="CF0481A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472D5"/>
    <w:multiLevelType w:val="hybridMultilevel"/>
    <w:tmpl w:val="751415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54644B65"/>
    <w:multiLevelType w:val="hybridMultilevel"/>
    <w:tmpl w:val="359AC4C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91777"/>
    <w:multiLevelType w:val="hybridMultilevel"/>
    <w:tmpl w:val="D7AA18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6F78FC"/>
    <w:multiLevelType w:val="hybridMultilevel"/>
    <w:tmpl w:val="3C864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540BE9"/>
    <w:multiLevelType w:val="hybridMultilevel"/>
    <w:tmpl w:val="49746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2">
    <w:nsid w:val="7BDE54EF"/>
    <w:multiLevelType w:val="hybridMultilevel"/>
    <w:tmpl w:val="A74A52A0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/>
  <w:rsids>
    <w:rsidRoot w:val="00B65A86"/>
    <w:rsid w:val="00010A89"/>
    <w:rsid w:val="000114D7"/>
    <w:rsid w:val="00036A60"/>
    <w:rsid w:val="000734A2"/>
    <w:rsid w:val="00074FC7"/>
    <w:rsid w:val="000A15AE"/>
    <w:rsid w:val="000B3352"/>
    <w:rsid w:val="000D40AB"/>
    <w:rsid w:val="00103C0E"/>
    <w:rsid w:val="0011693A"/>
    <w:rsid w:val="00116E3F"/>
    <w:rsid w:val="001179DF"/>
    <w:rsid w:val="001261A2"/>
    <w:rsid w:val="00135410"/>
    <w:rsid w:val="00175FD8"/>
    <w:rsid w:val="001A1559"/>
    <w:rsid w:val="001B05B3"/>
    <w:rsid w:val="001F01AE"/>
    <w:rsid w:val="002006F6"/>
    <w:rsid w:val="00224260"/>
    <w:rsid w:val="00261707"/>
    <w:rsid w:val="002A2466"/>
    <w:rsid w:val="002C04C0"/>
    <w:rsid w:val="002D4804"/>
    <w:rsid w:val="002D4A59"/>
    <w:rsid w:val="002D5BF8"/>
    <w:rsid w:val="00300BE3"/>
    <w:rsid w:val="00314A38"/>
    <w:rsid w:val="00343DE2"/>
    <w:rsid w:val="003501A1"/>
    <w:rsid w:val="00350BF4"/>
    <w:rsid w:val="00351C42"/>
    <w:rsid w:val="00353C80"/>
    <w:rsid w:val="00370E74"/>
    <w:rsid w:val="003716E4"/>
    <w:rsid w:val="00380F35"/>
    <w:rsid w:val="00395098"/>
    <w:rsid w:val="003966C6"/>
    <w:rsid w:val="003A4DF2"/>
    <w:rsid w:val="003A6D08"/>
    <w:rsid w:val="003B682A"/>
    <w:rsid w:val="003D4C7E"/>
    <w:rsid w:val="003D5159"/>
    <w:rsid w:val="003E68F3"/>
    <w:rsid w:val="003E7DE7"/>
    <w:rsid w:val="00402DF7"/>
    <w:rsid w:val="004039CC"/>
    <w:rsid w:val="00410252"/>
    <w:rsid w:val="004513F4"/>
    <w:rsid w:val="0045445A"/>
    <w:rsid w:val="0045465B"/>
    <w:rsid w:val="004C60B8"/>
    <w:rsid w:val="004C72A7"/>
    <w:rsid w:val="004C794A"/>
    <w:rsid w:val="004E3A90"/>
    <w:rsid w:val="004F12D3"/>
    <w:rsid w:val="004F6F1F"/>
    <w:rsid w:val="004F7D6F"/>
    <w:rsid w:val="00523539"/>
    <w:rsid w:val="00523567"/>
    <w:rsid w:val="00532A63"/>
    <w:rsid w:val="00534F7E"/>
    <w:rsid w:val="00552F8F"/>
    <w:rsid w:val="005650CD"/>
    <w:rsid w:val="00567C16"/>
    <w:rsid w:val="00570B48"/>
    <w:rsid w:val="005804A0"/>
    <w:rsid w:val="00594A76"/>
    <w:rsid w:val="005B3F0C"/>
    <w:rsid w:val="005B7A8D"/>
    <w:rsid w:val="005C6E3F"/>
    <w:rsid w:val="005D4766"/>
    <w:rsid w:val="005D6F08"/>
    <w:rsid w:val="005D769E"/>
    <w:rsid w:val="005F6AC6"/>
    <w:rsid w:val="0063009E"/>
    <w:rsid w:val="006500B0"/>
    <w:rsid w:val="0067729F"/>
    <w:rsid w:val="006C3B7D"/>
    <w:rsid w:val="006D2CE1"/>
    <w:rsid w:val="006D4F77"/>
    <w:rsid w:val="006D6403"/>
    <w:rsid w:val="006E771D"/>
    <w:rsid w:val="006F187A"/>
    <w:rsid w:val="00706BDC"/>
    <w:rsid w:val="007247BD"/>
    <w:rsid w:val="0073557D"/>
    <w:rsid w:val="00771382"/>
    <w:rsid w:val="00786180"/>
    <w:rsid w:val="0079118D"/>
    <w:rsid w:val="007A784A"/>
    <w:rsid w:val="007B5018"/>
    <w:rsid w:val="007B7041"/>
    <w:rsid w:val="007B71A4"/>
    <w:rsid w:val="007E56A6"/>
    <w:rsid w:val="007F6F6B"/>
    <w:rsid w:val="00811ED0"/>
    <w:rsid w:val="008171B3"/>
    <w:rsid w:val="00817BAA"/>
    <w:rsid w:val="008262C7"/>
    <w:rsid w:val="008474C8"/>
    <w:rsid w:val="0088282C"/>
    <w:rsid w:val="008C3EF0"/>
    <w:rsid w:val="008F5798"/>
    <w:rsid w:val="00906A4B"/>
    <w:rsid w:val="00944634"/>
    <w:rsid w:val="00961CCF"/>
    <w:rsid w:val="0096470D"/>
    <w:rsid w:val="00982CB9"/>
    <w:rsid w:val="009865E2"/>
    <w:rsid w:val="009C2DC2"/>
    <w:rsid w:val="009C3B8F"/>
    <w:rsid w:val="009D5548"/>
    <w:rsid w:val="00A07293"/>
    <w:rsid w:val="00A11284"/>
    <w:rsid w:val="00A12A34"/>
    <w:rsid w:val="00A34A45"/>
    <w:rsid w:val="00A66B4D"/>
    <w:rsid w:val="00A90099"/>
    <w:rsid w:val="00AA2D94"/>
    <w:rsid w:val="00AA5E08"/>
    <w:rsid w:val="00AC02E6"/>
    <w:rsid w:val="00AC2477"/>
    <w:rsid w:val="00B014B9"/>
    <w:rsid w:val="00B35FCB"/>
    <w:rsid w:val="00B36070"/>
    <w:rsid w:val="00B377FC"/>
    <w:rsid w:val="00B65A86"/>
    <w:rsid w:val="00B7457F"/>
    <w:rsid w:val="00B74AA0"/>
    <w:rsid w:val="00B74DB5"/>
    <w:rsid w:val="00B7521C"/>
    <w:rsid w:val="00B83402"/>
    <w:rsid w:val="00B872C3"/>
    <w:rsid w:val="00BA5E24"/>
    <w:rsid w:val="00BC578B"/>
    <w:rsid w:val="00BD23CB"/>
    <w:rsid w:val="00BF4187"/>
    <w:rsid w:val="00BF550B"/>
    <w:rsid w:val="00C02464"/>
    <w:rsid w:val="00C360B8"/>
    <w:rsid w:val="00C567F9"/>
    <w:rsid w:val="00C60A11"/>
    <w:rsid w:val="00C61AF1"/>
    <w:rsid w:val="00C802B8"/>
    <w:rsid w:val="00C9345A"/>
    <w:rsid w:val="00C95269"/>
    <w:rsid w:val="00CB3623"/>
    <w:rsid w:val="00CC2D56"/>
    <w:rsid w:val="00CD467C"/>
    <w:rsid w:val="00CE4EAE"/>
    <w:rsid w:val="00D002E3"/>
    <w:rsid w:val="00D0236D"/>
    <w:rsid w:val="00D02C3E"/>
    <w:rsid w:val="00D13B6F"/>
    <w:rsid w:val="00D24123"/>
    <w:rsid w:val="00D26EE1"/>
    <w:rsid w:val="00D31E6C"/>
    <w:rsid w:val="00D4139A"/>
    <w:rsid w:val="00D75C08"/>
    <w:rsid w:val="00D75D35"/>
    <w:rsid w:val="00DA3DF2"/>
    <w:rsid w:val="00DB60F3"/>
    <w:rsid w:val="00DD2E55"/>
    <w:rsid w:val="00DD68A6"/>
    <w:rsid w:val="00DE2A12"/>
    <w:rsid w:val="00E116B3"/>
    <w:rsid w:val="00E16738"/>
    <w:rsid w:val="00E2278E"/>
    <w:rsid w:val="00E24B20"/>
    <w:rsid w:val="00E35340"/>
    <w:rsid w:val="00E44777"/>
    <w:rsid w:val="00E70E41"/>
    <w:rsid w:val="00E76E21"/>
    <w:rsid w:val="00E85066"/>
    <w:rsid w:val="00E87C00"/>
    <w:rsid w:val="00EB1608"/>
    <w:rsid w:val="00EB22F7"/>
    <w:rsid w:val="00EB59E3"/>
    <w:rsid w:val="00EC128E"/>
    <w:rsid w:val="00ED036F"/>
    <w:rsid w:val="00ED3CC0"/>
    <w:rsid w:val="00ED3EF5"/>
    <w:rsid w:val="00EE2949"/>
    <w:rsid w:val="00EF466C"/>
    <w:rsid w:val="00EF4DA1"/>
    <w:rsid w:val="00F22831"/>
    <w:rsid w:val="00F26E80"/>
    <w:rsid w:val="00F50DCD"/>
    <w:rsid w:val="00F51491"/>
    <w:rsid w:val="00F62771"/>
    <w:rsid w:val="00F7458F"/>
    <w:rsid w:val="00FC3ED0"/>
    <w:rsid w:val="00FC6DF0"/>
    <w:rsid w:val="00FD09A8"/>
    <w:rsid w:val="00FE1C21"/>
    <w:rsid w:val="00FF432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"/>
    <w:qFormat/>
    <w:rsid w:val="007B7041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B7041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  <w:style w:type="paragraph" w:styleId="NormalWeb">
    <w:name w:val="Normal (Web)"/>
    <w:aliases w:val="webb"/>
    <w:basedOn w:val="Normal"/>
    <w:uiPriority w:val="99"/>
    <w:rsid w:val="00B014B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7041"/>
    <w:rPr>
      <w:rFonts w:cs="Times New Roman"/>
      <w:color w:val="0000FF" w:themeColor="hlink" w:themeShade="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7B7041"/>
    <w:rPr>
      <w:rFonts w:cs="Times New Roman"/>
      <w:color w:val="800080" w:themeColor="folHlink" w:themeShade="FF"/>
      <w:u w:val="single"/>
      <w:rtl w:val="0"/>
      <w:cs w:val="0"/>
    </w:rPr>
  </w:style>
  <w:style w:type="character" w:customStyle="1" w:styleId="h1a">
    <w:name w:val="h1a"/>
    <w:basedOn w:val="DefaultParagraphFont"/>
    <w:rsid w:val="007B7041"/>
    <w:rPr>
      <w:rFonts w:cs="Times New Roman"/>
      <w:rtl w:val="0"/>
      <w:cs w:val="0"/>
    </w:rPr>
  </w:style>
  <w:style w:type="paragraph" w:customStyle="1" w:styleId="Default">
    <w:name w:val="Default"/>
    <w:rsid w:val="00D0236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08B8-BC4F-460C-871C-0DCBB83B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1271</Words>
  <Characters>7251</Characters>
  <Application>Microsoft Office Word</Application>
  <DocSecurity>0</DocSecurity>
  <Lines>0</Lines>
  <Paragraphs>0</Paragraphs>
  <ScaleCrop>false</ScaleCrop>
  <Company>MPSVR SR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2</cp:revision>
  <cp:lastPrinted>2016-12-01T10:44:00Z</cp:lastPrinted>
  <dcterms:created xsi:type="dcterms:W3CDTF">2016-12-15T12:22:00Z</dcterms:created>
  <dcterms:modified xsi:type="dcterms:W3CDTF">2016-12-15T12:22:00Z</dcterms:modified>
</cp:coreProperties>
</file>