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  <w:t>NÁRODNÁ  RADA  SLOVENSKEJ  REPUBLIKY</w:t>
      </w:r>
    </w:p>
    <w:p w:rsidR="001541D8" w:rsidRPr="00830C68" w:rsidP="001541D8">
      <w:pPr>
        <w:bidi w:val="0"/>
        <w:spacing w:line="240" w:lineRule="auto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541D8">
        <w:rPr>
          <w:rFonts w:ascii="Times New Roman" w:hAnsi="Times New Roman" w:cs="Times New Roman"/>
          <w:sz w:val="32"/>
          <w:szCs w:val="32"/>
          <w:lang w:eastAsia="sk-SK"/>
        </w:rPr>
        <w:tab/>
        <w:tab/>
        <w:tab/>
        <w:tab/>
        <w:tab/>
      </w:r>
      <w:r w:rsidRPr="00830C68">
        <w:rPr>
          <w:rFonts w:ascii="Times New Roman" w:hAnsi="Times New Roman" w:cs="Times New Roman"/>
          <w:b/>
          <w:sz w:val="28"/>
          <w:szCs w:val="28"/>
          <w:lang w:eastAsia="sk-SK"/>
        </w:rPr>
        <w:t>VII. volebné obdobie</w:t>
      </w:r>
    </w:p>
    <w:p w:rsidR="001541D8" w:rsidRPr="001541D8" w:rsidP="001541D8">
      <w:pPr>
        <w:bidi w:val="0"/>
        <w:spacing w:line="240" w:lineRule="auto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            ––––––––––––––––––––––––––––––––––––––––––––––––––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</w:p>
    <w:p w:rsidR="001541D8" w:rsidRPr="00061586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sk-SK"/>
        </w:rPr>
      </w:pPr>
      <w:r w:rsidRPr="00061586" w:rsidR="00830C68">
        <w:rPr>
          <w:rFonts w:ascii="Times New Roman" w:hAnsi="Times New Roman" w:cs="Times New Roman"/>
          <w:b/>
          <w:sz w:val="36"/>
          <w:szCs w:val="36"/>
        </w:rPr>
        <w:t>346</w:t>
      </w:r>
    </w:p>
    <w:p w:rsidR="001541D8" w:rsidRPr="001541D8" w:rsidP="001541D8">
      <w:pPr>
        <w:tabs>
          <w:tab w:val="left" w:pos="284"/>
        </w:tabs>
        <w:bidi w:val="0"/>
        <w:spacing w:line="240" w:lineRule="auto"/>
        <w:jc w:val="center"/>
        <w:rPr>
          <w:rFonts w:ascii="Times New Roman" w:hAnsi="Times New Roman" w:cs="Times New Roman"/>
          <w:b/>
          <w:lang w:eastAsia="sk-SK"/>
        </w:rPr>
      </w:pPr>
    </w:p>
    <w:p w:rsidR="001541D8" w:rsidRPr="001541D8" w:rsidP="001541D8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     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VLÁDNY  NÁVRH</w:t>
      </w:r>
    </w:p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lang w:eastAsia="sk-SK"/>
        </w:rPr>
      </w:pPr>
    </w:p>
    <w:p w:rsidR="005A3E97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F5E" w:rsidRPr="00C16F5E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86" w:rsidP="0006158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061586" w:rsidP="0006158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........................ 2017,</w:t>
      </w:r>
    </w:p>
    <w:p w:rsidR="00061586" w:rsidP="0006158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1586" w:rsidP="0006158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ktorým sa mení a dopĺňa zákon č. 43/2004 Z. z. o starobnom dôchodkovom sporení a o zmene a doplnení niektorých zákonov v znení neskorších predpisov </w:t>
      </w:r>
    </w:p>
    <w:p w:rsidR="00061586" w:rsidP="0006158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586" w:rsidP="006241BC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3DB9" w:rsidP="00D93DB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93DB9" w:rsidP="00D93D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DB9" w:rsidP="00D93D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D93DB9" w:rsidP="00D93DB9">
      <w:pPr>
        <w:pStyle w:val="ListParagraph"/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43/2004 Z. z. o starobnom dôchodkovom sporení a o zmene a doplnení niektorých zákonov v znení zákona č. 186/2004 Z. z., zákona č. 439/2004 Z. z., zákona č. 721/2004 Z. z., zákona č. 747/2004 Z. z., zákona č. 310/2006 Z. z., zákona č. 644/2006 Z. z., zákona č. 677/2006 Z. z., zákona č. 519/2007 Z. z., zákona č. 555/2007 Z. z., zákona č. 659/2007 Z. z., zákona č. 62/2008 Z. z., zákona č. 434/2008 Z. z., zákona č. 449/2008 Z. z., zákona č. 137/2009 Z. z., zákona č. 572/2009 Z. z., zákona č. 105/2010 Z. z., nálezu Ústavného súdu Slovenskej republiky č. 355/2010 Z. z., zákona č. 543/2010 Z. z., zákona č. 334/2011 Z. z., zákona č. 546/2011 Z. z., zákona č. 547/2011 Z. z., zákona č. 252/2012 Z. z., zákona č. 413/2012 Z. z., zákona č. 132/2013 Z. z., zákona č. 352/2013 Z. z., zákona č. 183/2014 Z. z., zákona č. 301/2014 Z. z., zákona č. 25/2015 Z. z., zákona č. 140/2015 Z. z., zákona č. 91/2016 Z. z., zákona č. 125/2016 Z. z. a zákona č. 292/2016 Z. z. sa mení  a dopĺňa takto:</w:t>
      </w:r>
    </w:p>
    <w:p w:rsidR="00D93DB9" w:rsidP="00D93DB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§ 33 odsek 2 znie:</w:t>
      </w:r>
    </w:p>
    <w:p w:rsidR="00D93DB9" w:rsidP="00D416B8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„(2) Vyplácanie dočasného starobného dôchodku a dočasného predčasného starobného dôchodku možno dohodnúť, ak súčet súm dôchodkových dávok podľa osobitného </w:t>
      </w:r>
      <w:r w:rsidRPr="00CD25D5">
        <w:rPr>
          <w:rFonts w:ascii="Times New Roman" w:hAnsi="Times New Roman"/>
          <w:sz w:val="24"/>
          <w:szCs w:val="24"/>
        </w:rPr>
        <w:t>predpisu,</w:t>
      </w:r>
      <w:hyperlink r:id="rId6" w:anchor="poznamky.poznamka-3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výsluhového dôchodku,</w:t>
      </w:r>
      <w:hyperlink r:id="rId6" w:anchor="poznamky.poznamka-38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invalidného výsluhového dôchodku,</w:t>
      </w:r>
      <w:hyperlink r:id="rId6" w:anchor="poznamky.poznamka-38a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38a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invalidného dôchodku a čiastočného invalidného dôchodku,</w:t>
      </w:r>
      <w:hyperlink r:id="rId6" w:anchor="poznamky.poznamka-38b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38b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vdovského výsluhového dôchodku,</w:t>
      </w:r>
      <w:hyperlink r:id="rId6" w:anchor="poznamky.poznamka-38c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38c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vdoveckého výsluhového dôchodku</w:t>
      </w:r>
      <w:hyperlink r:id="rId6" w:anchor="poznamky.poznamka-38d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38d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a obdobného dôchodku vyplácaného z cudziny, ktoré majú byť vyplácané ku dňu povinnosti poistiteľa plniť zo</w:t>
      </w:r>
      <w:r>
        <w:rPr>
          <w:rFonts w:ascii="Times New Roman" w:hAnsi="Times New Roman"/>
          <w:sz w:val="24"/>
          <w:szCs w:val="24"/>
        </w:rPr>
        <w:t xml:space="preserve"> zmluvy o poistení dôchodku, a sumy doživotného starobného dôchodku alebo doživotného predčasného starobného dôchodku ku dňu evidencie poznámky o uzatvorení zmluvy o poistení dôchodku, na základe ktorej sa bude vyplácať dočasný starobný dôchodok alebo dočasný predčasný starobný dôchodok, je vyšší ako platná referenčná suma podľa § 46da.“.</w:t>
      </w:r>
    </w:p>
    <w:p w:rsidR="00D93DB9" w:rsidP="00D93D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33 ods. 6  sa za slová „doživotný predčasný starobný dôchodok,“ vkladajú slová „zmluvy o poistení dôchodku, na základe ktorej sa vypláca dočasný starobný dôchodok alebo dočasný predčasný starobný dôchodok, alebo dohody o vyplácaní dôchodku programovým výberom“.</w:t>
      </w:r>
    </w:p>
    <w:p w:rsidR="00D93DB9" w:rsidP="00D93DB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33a odsek 2 znie:</w:t>
      </w:r>
    </w:p>
    <w:p w:rsidR="00D93DB9" w:rsidRPr="00CD25D5" w:rsidP="00D416B8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D25D5">
        <w:rPr>
          <w:rFonts w:ascii="Times New Roman" w:hAnsi="Times New Roman"/>
          <w:sz w:val="24"/>
          <w:szCs w:val="24"/>
        </w:rPr>
        <w:t>„(2) Vyplácanie starobného dôchodku a predčasného starobného dôchodku programovým výberom možno dohodnúť, ak súčet súm dôchodkových dávok podľa osobitného predpisu,</w:t>
      </w:r>
      <w:hyperlink r:id="rId6" w:anchor="poznamky.poznamka-3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výsluhového dôchodku,</w:t>
      </w:r>
      <w:hyperlink r:id="rId6" w:anchor="poznamky.poznamka-38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invalidného výsluhového dôchodku,</w:t>
      </w:r>
      <w:hyperlink r:id="rId6" w:anchor="poznamky.poznamka-38a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38a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invalidného dôchodku a čiastočného invalidného dôchodku,</w:t>
      </w:r>
      <w:hyperlink r:id="rId6" w:anchor="poznamky.poznamka-38b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38b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vdovského výsluhového dôchodku,</w:t>
      </w:r>
      <w:hyperlink r:id="rId6" w:anchor="poznamky.poznamka-38c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38c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vdoveckého výsluhového dôchodku</w:t>
      </w:r>
      <w:hyperlink r:id="rId6" w:anchor="poznamky.poznamka-38d" w:tooltip="Odkaz na predpis alebo ustanovenie" w:history="1">
        <w:r w:rsidRPr="00CD25D5">
          <w:rPr>
            <w:rStyle w:val="Hyperlink"/>
            <w:color w:val="auto"/>
            <w:sz w:val="24"/>
            <w:szCs w:val="24"/>
            <w:u w:val="none"/>
            <w:effect w:val="none"/>
            <w:vertAlign w:val="superscript"/>
          </w:rPr>
          <w:t>38d</w:t>
        </w:r>
        <w:r w:rsidRPr="00CD25D5">
          <w:rPr>
            <w:rStyle w:val="Hyperlink"/>
            <w:color w:val="auto"/>
            <w:sz w:val="24"/>
            <w:szCs w:val="24"/>
            <w:u w:val="none"/>
            <w:effect w:val="none"/>
          </w:rPr>
          <w:t>)</w:t>
        </w:r>
      </w:hyperlink>
      <w:r w:rsidRPr="00CD25D5">
        <w:rPr>
          <w:rFonts w:ascii="Times New Roman" w:hAnsi="Times New Roman"/>
          <w:sz w:val="24"/>
          <w:szCs w:val="24"/>
        </w:rPr>
        <w:t> a obdobného dôchodku vyplácaného z cudziny, ktoré majú byť vyplácané ku dňu účinnosti dohody o vyplácaní dôchodku programovým výberom, a sumy doživotného starobného dôchodku alebo doživotného predčasného starobného dôchodku ku dňu evidencie poznámky o uzatvorení dohody o vyplácaní dôchodku programovým výberom je vyšší ako platná referenčná suma podľa §  46da.“.</w:t>
      </w:r>
    </w:p>
    <w:p w:rsidR="00D93DB9" w:rsidP="00D93D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33a ods. 8 sa za slová „predčasný starobný dôchodok,“ vkladajú slová „zmluvy o poistení dôchodku, na základe ktorej sa vypláca dočasný starobný dôchodok alebo dočasný predčasný starobný dôchodok, alebo dohody o vyplácaní dôchodku programovým výberom“.</w:t>
      </w:r>
    </w:p>
    <w:p w:rsidR="00D93DB9" w:rsidP="00D93DB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41 sa vypúšťa odsek 1.</w:t>
      </w:r>
    </w:p>
    <w:p w:rsidR="00D93DB9" w:rsidP="00D93DB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2 až 4 sa označujú ako odseky 1 až 3.</w:t>
      </w:r>
    </w:p>
    <w:p w:rsidR="00D93DB9" w:rsidP="00D93DB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46d ods. 1 písm. a) sa slovo „alebo“ nahrádza čiarkou.</w:t>
      </w:r>
    </w:p>
    <w:p w:rsidR="00D93DB9" w:rsidP="00D93D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46d ods. 1 písm. b) sa vypúšťajú slová „ods. 2 alebo“.</w:t>
      </w:r>
    </w:p>
    <w:p w:rsidR="00D93DB9" w:rsidP="00D93DB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46d sa odsek 1 dopĺňa písmenami c) a d), ktoré znejú:</w:t>
      </w:r>
    </w:p>
    <w:p w:rsidR="00D93DB9" w:rsidP="00D93DB9">
      <w:pPr>
        <w:pStyle w:val="ListParagraph"/>
        <w:bidi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 sa podmienky vyplácania starobného dôchodku alebo predčasného starobného dôchodku programovým výberom podľa § 33a ods. 8 považujú za splnené a nemá záväznú ponuku podľa § 46, 46a a 46b alebo</w:t>
      </w:r>
    </w:p>
    <w:p w:rsidR="00D93DB9" w:rsidP="00D93DB9">
      <w:pPr>
        <w:pStyle w:val="ListParagraph"/>
        <w:bidi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="00D41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d) spĺňa podmienky vyplácania starobného dôchodku alebo predčasného starobného dôchodku programovým výberom podľa § 33a ods. 2 a dôchodková správcovská spoločnosť, s ktorou má uzatvorenú zmluvu o starobnom dôchodkovom sporení, mu nepredložila záväznú ponuku podľa § 46b, a to do</w:t>
      </w:r>
    </w:p>
    <w:p w:rsidR="00D93DB9" w:rsidP="00D93DB9">
      <w:pPr>
        <w:pStyle w:val="ListParagraph"/>
        <w:numPr>
          <w:numId w:val="18"/>
        </w:numPr>
        <w:bidi w:val="0"/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konca kalendárneho roka, v ktorom bola sporiteľovi vyhotovená ponuka podľa § 46, 46a a 46b, ak bola ponuka vyhotovená od 1. januára do 31. októbra kalendárneho roka, </w:t>
      </w:r>
    </w:p>
    <w:p w:rsidR="00D93DB9" w:rsidP="00D93DB9">
      <w:pPr>
        <w:pStyle w:val="ListParagraph"/>
        <w:numPr>
          <w:numId w:val="18"/>
        </w:numPr>
        <w:bidi w:val="0"/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dní od skončenia záväznosti ponúk podľa § 46, 46a a 46b, ak bola ponuka vyhotovená od 1. novembra do 31. decembra kalendárneho roka.“.</w:t>
      </w:r>
    </w:p>
    <w:p w:rsidR="00D93DB9" w:rsidP="00D93D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46d sa vkladá § 46da, ktorý vrátane nadpisu znie:</w:t>
      </w:r>
    </w:p>
    <w:p w:rsidR="00D93DB9" w:rsidP="00D93DB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DB9" w:rsidP="00D93DB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46da</w:t>
      </w:r>
    </w:p>
    <w:p w:rsidR="00D93DB9" w:rsidP="00D93DB9">
      <w:pPr>
        <w:bidi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Referenčná suma </w:t>
      </w:r>
    </w:p>
    <w:p w:rsidR="00D93DB9" w:rsidP="00D93DB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3DB9" w:rsidP="00D416B8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Referenčná suma je priemerná mesačná suma starobného dôchodku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 určená k 30. novembru kalendárneho roka.</w:t>
      </w:r>
    </w:p>
    <w:p w:rsidR="00D93DB9" w:rsidP="00D93D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3DB9" w:rsidP="00D416B8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Na určenie referenčnej sumy sa použije starobný dôchodok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D93DB9" w:rsidP="00D93DB9">
      <w:pPr>
        <w:pStyle w:val="ListParagraph"/>
        <w:numPr>
          <w:numId w:val="1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ktorý vznikol nárok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) po 31. decembri 2003 a nárok na výplatu ktorého trvá ku dňu, ku ktorému sa referenčná suma určuje, </w:t>
      </w:r>
    </w:p>
    <w:p w:rsidR="00D93DB9" w:rsidP="00D93DB9">
      <w:pPr>
        <w:pStyle w:val="ListParagraph"/>
        <w:numPr>
          <w:numId w:val="1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ktorý by sa vyplácal v sume nezníženej za obdobie účasti na starobnom dôchodkovom sporení, ak nárok na starobný dôchodok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 vznikol poistencovi, ktorý je alebo bol sporiteľom, a</w:t>
      </w:r>
    </w:p>
    <w:p w:rsidR="00D93DB9" w:rsidP="00D93DB9">
      <w:pPr>
        <w:pStyle w:val="ListParagraph"/>
        <w:numPr>
          <w:numId w:val="1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ktorý nebol znížený z dôvodu súbehu s inou dôchodkovou dávkou.</w:t>
      </w:r>
    </w:p>
    <w:p w:rsidR="00D93DB9" w:rsidP="00D93DB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3DB9" w:rsidP="00D416B8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Referenčná suma je platná v kalendárnom roku nasledujúcom po kalendárnom roku, v ktorom sa určila.“.</w:t>
      </w:r>
    </w:p>
    <w:p w:rsidR="00D93DB9" w:rsidP="00D93D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46e ods. 2 písm. l) sa slová „odseku 10“ nahrádzajú slovami „odseku 11“.</w:t>
      </w:r>
    </w:p>
    <w:p w:rsidR="00D93DB9" w:rsidP="00D93D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46e sa odsek 2 dopĺňa písmenom p), ktoré znie:</w:t>
      </w:r>
    </w:p>
    <w:p w:rsidR="00D93DB9" w:rsidP="00D93D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„p) o referenčnej sume podľa § 46da.“.</w:t>
      </w:r>
    </w:p>
    <w:p w:rsidR="00D93DB9" w:rsidP="00D93D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46e sa za odsek 9 vkladá odsek 10, ktorý znie:</w:t>
      </w:r>
    </w:p>
    <w:p w:rsidR="00D93DB9" w:rsidP="00D416B8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„(10) Sociálna poisťovňa na svojom webovom sídle zverejní </w:t>
      </w:r>
    </w:p>
    <w:p w:rsidR="00D93DB9" w:rsidP="00D93DB9">
      <w:pPr>
        <w:pStyle w:val="ListParagraph"/>
        <w:numPr>
          <w:numId w:val="20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referenčnú sumu podľa § 46da do 31. decembra kalendárneho roka, v ktorom sa referenčná suma určuje,</w:t>
      </w:r>
    </w:p>
    <w:p w:rsidR="00D93DB9" w:rsidP="00D93DB9">
      <w:pPr>
        <w:pStyle w:val="ListParagraph"/>
        <w:numPr>
          <w:numId w:val="20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priemernú sumu starobného dôchodku, predčasného starobného dôchodku, pozostalostného dôchodku a výnosu z investovania do 31. januára kalendárneho roka, ktorý nasleduje po kalendárnom roku, za ktorý sa tieto priemerné sumy určujú.“.</w:t>
      </w:r>
    </w:p>
    <w:p w:rsidR="00D93DB9" w:rsidP="00D93DB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10 sa označuje ako odsek 11.</w:t>
      </w:r>
    </w:p>
    <w:p w:rsidR="00D93DB9" w:rsidP="00D93DB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numPr>
          <w:numId w:val="17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123as sa vkladá § 123at, ktorý vrátane nadpisu znie:</w:t>
      </w:r>
    </w:p>
    <w:p w:rsidR="00D416B8" w:rsidP="00D93DB9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93DB9" w:rsidP="00D93DB9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123at</w:t>
      </w:r>
    </w:p>
    <w:p w:rsidR="00D93DB9" w:rsidP="00D93DB9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ustanovenie k úpravám účinným od 1. mája 2017</w:t>
      </w:r>
    </w:p>
    <w:p w:rsidR="00D93DB9" w:rsidP="00D93DB9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93DB9" w:rsidP="00D416B8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Referenčná suma platná v kalendárnom roku 2017 je referenčná suma určená Sociálnou poisťovňou k 30. novembru 2016. Sociálna poisťovňa zverejní referenčnú sumu podľa prvej vety 1. mája 2017.“. </w:t>
      </w:r>
    </w:p>
    <w:p w:rsidR="00D93DB9" w:rsidP="00D93D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DB9" w:rsidP="00D93D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D93DB9" w:rsidP="00D93DB9">
      <w:pPr>
        <w:bidi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93DB9" w:rsidP="00D416B8">
      <w:pPr>
        <w:bidi w:val="0"/>
        <w:spacing w:after="0" w:line="240" w:lineRule="auto"/>
        <w:ind w:firstLine="708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mája 2017.</w:t>
      </w:r>
    </w:p>
    <w:p w:rsidR="00D93DB9" w:rsidP="00D93DB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1586" w:rsidP="00061586">
      <w:pPr>
        <w:bidi w:val="0"/>
        <w:rPr>
          <w:rFonts w:asciiTheme="minorHAnsi" w:hAnsiTheme="minorHAnsi"/>
        </w:rPr>
      </w:pPr>
    </w:p>
    <w:p w:rsidR="00A35EE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4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D25D5">
      <w:rPr>
        <w:noProof/>
      </w:rPr>
      <w:t>4</w:t>
    </w:r>
    <w:r>
      <w:fldChar w:fldCharType="end"/>
    </w:r>
  </w:p>
  <w:p w:rsidR="00CC164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650"/>
    <w:multiLevelType w:val="hybridMultilevel"/>
    <w:tmpl w:val="78D851F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123A7331"/>
    <w:multiLevelType w:val="hybridMultilevel"/>
    <w:tmpl w:val="3EF48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666590"/>
    <w:multiLevelType w:val="hybridMultilevel"/>
    <w:tmpl w:val="2D4ADFD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3">
    <w:nsid w:val="1AD10239"/>
    <w:multiLevelType w:val="hybridMultilevel"/>
    <w:tmpl w:val="EE2474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D9B68AF"/>
    <w:multiLevelType w:val="hybridMultilevel"/>
    <w:tmpl w:val="B54A8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44524DA"/>
    <w:multiLevelType w:val="hybridMultilevel"/>
    <w:tmpl w:val="FAEE30E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24CC5C28"/>
    <w:multiLevelType w:val="hybridMultilevel"/>
    <w:tmpl w:val="08A6491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6F13833"/>
    <w:multiLevelType w:val="hybridMultilevel"/>
    <w:tmpl w:val="53EAA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8395D18"/>
    <w:multiLevelType w:val="hybridMultilevel"/>
    <w:tmpl w:val="0D42EE8C"/>
    <w:lvl w:ilvl="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9">
    <w:nsid w:val="33D35391"/>
    <w:multiLevelType w:val="hybridMultilevel"/>
    <w:tmpl w:val="EC4225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400378C1"/>
    <w:multiLevelType w:val="hybridMultilevel"/>
    <w:tmpl w:val="BEB83A1A"/>
    <w:lvl w:ilvl="0">
      <w:start w:val="1"/>
      <w:numFmt w:val="decimal"/>
      <w:lvlText w:val="%1."/>
      <w:lvlJc w:val="left"/>
      <w:pPr>
        <w:ind w:left="-14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4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18" w:hanging="180"/>
      </w:pPr>
      <w:rPr>
        <w:rFonts w:cs="Times New Roman"/>
        <w:rtl w:val="0"/>
        <w:cs w:val="0"/>
      </w:rPr>
    </w:lvl>
  </w:abstractNum>
  <w:abstractNum w:abstractNumId="11">
    <w:nsid w:val="402472D5"/>
    <w:multiLevelType w:val="hybridMultilevel"/>
    <w:tmpl w:val="751415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F5B2F2B"/>
    <w:multiLevelType w:val="hybridMultilevel"/>
    <w:tmpl w:val="AA4C987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3">
    <w:nsid w:val="544F2623"/>
    <w:multiLevelType w:val="hybridMultilevel"/>
    <w:tmpl w:val="1C729BC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E3D1F0E"/>
    <w:multiLevelType w:val="hybridMultilevel"/>
    <w:tmpl w:val="1C52E85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6">
    <w:nsid w:val="5FD12A7A"/>
    <w:multiLevelType w:val="hybridMultilevel"/>
    <w:tmpl w:val="A3C087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3606823"/>
    <w:multiLevelType w:val="hybridMultilevel"/>
    <w:tmpl w:val="97D088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7E294873"/>
    <w:multiLevelType w:val="hybridMultilevel"/>
    <w:tmpl w:val="DA628C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7FAD58CF"/>
    <w:multiLevelType w:val="hybridMultilevel"/>
    <w:tmpl w:val="1A12AAFC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bCs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18"/>
  </w:num>
  <w:num w:numId="9">
    <w:abstractNumId w:val="10"/>
  </w:num>
  <w:num w:numId="10">
    <w:abstractNumId w:val="12"/>
  </w:num>
  <w:num w:numId="11">
    <w:abstractNumId w:val="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52B3"/>
    <w:rsid w:val="000051A6"/>
    <w:rsid w:val="00033B43"/>
    <w:rsid w:val="00061586"/>
    <w:rsid w:val="00071DAB"/>
    <w:rsid w:val="00071F04"/>
    <w:rsid w:val="00080EF0"/>
    <w:rsid w:val="000845FA"/>
    <w:rsid w:val="0008740A"/>
    <w:rsid w:val="000A6FCD"/>
    <w:rsid w:val="000B5D60"/>
    <w:rsid w:val="000E07B0"/>
    <w:rsid w:val="000E48BF"/>
    <w:rsid w:val="001010EA"/>
    <w:rsid w:val="00106B9D"/>
    <w:rsid w:val="001074A5"/>
    <w:rsid w:val="0011103B"/>
    <w:rsid w:val="001362B3"/>
    <w:rsid w:val="0015035B"/>
    <w:rsid w:val="001541D8"/>
    <w:rsid w:val="001B375C"/>
    <w:rsid w:val="001B5064"/>
    <w:rsid w:val="001B5E28"/>
    <w:rsid w:val="001C5D57"/>
    <w:rsid w:val="001D1498"/>
    <w:rsid w:val="002412D3"/>
    <w:rsid w:val="0024500F"/>
    <w:rsid w:val="00245B34"/>
    <w:rsid w:val="00252CF3"/>
    <w:rsid w:val="002557B8"/>
    <w:rsid w:val="00264FE4"/>
    <w:rsid w:val="00267B2E"/>
    <w:rsid w:val="002952B3"/>
    <w:rsid w:val="002969CB"/>
    <w:rsid w:val="002B1908"/>
    <w:rsid w:val="002C15B3"/>
    <w:rsid w:val="002C1FC2"/>
    <w:rsid w:val="002C6671"/>
    <w:rsid w:val="002E378F"/>
    <w:rsid w:val="002F0FAC"/>
    <w:rsid w:val="0030544F"/>
    <w:rsid w:val="0032568D"/>
    <w:rsid w:val="00327FF3"/>
    <w:rsid w:val="00364A41"/>
    <w:rsid w:val="00370CA0"/>
    <w:rsid w:val="003932DF"/>
    <w:rsid w:val="00396731"/>
    <w:rsid w:val="003977F4"/>
    <w:rsid w:val="003C0CF9"/>
    <w:rsid w:val="003C446E"/>
    <w:rsid w:val="003D50F4"/>
    <w:rsid w:val="003E0920"/>
    <w:rsid w:val="003E2F22"/>
    <w:rsid w:val="003E547B"/>
    <w:rsid w:val="003F3550"/>
    <w:rsid w:val="004060CD"/>
    <w:rsid w:val="0041327E"/>
    <w:rsid w:val="0041786D"/>
    <w:rsid w:val="004427B7"/>
    <w:rsid w:val="00460496"/>
    <w:rsid w:val="00461AE0"/>
    <w:rsid w:val="00461D70"/>
    <w:rsid w:val="00471B1D"/>
    <w:rsid w:val="00472948"/>
    <w:rsid w:val="00481567"/>
    <w:rsid w:val="004945DD"/>
    <w:rsid w:val="004963E4"/>
    <w:rsid w:val="00497815"/>
    <w:rsid w:val="004B6276"/>
    <w:rsid w:val="004E4C15"/>
    <w:rsid w:val="0051509C"/>
    <w:rsid w:val="00525EEF"/>
    <w:rsid w:val="005316A0"/>
    <w:rsid w:val="00557A38"/>
    <w:rsid w:val="005620BB"/>
    <w:rsid w:val="005843A8"/>
    <w:rsid w:val="00597626"/>
    <w:rsid w:val="005A33B0"/>
    <w:rsid w:val="005A3E7F"/>
    <w:rsid w:val="005A3E97"/>
    <w:rsid w:val="005B270F"/>
    <w:rsid w:val="005C313E"/>
    <w:rsid w:val="005C3E49"/>
    <w:rsid w:val="005C49CB"/>
    <w:rsid w:val="005D250E"/>
    <w:rsid w:val="005D4572"/>
    <w:rsid w:val="005F1D7C"/>
    <w:rsid w:val="00600195"/>
    <w:rsid w:val="00607937"/>
    <w:rsid w:val="00612816"/>
    <w:rsid w:val="00614147"/>
    <w:rsid w:val="006241BC"/>
    <w:rsid w:val="00624DAF"/>
    <w:rsid w:val="00645D4F"/>
    <w:rsid w:val="00656A84"/>
    <w:rsid w:val="00681A5B"/>
    <w:rsid w:val="00690668"/>
    <w:rsid w:val="00691AD5"/>
    <w:rsid w:val="006B34F9"/>
    <w:rsid w:val="006C2FC4"/>
    <w:rsid w:val="006E4F74"/>
    <w:rsid w:val="00706A81"/>
    <w:rsid w:val="007155DC"/>
    <w:rsid w:val="0072508D"/>
    <w:rsid w:val="00726BCE"/>
    <w:rsid w:val="00733EC4"/>
    <w:rsid w:val="00735F00"/>
    <w:rsid w:val="00741887"/>
    <w:rsid w:val="007425E1"/>
    <w:rsid w:val="00761470"/>
    <w:rsid w:val="00763D74"/>
    <w:rsid w:val="00773DAD"/>
    <w:rsid w:val="00787AAB"/>
    <w:rsid w:val="007C2D4B"/>
    <w:rsid w:val="00830C68"/>
    <w:rsid w:val="008518A7"/>
    <w:rsid w:val="008662A2"/>
    <w:rsid w:val="008760BD"/>
    <w:rsid w:val="00877726"/>
    <w:rsid w:val="00890103"/>
    <w:rsid w:val="008A7815"/>
    <w:rsid w:val="008B1291"/>
    <w:rsid w:val="008B3933"/>
    <w:rsid w:val="008C724D"/>
    <w:rsid w:val="009014AF"/>
    <w:rsid w:val="0090646B"/>
    <w:rsid w:val="00951B49"/>
    <w:rsid w:val="009904B5"/>
    <w:rsid w:val="009E4B13"/>
    <w:rsid w:val="00A05D9C"/>
    <w:rsid w:val="00A06492"/>
    <w:rsid w:val="00A11911"/>
    <w:rsid w:val="00A26125"/>
    <w:rsid w:val="00A35EE3"/>
    <w:rsid w:val="00A361C4"/>
    <w:rsid w:val="00A46A6E"/>
    <w:rsid w:val="00A6183A"/>
    <w:rsid w:val="00A631DA"/>
    <w:rsid w:val="00A759CC"/>
    <w:rsid w:val="00A96CDB"/>
    <w:rsid w:val="00AA714E"/>
    <w:rsid w:val="00AC69A4"/>
    <w:rsid w:val="00AC7CA4"/>
    <w:rsid w:val="00AF095F"/>
    <w:rsid w:val="00B01F16"/>
    <w:rsid w:val="00B07755"/>
    <w:rsid w:val="00B130C1"/>
    <w:rsid w:val="00B314E2"/>
    <w:rsid w:val="00B41E42"/>
    <w:rsid w:val="00B457F5"/>
    <w:rsid w:val="00B5001E"/>
    <w:rsid w:val="00B67844"/>
    <w:rsid w:val="00B7448F"/>
    <w:rsid w:val="00B9058C"/>
    <w:rsid w:val="00BE0739"/>
    <w:rsid w:val="00BE376D"/>
    <w:rsid w:val="00BE7E79"/>
    <w:rsid w:val="00BF041D"/>
    <w:rsid w:val="00C0067B"/>
    <w:rsid w:val="00C15770"/>
    <w:rsid w:val="00C16F5E"/>
    <w:rsid w:val="00C2591E"/>
    <w:rsid w:val="00C42A71"/>
    <w:rsid w:val="00C52600"/>
    <w:rsid w:val="00C52960"/>
    <w:rsid w:val="00C757F0"/>
    <w:rsid w:val="00C7672E"/>
    <w:rsid w:val="00C84CC7"/>
    <w:rsid w:val="00C97C7A"/>
    <w:rsid w:val="00CA03A0"/>
    <w:rsid w:val="00CC164C"/>
    <w:rsid w:val="00CD0391"/>
    <w:rsid w:val="00CD25D5"/>
    <w:rsid w:val="00CD5C9D"/>
    <w:rsid w:val="00D0243D"/>
    <w:rsid w:val="00D02FFD"/>
    <w:rsid w:val="00D05240"/>
    <w:rsid w:val="00D05DA7"/>
    <w:rsid w:val="00D1784A"/>
    <w:rsid w:val="00D2315C"/>
    <w:rsid w:val="00D320D8"/>
    <w:rsid w:val="00D405CB"/>
    <w:rsid w:val="00D416B8"/>
    <w:rsid w:val="00D540A3"/>
    <w:rsid w:val="00D552B0"/>
    <w:rsid w:val="00D55D4E"/>
    <w:rsid w:val="00D93DB9"/>
    <w:rsid w:val="00DB4F1D"/>
    <w:rsid w:val="00DB546C"/>
    <w:rsid w:val="00DC1401"/>
    <w:rsid w:val="00DF3971"/>
    <w:rsid w:val="00E0684E"/>
    <w:rsid w:val="00E1661A"/>
    <w:rsid w:val="00E51E3B"/>
    <w:rsid w:val="00E54DFC"/>
    <w:rsid w:val="00E607CC"/>
    <w:rsid w:val="00E65876"/>
    <w:rsid w:val="00E709C5"/>
    <w:rsid w:val="00E816A2"/>
    <w:rsid w:val="00E84000"/>
    <w:rsid w:val="00E95AC1"/>
    <w:rsid w:val="00E96B0E"/>
    <w:rsid w:val="00EA3CFF"/>
    <w:rsid w:val="00EA5039"/>
    <w:rsid w:val="00EB19FC"/>
    <w:rsid w:val="00ED6735"/>
    <w:rsid w:val="00EE3257"/>
    <w:rsid w:val="00EE4E13"/>
    <w:rsid w:val="00F043C7"/>
    <w:rsid w:val="00F04413"/>
    <w:rsid w:val="00F11BCF"/>
    <w:rsid w:val="00F475B2"/>
    <w:rsid w:val="00F61706"/>
    <w:rsid w:val="00F65299"/>
    <w:rsid w:val="00F74E11"/>
    <w:rsid w:val="00FA3C0D"/>
    <w:rsid w:val="00FA47AA"/>
    <w:rsid w:val="00FA4EDE"/>
    <w:rsid w:val="00FB116C"/>
    <w:rsid w:val="00FC264F"/>
    <w:rsid w:val="00FC3BAB"/>
    <w:rsid w:val="00FF65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2B3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952B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952B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952B3"/>
    <w:rPr>
      <w:rFonts w:ascii="Calibri" w:hAnsi="Calibri" w:cs="Calibri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52B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52B3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81A5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81A5B"/>
    <w:rPr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1B506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1B5064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2F0FAC"/>
    <w:rPr>
      <w:rFonts w:cs="Times New Roman"/>
      <w:color w:val="05507A"/>
      <w:u w:val="none"/>
      <w:effect w:val="none"/>
      <w:rtl w:val="0"/>
      <w:cs w:val="0"/>
    </w:rPr>
  </w:style>
  <w:style w:type="paragraph" w:styleId="Revision">
    <w:name w:val="Revision"/>
    <w:hidden/>
    <w:uiPriority w:val="99"/>
    <w:semiHidden/>
    <w:rsid w:val="00787A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CC164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C164C"/>
    <w:rPr>
      <w:rFonts w:ascii="Calibri" w:hAnsi="Calibri" w:cs="Calibri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C164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C164C"/>
    <w:rPr>
      <w:rFonts w:ascii="Calibri" w:hAnsi="Calibri" w:cs="Calibri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slov-lex.sk/pravne-predpisy/SK/ZZ/2004/43/2016010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4_Vlastný-materiál"/>
    <f:field ref="objsubject" par="" edit="true" text=""/>
    <f:field ref="objcreatedby" par="" text="Hornáček, Vladimír, Mgr."/>
    <f:field ref="objcreatedat" par="" text="30.6.2016 8:27:15"/>
    <f:field ref="objchangedby" par="" text="Administrator, System"/>
    <f:field ref="objmodifiedat" par="" text="30.6.2016 8:2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E8BDD750-07D4-4916-B52A-D3FE21BB7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1222</Words>
  <Characters>6967</Characters>
  <Application>Microsoft Office Word</Application>
  <DocSecurity>0</DocSecurity>
  <Lines>0</Lines>
  <Paragraphs>0</Paragraphs>
  <ScaleCrop>false</ScaleCrop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Štvrtecká Emília</dc:creator>
  <cp:lastModifiedBy>Cebulakova Monika</cp:lastModifiedBy>
  <cp:revision>3</cp:revision>
  <cp:lastPrinted>2016-05-17T10:27:00Z</cp:lastPrinted>
  <dcterms:created xsi:type="dcterms:W3CDTF">2016-12-15T12:24:00Z</dcterms:created>
  <dcterms:modified xsi:type="dcterms:W3CDTF">2016-12-15T14:38:00Z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COO.2145.1000.3.1484679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23. 6. 2016</vt:lpwstr>
  </property>
  <property fmtid="{D5CDD505-2E9C-101B-9397-08002B2CF9AE}" pid="6" name="FSC#SKEDITIONSLOVLEX@103.510:AttrDateDocPropZaciatokPKK">
    <vt:lpwstr>10. 6. 2016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Pri zachovaní súčasne účinného právneho stavu by sa  na určenie valorizačného percenta pre rok 2017 bralo do úvahy 90 % rastu spotrebiteľských cien a 10 % rastu priemernej mzdy za prvý polrok 2016.  Na základe aktuálnej makroekonomickej prognózy IFP sa v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- bezpredmetné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 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očakávajú vyššie výdavky na systémové dôchodkové dávky a úrazové dávky v porovnaní so zvyšovaním  podľa súčasného právneho stavu a podľa aktuálne</vt:lpwstr>
  </property>
  <property fmtid="{D5CDD505-2E9C-101B-9397-08002B2CF9AE}" pid="23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je upravená,</vt:lpwstr>
  </property>
  <property fmtid="{D5CDD505-2E9C-101B-9397-08002B2CF9AE}" pid="27" name="FSC#SKEDITIONSLOVLEX@103.510:AttrStrListDocPropSekundarneLegPravoPO">
    <vt:lpwstr>nie je upravená,</vt:lpwstr>
  </property>
  <property fmtid="{D5CDD505-2E9C-101B-9397-08002B2CF9AE}" pid="28" name="FSC#SKEDITIONSLOVLEX@103.510:AttrStrListDocPropSekundarneNelegPravoPO">
    <vt:lpwstr>nie je upravená,</vt:lpwstr>
  </property>
  <property fmtid="{D5CDD505-2E9C-101B-9397-08002B2CF9AE}" pid="29" name="FSC#SKEDITIONSLOVLEX@103.510:AttrStrListDocPropStanoviskoGest">
    <vt:lpwstr>Stála pracovná komisia na posudzovanie vybraných vplyvov vyjadruje nesúhlasné stanovisko s materiálom predloženým na predbežné pripomienkové konanie 10.06.2016 s odporúčaním, aby kvantifikácie uvedené v Analýze vplyvov na rozpočet verejnej správy, na zame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461/2003 Z. z. o sociálnom poistení v znení neskorších predpisov.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461/2003 Z. z. o&amp;nbsp; sociálnom poistení v&amp;nbsp;znení neskorších predpisov.&lt;/p&gt;&lt;p style="text-align: justi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LP/2016/659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zabezpečenia_x000D__x000D_Sociálne poistenie</vt:lpwstr>
  </property>
  <property fmtid="{D5CDD505-2E9C-101B-9397-08002B2CF9AE}" pid="125" name="FSC#SKEDITIONSLOVLEX@103.510:nazovpredpis">
    <vt:lpwstr>, ktorým sa dopĺňa zákon č. 461/2003 Z. z. o sociálnom poistení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461/2003 Z. z. o sociálnom poistení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12008/2016 – 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dopĺňa zákon č. 461/2003 Z. z. o sociálnom poistení v znení neskorších predpisov informovaná prostredníctvom predbežnej informácie zverejnenej na portáli, ktorý je súčasťou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