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3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sz w:val="28"/>
                <w:lang w:eastAsia="sk-SK"/>
              </w:rPr>
              <w:t>Analýza s</w:t>
            </w:r>
            <w:r w:rsidRPr="00CD4982">
              <w:rPr>
                <w:rFonts w:ascii="Times New Roman" w:hAnsi="Times New Roman"/>
                <w:b/>
                <w:sz w:val="28"/>
                <w:lang w:eastAsia="sk-SK"/>
              </w:rPr>
              <w:t>ociáln</w:t>
            </w:r>
            <w:r>
              <w:rPr>
                <w:rFonts w:ascii="Times New Roman" w:hAnsi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hAnsi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hAnsi="Times New Roman"/>
                <w:b/>
                <w:sz w:val="28"/>
                <w:lang w:eastAsia="sk-SK"/>
              </w:rPr>
              <w:t>ov</w:t>
            </w:r>
          </w:p>
          <w:p w:rsidR="00224847" w:rsidRPr="00CD4982" w:rsidP="00E1659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</w:tbl>
    <w:p w:rsidR="00224847" w:rsidP="00224847">
      <w:pPr>
        <w:shd w:val="clear" w:color="auto" w:fill="F2F2F2"/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224847">
          <w:footerReference w:type="default" r:id="rId5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3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Vedie návrh k zvýšeniu alebo zníženiu príjmov alebo výdavkov domácností? </w:t>
            </w:r>
          </w:p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:rsidR="00224847" w:rsidP="00224847">
      <w:pPr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A62A4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0216B2" w:rsidP="000216B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0216B2" w:rsidR="000216B2">
              <w:rPr>
                <w:rFonts w:ascii="Times New Roman" w:hAnsi="Times New Roman"/>
                <w:i/>
                <w:sz w:val="20"/>
                <w:szCs w:val="20"/>
              </w:rPr>
              <w:t xml:space="preserve">Zvýšenie </w:t>
            </w:r>
            <w:r w:rsidRPr="00201426" w:rsidR="000216B2">
              <w:rPr>
                <w:rFonts w:ascii="Times New Roman" w:hAnsi="Times New Roman"/>
                <w:i/>
                <w:sz w:val="20"/>
                <w:szCs w:val="20"/>
              </w:rPr>
              <w:t xml:space="preserve">percentuálnej </w:t>
            </w:r>
            <w:r w:rsidRPr="00201426" w:rsidR="00CD3220">
              <w:rPr>
                <w:rFonts w:ascii="Times New Roman" w:hAnsi="Times New Roman"/>
                <w:i/>
                <w:sz w:val="20"/>
                <w:szCs w:val="20"/>
              </w:rPr>
              <w:t>sadzby</w:t>
            </w:r>
            <w:r w:rsidRPr="00201426" w:rsidR="000216B2">
              <w:rPr>
                <w:rFonts w:ascii="Times New Roman" w:hAnsi="Times New Roman"/>
                <w:i/>
                <w:sz w:val="20"/>
                <w:szCs w:val="20"/>
              </w:rPr>
              <w:t xml:space="preserve"> vymeriavacieho</w:t>
            </w:r>
            <w:r w:rsidRPr="000216B2" w:rsidR="000216B2">
              <w:rPr>
                <w:rFonts w:ascii="Times New Roman" w:hAnsi="Times New Roman"/>
                <w:i/>
                <w:sz w:val="20"/>
                <w:szCs w:val="20"/>
              </w:rPr>
              <w:t xml:space="preserve"> základu na určenie sumy materského zo súčasných 70 % na 75 % z denného vymeriavacieho základu, t. j. nárast o 5 </w:t>
            </w:r>
            <w:r w:rsidR="00F222B2">
              <w:rPr>
                <w:rFonts w:ascii="Times New Roman" w:hAnsi="Times New Roman"/>
                <w:i/>
                <w:sz w:val="20"/>
                <w:szCs w:val="20"/>
              </w:rPr>
              <w:t>p. b.</w:t>
            </w:r>
            <w:r w:rsidRPr="000216B2" w:rsidR="000216B2">
              <w:rPr>
                <w:rFonts w:ascii="Times New Roman" w:hAnsi="Times New Roman"/>
                <w:i/>
                <w:sz w:val="20"/>
                <w:szCs w:val="20"/>
              </w:rPr>
              <w:t>, bude mať pozitívny vplyv na príjem osôb poberajúcich materské.</w:t>
            </w:r>
            <w:r w:rsidRPr="000216B2" w:rsidR="000216B2">
              <w:rPr>
                <w:rFonts w:ascii="Times New Roman" w:hAnsi="Times New Roman"/>
                <w:b/>
                <w:i/>
                <w:sz w:val="20"/>
                <w:szCs w:val="20"/>
              </w:rPr>
              <w:tab/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pozitívne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01FCA" w:rsidP="00CC1A4C">
            <w:pPr>
              <w:bidi w:val="0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Navrhovaná zmena sa pozitívne dotkne osôb poberajúcich dávku materské.</w:t>
            </w:r>
          </w:p>
          <w:p w:rsidR="00224847" w:rsidP="00CC1A4C">
            <w:pPr>
              <w:bidi w:val="0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216B2" w:rsidR="00021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Predpokladá sa, že </w:t>
            </w:r>
            <w:r w:rsidR="00C01FC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 </w:t>
            </w:r>
            <w:r w:rsidRPr="000216B2" w:rsidR="00021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navrhovaná zmena </w:t>
            </w:r>
            <w:r w:rsidR="00C01FC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bude týkať </w:t>
            </w:r>
            <w:r w:rsidRPr="000216B2" w:rsidR="00021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priemerného mesačného počtu 27 300 </w:t>
            </w:r>
            <w:r w:rsidR="00F8025D">
              <w:rPr>
                <w:rFonts w:ascii="Times New Roman" w:hAnsi="Times New Roman"/>
                <w:bCs/>
                <w:i/>
                <w:sz w:val="20"/>
                <w:szCs w:val="20"/>
              </w:rPr>
              <w:t>vyplatených dávok</w:t>
            </w:r>
            <w:r w:rsidRPr="000216B2" w:rsidR="00021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materské v roku </w:t>
            </w:r>
            <w:r w:rsidRPr="006D2D57" w:rsidR="000216B2">
              <w:rPr>
                <w:rFonts w:ascii="Times New Roman" w:hAnsi="Times New Roman"/>
                <w:bCs/>
                <w:i/>
                <w:sz w:val="20"/>
                <w:szCs w:val="20"/>
              </w:rPr>
              <w:t>2017 (iba 7 m</w:t>
            </w:r>
            <w:r w:rsidRPr="006D2D57" w:rsidR="002D29E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esiacov, nakoľko účinnosť je </w:t>
            </w:r>
            <w:r w:rsidRPr="006D2D57" w:rsidR="000216B2">
              <w:rPr>
                <w:rFonts w:ascii="Times New Roman" w:hAnsi="Times New Roman"/>
                <w:bCs/>
                <w:i/>
                <w:sz w:val="20"/>
                <w:szCs w:val="20"/>
              </w:rPr>
              <w:t>od 1. mája 2017); 28 119</w:t>
            </w:r>
            <w:r w:rsidRPr="000216B2" w:rsidR="00021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v roku 2018 a 28 681 v roku 2019.</w:t>
            </w:r>
          </w:p>
          <w:p w:rsidR="00C01FCA" w:rsidRPr="000216B2" w:rsidP="00C01FCA">
            <w:pPr>
              <w:bidi w:val="0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E538C0" w:rsidP="00A62A4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FD5794" w:rsidP="00A62A4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="00A62A4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Pr="00FD5794" w:rsidR="002672B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ávrh zákona nemá negatívny vplyv na hospodárenie domácností.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F2597D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negatívne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FD5794" w:rsidP="00DF21B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4847" w:rsidRPr="00CD4982" w:rsidP="00A62A4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4847" w:rsidRPr="007F745B" w:rsidP="00A62A4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="00A62A4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="009820F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ávrh zákona nemá výrazne pozitívnejší vplyv na skupiny osôb v riziku chudoby alebo sociálnom vylúčení. </w:t>
            </w:r>
            <w:r w:rsidRPr="007F745B" w:rsidR="007F745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</w:tbl>
    <w:p w:rsidR="00224847" w:rsidP="00224847">
      <w:pPr>
        <w:bidi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:rsidR="00224847" w:rsidRPr="0040544D" w:rsidP="00E1659F">
            <w:pPr>
              <w:tabs>
                <w:tab w:val="left" w:pos="3505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:rsidR="00224847" w:rsidP="00224847">
      <w:pPr>
        <w:bidi w:val="0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6D2D5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="000216B2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Ovplyvnená skupina</w:t>
            </w:r>
            <w:r w:rsidRPr="00DA445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:</w:t>
            </w:r>
            <w:r w:rsidR="008F3A62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 </w:t>
            </w:r>
            <w:r w:rsidR="006D2D57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Osoby poberajúce</w:t>
            </w:r>
            <w:r w:rsidR="008F3A62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 </w:t>
            </w:r>
            <w:r w:rsidR="006D2D57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materské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0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A62A4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672BD" w:rsidRPr="00CC0BB0" w:rsidP="00DF21B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E613E4" w:rsidR="00CC0BB0">
              <w:rPr>
                <w:rFonts w:ascii="Times New Roman" w:hAnsi="Times New Roman"/>
                <w:i/>
                <w:sz w:val="20"/>
                <w:szCs w:val="20"/>
              </w:rPr>
              <w:t>Predpokladá sa, že priemerná mesačná suma materského bude pre</w:t>
            </w:r>
            <w:r w:rsidRPr="00E613E4" w:rsidR="00A11792">
              <w:rPr>
                <w:rFonts w:ascii="Times New Roman" w:hAnsi="Times New Roman"/>
                <w:i/>
                <w:sz w:val="20"/>
                <w:szCs w:val="20"/>
              </w:rPr>
              <w:t>dstavovať 518,8 eura v roku 2017</w:t>
            </w:r>
            <w:r w:rsidRPr="00E613E4" w:rsidR="00CC0BB0">
              <w:rPr>
                <w:rFonts w:ascii="Times New Roman" w:hAnsi="Times New Roman"/>
                <w:i/>
                <w:sz w:val="20"/>
                <w:szCs w:val="20"/>
              </w:rPr>
              <w:t xml:space="preserve"> (t. j. n</w:t>
            </w:r>
            <w:r w:rsidRPr="00E613E4" w:rsidR="00A11792">
              <w:rPr>
                <w:rFonts w:ascii="Times New Roman" w:hAnsi="Times New Roman"/>
                <w:i/>
                <w:sz w:val="20"/>
                <w:szCs w:val="20"/>
              </w:rPr>
              <w:t>árast o 34,6 eura v porovnaní so súčasným</w:t>
            </w:r>
            <w:r w:rsidRPr="00E613E4" w:rsidR="00CC0BB0">
              <w:rPr>
                <w:rFonts w:ascii="Times New Roman" w:hAnsi="Times New Roman"/>
                <w:i/>
                <w:sz w:val="20"/>
                <w:szCs w:val="20"/>
              </w:rPr>
              <w:t xml:space="preserve"> právnym stavom); 537,0 eura v roku 2018 (t. j. nárast o 35,8 eura) a 560,9 eura v roku 2019 (t. j. nárast o 37,4 eura).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A62A4D">
            <w:pPr>
              <w:bidi w:val="0"/>
              <w:spacing w:after="0" w:line="240" w:lineRule="auto"/>
              <w:jc w:val="both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FD5794" w:rsidP="00A62A4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="00A62A4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Pr="00FD5794" w:rsidR="00122AE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ávrh zákona nemá negatívny vply</w:t>
            </w:r>
            <w:r w:rsidR="00CC0BB0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 na uvedenú skupinu osôb</w:t>
            </w:r>
            <w:r w:rsidRPr="00FD5794" w:rsidR="00122AE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P="00C01FC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="00CC0BB0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Predpokladaný priemerný mesačný p</w:t>
            </w:r>
            <w:r w:rsidRPr="00FD5794" w:rsidR="008F3A6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očet </w:t>
            </w:r>
            <w:r w:rsidR="00C01FCA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vyplatených dávok materské</w:t>
            </w:r>
            <w:r w:rsidR="00CC0BB0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je uvedený vyššie</w:t>
            </w:r>
            <w:r w:rsidRPr="00FD5794" w:rsidR="008F3A6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.</w:t>
            </w:r>
          </w:p>
          <w:p w:rsidR="00C01FCA" w:rsidP="00C01FC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C01FCA" w:rsidP="00CC1A4C">
            <w:pPr>
              <w:bidi w:val="0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Pozn.: priemerný mesačný počet dotknutých osôb a</w:t>
            </w:r>
            <w:r w:rsidR="00C92AB8">
              <w:rPr>
                <w:rFonts w:ascii="Times New Roman" w:hAnsi="Times New Roman"/>
                <w:bCs/>
                <w:i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priemerný</w:t>
            </w:r>
            <w:r w:rsidR="00C92AB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mesačný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počet vyplatených dávok materské je v tomto prípade približne rovnaký.</w:t>
            </w:r>
          </w:p>
          <w:p w:rsidR="00C01FCA" w:rsidRPr="00FD5794" w:rsidP="00C01FC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13AEB" w:rsidRPr="00CD4982" w:rsidP="00E1659F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13AEB" w:rsidRPr="00CA6BAF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13AEB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13AEB" w:rsidRPr="00CA6BAF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</w:tbl>
    <w:p w:rsidR="00224847" w:rsidRPr="00A30F1C" w:rsidP="00224847">
      <w:pPr>
        <w:bidi w:val="0"/>
        <w:rPr>
          <w:rFonts w:ascii="Times New Roman" w:hAnsi="Times New Roman"/>
          <w:sz w:val="20"/>
          <w:szCs w:val="20"/>
        </w:rPr>
      </w:pPr>
    </w:p>
    <w:p w:rsidR="00A30F1C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br w:type="page"/>
      </w:r>
    </w:p>
    <w:p w:rsidR="00224847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3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9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Má</w:t>
            </w:r>
            <w:r w:rsidR="00A62A4D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 xml:space="preserve"> </w:t>
            </w: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 xml:space="preserve">návrh vplyv na prístup k zdrojom, právam, tovarom a službám? </w:t>
            </w:r>
          </w:p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Calibri" w:hAnsi="Calibri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5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Rozumie sa najmä na prístup k: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doprave,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informáciám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A30F1C" w:rsidP="00E1659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153873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153873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153873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153873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153873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153873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153873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153873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153873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153873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A30F1C" w:rsidRPr="0040544D" w:rsidP="00A62A4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A62A4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Pr="00C84619" w:rsidR="0015387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ávrh zákona nemá vplyv na </w:t>
            </w:r>
            <w:r w:rsidR="0015387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prístup k zdrojom, právam, tovarom a službám u jednotlivých ovplyvnených skupín obyvateľstva a vplyv na sociálnu inklúziu.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Má návrh významný vplyv na niektorú zo zraniteľných skupín obyvateľstva alebo skupín v riziku chudoby alebo sociálneho vylúčenia? </w:t>
            </w:r>
          </w:p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Calibri" w:hAnsi="Calibri"/>
                <w:i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7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Zraniteľné skupiny alebo s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: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deti (0 – 17),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Calibri" w:hAnsi="Calibri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40544D" w:rsidP="00E1659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153873" w:rsidP="00E1659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153873" w:rsidRPr="00153873" w:rsidP="00153873">
            <w:pPr>
              <w:bidi w:val="0"/>
              <w:rPr>
                <w:rFonts w:ascii="Times New Roman" w:hAnsi="Times New Roman"/>
                <w:sz w:val="20"/>
                <w:lang w:eastAsia="sk-SK"/>
              </w:rPr>
            </w:pPr>
          </w:p>
          <w:p w:rsidR="00153873" w:rsidRPr="00153873" w:rsidP="00153873">
            <w:pPr>
              <w:bidi w:val="0"/>
              <w:rPr>
                <w:rFonts w:ascii="Times New Roman" w:hAnsi="Times New Roman"/>
                <w:sz w:val="20"/>
                <w:lang w:eastAsia="sk-SK"/>
              </w:rPr>
            </w:pPr>
          </w:p>
          <w:p w:rsidR="00153873" w:rsidRPr="00153873" w:rsidP="00153873">
            <w:pPr>
              <w:bidi w:val="0"/>
              <w:rPr>
                <w:rFonts w:ascii="Times New Roman" w:hAnsi="Times New Roman"/>
                <w:sz w:val="20"/>
                <w:lang w:eastAsia="sk-SK"/>
              </w:rPr>
            </w:pPr>
          </w:p>
          <w:p w:rsidR="00153873" w:rsidP="00153873">
            <w:pPr>
              <w:bidi w:val="0"/>
              <w:rPr>
                <w:rFonts w:ascii="Times New Roman" w:hAnsi="Times New Roman"/>
                <w:sz w:val="20"/>
                <w:lang w:eastAsia="sk-SK"/>
              </w:rPr>
            </w:pPr>
          </w:p>
          <w:p w:rsidR="00A30F1C" w:rsidRPr="00153873" w:rsidP="00A62A4D">
            <w:pPr>
              <w:bidi w:val="0"/>
              <w:jc w:val="both"/>
              <w:rPr>
                <w:rFonts w:ascii="Times New Roman" w:hAnsi="Times New Roman"/>
                <w:sz w:val="20"/>
                <w:lang w:eastAsia="sk-SK"/>
              </w:rPr>
            </w:pPr>
            <w:r w:rsidR="00A62A4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Pr="00C84619" w:rsidR="0015387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ávrh zákona nemá vplyv na </w:t>
            </w:r>
            <w:r w:rsidR="0015387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prístup k zdrojom, právam, tovarom a službám u jednotlivých ovplyvnených skupín obyvateľstva a vplyv na sociálnu inklúziu.</w:t>
            </w:r>
          </w:p>
        </w:tc>
      </w:tr>
    </w:tbl>
    <w:p w:rsidR="00A87D5B">
      <w:pPr>
        <w:bidi w:val="0"/>
      </w:pPr>
    </w:p>
    <w:p w:rsidR="00C63956" w:rsidP="00DA4453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Sect="0040544D">
          <w:headerReference w:type="default" r:id="rId6"/>
          <w:footerReference w:type="default" r:id="rId7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4.3 Identifikujte a popíšte vplyv na rovnosť príležitostí.</w:t>
            </w:r>
          </w:p>
          <w:p w:rsidR="00CD4982" w:rsidRPr="00CD4982" w:rsidP="00DA4453">
            <w:pPr>
              <w:bidi w:val="0"/>
              <w:spacing w:after="0" w:line="240" w:lineRule="auto"/>
              <w:ind w:left="340"/>
              <w:jc w:val="both"/>
              <w:rPr>
                <w:rFonts w:ascii="Calibri" w:hAnsi="Calibri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CD4982" w:rsidRPr="00CD4982" w:rsidP="00A73D5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:rsidR="00CA6BAF" w:rsidP="00DA4453">
      <w:pPr>
        <w:bidi w:val="0"/>
        <w:spacing w:after="0" w:line="240" w:lineRule="auto"/>
        <w:rPr>
          <w:rFonts w:ascii="Times New Roman" w:hAnsi="Times New Roman"/>
          <w:sz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928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CD4982" w:rsidRPr="00FD5794" w:rsidP="00FD579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="00A62A4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="00C8461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ávrh zákona nemá vplyv na rovnosť príležitostí.</w:t>
            </w:r>
          </w:p>
          <w:p w:rsidR="00CD4982" w:rsidRPr="00FD5794" w:rsidP="00FD579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CD4982" w:rsidRPr="0040544D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CD4982" w:rsidRPr="0040544D" w:rsidP="00DA44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lang w:eastAsia="sk-SK"/>
              </w:rPr>
            </w:pP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4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center"/>
          </w:tcPr>
          <w:p w:rsidR="00CD4982" w:rsidRPr="00CD4982" w:rsidP="00A73D5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:rsidR="00C63956" w:rsidP="00DA4453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1235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A6BAF" w:rsidRPr="001E5B44" w:rsidP="00A62A4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="00A62A4D">
              <w:rPr>
                <w:rFonts w:ascii="Times New Roman" w:hAnsi="Times New Roman"/>
                <w:bCs/>
                <w:i/>
              </w:rPr>
              <w:t>Vládny n</w:t>
            </w:r>
            <w:r w:rsidRPr="001E5B44" w:rsidR="001E5B44">
              <w:rPr>
                <w:rFonts w:ascii="Times New Roman" w:hAnsi="Times New Roman"/>
                <w:bCs/>
                <w:i/>
              </w:rPr>
              <w:t>ávrh zákona</w:t>
            </w:r>
            <w:r w:rsidRPr="001E5B44" w:rsidR="001E5B44">
              <w:rPr>
                <w:rFonts w:ascii="Times New Roman" w:hAnsi="Times New Roman"/>
                <w:i/>
              </w:rPr>
              <w:t xml:space="preserve"> má  pozitívny vplyv na rodovú rovnosť</w:t>
            </w:r>
            <w:r w:rsidR="002F2ABC">
              <w:rPr>
                <w:rFonts w:ascii="Times New Roman" w:hAnsi="Times New Roman"/>
                <w:i/>
              </w:rPr>
              <w:t xml:space="preserve"> z dôvodu  zvýšenia príjmov osôb poberajúcich materské</w:t>
            </w:r>
            <w:r w:rsidR="00A11792">
              <w:rPr>
                <w:rFonts w:ascii="Times New Roman" w:hAnsi="Times New Roman"/>
                <w:i/>
              </w:rPr>
              <w:t>. Na jednej strane</w:t>
            </w:r>
            <w:r w:rsidR="002F2ABC">
              <w:rPr>
                <w:rFonts w:ascii="Times New Roman" w:hAnsi="Times New Roman"/>
                <w:i/>
              </w:rPr>
              <w:t xml:space="preserve"> sú</w:t>
            </w:r>
            <w:r w:rsidR="00A11792">
              <w:rPr>
                <w:rFonts w:ascii="Times New Roman" w:hAnsi="Times New Roman"/>
                <w:i/>
              </w:rPr>
              <w:t xml:space="preserve"> ženy</w:t>
            </w:r>
            <w:r w:rsidR="002D29EF">
              <w:rPr>
                <w:rFonts w:ascii="Times New Roman" w:hAnsi="Times New Roman"/>
                <w:i/>
              </w:rPr>
              <w:t xml:space="preserve"> výrazne</w:t>
            </w:r>
            <w:r w:rsidR="002F2ABC">
              <w:rPr>
                <w:rFonts w:ascii="Times New Roman" w:hAnsi="Times New Roman"/>
                <w:i/>
              </w:rPr>
              <w:t xml:space="preserve"> početnejšie zastúpené v dotknutých osobách, čo prispeje k zníženiu rodového rozdielu v celkových príjmoch medzi mužmi a ženami a na strane druhej môže </w:t>
            </w:r>
            <w:r w:rsidR="00AF0089">
              <w:rPr>
                <w:rFonts w:ascii="Times New Roman" w:hAnsi="Times New Roman"/>
                <w:i/>
              </w:rPr>
              <w:t xml:space="preserve">vyššia sadzba na materské </w:t>
            </w:r>
            <w:r w:rsidR="002F2ABC">
              <w:rPr>
                <w:rFonts w:ascii="Times New Roman" w:hAnsi="Times New Roman"/>
                <w:i/>
              </w:rPr>
              <w:t>pôsobiť aj ako motivačný prvok k vyššej účasti mužov na materskej dovolenke</w:t>
            </w:r>
            <w:r w:rsidRPr="001E5B44" w:rsidR="001E5B44">
              <w:rPr>
                <w:rFonts w:ascii="Times New Roman" w:hAnsi="Times New Roman"/>
                <w:i/>
              </w:rPr>
              <w:t xml:space="preserve">. </w:t>
            </w: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hAnsi="Times New Roman"/>
          <w:b/>
          <w:sz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CD4982" w:rsidR="00CD4982">
              <w:rPr>
                <w:rFonts w:ascii="Times New Roman" w:hAnsi="Times New Roman"/>
                <w:b/>
                <w:sz w:val="24"/>
                <w:lang w:eastAsia="sk-SK"/>
              </w:rPr>
              <w:t xml:space="preserve">4.4 </w:t>
            </w:r>
            <w:r w:rsidRPr="00994C53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:rsidR="00A87D5B" w:rsidRPr="00994C53" w:rsidP="00994C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994C53" w:rsidR="00994C53">
              <w:rPr>
                <w:rFonts w:ascii="Times New Roman" w:hAnsi="Times New Roman"/>
                <w:i/>
                <w:lang w:eastAsia="sk-SK"/>
              </w:rPr>
              <w:t xml:space="preserve">V prípade kladnej odpovede pripojte </w:t>
            </w:r>
            <w:r w:rsidRPr="00994C53" w:rsidR="00994C53">
              <w:rPr>
                <w:rFonts w:ascii="Times New Roman" w:hAnsi="Times New Roman"/>
                <w:b/>
                <w:i/>
                <w:lang w:eastAsia="sk-SK"/>
              </w:rPr>
              <w:t>odôvodnenie</w:t>
            </w:r>
            <w:r w:rsidRPr="00994C53" w:rsidR="00994C53">
              <w:rPr>
                <w:rFonts w:ascii="Times New Roman" w:hAnsi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hAnsi="Times New Roman"/>
          <w:i/>
          <w:sz w:val="20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A73D5D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Uľahčuje návrh vznik nových pracovných miest? Ak áno, ako? Ak je to možné, doplňte kvantifikáciu.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67"/>
          <w:jc w:val="center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A62A4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994C53" w:rsidRPr="00A30F1C" w:rsidP="00A62A4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A62A4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Pr="00C84619" w:rsidR="0015387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ávrh zákona nemá vplyv na </w:t>
            </w:r>
            <w:r w:rsidR="0015387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zamestnanosť a na trh práce.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A73D5D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Vedie návrh k zániku pracovných miest?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5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153873" w:rsidRPr="00994C53" w:rsidP="00A62A4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153873" w:rsidRPr="00A025DD" w:rsidP="00A62A4D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="00A62A4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Pr="00C8461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ávrh zákona nemá vplyv na 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zamestnanosť a na trh práce.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4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153873" w:rsidRPr="00994C53" w:rsidP="00A73D5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Ovplyvňuje návrh dopyt po práci?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ako?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9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153873" w:rsidRPr="00994C53" w:rsidP="00A62A4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153873" w:rsidRPr="00A30F1C" w:rsidP="00A62A4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A62A4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Pr="00C8461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ávrh zákona nemá vplyv na 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zamestnanosť a na trh práce.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153873" w:rsidRPr="00994C53" w:rsidP="00A73D5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Má návrh dosah na fungovanie trhu práce?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aký?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9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153873" w:rsidRPr="00994C53" w:rsidP="00A62A4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994C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153873" w:rsidRPr="00A30F1C" w:rsidP="00A62A4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A62A4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Pr="00C8461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ávrh zákona nemá vplyv na 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zamestnanosť a na trh práce.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2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153873" w:rsidRPr="00994C53" w:rsidP="00A73D5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aké a pre ktoré skupiny?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6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153873" w:rsidRPr="00994C53" w:rsidP="00A62A4D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="00A73D5D">
              <w:rPr>
                <w:rFonts w:ascii="Times New Roman" w:hAnsi="Times New Roman"/>
                <w:i/>
                <w:sz w:val="18"/>
                <w:szCs w:val="18"/>
              </w:rPr>
              <w:t>N</w:t>
            </w: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ávrh môže ohrozovať napr. pracovníkov istých profesií favorizovaním špecifických aktivít či technológií.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153873" w:rsidRPr="00A30F1C" w:rsidP="00A62A4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A62A4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Pr="00C8461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ávrh zákona nemá vplyv na 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zamestnanosť a na trh práce.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153873" w:rsidRPr="00994C53" w:rsidP="00A73D5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153873" w:rsidRPr="00994C53" w:rsidP="00A73D5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153873" w:rsidRPr="00A30F1C" w:rsidP="00A62A4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A62A4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Vládny n</w:t>
            </w:r>
            <w:r w:rsidRPr="00C8461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ávrh zákona nemá vplyv na 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zamestnanosť a na trh práce.</w:t>
            </w:r>
          </w:p>
        </w:tc>
      </w:tr>
    </w:tbl>
    <w:p w:rsidR="00CB3623" w:rsidP="00880902">
      <w:pPr>
        <w:bidi w:val="0"/>
        <w:spacing w:after="0" w:line="240" w:lineRule="auto"/>
        <w:jc w:val="center"/>
        <w:outlineLvl w:val="0"/>
      </w:pPr>
    </w:p>
    <w:sectPr w:rsidSect="00CD4982">
      <w:footnotePr>
        <w:numRestart w:val="eachSect"/>
      </w:footnotePr>
      <w:pgSz w:w="11906" w:h="16838"/>
      <w:pgMar w:top="1134" w:right="1418" w:bottom="1134" w:left="1418" w:header="510" w:footer="567" w:gutter="0"/>
      <w:lnNumType w:distance="0"/>
      <w:cols w:space="708"/>
      <w:formProt w:val="0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47" w:rsidRPr="001D6749">
    <w:pPr>
      <w:pStyle w:val="Footer"/>
      <w:bidi w:val="0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792026">
      <w:rPr>
        <w:rFonts w:ascii="Times New Roman" w:hAnsi="Times New Roman"/>
        <w:noProof/>
      </w:rPr>
      <w:t>1</w:t>
    </w:r>
    <w:r w:rsidRPr="001D6749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49" w:rsidRPr="001D6749">
    <w:pPr>
      <w:pStyle w:val="Footer"/>
      <w:bidi w:val="0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792026">
      <w:rPr>
        <w:rFonts w:ascii="Times New Roman" w:hAnsi="Times New Roman"/>
        <w:noProof/>
      </w:rPr>
      <w:t>5</w:t>
    </w:r>
    <w:r w:rsidRPr="001D6749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49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75D6"/>
    <w:multiLevelType w:val="hybridMultilevel"/>
    <w:tmpl w:val="EE04C8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0DE7"/>
    <w:multiLevelType w:val="hybridMultilevel"/>
    <w:tmpl w:val="35C64144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CF1B48"/>
    <w:multiLevelType w:val="hybridMultilevel"/>
    <w:tmpl w:val="05B6786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08A277C"/>
    <w:multiLevelType w:val="hybridMultilevel"/>
    <w:tmpl w:val="330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F56C5"/>
    <w:multiLevelType w:val="hybridMultilevel"/>
    <w:tmpl w:val="0B4CBB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42DBC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51F6C06"/>
    <w:multiLevelType w:val="hybridMultilevel"/>
    <w:tmpl w:val="26B4305E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EC3870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9">
    <w:nsid w:val="69DD167D"/>
    <w:multiLevelType w:val="hybridMultilevel"/>
    <w:tmpl w:val="DE0AB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E2636"/>
    <w:multiLevelType w:val="hybridMultilevel"/>
    <w:tmpl w:val="1B9467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D4073"/>
    <w:multiLevelType w:val="hybridMultilevel"/>
    <w:tmpl w:val="70A4D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characterSpacingControl w:val="doNotCompress"/>
  <w:footnotePr>
    <w:numFmt w:val="chicago"/>
  </w:footnotePr>
  <w:compat/>
  <w:rsids>
    <w:rsidRoot w:val="00337B5D"/>
    <w:rsid w:val="000009B5"/>
    <w:rsid w:val="00021189"/>
    <w:rsid w:val="000216B2"/>
    <w:rsid w:val="000274D0"/>
    <w:rsid w:val="000610EA"/>
    <w:rsid w:val="0007662E"/>
    <w:rsid w:val="000D226A"/>
    <w:rsid w:val="000D3E73"/>
    <w:rsid w:val="000F331C"/>
    <w:rsid w:val="00122AEB"/>
    <w:rsid w:val="001520D0"/>
    <w:rsid w:val="00153873"/>
    <w:rsid w:val="00153E92"/>
    <w:rsid w:val="00165321"/>
    <w:rsid w:val="001C2983"/>
    <w:rsid w:val="001D6749"/>
    <w:rsid w:val="001E5B44"/>
    <w:rsid w:val="001F60EF"/>
    <w:rsid w:val="001F6F43"/>
    <w:rsid w:val="001F7932"/>
    <w:rsid w:val="00201426"/>
    <w:rsid w:val="00204D10"/>
    <w:rsid w:val="00224847"/>
    <w:rsid w:val="00227A26"/>
    <w:rsid w:val="0024618C"/>
    <w:rsid w:val="00246A21"/>
    <w:rsid w:val="002672BD"/>
    <w:rsid w:val="00273492"/>
    <w:rsid w:val="00275F99"/>
    <w:rsid w:val="002D29EF"/>
    <w:rsid w:val="002E487C"/>
    <w:rsid w:val="002F2ABC"/>
    <w:rsid w:val="003072FC"/>
    <w:rsid w:val="00313AEB"/>
    <w:rsid w:val="00320D3A"/>
    <w:rsid w:val="00322260"/>
    <w:rsid w:val="00337B5D"/>
    <w:rsid w:val="003541E9"/>
    <w:rsid w:val="00357E2A"/>
    <w:rsid w:val="00362CBF"/>
    <w:rsid w:val="003849C7"/>
    <w:rsid w:val="0039403E"/>
    <w:rsid w:val="003B23BC"/>
    <w:rsid w:val="003D006C"/>
    <w:rsid w:val="003D6A1E"/>
    <w:rsid w:val="0040544D"/>
    <w:rsid w:val="00424279"/>
    <w:rsid w:val="00464827"/>
    <w:rsid w:val="00466488"/>
    <w:rsid w:val="00477A44"/>
    <w:rsid w:val="00480FF9"/>
    <w:rsid w:val="004C5ED8"/>
    <w:rsid w:val="004D26C1"/>
    <w:rsid w:val="004F2664"/>
    <w:rsid w:val="0051643C"/>
    <w:rsid w:val="00517A9A"/>
    <w:rsid w:val="00520808"/>
    <w:rsid w:val="00585AD3"/>
    <w:rsid w:val="00586AFB"/>
    <w:rsid w:val="005A57C8"/>
    <w:rsid w:val="005F6C6D"/>
    <w:rsid w:val="0065118A"/>
    <w:rsid w:val="0067472E"/>
    <w:rsid w:val="006878B5"/>
    <w:rsid w:val="00693F4E"/>
    <w:rsid w:val="006B240C"/>
    <w:rsid w:val="006B34DA"/>
    <w:rsid w:val="006D2D57"/>
    <w:rsid w:val="006D425E"/>
    <w:rsid w:val="0071076C"/>
    <w:rsid w:val="00753EBC"/>
    <w:rsid w:val="00792026"/>
    <w:rsid w:val="007A1B0E"/>
    <w:rsid w:val="007B003C"/>
    <w:rsid w:val="007F745B"/>
    <w:rsid w:val="00835445"/>
    <w:rsid w:val="0085460D"/>
    <w:rsid w:val="00854DD8"/>
    <w:rsid w:val="00865462"/>
    <w:rsid w:val="00866CC3"/>
    <w:rsid w:val="00872210"/>
    <w:rsid w:val="00880902"/>
    <w:rsid w:val="00881728"/>
    <w:rsid w:val="008A4F7C"/>
    <w:rsid w:val="008B28E3"/>
    <w:rsid w:val="008F3A62"/>
    <w:rsid w:val="0091002D"/>
    <w:rsid w:val="00914450"/>
    <w:rsid w:val="00921D53"/>
    <w:rsid w:val="00943698"/>
    <w:rsid w:val="00972E46"/>
    <w:rsid w:val="009820FD"/>
    <w:rsid w:val="00994C53"/>
    <w:rsid w:val="00997B26"/>
    <w:rsid w:val="009B755F"/>
    <w:rsid w:val="009F385D"/>
    <w:rsid w:val="00A025DD"/>
    <w:rsid w:val="00A11792"/>
    <w:rsid w:val="00A30F1C"/>
    <w:rsid w:val="00A53AFA"/>
    <w:rsid w:val="00A605B0"/>
    <w:rsid w:val="00A62A4D"/>
    <w:rsid w:val="00A637A4"/>
    <w:rsid w:val="00A6500F"/>
    <w:rsid w:val="00A73D5D"/>
    <w:rsid w:val="00A770E3"/>
    <w:rsid w:val="00A87D5B"/>
    <w:rsid w:val="00A9794A"/>
    <w:rsid w:val="00AF0089"/>
    <w:rsid w:val="00AF39B8"/>
    <w:rsid w:val="00B251C4"/>
    <w:rsid w:val="00B4080A"/>
    <w:rsid w:val="00B437B3"/>
    <w:rsid w:val="00B7255D"/>
    <w:rsid w:val="00B90A2F"/>
    <w:rsid w:val="00BC22E3"/>
    <w:rsid w:val="00BC4057"/>
    <w:rsid w:val="00C01FCA"/>
    <w:rsid w:val="00C15BA4"/>
    <w:rsid w:val="00C235ED"/>
    <w:rsid w:val="00C44975"/>
    <w:rsid w:val="00C46826"/>
    <w:rsid w:val="00C62094"/>
    <w:rsid w:val="00C63956"/>
    <w:rsid w:val="00C7240F"/>
    <w:rsid w:val="00C77AA2"/>
    <w:rsid w:val="00C84619"/>
    <w:rsid w:val="00C92AB8"/>
    <w:rsid w:val="00CA023C"/>
    <w:rsid w:val="00CA3E12"/>
    <w:rsid w:val="00CA6BAF"/>
    <w:rsid w:val="00CB3623"/>
    <w:rsid w:val="00CB62AC"/>
    <w:rsid w:val="00CC0BB0"/>
    <w:rsid w:val="00CC1A4C"/>
    <w:rsid w:val="00CD1069"/>
    <w:rsid w:val="00CD3220"/>
    <w:rsid w:val="00CD4982"/>
    <w:rsid w:val="00CE36DB"/>
    <w:rsid w:val="00D368B2"/>
    <w:rsid w:val="00D829FE"/>
    <w:rsid w:val="00D921AE"/>
    <w:rsid w:val="00DA00E5"/>
    <w:rsid w:val="00DA4453"/>
    <w:rsid w:val="00DD2D8F"/>
    <w:rsid w:val="00DF0287"/>
    <w:rsid w:val="00DF21B1"/>
    <w:rsid w:val="00E135DF"/>
    <w:rsid w:val="00E1659F"/>
    <w:rsid w:val="00E22685"/>
    <w:rsid w:val="00E22A96"/>
    <w:rsid w:val="00E40428"/>
    <w:rsid w:val="00E4500F"/>
    <w:rsid w:val="00E538C0"/>
    <w:rsid w:val="00E613E4"/>
    <w:rsid w:val="00E844AE"/>
    <w:rsid w:val="00EF0C21"/>
    <w:rsid w:val="00EF6B3C"/>
    <w:rsid w:val="00F059D4"/>
    <w:rsid w:val="00F0633F"/>
    <w:rsid w:val="00F06EBE"/>
    <w:rsid w:val="00F123BC"/>
    <w:rsid w:val="00F222B2"/>
    <w:rsid w:val="00F2597D"/>
    <w:rsid w:val="00F30B4E"/>
    <w:rsid w:val="00F47AB5"/>
    <w:rsid w:val="00F66573"/>
    <w:rsid w:val="00F74B56"/>
    <w:rsid w:val="00F7696B"/>
    <w:rsid w:val="00F77D10"/>
    <w:rsid w:val="00F8025D"/>
    <w:rsid w:val="00F938A1"/>
    <w:rsid w:val="00F95339"/>
    <w:rsid w:val="00FA11DD"/>
    <w:rsid w:val="00FA31A7"/>
    <w:rsid w:val="00FB7660"/>
    <w:rsid w:val="00FD579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1D6749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1D6749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aliases w:val="Footnote reference number,Footnote symbol"/>
    <w:basedOn w:val="DefaultParagraphFont"/>
    <w:uiPriority w:val="99"/>
    <w:semiHidden/>
    <w:unhideWhenUsed/>
    <w:rsid w:val="001D6749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D6749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D6749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D4982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CD4982"/>
    <w:pPr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CD498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D498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D4982"/>
    <w:rPr>
      <w:rFonts w:ascii="Tahoma" w:hAnsi="Tahoma" w:cs="Tahoma"/>
      <w:sz w:val="16"/>
      <w:szCs w:val="16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07662E"/>
    <w:pPr>
      <w:spacing w:after="200" w:line="240" w:lineRule="auto"/>
      <w:jc w:val="left"/>
    </w:pPr>
    <w:rPr>
      <w:rFonts w:asciiTheme="minorHAnsi" w:hAnsiTheme="minorHAns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0766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BD35E-8F55-424A-815F-8AA77881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1498</Words>
  <Characters>8540</Characters>
  <Application>Microsoft Office Word</Application>
  <DocSecurity>0</DocSecurity>
  <Lines>0</Lines>
  <Paragraphs>0</Paragraphs>
  <ScaleCrop>false</ScaleCrop>
  <Company/>
  <LinksUpToDate>false</LinksUpToDate>
  <CharactersWithSpaces>10018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2</cp:revision>
  <cp:lastPrinted>2016-12-01T07:19:00Z</cp:lastPrinted>
  <dcterms:created xsi:type="dcterms:W3CDTF">2016-12-15T12:11:00Z</dcterms:created>
  <dcterms:modified xsi:type="dcterms:W3CDTF">2016-12-15T12:11:00Z</dcterms:modified>
</cp:coreProperties>
</file>