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30D58" w:rsidP="002E295D">
      <w:pPr>
        <w:widowControl/>
        <w:bidi w:val="0"/>
        <w:spacing w:after="0" w:line="240" w:lineRule="auto"/>
        <w:ind w:right="-235"/>
        <w:jc w:val="center"/>
        <w:rPr>
          <w:rFonts w:ascii="Times New Roman" w:hAnsi="Times New Roman"/>
          <w:b/>
          <w:caps/>
          <w:color w:val="000000"/>
          <w:spacing w:val="30"/>
          <w:sz w:val="25"/>
          <w:szCs w:val="25"/>
          <w:lang w:eastAsia="sk-SK"/>
        </w:rPr>
      </w:pPr>
    </w:p>
    <w:p w:rsidR="002F00DB" w:rsidP="00D710A5">
      <w:pPr>
        <w:widowControl/>
        <w:bidi w:val="0"/>
        <w:spacing w:after="0" w:line="240" w:lineRule="auto"/>
        <w:jc w:val="center"/>
        <w:rPr>
          <w:rFonts w:ascii="Times New Roman" w:hAnsi="Times New Roman"/>
          <w:b/>
          <w:caps/>
          <w:color w:val="000000"/>
          <w:spacing w:val="30"/>
          <w:sz w:val="25"/>
          <w:szCs w:val="25"/>
          <w:lang w:eastAsia="sk-SK"/>
        </w:rPr>
      </w:pPr>
      <w:r w:rsidRPr="007D23C5" w:rsidR="00CD025D">
        <w:rPr>
          <w:rFonts w:ascii="Times New Roman" w:hAnsi="Times New Roman"/>
          <w:b/>
          <w:caps/>
          <w:color w:val="000000"/>
          <w:spacing w:val="30"/>
          <w:sz w:val="25"/>
          <w:szCs w:val="25"/>
          <w:lang w:eastAsia="sk-SK"/>
        </w:rPr>
        <w:t>Dôvodová správa</w:t>
      </w:r>
    </w:p>
    <w:p w:rsidR="00730901" w:rsidRPr="005A1161" w:rsidP="00D710A5">
      <w:pPr>
        <w:widowControl/>
        <w:bidi w:val="0"/>
        <w:spacing w:after="0" w:line="240" w:lineRule="auto"/>
        <w:jc w:val="center"/>
        <w:rPr>
          <w:rFonts w:ascii="Times New Roman" w:hAnsi="Times New Roman" w:cs="Calibri"/>
          <w:b/>
          <w:caps/>
          <w:sz w:val="20"/>
          <w:szCs w:val="20"/>
        </w:rPr>
      </w:pPr>
    </w:p>
    <w:p w:rsidR="00AB1F57" w:rsidP="00D710A5">
      <w:pPr>
        <w:widowControl/>
        <w:bidi w:val="0"/>
        <w:spacing w:after="0" w:line="240" w:lineRule="auto"/>
        <w:jc w:val="center"/>
        <w:rPr>
          <w:rFonts w:ascii="Times New Roman" w:hAnsi="Times New Roman" w:cs="Calibri"/>
          <w:iCs/>
          <w:sz w:val="20"/>
          <w:szCs w:val="20"/>
        </w:rPr>
      </w:pPr>
    </w:p>
    <w:p w:rsidR="00730901" w:rsidRPr="00730901" w:rsidP="00730901">
      <w:pPr>
        <w:widowControl/>
        <w:bidi w:val="0"/>
        <w:spacing w:after="0" w:line="240" w:lineRule="auto"/>
        <w:rPr>
          <w:rFonts w:ascii="Times New Roman" w:hAnsi="Times New Roman"/>
          <w:iCs/>
          <w:sz w:val="20"/>
          <w:szCs w:val="20"/>
        </w:rPr>
      </w:pPr>
      <w:r w:rsidRPr="00730901">
        <w:rPr>
          <w:rFonts w:ascii="Times New Roman" w:hAnsi="Times New Roman"/>
          <w:b/>
          <w:color w:val="000000"/>
          <w:sz w:val="25"/>
          <w:szCs w:val="25"/>
          <w:lang w:eastAsia="sk-SK"/>
        </w:rPr>
        <w:t>A. Všeobecná časť</w:t>
      </w:r>
    </w:p>
    <w:p w:rsidR="00730901" w:rsidP="00D710A5">
      <w:pPr>
        <w:widowControl/>
        <w:bidi w:val="0"/>
        <w:spacing w:after="0" w:line="240" w:lineRule="auto"/>
        <w:jc w:val="center"/>
        <w:rPr>
          <w:rFonts w:ascii="Times New Roman" w:hAnsi="Times New Roman" w:cs="Calibri"/>
          <w:iCs/>
          <w:sz w:val="20"/>
          <w:szCs w:val="20"/>
        </w:rPr>
      </w:pPr>
    </w:p>
    <w:p w:rsidR="00730901" w:rsidRPr="00A30D58" w:rsidP="00D710A5">
      <w:pPr>
        <w:widowControl/>
        <w:bidi w:val="0"/>
        <w:spacing w:after="0" w:line="240" w:lineRule="auto"/>
        <w:jc w:val="center"/>
        <w:rPr>
          <w:rFonts w:ascii="Times New Roman" w:hAnsi="Times New Roman"/>
          <w:sz w:val="24"/>
          <w:szCs w:val="20"/>
          <w:lang w:eastAsia="sk-SK"/>
        </w:rPr>
      </w:pPr>
    </w:p>
    <w:p w:rsidR="00D710A5" w:rsidRPr="00EA5CB9" w:rsidP="00707DAD">
      <w:pPr>
        <w:widowControl/>
        <w:bidi w:val="0"/>
        <w:spacing w:after="0" w:line="240" w:lineRule="auto"/>
        <w:ind w:right="-94"/>
        <w:rPr>
          <w:rFonts w:ascii="Times New Roman" w:hAnsi="Times New Roman"/>
          <w:iCs/>
          <w:sz w:val="24"/>
          <w:szCs w:val="24"/>
        </w:rPr>
      </w:pPr>
      <w:r w:rsidRPr="00A30D58" w:rsidR="004F14A1">
        <w:rPr>
          <w:rFonts w:ascii="Times New Roman" w:hAnsi="Times New Roman"/>
          <w:sz w:val="24"/>
          <w:szCs w:val="20"/>
          <w:lang w:eastAsia="sk-SK"/>
        </w:rPr>
        <w:t xml:space="preserve">Ministerstvo životného prostredia Slovenskej republiky predkladá návrh zákona, ktorým sa mení a dopĺňa zákon č. 79/2015 Z. z. o odpadoch a o zmene a doplnení niektorých zákonov v znení </w:t>
      </w:r>
      <w:r w:rsidR="00DA3251">
        <w:rPr>
          <w:rFonts w:ascii="Times New Roman" w:hAnsi="Times New Roman"/>
          <w:sz w:val="24"/>
          <w:szCs w:val="20"/>
          <w:lang w:eastAsia="sk-SK"/>
        </w:rPr>
        <w:t>neskorších predpisov.</w:t>
      </w:r>
      <w:r w:rsidRPr="00A30D58" w:rsidR="004F14A1">
        <w:rPr>
          <w:rFonts w:ascii="Times New Roman" w:hAnsi="Times New Roman"/>
          <w:sz w:val="24"/>
          <w:szCs w:val="20"/>
          <w:lang w:eastAsia="sk-SK"/>
        </w:rPr>
        <w:br/>
      </w:r>
      <w:r w:rsidRPr="00EA5CB9" w:rsidR="004F14A1">
        <w:rPr>
          <w:rFonts w:ascii="Times New Roman" w:hAnsi="Times New Roman"/>
          <w:sz w:val="24"/>
          <w:szCs w:val="24"/>
        </w:rPr>
        <w:br/>
      </w:r>
      <w:r w:rsidRPr="006378C4" w:rsidR="004F14A1">
        <w:rPr>
          <w:rFonts w:ascii="Times New Roman" w:hAnsi="Times New Roman"/>
          <w:sz w:val="24"/>
          <w:szCs w:val="24"/>
          <w:lang w:eastAsia="sk-SK"/>
        </w:rPr>
        <w:t>Cieľom predloženia návrhu zákona je zabezpečiť transpozíciu smernice Európskeho</w:t>
      </w:r>
      <w:r w:rsidRPr="006378C4" w:rsidR="006C0BBD">
        <w:rPr>
          <w:rFonts w:ascii="Times New Roman" w:hAnsi="Times New Roman"/>
          <w:sz w:val="24"/>
          <w:szCs w:val="24"/>
          <w:lang w:eastAsia="sk-SK"/>
        </w:rPr>
        <w:t xml:space="preserve"> </w:t>
      </w:r>
      <w:r w:rsidRPr="006378C4" w:rsidR="004F14A1">
        <w:rPr>
          <w:rFonts w:ascii="Times New Roman" w:hAnsi="Times New Roman"/>
          <w:sz w:val="24"/>
          <w:szCs w:val="24"/>
          <w:lang w:eastAsia="sk-SK"/>
        </w:rPr>
        <w:t>parlamentu a Rady (EÚ) 2015/720 z 29. apríla 2015, ktorou sa mení smernica 94/62/ES,</w:t>
      </w:r>
      <w:r w:rsidRPr="006378C4" w:rsidR="004404F0">
        <w:rPr>
          <w:rFonts w:ascii="Times New Roman" w:hAnsi="Times New Roman"/>
          <w:sz w:val="24"/>
          <w:szCs w:val="24"/>
          <w:lang w:eastAsia="sk-SK"/>
        </w:rPr>
        <w:t xml:space="preserve"> </w:t>
      </w:r>
      <w:r w:rsidRPr="006378C4" w:rsidR="004F14A1">
        <w:rPr>
          <w:rFonts w:ascii="Times New Roman" w:hAnsi="Times New Roman"/>
          <w:sz w:val="24"/>
          <w:szCs w:val="24"/>
          <w:lang w:eastAsia="sk-SK"/>
        </w:rPr>
        <w:t>pokiaľ ide</w:t>
      </w:r>
      <w:r w:rsidRPr="006378C4" w:rsidR="006C0BBD">
        <w:rPr>
          <w:rFonts w:ascii="Times New Roman" w:hAnsi="Times New Roman"/>
          <w:sz w:val="24"/>
          <w:szCs w:val="24"/>
          <w:lang w:eastAsia="sk-SK"/>
        </w:rPr>
        <w:t xml:space="preserve"> </w:t>
      </w:r>
      <w:r w:rsidRPr="006378C4" w:rsidR="004F14A1">
        <w:rPr>
          <w:rFonts w:ascii="Times New Roman" w:hAnsi="Times New Roman"/>
          <w:sz w:val="24"/>
          <w:szCs w:val="24"/>
          <w:lang w:eastAsia="sk-SK"/>
        </w:rPr>
        <w:t>o zníženie spotreby ľahkých plastových tašiek.</w:t>
        <w:br/>
      </w:r>
      <w:r w:rsidRPr="00EA5CB9" w:rsidR="004F14A1">
        <w:rPr>
          <w:rFonts w:ascii="Times New Roman" w:hAnsi="Times New Roman"/>
          <w:sz w:val="24"/>
          <w:szCs w:val="24"/>
        </w:rPr>
        <w:br/>
        <w:t>Smernica Európskeho parlamentu a Rady (EÚ) 2015/720 z 29. apríla 2015, ktorou sa mení smernica 94/62/ES, pokiaľ ide o zníženie spotreby ľahkých plastových tašiek (ďalej len</w:t>
      </w:r>
      <w:r w:rsidR="00A30D58">
        <w:rPr>
          <w:rFonts w:ascii="Times New Roman" w:hAnsi="Times New Roman"/>
          <w:sz w:val="24"/>
          <w:szCs w:val="24"/>
        </w:rPr>
        <w:t xml:space="preserve"> </w:t>
      </w:r>
      <w:r w:rsidRPr="00EA5CB9" w:rsidR="004F14A1">
        <w:rPr>
          <w:rFonts w:ascii="Times New Roman" w:hAnsi="Times New Roman"/>
          <w:sz w:val="24"/>
          <w:szCs w:val="24"/>
        </w:rPr>
        <w:t>„smernica“), ukladá povinnosť dosiahnuť trvalé zníženie spotreby ľahkých plastových tašiek. Smernica ukladá členským štátom konkrétnu povinnosť vybrať si medzi dvoma opatreniami: buď prijať opatrenia, ktorými sa zabezpečí, že ročná miera spotreby neprekročí v priemere 90 ľahkých plastových tašiek na osobu do konca rok</w:t>
      </w:r>
      <w:r w:rsidR="009726F5">
        <w:rPr>
          <w:rFonts w:ascii="Times New Roman" w:hAnsi="Times New Roman"/>
          <w:sz w:val="24"/>
          <w:szCs w:val="24"/>
        </w:rPr>
        <w:t>a</w:t>
      </w:r>
      <w:r w:rsidRPr="00EA5CB9" w:rsidR="004F14A1">
        <w:rPr>
          <w:rFonts w:ascii="Times New Roman" w:hAnsi="Times New Roman"/>
          <w:sz w:val="24"/>
          <w:szCs w:val="24"/>
        </w:rPr>
        <w:t xml:space="preserve"> 2019 a nie viac ako 40 ľahkých plastových tašiek na osobu do roku 2025; alebo sa zabezpečí, že do konca roka 2018 už nebudú ľahké plastové tašky poskytované na mieste predaja tovaru alebo produktov zdarma, prípadne sa zabezpečí, že budú zavedené rovnako efektívne nástroje. Zavádzajú sa nové definície: plast, plastové tašky, ľahké plastové tašky, veľmi ľahké plastové tašky</w:t>
      </w:r>
      <w:r w:rsidR="001C0405">
        <w:rPr>
          <w:rFonts w:ascii="Times New Roman" w:hAnsi="Times New Roman"/>
          <w:sz w:val="24"/>
          <w:szCs w:val="24"/>
        </w:rPr>
        <w:t>.</w:t>
      </w:r>
      <w:r w:rsidRPr="00EA5CB9" w:rsidR="004F14A1">
        <w:rPr>
          <w:rFonts w:ascii="Times New Roman" w:hAnsi="Times New Roman"/>
          <w:sz w:val="24"/>
          <w:szCs w:val="24"/>
        </w:rPr>
        <w:t xml:space="preserve"> V záujme posúdenia účinnosti opatrení na zníženie, smernica zavádza osobitné ustanovenia o monitorovaní, ktoré členským štátom ukladajú povinnosť 36 mesiacov po nadobudnutí účinnosti právneho predpisu každoročne podávať správu o ročnej spotrebe plastových</w:t>
      </w:r>
      <w:r w:rsidR="00A30D58">
        <w:rPr>
          <w:rFonts w:ascii="Times New Roman" w:hAnsi="Times New Roman"/>
          <w:sz w:val="24"/>
          <w:szCs w:val="24"/>
        </w:rPr>
        <w:t xml:space="preserve"> </w:t>
      </w:r>
      <w:r w:rsidRPr="00EA5CB9" w:rsidR="004F14A1">
        <w:rPr>
          <w:rFonts w:ascii="Times New Roman" w:hAnsi="Times New Roman"/>
          <w:sz w:val="24"/>
          <w:szCs w:val="24"/>
        </w:rPr>
        <w:t>tašiek.</w:t>
      </w:r>
      <w:r w:rsidR="00A30D58">
        <w:rPr>
          <w:rFonts w:ascii="Times New Roman" w:hAnsi="Times New Roman"/>
          <w:sz w:val="24"/>
          <w:szCs w:val="24"/>
        </w:rPr>
        <w:t xml:space="preserve"> </w:t>
      </w:r>
      <w:r w:rsidRPr="00EA5CB9" w:rsidR="004F14A1">
        <w:rPr>
          <w:rFonts w:ascii="Times New Roman" w:hAnsi="Times New Roman"/>
          <w:sz w:val="24"/>
          <w:szCs w:val="24"/>
        </w:rPr>
        <w:t xml:space="preserve">Transpozičná lehota uplynie </w:t>
      </w:r>
      <w:r w:rsidR="001C0405">
        <w:rPr>
          <w:rFonts w:ascii="Times New Roman" w:hAnsi="Times New Roman"/>
          <w:sz w:val="24"/>
          <w:szCs w:val="24"/>
        </w:rPr>
        <w:t xml:space="preserve">do </w:t>
      </w:r>
      <w:r w:rsidRPr="00EA5CB9" w:rsidR="004F14A1">
        <w:rPr>
          <w:rFonts w:ascii="Times New Roman" w:hAnsi="Times New Roman"/>
          <w:sz w:val="24"/>
          <w:szCs w:val="24"/>
        </w:rPr>
        <w:t>27.</w:t>
      </w:r>
      <w:r w:rsidR="006378C4">
        <w:rPr>
          <w:rFonts w:ascii="Times New Roman" w:hAnsi="Times New Roman"/>
          <w:sz w:val="24"/>
          <w:szCs w:val="24"/>
        </w:rPr>
        <w:t xml:space="preserve"> </w:t>
      </w:r>
      <w:r w:rsidR="001C0405">
        <w:rPr>
          <w:rFonts w:ascii="Times New Roman" w:hAnsi="Times New Roman"/>
          <w:sz w:val="24"/>
          <w:szCs w:val="24"/>
        </w:rPr>
        <w:t xml:space="preserve">novembra </w:t>
      </w:r>
      <w:r w:rsidRPr="00EA5CB9" w:rsidR="004F14A1">
        <w:rPr>
          <w:rFonts w:ascii="Times New Roman" w:hAnsi="Times New Roman"/>
          <w:sz w:val="24"/>
          <w:szCs w:val="24"/>
        </w:rPr>
        <w:t>2016.</w:t>
        <w:br/>
        <w:br/>
        <w:t>Návrh zákona je v súlade s Ústavou Slovenskej republiky, ústavným zákonmi,</w:t>
      </w:r>
      <w:r w:rsidR="006C0BBD">
        <w:rPr>
          <w:rFonts w:ascii="Times New Roman" w:hAnsi="Times New Roman"/>
          <w:sz w:val="24"/>
          <w:szCs w:val="24"/>
        </w:rPr>
        <w:t xml:space="preserve"> </w:t>
      </w:r>
      <w:r w:rsidRPr="00EA5CB9" w:rsidR="004F14A1">
        <w:rPr>
          <w:rFonts w:ascii="Times New Roman" w:hAnsi="Times New Roman"/>
          <w:sz w:val="24"/>
          <w:szCs w:val="24"/>
        </w:rPr>
        <w:t>medzinárodnými zmluvami a inými medzinárodnými dokumentmi, ktorými je Slovenská republika viazaná a</w:t>
      </w:r>
      <w:r w:rsidR="004131AB">
        <w:rPr>
          <w:rFonts w:ascii="Times New Roman" w:hAnsi="Times New Roman"/>
          <w:sz w:val="24"/>
          <w:szCs w:val="24"/>
        </w:rPr>
        <w:t xml:space="preserve"> </w:t>
      </w:r>
      <w:r w:rsidRPr="00EA5CB9" w:rsidR="004F14A1">
        <w:rPr>
          <w:rFonts w:ascii="Times New Roman" w:hAnsi="Times New Roman"/>
          <w:sz w:val="24"/>
          <w:szCs w:val="24"/>
        </w:rPr>
        <w:t>súčasne je v súlade s právom Európskej únie.</w:t>
        <w:br/>
        <w:br/>
        <w:t>Návrh zákona b</w:t>
      </w:r>
      <w:r w:rsidR="00AF0606">
        <w:rPr>
          <w:rFonts w:ascii="Times New Roman" w:hAnsi="Times New Roman"/>
          <w:sz w:val="24"/>
          <w:szCs w:val="24"/>
        </w:rPr>
        <w:t>ol</w:t>
      </w:r>
      <w:r w:rsidRPr="00EA5CB9" w:rsidR="004F14A1">
        <w:rPr>
          <w:rFonts w:ascii="Times New Roman" w:hAnsi="Times New Roman"/>
          <w:sz w:val="24"/>
          <w:szCs w:val="24"/>
        </w:rPr>
        <w:t xml:space="preserve"> predmetom vnútrokomunitárneho pripomienkového konania.</w:t>
        <w:br/>
        <w:br/>
        <w:t xml:space="preserve">Návrh zákona má pozitívny vplyv na životné prostredie, nemá </w:t>
      </w:r>
      <w:r w:rsidR="00A65C52">
        <w:rPr>
          <w:rFonts w:ascii="Times New Roman" w:hAnsi="Times New Roman"/>
          <w:sz w:val="24"/>
          <w:szCs w:val="24"/>
        </w:rPr>
        <w:t xml:space="preserve">vplyv </w:t>
      </w:r>
      <w:r w:rsidRPr="00EA5CB9" w:rsidR="004F14A1">
        <w:rPr>
          <w:rFonts w:ascii="Times New Roman" w:hAnsi="Times New Roman"/>
          <w:sz w:val="24"/>
          <w:szCs w:val="24"/>
        </w:rPr>
        <w:t>na štátny rozpočet,</w:t>
      </w:r>
      <w:r w:rsidR="002E295D">
        <w:rPr>
          <w:rFonts w:ascii="Times New Roman" w:hAnsi="Times New Roman"/>
          <w:sz w:val="24"/>
          <w:szCs w:val="24"/>
        </w:rPr>
        <w:t xml:space="preserve"> </w:t>
      </w:r>
      <w:r w:rsidRPr="00EA5CB9" w:rsidR="004F14A1">
        <w:rPr>
          <w:rFonts w:ascii="Times New Roman" w:hAnsi="Times New Roman"/>
          <w:sz w:val="24"/>
          <w:szCs w:val="24"/>
        </w:rPr>
        <w:t>rozpočty obcí, rozpočty vyšších územných celkov a zároveň nemá sociálny vplyv, vplyv na</w:t>
      </w:r>
      <w:r w:rsidR="006C0BBD">
        <w:rPr>
          <w:rFonts w:ascii="Times New Roman" w:hAnsi="Times New Roman"/>
          <w:sz w:val="24"/>
          <w:szCs w:val="24"/>
        </w:rPr>
        <w:t xml:space="preserve"> </w:t>
      </w:r>
      <w:r w:rsidR="00A30D58">
        <w:rPr>
          <w:rFonts w:ascii="Times New Roman" w:hAnsi="Times New Roman"/>
          <w:sz w:val="24"/>
          <w:szCs w:val="24"/>
        </w:rPr>
        <w:t>in</w:t>
      </w:r>
      <w:r w:rsidRPr="00EA5CB9" w:rsidR="004F14A1">
        <w:rPr>
          <w:rFonts w:ascii="Times New Roman" w:hAnsi="Times New Roman"/>
          <w:sz w:val="24"/>
          <w:szCs w:val="24"/>
        </w:rPr>
        <w:t>formatizáciu, služby vernej správy na občana a ani na procesy služieb vo verejnej správe. Predkladaný návrh má negatívny vplyv na podnikateľské prostredie. </w:t>
        <w:br/>
        <w:br/>
        <w:br/>
        <w:br/>
        <w:br/>
        <w:br/>
        <w:t> </w:t>
      </w:r>
    </w:p>
    <w:p w:rsidR="008F1A80" w:rsidRPr="00EA5CB9" w:rsidP="00D710A5">
      <w:pPr>
        <w:widowControl/>
        <w:bidi w:val="0"/>
        <w:spacing w:after="0" w:line="240" w:lineRule="auto"/>
        <w:jc w:val="center"/>
        <w:rPr>
          <w:rFonts w:ascii="Times New Roman" w:hAnsi="Times New Roman"/>
          <w:iCs/>
          <w:sz w:val="24"/>
          <w:szCs w:val="24"/>
        </w:rPr>
      </w:pPr>
    </w:p>
    <w:p w:rsidR="00D710A5" w:rsidRPr="00EA5CB9" w:rsidP="00D710A5">
      <w:pPr>
        <w:widowControl/>
        <w:bidi w:val="0"/>
        <w:spacing w:after="0" w:line="240" w:lineRule="auto"/>
        <w:rPr>
          <w:rFonts w:ascii="Times New Roman" w:hAnsi="Times New Roman"/>
          <w:sz w:val="24"/>
          <w:szCs w:val="24"/>
        </w:rPr>
      </w:pPr>
    </w:p>
    <w:sectPr w:rsidSect="00AB1F57">
      <w:pgSz w:w="12240" w:h="15840"/>
      <w:pgMar w:top="851" w:right="1418" w:bottom="851"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463B0"/>
    <w:rsid w:val="000144C3"/>
    <w:rsid w:val="000B3F57"/>
    <w:rsid w:val="001C0405"/>
    <w:rsid w:val="002A19C4"/>
    <w:rsid w:val="002C2B40"/>
    <w:rsid w:val="002E295D"/>
    <w:rsid w:val="002F00DB"/>
    <w:rsid w:val="00327A2D"/>
    <w:rsid w:val="003A35EB"/>
    <w:rsid w:val="003C009A"/>
    <w:rsid w:val="004131AB"/>
    <w:rsid w:val="004404F0"/>
    <w:rsid w:val="004C083B"/>
    <w:rsid w:val="004F14A1"/>
    <w:rsid w:val="005A1161"/>
    <w:rsid w:val="006378C4"/>
    <w:rsid w:val="00661635"/>
    <w:rsid w:val="006A0E56"/>
    <w:rsid w:val="006C0BBD"/>
    <w:rsid w:val="00707DAD"/>
    <w:rsid w:val="00730901"/>
    <w:rsid w:val="00761851"/>
    <w:rsid w:val="00773CE7"/>
    <w:rsid w:val="007D23C5"/>
    <w:rsid w:val="008461A5"/>
    <w:rsid w:val="00873337"/>
    <w:rsid w:val="008F1A80"/>
    <w:rsid w:val="009726F5"/>
    <w:rsid w:val="00A17C3D"/>
    <w:rsid w:val="00A30D58"/>
    <w:rsid w:val="00A56287"/>
    <w:rsid w:val="00A65C52"/>
    <w:rsid w:val="00AA2E9D"/>
    <w:rsid w:val="00AA4FD0"/>
    <w:rsid w:val="00AB1F57"/>
    <w:rsid w:val="00AB2B8F"/>
    <w:rsid w:val="00AF0606"/>
    <w:rsid w:val="00B3505E"/>
    <w:rsid w:val="00B50E2A"/>
    <w:rsid w:val="00B51490"/>
    <w:rsid w:val="00BA14D6"/>
    <w:rsid w:val="00CD025D"/>
    <w:rsid w:val="00D02827"/>
    <w:rsid w:val="00D17ED7"/>
    <w:rsid w:val="00D463B0"/>
    <w:rsid w:val="00D710A5"/>
    <w:rsid w:val="00DA3251"/>
    <w:rsid w:val="00DD1B41"/>
    <w:rsid w:val="00DF7EB5"/>
    <w:rsid w:val="00EA5CB9"/>
    <w:rsid w:val="00EE1A96"/>
    <w:rsid w:val="00F10D72"/>
    <w:rsid w:val="00F44C37"/>
    <w:rsid w:val="00FE24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0A5"/>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D710A5"/>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D710A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710A5"/>
    <w:rPr>
      <w:rFonts w:ascii="Tahoma" w:hAnsi="Tahoma" w:cs="Tahoma"/>
      <w:sz w:val="16"/>
      <w:szCs w:val="16"/>
      <w:rtl w:val="0"/>
      <w:cs w:val="0"/>
      <w:lang w:val="en-US" w:eastAsia="x-none"/>
    </w:rPr>
  </w:style>
  <w:style w:type="table" w:styleId="TableGrid">
    <w:name w:val="Table Grid"/>
    <w:basedOn w:val="TableNormal"/>
    <w:uiPriority w:val="59"/>
    <w:rsid w:val="00D710A5"/>
    <w:pPr>
      <w:widowControl w:val="0"/>
      <w:autoSpaceDE w:val="0"/>
      <w:autoSpaceDN w:val="0"/>
      <w:adjustRightInd w:val="0"/>
      <w:spacing w:after="0" w:line="240" w:lineRule="auto"/>
    </w:pPr>
    <w:rPr>
      <w:rFonts w:ascii="Calibri" w:hAnsi="Calibri" w:cs="Times New Roman"/>
      <w:sz w:val="24"/>
      <w:szCs w:val="24"/>
      <w:lang w:eastAsia="sk-SK"/>
    </w:rPr>
    <w:tblPr>
      <w:tblCellMar>
        <w:left w:w="0" w:type="dxa"/>
        <w:right w:w="0" w:type="dxa"/>
      </w:tblCellMar>
    </w:tblPr>
  </w:style>
  <w:style w:type="character" w:styleId="Strong">
    <w:name w:val="Strong"/>
    <w:basedOn w:val="DefaultParagraphFont"/>
    <w:uiPriority w:val="22"/>
    <w:qFormat/>
    <w:rsid w:val="00D710A5"/>
    <w:rPr>
      <w:rFonts w:ascii="Times New Roman" w:hAnsi="Times New Roman" w:cs="Times New Roman"/>
      <w:b/>
      <w:bCs/>
      <w:rtl w:val="0"/>
      <w:cs w:val="0"/>
    </w:rPr>
  </w:style>
  <w:style w:type="paragraph" w:styleId="BodyText">
    <w:name w:val="Body Text"/>
    <w:basedOn w:val="Normal"/>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DefaultParagraphFont"/>
    <w:link w:val="BodyText"/>
    <w:uiPriority w:val="99"/>
    <w:semiHidden/>
    <w:locked/>
    <w:rsid w:val="00D710A5"/>
    <w:rPr>
      <w:rFonts w:ascii="Times New Roman" w:hAnsi="Times New Roman" w:cs="Times New Roman"/>
      <w:b/>
      <w:bCs/>
      <w:sz w:val="28"/>
      <w:szCs w:val="28"/>
      <w:rtl w:val="0"/>
      <w:cs w:val="0"/>
      <w:lang w:val="x-none" w:eastAsia="sk-SK"/>
    </w:rPr>
  </w:style>
  <w:style w:type="paragraph" w:styleId="BodyTextIndent2">
    <w:name w:val="Body Text Indent 2"/>
    <w:basedOn w:val="Normal"/>
    <w:link w:val="Zarkazkladnhotextu2Char"/>
    <w:uiPriority w:val="99"/>
    <w:semiHidden/>
    <w:unhideWhenUsed/>
    <w:rsid w:val="00D710A5"/>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D710A5"/>
    <w:rPr>
      <w:rFonts w:ascii="Calibri" w:hAnsi="Calibri" w:cs="Times New Roman"/>
      <w:rtl w:val="0"/>
      <w:cs w:val="0"/>
      <w:lang w:val="en-US" w:eastAsia="x-none"/>
    </w:rPr>
  </w:style>
  <w:style w:type="character" w:styleId="CommentReference">
    <w:name w:val="annotation reference"/>
    <w:basedOn w:val="DefaultParagraphFont"/>
    <w:uiPriority w:val="99"/>
    <w:semiHidden/>
    <w:unhideWhenUsed/>
    <w:rsid w:val="006A0E56"/>
    <w:rPr>
      <w:rFonts w:cs="Times New Roman"/>
      <w:sz w:val="16"/>
      <w:szCs w:val="16"/>
      <w:rtl w:val="0"/>
      <w:cs w:val="0"/>
    </w:rPr>
  </w:style>
  <w:style w:type="paragraph" w:styleId="CommentText">
    <w:name w:val="annotation text"/>
    <w:basedOn w:val="Normal"/>
    <w:link w:val="TextkomentraChar"/>
    <w:uiPriority w:val="99"/>
    <w:semiHidden/>
    <w:unhideWhenUsed/>
    <w:rsid w:val="006A0E56"/>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6A0E56"/>
    <w:rPr>
      <w:rFonts w:ascii="Calibri" w:hAnsi="Calibri" w:cs="Times New Roman"/>
      <w:sz w:val="20"/>
      <w:szCs w:val="20"/>
      <w:rtl w:val="0"/>
      <w:cs w:val="0"/>
      <w:lang w:val="en-US" w:eastAsia="x-none"/>
    </w:rPr>
  </w:style>
  <w:style w:type="paragraph" w:styleId="CommentSubject">
    <w:name w:val="annotation subject"/>
    <w:basedOn w:val="CommentText"/>
    <w:next w:val="CommentText"/>
    <w:link w:val="PredmetkomentraChar"/>
    <w:uiPriority w:val="99"/>
    <w:semiHidden/>
    <w:unhideWhenUsed/>
    <w:rsid w:val="006A0E56"/>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A0E56"/>
    <w:rPr>
      <w:b/>
      <w:bC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11.7.2016 14:08:05"/>
    <f:field ref="objchangedby" par="" text="Administrator, System"/>
    <f:field ref="objmodifiedat" par="" text="11.7.2016 14:08:06"/>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352969D-C8B2-4A73-BC9D-89178F20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Pages>
  <Words>342</Words>
  <Characters>1950</Characters>
  <Application>Microsoft Office Word</Application>
  <DocSecurity>0</DocSecurity>
  <Lines>0</Lines>
  <Paragraphs>0</Paragraphs>
  <ScaleCrop>false</ScaleCrop>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Kubus</dc:creator>
  <cp:lastModifiedBy>Smažáková Janette</cp:lastModifiedBy>
  <cp:revision>2</cp:revision>
  <dcterms:created xsi:type="dcterms:W3CDTF">2016-12-15T08:05:00Z</dcterms:created>
  <dcterms:modified xsi:type="dcterms:W3CDTF">2016-12-15T08:05:00Z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COO.2145.1000.3.1498785</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12. 7. 2016</vt:lpwstr>
  </property>
  <property fmtid="{D5CDD505-2E9C-101B-9397-08002B2CF9AE}" pid="6" name="FSC#SKEDITIONSLOVLEX@103.510:AttrDateDocPropZaciatokPKK">
    <vt:lpwstr>1. 7. 2016</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Z dôvodu povinnej transpozície neboli alternatívne riešenia posudzované.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životného prostredia Slovenskej republiky</vt:lpwstr>
  </property>
  <property fmtid="{D5CDD505-2E9C-101B-9397-08002B2CF9AE}" pid="15" name="FSC#SKEDITIONSLOVLEX@103.510:AttrStrListDocPropInfoUzPreberanePP">
    <vt:lpwstr>-</vt:lpwstr>
  </property>
  <property fmtid="{D5CDD505-2E9C-101B-9397-08002B2CF9AE}" pid="16" name="FSC#SKEDITIONSLOVLEX@103.510:AttrStrListDocPropInfoZaciatokKonania">
    <vt:lpwstr>-</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december 2016</vt:lpwstr>
  </property>
  <property fmtid="{D5CDD505-2E9C-101B-9397-08002B2CF9AE}" pid="20" name="FSC#SKEDITIONSLOVLEX@103.510:AttrStrListDocPropLehotaPrebratieSmernice">
    <vt:lpwstr>27. november 2016</vt:lpwstr>
  </property>
  <property fmtid="{D5CDD505-2E9C-101B-9397-08002B2CF9AE}" pid="21" name="FSC#SKEDITIONSLOVLEX@103.510:AttrStrListDocPropNazovPredpisuEU">
    <vt:lpwstr/>
  </property>
  <property fmtid="{D5CDD505-2E9C-101B-9397-08002B2CF9AE}" pid="22" name="FSC#SKEDITIONSLOVLEX@103.510:AttrStrListDocPropPoznamkaVplyv">
    <vt:lpwstr>Predpokladá sa veľmi mierny negatívny dopad na podnikateľské prostredie a pozitívny dopad na životné prostredie.</vt:lpwstr>
  </property>
  <property fmtid="{D5CDD505-2E9C-101B-9397-08002B2CF9AE}" pid="23" name="FSC#SKEDITIONSLOVLEX@103.510:AttrStrListDocPropPrimarnePravoEU">
    <vt:lpwstr>Čl. 114 a čl. 191 až 193 Zmluvy o fungovaní Európskej únie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(EÚ) 2015/720 z 29. apríla 2015, ktorou sa mení smernica 94/62/ES, pokiaľ ide o zníženie spotreby ľahkých plastových tašiek (Ú. v. EÚ L 334, 17.12.2010)</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BRATISLAVA: 08. 07. 2016                                       ČÍSLO: 126/2016                                       VYBAVUJE: MGR. BUZASTANOVISKO KOMISIE (PREDBEŽNÉ PRIPOMIENKOVÉ KONANIE)K NÁVRHUZÁKONA O ZMENE A DO</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79/2015 Z. z. o odpadoch a o zmene a doplnení niektorých zákonov v znení zákona č. 91/2016 Z. z. .</vt:lpwstr>
  </property>
  <property fmtid="{D5CDD505-2E9C-101B-9397-08002B2CF9AE}" pid="32" name="FSC#SKEDITIONSLOVLEX@103.510:AttrStrListDocPropTextPredklSpravy">
    <vt:lpwstr>&lt;p align="center"&gt;&amp;nbsp;&lt;/p&gt;&lt;p&gt;Návrh zákona, ktorým sa mení a&amp;nbsp;dopĺňa zákon č. 79/2015 Z. z. o&amp;nbsp;odpadoch a&amp;nbsp;o&amp;nbsp;zmene a&amp;nbsp;doplnení niektorých zákonov v&amp;nbsp;znení zákona č. 91/2016 Z. z., predkladá Ministerstvo životného prostredia Slove</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LP/2016/729</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životného prostredia Slovenskej republiky</vt:lpwstr>
  </property>
  <property fmtid="{D5CDD505-2E9C-101B-9397-08002B2CF9AE}" pid="122" name="FSC#SKEDITIONSLOVLEX@103.510:funkciaZodpPredAkuzativ">
    <vt:lpwstr>ministera životného prostredia Slovenskej republiky</vt:lpwstr>
  </property>
  <property fmtid="{D5CDD505-2E9C-101B-9397-08002B2CF9AE}" pid="123" name="FSC#SKEDITIONSLOVLEX@103.510:funkciaZodpPredDativ">
    <vt:lpwstr>ministerovi životného prostredia Slovenskej republiky</vt:lpwstr>
  </property>
  <property fmtid="{D5CDD505-2E9C-101B-9397-08002B2CF9AE}" pid="124" name="FSC#SKEDITIONSLOVLEX@103.510:legoblast">
    <vt:lpwstr>Životné prostredie</vt:lpwstr>
  </property>
  <property fmtid="{D5CDD505-2E9C-101B-9397-08002B2CF9AE}" pid="125" name="FSC#SKEDITIONSLOVLEX@103.510:nazovpredpis">
    <vt:lpwstr> ktorým sa mení a dopĺňa zákon č. 79/2015 Z. z. o odpadoch a o zmene a doplnení niektorých zákonov v znení zákona č. 91/2016 Z. z.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79/2015 Z. z. o odpadoch a o zmene a doplnení niektorých zákonov v znení zákona č. 91/2016 Z. z.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Mgr. Gabriela Švedlárová</vt:lpwstr>
  </property>
  <property fmtid="{D5CDD505-2E9C-101B-9397-08002B2CF9AE}" pid="138" name="FSC#SKEDITIONSLOVLEX@103.510:predkladateliaObalSD">
    <vt:lpwstr>László Sólymos
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6623/2016-9</vt:lpwstr>
  </property>
  <property fmtid="{D5CDD505-2E9C-101B-9397-08002B2CF9AE}" pid="141" name="FSC#SKEDITIONSLOVLEX@103.510:spiscislouv">
    <vt:lpwstr/>
  </property>
  <property fmtid="{D5CDD505-2E9C-101B-9397-08002B2CF9AE}" pid="142" name="FSC#SKEDITIONSLOVLEX@103.510:spravaucastverej">
    <vt:lpwstr>&lt;table border="0" cellpadding="0" cellspacing="0"&gt;	&lt;tbody&gt;		&lt;tr&gt;			&lt;td colspan="5" style="width: 619px; height: 38px;"&gt;			&lt;p style="margin-left: 89.7pt;"&gt;&lt;strong&gt;Správa&lt;/strong&gt;&lt;strong&gt; o účasti verejnosti na tvorbe právneho predpisu&lt;/strong&gt;&lt;/p&gt;			&lt;p sty</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Dôvodová správa</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životného prostredia Slovenskej republiky</vt:lpwstr>
  </property>
  <property fmtid="{D5CDD505-2E9C-101B-9397-08002B2CF9AE}" pid="151" name="FSC#SKEDITIONSLOVLEX@103.510:zodppredkladatel">
    <vt:lpwstr>László Sólymos</vt:lpwstr>
  </property>
</Properties>
</file>