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1A0D" w:rsidRPr="00801E87" w:rsidP="00801E87">
      <w:pPr>
        <w:bidi w:val="0"/>
        <w:spacing w:after="0" w:line="240" w:lineRule="auto"/>
        <w:jc w:val="center"/>
        <w:rPr>
          <w:rFonts w:ascii="Times New Roman" w:hAnsi="Times New Roman"/>
          <w:b/>
          <w:spacing w:val="30"/>
          <w:sz w:val="24"/>
          <w:szCs w:val="24"/>
        </w:rPr>
      </w:pPr>
    </w:p>
    <w:p w:rsidR="00571A0D" w:rsidP="00801E87">
      <w:pPr>
        <w:bidi w:val="0"/>
        <w:spacing w:after="0" w:line="240" w:lineRule="auto"/>
        <w:jc w:val="center"/>
        <w:rPr>
          <w:rFonts w:ascii="Times New Roman" w:hAnsi="Times New Roman"/>
          <w:b/>
          <w:spacing w:val="30"/>
          <w:sz w:val="24"/>
          <w:szCs w:val="24"/>
        </w:rPr>
      </w:pPr>
    </w:p>
    <w:p w:rsidR="003C3D76" w:rsidP="00801E87">
      <w:pPr>
        <w:bidi w:val="0"/>
        <w:spacing w:after="0" w:line="240" w:lineRule="auto"/>
        <w:jc w:val="center"/>
        <w:rPr>
          <w:rFonts w:ascii="Times New Roman" w:hAnsi="Times New Roman"/>
          <w:b/>
          <w:spacing w:val="30"/>
          <w:sz w:val="24"/>
          <w:szCs w:val="24"/>
        </w:rPr>
      </w:pPr>
    </w:p>
    <w:p w:rsidR="003C3D76" w:rsidP="00801E87">
      <w:pPr>
        <w:bidi w:val="0"/>
        <w:spacing w:after="0" w:line="240" w:lineRule="auto"/>
        <w:jc w:val="center"/>
        <w:rPr>
          <w:rFonts w:ascii="Times New Roman" w:hAnsi="Times New Roman"/>
          <w:b/>
          <w:spacing w:val="30"/>
          <w:sz w:val="24"/>
          <w:szCs w:val="24"/>
        </w:rPr>
      </w:pPr>
    </w:p>
    <w:p w:rsidR="003C3D76" w:rsidP="00801E87">
      <w:pPr>
        <w:bidi w:val="0"/>
        <w:spacing w:after="0" w:line="240" w:lineRule="auto"/>
        <w:jc w:val="center"/>
        <w:rPr>
          <w:rFonts w:ascii="Times New Roman" w:hAnsi="Times New Roman"/>
          <w:b/>
          <w:spacing w:val="30"/>
          <w:sz w:val="24"/>
          <w:szCs w:val="24"/>
        </w:rPr>
      </w:pPr>
    </w:p>
    <w:p w:rsidR="003C3D76" w:rsidP="00801E87">
      <w:pPr>
        <w:bidi w:val="0"/>
        <w:spacing w:after="0" w:line="240" w:lineRule="auto"/>
        <w:jc w:val="center"/>
        <w:rPr>
          <w:rFonts w:ascii="Times New Roman" w:hAnsi="Times New Roman"/>
          <w:b/>
          <w:spacing w:val="30"/>
          <w:sz w:val="24"/>
          <w:szCs w:val="24"/>
        </w:rPr>
      </w:pPr>
    </w:p>
    <w:p w:rsidR="003C3D76" w:rsidP="00801E87">
      <w:pPr>
        <w:bidi w:val="0"/>
        <w:spacing w:after="0" w:line="240" w:lineRule="auto"/>
        <w:jc w:val="center"/>
        <w:rPr>
          <w:rFonts w:ascii="Times New Roman" w:hAnsi="Times New Roman"/>
          <w:b/>
          <w:spacing w:val="30"/>
          <w:sz w:val="24"/>
          <w:szCs w:val="24"/>
        </w:rPr>
      </w:pPr>
    </w:p>
    <w:p w:rsidR="003C3D76" w:rsidRPr="00801E87" w:rsidP="00801E87">
      <w:pPr>
        <w:bidi w:val="0"/>
        <w:spacing w:after="0" w:line="240" w:lineRule="auto"/>
        <w:jc w:val="center"/>
        <w:rPr>
          <w:rFonts w:ascii="Times New Roman" w:hAnsi="Times New Roman"/>
          <w:b/>
          <w:spacing w:val="30"/>
          <w:sz w:val="24"/>
          <w:szCs w:val="24"/>
        </w:rPr>
      </w:pPr>
    </w:p>
    <w:p w:rsidR="00571A0D" w:rsidP="00801E87">
      <w:pPr>
        <w:bidi w:val="0"/>
        <w:spacing w:after="0" w:line="240" w:lineRule="auto"/>
        <w:jc w:val="center"/>
        <w:rPr>
          <w:rFonts w:ascii="Times New Roman" w:hAnsi="Times New Roman"/>
          <w:spacing w:val="30"/>
          <w:sz w:val="24"/>
          <w:szCs w:val="24"/>
        </w:rPr>
      </w:pPr>
    </w:p>
    <w:p w:rsidR="00916C3A" w:rsidP="00801E87">
      <w:pPr>
        <w:bidi w:val="0"/>
        <w:spacing w:after="0" w:line="240" w:lineRule="auto"/>
        <w:jc w:val="center"/>
        <w:rPr>
          <w:rFonts w:ascii="Times New Roman" w:hAnsi="Times New Roman"/>
          <w:spacing w:val="30"/>
          <w:sz w:val="24"/>
          <w:szCs w:val="24"/>
        </w:rPr>
      </w:pPr>
    </w:p>
    <w:p w:rsidR="003C3D76" w:rsidP="00801E87">
      <w:pPr>
        <w:bidi w:val="0"/>
        <w:spacing w:after="0" w:line="240" w:lineRule="auto"/>
        <w:jc w:val="center"/>
        <w:rPr>
          <w:rFonts w:ascii="Times New Roman" w:hAnsi="Times New Roman"/>
          <w:spacing w:val="30"/>
          <w:sz w:val="24"/>
          <w:szCs w:val="24"/>
        </w:rPr>
      </w:pPr>
    </w:p>
    <w:p w:rsidR="00AE0FB1" w:rsidP="00801E87">
      <w:pPr>
        <w:bidi w:val="0"/>
        <w:spacing w:after="0" w:line="240" w:lineRule="auto"/>
        <w:jc w:val="center"/>
        <w:rPr>
          <w:rFonts w:ascii="Times New Roman" w:hAnsi="Times New Roman"/>
          <w:spacing w:val="30"/>
          <w:sz w:val="24"/>
          <w:szCs w:val="24"/>
        </w:rPr>
      </w:pPr>
    </w:p>
    <w:p w:rsidR="00AE0FB1" w:rsidP="00801E87">
      <w:pPr>
        <w:bidi w:val="0"/>
        <w:spacing w:after="0" w:line="240" w:lineRule="auto"/>
        <w:jc w:val="center"/>
        <w:rPr>
          <w:rFonts w:ascii="Times New Roman" w:hAnsi="Times New Roman"/>
          <w:spacing w:val="30"/>
          <w:sz w:val="24"/>
          <w:szCs w:val="24"/>
        </w:rPr>
      </w:pPr>
    </w:p>
    <w:p w:rsidR="00571A0D" w:rsidRPr="003C3D76" w:rsidP="00801E87">
      <w:pPr>
        <w:bidi w:val="0"/>
        <w:spacing w:after="0" w:line="240" w:lineRule="auto"/>
        <w:jc w:val="center"/>
        <w:rPr>
          <w:rFonts w:ascii="Times New Roman" w:hAnsi="Times New Roman"/>
          <w:b/>
          <w:sz w:val="24"/>
          <w:szCs w:val="24"/>
        </w:rPr>
      </w:pPr>
      <w:r w:rsidRPr="003C3D76">
        <w:rPr>
          <w:rFonts w:ascii="Times New Roman" w:hAnsi="Times New Roman"/>
          <w:b/>
          <w:sz w:val="24"/>
          <w:szCs w:val="24"/>
        </w:rPr>
        <w:t>z</w:t>
      </w:r>
      <w:r w:rsidRPr="003C3D76" w:rsidR="00E95AEC">
        <w:rPr>
          <w:rFonts w:ascii="Times New Roman" w:hAnsi="Times New Roman"/>
          <w:b/>
          <w:sz w:val="24"/>
          <w:szCs w:val="24"/>
        </w:rPr>
        <w:t xml:space="preserve"> 29. novembra </w:t>
      </w:r>
      <w:r w:rsidRPr="003C3D76" w:rsidR="00E179C6">
        <w:rPr>
          <w:rFonts w:ascii="Times New Roman" w:hAnsi="Times New Roman"/>
          <w:b/>
          <w:sz w:val="24"/>
          <w:szCs w:val="24"/>
        </w:rPr>
        <w:t>2016</w:t>
      </w:r>
    </w:p>
    <w:p w:rsidR="00801E87" w:rsidRPr="00801E87" w:rsidP="00801E87">
      <w:pPr>
        <w:bidi w:val="0"/>
        <w:spacing w:after="0" w:line="240" w:lineRule="auto"/>
        <w:jc w:val="center"/>
        <w:rPr>
          <w:rFonts w:ascii="Times New Roman" w:hAnsi="Times New Roman"/>
          <w:sz w:val="24"/>
          <w:szCs w:val="24"/>
        </w:rPr>
      </w:pPr>
    </w:p>
    <w:p w:rsidR="00801E87" w:rsidRPr="00801E87" w:rsidP="00801E87">
      <w:pPr>
        <w:bidi w:val="0"/>
        <w:spacing w:after="0" w:line="240" w:lineRule="auto"/>
        <w:jc w:val="center"/>
        <w:rPr>
          <w:rFonts w:ascii="Times New Roman" w:hAnsi="Times New Roman"/>
          <w:b/>
          <w:sz w:val="24"/>
          <w:szCs w:val="24"/>
        </w:rPr>
      </w:pPr>
      <w:r w:rsidRPr="00801E87">
        <w:rPr>
          <w:rFonts w:ascii="Times New Roman" w:hAnsi="Times New Roman"/>
          <w:b/>
          <w:sz w:val="24"/>
          <w:szCs w:val="24"/>
        </w:rPr>
        <w:t xml:space="preserve">o niektorých pravidlách uplatňovania nárokov na náhradu škody </w:t>
      </w:r>
      <w:r w:rsidR="00875573">
        <w:rPr>
          <w:rFonts w:ascii="Times New Roman" w:hAnsi="Times New Roman"/>
          <w:b/>
          <w:sz w:val="24"/>
          <w:szCs w:val="24"/>
        </w:rPr>
        <w:t>spôsobenej</w:t>
      </w:r>
      <w:r w:rsidRPr="00801E87" w:rsidR="00875573">
        <w:rPr>
          <w:rFonts w:ascii="Times New Roman" w:hAnsi="Times New Roman"/>
          <w:b/>
          <w:sz w:val="24"/>
          <w:szCs w:val="24"/>
        </w:rPr>
        <w:t xml:space="preserve"> </w:t>
      </w:r>
      <w:r w:rsidRPr="00801E87">
        <w:rPr>
          <w:rFonts w:ascii="Times New Roman" w:hAnsi="Times New Roman"/>
          <w:b/>
          <w:sz w:val="24"/>
          <w:szCs w:val="24"/>
        </w:rPr>
        <w:t>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pStyle w:val="NoSpacing"/>
        <w:bidi w:val="0"/>
        <w:ind w:firstLine="708"/>
        <w:jc w:val="both"/>
        <w:rPr>
          <w:rFonts w:ascii="Times New Roman" w:hAnsi="Times New Roman"/>
          <w:sz w:val="24"/>
          <w:szCs w:val="24"/>
        </w:rPr>
      </w:pPr>
      <w:r w:rsidRPr="00801E87">
        <w:rPr>
          <w:rFonts w:ascii="Times New Roman" w:hAnsi="Times New Roman"/>
          <w:sz w:val="24"/>
          <w:szCs w:val="24"/>
        </w:rPr>
        <w:t>Národná rada Slovenskej republiky sa uzniesla na tomto zákone:</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b/>
          <w:sz w:val="24"/>
          <w:szCs w:val="24"/>
        </w:rPr>
      </w:pPr>
      <w:r w:rsidRPr="00801E87">
        <w:rPr>
          <w:rFonts w:ascii="Times New Roman" w:hAnsi="Times New Roman"/>
          <w:b/>
          <w:sz w:val="24"/>
          <w:szCs w:val="24"/>
        </w:rPr>
        <w:t>Čl. I</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sz w:val="24"/>
          <w:szCs w:val="24"/>
        </w:rPr>
      </w:pPr>
      <w:r w:rsidRPr="00801E87">
        <w:rPr>
          <w:rFonts w:ascii="Times New Roman" w:hAnsi="Times New Roman"/>
          <w:sz w:val="24"/>
          <w:szCs w:val="24"/>
        </w:rPr>
        <w:t>§ 1</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Predmet úpravy</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Tento zákon upravuje niektoré </w:t>
      </w:r>
      <w:r w:rsidR="00777B32">
        <w:rPr>
          <w:rFonts w:ascii="Times New Roman" w:hAnsi="Times New Roman"/>
          <w:sz w:val="24"/>
          <w:szCs w:val="24"/>
        </w:rPr>
        <w:t>právne vzťahy súvisiace s právom</w:t>
      </w:r>
      <w:r w:rsidRPr="00801E87">
        <w:rPr>
          <w:rFonts w:ascii="Times New Roman" w:hAnsi="Times New Roman"/>
          <w:sz w:val="24"/>
          <w:szCs w:val="24"/>
        </w:rPr>
        <w:t xml:space="preserve"> na náhradu škody spôsobenej porušením práva hospodárskej súťaže a niektoré pravidlá uplatňovania tohto práva.</w:t>
      </w:r>
      <w:r w:rsidRPr="00801E87">
        <w:rPr>
          <w:rFonts w:ascii="Times New Roman" w:hAnsi="Times New Roman"/>
          <w:sz w:val="24"/>
          <w:szCs w:val="24"/>
        </w:rPr>
        <w:t xml:space="preserve">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2</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Vymedzenie základných pojmov</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Na účely tohto zákona sa rozumie</w:t>
      </w:r>
    </w:p>
    <w:p w:rsidR="00801E87" w:rsidRPr="00801E87" w:rsidP="00801E87">
      <w:pPr>
        <w:pStyle w:val="ListParagraph"/>
        <w:numPr>
          <w:numId w:val="45"/>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porušením práva hospodárskej súťaže porušenie čl</w:t>
      </w:r>
      <w:r w:rsidR="00916C3A">
        <w:rPr>
          <w:rFonts w:ascii="Times New Roman" w:hAnsi="Times New Roman"/>
          <w:sz w:val="24"/>
          <w:szCs w:val="24"/>
        </w:rPr>
        <w:t>.</w:t>
      </w:r>
      <w:r w:rsidRPr="00801E87">
        <w:rPr>
          <w:rFonts w:ascii="Times New Roman" w:hAnsi="Times New Roman"/>
          <w:sz w:val="24"/>
          <w:szCs w:val="24"/>
        </w:rPr>
        <w:t xml:space="preserve"> 101 alebo čl</w:t>
      </w:r>
      <w:r w:rsidR="00916C3A">
        <w:rPr>
          <w:rFonts w:ascii="Times New Roman" w:hAnsi="Times New Roman"/>
          <w:sz w:val="24"/>
          <w:szCs w:val="24"/>
        </w:rPr>
        <w:t>.</w:t>
      </w:r>
      <w:r w:rsidRPr="00801E87">
        <w:rPr>
          <w:rFonts w:ascii="Times New Roman" w:hAnsi="Times New Roman"/>
          <w:sz w:val="24"/>
          <w:szCs w:val="24"/>
        </w:rPr>
        <w:t xml:space="preserve"> 102 Zmluvy o fungovaní Európskej únie alebo porušenie vnútroštátneho práva hospodárskej súťaže,</w:t>
      </w:r>
    </w:p>
    <w:p w:rsidR="00801E87" w:rsidRPr="00801E87" w:rsidP="00801E87">
      <w:pPr>
        <w:pStyle w:val="ListParagraph"/>
        <w:numPr>
          <w:numId w:val="45"/>
        </w:numPr>
        <w:tabs>
          <w:tab w:val="left" w:pos="24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porušiteľom každý, kto sa dopustil porušenia práva hospodárskej súťaže,</w:t>
      </w:r>
      <w:r>
        <w:rPr>
          <w:rStyle w:val="FootnoteReference"/>
          <w:rFonts w:ascii="Times New Roman" w:hAnsi="Times New Roman"/>
          <w:sz w:val="24"/>
          <w:szCs w:val="24"/>
          <w:rtl w:val="0"/>
        </w:rPr>
        <w:footnoteReference w:id="2"/>
      </w:r>
      <w:r w:rsidRPr="00801E87">
        <w:rPr>
          <w:rFonts w:ascii="Times New Roman" w:hAnsi="Times New Roman"/>
          <w:sz w:val="24"/>
          <w:szCs w:val="24"/>
        </w:rPr>
        <w:t>)</w:t>
      </w:r>
    </w:p>
    <w:p w:rsidR="00801E87" w:rsidRPr="00801E87" w:rsidP="00801E87">
      <w:pPr>
        <w:pStyle w:val="ListParagraph"/>
        <w:numPr>
          <w:numId w:val="45"/>
        </w:numPr>
        <w:tabs>
          <w:tab w:val="left" w:pos="18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vnútroštátnym právom hospodárskej súťaže ustanovenia osobitného predpisu o zákaze dohôd obmedzujúcich súťaž</w:t>
      </w:r>
      <w:r>
        <w:rPr>
          <w:rStyle w:val="FootnoteReference"/>
          <w:rFonts w:ascii="Times New Roman" w:hAnsi="Times New Roman"/>
          <w:sz w:val="24"/>
          <w:szCs w:val="24"/>
          <w:rtl w:val="0"/>
        </w:rPr>
        <w:footnoteReference w:id="3"/>
      </w:r>
      <w:r w:rsidRPr="00801E87">
        <w:rPr>
          <w:rFonts w:ascii="Times New Roman" w:hAnsi="Times New Roman"/>
          <w:sz w:val="24"/>
          <w:szCs w:val="24"/>
        </w:rPr>
        <w:t>) a zneužívania dominantného postavenia,</w:t>
      </w:r>
      <w:r>
        <w:rPr>
          <w:rStyle w:val="FootnoteReference"/>
          <w:rFonts w:ascii="Times New Roman" w:hAnsi="Times New Roman"/>
          <w:sz w:val="24"/>
          <w:szCs w:val="24"/>
          <w:rtl w:val="0"/>
        </w:rPr>
        <w:footnoteReference w:id="4"/>
      </w:r>
      <w:r w:rsidRPr="00801E87">
        <w:rPr>
          <w:rFonts w:ascii="Times New Roman" w:hAnsi="Times New Roman"/>
          <w:sz w:val="24"/>
          <w:szCs w:val="24"/>
        </w:rPr>
        <w:t xml:space="preserve">) </w:t>
      </w:r>
    </w:p>
    <w:p w:rsidR="00801E87" w:rsidRPr="00801E87" w:rsidP="00801E87">
      <w:pPr>
        <w:pStyle w:val="ListParagraph"/>
        <w:numPr>
          <w:numId w:val="45"/>
        </w:numPr>
        <w:tabs>
          <w:tab w:val="left" w:pos="200"/>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orgánom hospodárskej súťaže Európska komisia, Protimonopolný úrad Slovenskej republiky a na účely § 4 ods. 2 aj orgán určený iným členským štátom podľa osobitného predpisu</w:t>
      </w:r>
      <w:r>
        <w:rPr>
          <w:rStyle w:val="FootnoteReference"/>
          <w:rFonts w:ascii="Times New Roman" w:hAnsi="Times New Roman"/>
          <w:sz w:val="24"/>
          <w:szCs w:val="24"/>
          <w:rtl w:val="0"/>
        </w:rPr>
        <w:footnoteReference w:id="5"/>
      </w:r>
      <w:r w:rsidRPr="00801E87">
        <w:rPr>
          <w:rFonts w:ascii="Times New Roman" w:hAnsi="Times New Roman"/>
          <w:sz w:val="24"/>
          <w:szCs w:val="24"/>
        </w:rPr>
        <w:t>) ako orgán zodpovedný za uplatňovanie čl</w:t>
      </w:r>
      <w:r w:rsidR="00916C3A">
        <w:rPr>
          <w:rFonts w:ascii="Times New Roman" w:hAnsi="Times New Roman"/>
          <w:sz w:val="24"/>
          <w:szCs w:val="24"/>
        </w:rPr>
        <w:t>.</w:t>
      </w:r>
      <w:r w:rsidRPr="00801E87">
        <w:rPr>
          <w:rFonts w:ascii="Times New Roman" w:hAnsi="Times New Roman"/>
          <w:sz w:val="24"/>
          <w:szCs w:val="24"/>
        </w:rPr>
        <w:t xml:space="preserve"> 101 a 102 Zmluvy o fungovaní Európskej únie,</w:t>
      </w:r>
    </w:p>
    <w:p w:rsidR="00801E87" w:rsidRPr="00801E87" w:rsidP="00801E87">
      <w:pPr>
        <w:pStyle w:val="ListParagraph"/>
        <w:numPr>
          <w:numId w:val="45"/>
        </w:numPr>
        <w:tabs>
          <w:tab w:val="left" w:pos="18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kartelom dohoda alebo zosúladený postup dvoch alebo viacerých konkurentov zameraný na koordináciu ich konkurenčného správania na trhu alebo ovplyvnenie príslušných parametrov hospodárskej súťaže, a to prostredníctvom takých praktík, ako je okrem iného stanovenie alebo koordinácia nákupných alebo predajných cien alebo iných obchodných podmienok, </w:t>
      </w:r>
      <w:r w:rsidRPr="00501A29" w:rsidR="00777B32">
        <w:rPr>
          <w:rFonts w:ascii="Times New Roman" w:hAnsi="Times New Roman"/>
          <w:sz w:val="24"/>
          <w:szCs w:val="24"/>
        </w:rPr>
        <w:t>vrátane práv</w:t>
      </w:r>
      <w:r w:rsidRPr="00801E87" w:rsidR="00777B32">
        <w:rPr>
          <w:rFonts w:ascii="Times New Roman" w:hAnsi="Times New Roman"/>
          <w:sz w:val="24"/>
          <w:szCs w:val="24"/>
        </w:rPr>
        <w:t xml:space="preserve"> </w:t>
      </w:r>
      <w:r w:rsidRPr="00801E87">
        <w:rPr>
          <w:rFonts w:ascii="Times New Roman" w:hAnsi="Times New Roman"/>
          <w:sz w:val="24"/>
          <w:szCs w:val="24"/>
        </w:rPr>
        <w:t xml:space="preserve">duševného vlastníctva, prideľovanie výrobných alebo predajných kvót, rozdeľovanie si trhov a zákazníkov vrátane koordinácie konkurentov pri predkladaní súťažných ponúk, obmedzenie dovozu alebo vývozu alebo protisúťažné </w:t>
      </w:r>
      <w:r w:rsidRPr="00501A29" w:rsidR="00777B32">
        <w:rPr>
          <w:rFonts w:ascii="Times New Roman" w:hAnsi="Times New Roman"/>
          <w:sz w:val="24"/>
          <w:szCs w:val="24"/>
        </w:rPr>
        <w:t>konanie namierené voči</w:t>
      </w:r>
      <w:r w:rsidRPr="00801E87" w:rsidR="00777B32">
        <w:rPr>
          <w:rFonts w:ascii="Times New Roman" w:hAnsi="Times New Roman"/>
          <w:sz w:val="24"/>
          <w:szCs w:val="24"/>
        </w:rPr>
        <w:t xml:space="preserve"> </w:t>
      </w:r>
      <w:r w:rsidRPr="00801E87">
        <w:rPr>
          <w:rFonts w:ascii="Times New Roman" w:hAnsi="Times New Roman"/>
          <w:sz w:val="24"/>
          <w:szCs w:val="24"/>
        </w:rPr>
        <w:t>ostatným konkurentom,</w:t>
      </w:r>
    </w:p>
    <w:p w:rsidR="00801E87" w:rsidRPr="00801E87" w:rsidP="00801E87">
      <w:pPr>
        <w:pStyle w:val="ListParagraph"/>
        <w:numPr>
          <w:numId w:val="45"/>
        </w:numPr>
        <w:tabs>
          <w:tab w:val="left" w:pos="160"/>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programom zhovievavosti program podľa osobitného predpisu</w:t>
      </w:r>
      <w:r>
        <w:rPr>
          <w:rStyle w:val="FootnoteReference"/>
          <w:rFonts w:ascii="Times New Roman" w:hAnsi="Times New Roman"/>
          <w:sz w:val="24"/>
          <w:szCs w:val="24"/>
          <w:rtl w:val="0"/>
        </w:rPr>
        <w:footnoteReference w:id="6"/>
      </w:r>
      <w:r w:rsidRPr="00801E87">
        <w:rPr>
          <w:rFonts w:ascii="Times New Roman" w:hAnsi="Times New Roman"/>
          <w:sz w:val="24"/>
          <w:szCs w:val="24"/>
        </w:rPr>
        <w:t>) alebo program, ktorý sa týka uplatňovania čl</w:t>
      </w:r>
      <w:r w:rsidR="00916C3A">
        <w:rPr>
          <w:rFonts w:ascii="Times New Roman" w:hAnsi="Times New Roman"/>
          <w:sz w:val="24"/>
          <w:szCs w:val="24"/>
        </w:rPr>
        <w:t>.</w:t>
      </w:r>
      <w:r w:rsidRPr="00801E87">
        <w:rPr>
          <w:rFonts w:ascii="Times New Roman" w:hAnsi="Times New Roman"/>
          <w:sz w:val="24"/>
          <w:szCs w:val="24"/>
        </w:rPr>
        <w:t xml:space="preserve"> 101 Zmluvy o fungovaní Európskej únie, na základe ktorého účastník tajného kartelu, </w:t>
      </w:r>
      <w:r w:rsidRPr="00501A29" w:rsidR="00D64132">
        <w:rPr>
          <w:rFonts w:ascii="Times New Roman" w:hAnsi="Times New Roman"/>
          <w:sz w:val="24"/>
          <w:szCs w:val="24"/>
        </w:rPr>
        <w:t>konajúci</w:t>
      </w:r>
      <w:r w:rsidRPr="00801E87" w:rsidR="00D64132">
        <w:rPr>
          <w:rFonts w:ascii="Times New Roman" w:hAnsi="Times New Roman"/>
          <w:sz w:val="24"/>
          <w:szCs w:val="24"/>
        </w:rPr>
        <w:t xml:space="preserve"> </w:t>
      </w:r>
      <w:r w:rsidRPr="00801E87">
        <w:rPr>
          <w:rFonts w:ascii="Times New Roman" w:hAnsi="Times New Roman"/>
          <w:sz w:val="24"/>
          <w:szCs w:val="24"/>
        </w:rPr>
        <w:t>nezávisle od ďalších účastníkov tohto kartelu, spolupracuje v rámci vyšetrovania vedeného orgánom hospodárskej súťaže, a to tak, že dobrovoľne poskytuje svoje poznatky o karteli a svojej úlohe v ňom,</w:t>
      </w:r>
    </w:p>
    <w:p w:rsidR="00801E87" w:rsidRPr="00801E87" w:rsidP="00801E87">
      <w:pPr>
        <w:pStyle w:val="ListParagraph"/>
        <w:numPr>
          <w:numId w:val="45"/>
        </w:numPr>
        <w:tabs>
          <w:tab w:val="left" w:pos="200"/>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vyhlásením v rámci programu zhovievavosti ústne alebo písomné vyhlásenie dobrovoľne poskytnuté orgánu hospodárskej súťaže účastníkom kartelu alebo fyzickou osobou, prípadne v ich mene, alebo jeho záznam, v ktorom sa opisujú poznatky tohto účastníka kartelu alebo fyzickej osoby o karteli a úloha </w:t>
      </w:r>
      <w:r w:rsidRPr="00501A29" w:rsidR="00D64132">
        <w:rPr>
          <w:rFonts w:ascii="Times New Roman" w:hAnsi="Times New Roman"/>
          <w:sz w:val="24"/>
          <w:szCs w:val="24"/>
        </w:rPr>
        <w:t>účastníka kartelu alebo fyzickej osoby</w:t>
      </w:r>
      <w:r w:rsidRPr="00801E87" w:rsidR="00D64132">
        <w:rPr>
          <w:rFonts w:ascii="Times New Roman" w:hAnsi="Times New Roman"/>
          <w:sz w:val="24"/>
          <w:szCs w:val="24"/>
        </w:rPr>
        <w:t xml:space="preserve"> </w:t>
      </w:r>
      <w:r w:rsidRPr="00801E87">
        <w:rPr>
          <w:rFonts w:ascii="Times New Roman" w:hAnsi="Times New Roman"/>
          <w:sz w:val="24"/>
          <w:szCs w:val="24"/>
        </w:rPr>
        <w:t xml:space="preserve">v ňom, pričom toto vyhlásenie bolo vypracované osobitne na účely jeho poskytnutia orgánu hospodárskej súťaže s cieľom získať oslobodenie od pokút alebo zníženie pokút v rámci programu zhovievavosti; </w:t>
      </w:r>
      <w:r w:rsidR="00AE65FD">
        <w:rPr>
          <w:rFonts w:ascii="Times New Roman" w:hAnsi="Times New Roman"/>
          <w:sz w:val="24"/>
          <w:szCs w:val="24"/>
        </w:rPr>
        <w:t xml:space="preserve"> </w:t>
      </w:r>
      <w:r w:rsidRPr="00801E87">
        <w:rPr>
          <w:rFonts w:ascii="Times New Roman" w:hAnsi="Times New Roman"/>
          <w:sz w:val="24"/>
          <w:szCs w:val="24"/>
        </w:rPr>
        <w:t>toto vyhlásenie nezahŕňa už existujúce informácie, ktorými sú dôkazy, ktoré existujú bez ohľadu na konanie vedené orgánom hospodárskej súťaže a bez ohľadu na to, či sa nachádzajú v spise orgánu hospodárskej súťaže,</w:t>
      </w:r>
    </w:p>
    <w:p w:rsidR="00801E87" w:rsidRPr="00801E87" w:rsidP="00801E87">
      <w:pPr>
        <w:pStyle w:val="ListParagraph"/>
        <w:numPr>
          <w:numId w:val="45"/>
        </w:numPr>
        <w:tabs>
          <w:tab w:val="left" w:pos="200"/>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podaním v rámci konania o urovnaní</w:t>
      </w:r>
      <w:r>
        <w:rPr>
          <w:rStyle w:val="FootnoteReference"/>
          <w:rFonts w:ascii="Times New Roman" w:hAnsi="Times New Roman"/>
          <w:sz w:val="24"/>
          <w:szCs w:val="24"/>
          <w:rtl w:val="0"/>
        </w:rPr>
        <w:footnoteReference w:id="7"/>
      </w:r>
      <w:r w:rsidRPr="00801E87">
        <w:rPr>
          <w:rFonts w:ascii="Times New Roman" w:hAnsi="Times New Roman"/>
          <w:sz w:val="24"/>
          <w:szCs w:val="24"/>
        </w:rPr>
        <w:t xml:space="preserve">) dobrovoľné vyhlásenie, ktoré bolo porušiteľom alebo v jeho mene poskytnuté orgánu hospodárskej súťaže a v ktorom </w:t>
      </w:r>
      <w:r w:rsidRPr="00501A29" w:rsidR="00D64132">
        <w:rPr>
          <w:rFonts w:ascii="Times New Roman" w:hAnsi="Times New Roman"/>
          <w:sz w:val="24"/>
          <w:szCs w:val="24"/>
        </w:rPr>
        <w:t>porušiteľ</w:t>
      </w:r>
      <w:r w:rsidRPr="00801E87" w:rsidR="00D64132">
        <w:rPr>
          <w:rFonts w:ascii="Times New Roman" w:hAnsi="Times New Roman"/>
          <w:sz w:val="24"/>
          <w:szCs w:val="24"/>
        </w:rPr>
        <w:t xml:space="preserve"> </w:t>
      </w:r>
      <w:r w:rsidRPr="00801E87">
        <w:rPr>
          <w:rFonts w:ascii="Times New Roman" w:hAnsi="Times New Roman"/>
          <w:sz w:val="24"/>
          <w:szCs w:val="24"/>
        </w:rPr>
        <w:t xml:space="preserve">uznáva alebo prestáva popierať svoju účasť na porušovaní práva hospodárskej súťaže a svoju zodpovednosť za toto porušenie práva hospodárskej súťaže, pričom toto vyhlásenie bolo vypracované konkrétne s cieľom umožniť </w:t>
      </w:r>
      <w:r w:rsidR="00D64132">
        <w:rPr>
          <w:rFonts w:ascii="Times New Roman" w:hAnsi="Times New Roman"/>
          <w:sz w:val="24"/>
          <w:szCs w:val="24"/>
        </w:rPr>
        <w:t>orgánu</w:t>
      </w:r>
      <w:r w:rsidRPr="00801E87">
        <w:rPr>
          <w:rFonts w:ascii="Times New Roman" w:hAnsi="Times New Roman"/>
          <w:sz w:val="24"/>
          <w:szCs w:val="24"/>
        </w:rPr>
        <w:t xml:space="preserve"> hospodárskej súťaže, aby uplatnil zjednodušené alebo skrátené konanie,</w:t>
      </w:r>
    </w:p>
    <w:p w:rsidR="00801E87" w:rsidRPr="00801E87" w:rsidP="00801E87">
      <w:pPr>
        <w:pStyle w:val="ListParagraph"/>
        <w:numPr>
          <w:numId w:val="45"/>
        </w:numPr>
        <w:tabs>
          <w:tab w:val="left" w:pos="14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osobou oslobodenou od pokút porušiteľ, ktorého orgán hospodárskej súťaže oslobodil </w:t>
      </w:r>
      <w:r w:rsidR="00124E05">
        <w:rPr>
          <w:rFonts w:ascii="Times New Roman" w:hAnsi="Times New Roman"/>
          <w:sz w:val="24"/>
          <w:szCs w:val="24"/>
        </w:rPr>
        <w:t>na základe programu</w:t>
      </w:r>
      <w:r w:rsidRPr="00801E87">
        <w:rPr>
          <w:rFonts w:ascii="Times New Roman" w:hAnsi="Times New Roman"/>
          <w:sz w:val="24"/>
          <w:szCs w:val="24"/>
        </w:rPr>
        <w:t xml:space="preserve"> zhovievavosti od pokút,</w:t>
      </w:r>
    </w:p>
    <w:p w:rsidR="00801E87" w:rsidRPr="00801E87" w:rsidP="00801E87">
      <w:pPr>
        <w:pStyle w:val="ListParagraph"/>
        <w:numPr>
          <w:numId w:val="45"/>
        </w:numPr>
        <w:tabs>
          <w:tab w:val="left" w:pos="14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zvýšením ceny rozdiel medzi cenou, ktorá bola skutočne zaplatená, a cenou, ktorá by bola inak zaplatená, keby k porušeniu práva hospodárskej súťaže nedošlo,</w:t>
      </w:r>
    </w:p>
    <w:p w:rsidR="00801E87" w:rsidRPr="00801E87" w:rsidP="00801E87">
      <w:pPr>
        <w:pStyle w:val="ListParagraph"/>
        <w:numPr>
          <w:numId w:val="45"/>
        </w:numPr>
        <w:tabs>
          <w:tab w:val="left" w:pos="14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priamym odberateľom osoba, ktorá priamo od porušiteľa získala produkty alebo služby (ďalej len „tovar“), ktoré boli predmetom porušenia práva hospodárskej súťaže,</w:t>
      </w:r>
    </w:p>
    <w:p w:rsidR="00801E87" w:rsidRPr="00801E87" w:rsidP="00801E87">
      <w:pPr>
        <w:pStyle w:val="ListParagraph"/>
        <w:numPr>
          <w:numId w:val="45"/>
        </w:numPr>
        <w:tabs>
          <w:tab w:val="left" w:pos="147"/>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nepriamym odberateľom osoba, ktorá získala </w:t>
      </w:r>
      <w:r w:rsidRPr="00501A29" w:rsidR="00D64132">
        <w:rPr>
          <w:rFonts w:ascii="Times New Roman" w:hAnsi="Times New Roman"/>
          <w:sz w:val="24"/>
          <w:szCs w:val="24"/>
        </w:rPr>
        <w:t>tovar</w:t>
      </w:r>
      <w:r w:rsidR="00D64132">
        <w:rPr>
          <w:rFonts w:ascii="Times New Roman" w:hAnsi="Times New Roman"/>
          <w:sz w:val="24"/>
          <w:szCs w:val="24"/>
        </w:rPr>
        <w:t>, ktorý bol</w:t>
      </w:r>
      <w:r w:rsidRPr="00801E87" w:rsidR="00D64132">
        <w:rPr>
          <w:rFonts w:ascii="Times New Roman" w:hAnsi="Times New Roman"/>
          <w:sz w:val="24"/>
          <w:szCs w:val="24"/>
        </w:rPr>
        <w:t xml:space="preserve"> </w:t>
      </w:r>
      <w:r w:rsidRPr="00801E87">
        <w:rPr>
          <w:rFonts w:ascii="Times New Roman" w:hAnsi="Times New Roman"/>
          <w:sz w:val="24"/>
          <w:szCs w:val="24"/>
        </w:rPr>
        <w:t xml:space="preserve">predmetom porušenia práva hospodárskej súťaže, alebo </w:t>
      </w:r>
      <w:r w:rsidR="00D64132">
        <w:rPr>
          <w:rFonts w:ascii="Times New Roman" w:hAnsi="Times New Roman"/>
          <w:sz w:val="24"/>
          <w:szCs w:val="24"/>
        </w:rPr>
        <w:t>tovar odvodený</w:t>
      </w:r>
      <w:r w:rsidRPr="00801E87">
        <w:rPr>
          <w:rFonts w:ascii="Times New Roman" w:hAnsi="Times New Roman"/>
          <w:sz w:val="24"/>
          <w:szCs w:val="24"/>
        </w:rPr>
        <w:t xml:space="preserve"> od takéhoto tovaru, alebo </w:t>
      </w:r>
      <w:r w:rsidR="00D64132">
        <w:rPr>
          <w:rFonts w:ascii="Times New Roman" w:hAnsi="Times New Roman"/>
          <w:sz w:val="24"/>
          <w:szCs w:val="24"/>
        </w:rPr>
        <w:t>tovar, ktorý obsahuje</w:t>
      </w:r>
      <w:r w:rsidRPr="00801E87">
        <w:rPr>
          <w:rFonts w:ascii="Times New Roman" w:hAnsi="Times New Roman"/>
          <w:sz w:val="24"/>
          <w:szCs w:val="24"/>
        </w:rPr>
        <w:t xml:space="preserve"> takýto tovar, nie priamo od porušiteľa, ale od priameho odberateľa alebo ďalšieho odberateľa</w:t>
      </w:r>
      <w:r w:rsidR="00E769A7">
        <w:rPr>
          <w:rFonts w:ascii="Times New Roman" w:hAnsi="Times New Roman"/>
          <w:sz w:val="24"/>
          <w:szCs w:val="24"/>
        </w:rPr>
        <w:t>.</w:t>
      </w:r>
    </w:p>
    <w:p w:rsidR="00801E87" w:rsidRPr="00801E87" w:rsidP="00801E87">
      <w:pPr>
        <w:bidi w:val="0"/>
        <w:spacing w:after="0" w:line="240" w:lineRule="auto"/>
        <w:jc w:val="center"/>
        <w:rPr>
          <w:rFonts w:ascii="Times New Roman" w:hAnsi="Times New Roman"/>
          <w:b/>
          <w:iCs/>
          <w:sz w:val="24"/>
          <w:szCs w:val="24"/>
        </w:rPr>
      </w:pPr>
    </w:p>
    <w:p w:rsidR="005A6366" w:rsidP="00801E87">
      <w:pPr>
        <w:bidi w:val="0"/>
        <w:spacing w:after="0" w:line="240" w:lineRule="auto"/>
        <w:jc w:val="center"/>
        <w:rPr>
          <w:rFonts w:ascii="Times New Roman" w:hAnsi="Times New Roman"/>
          <w:iCs/>
          <w:sz w:val="24"/>
          <w:szCs w:val="24"/>
        </w:rPr>
      </w:pPr>
    </w:p>
    <w:p w:rsidR="005A6366" w:rsidP="00801E87">
      <w:pPr>
        <w:bidi w:val="0"/>
        <w:spacing w:after="0" w:line="240" w:lineRule="auto"/>
        <w:jc w:val="center"/>
        <w:rPr>
          <w:rFonts w:ascii="Times New Roman" w:hAnsi="Times New Roman"/>
          <w:iCs/>
          <w:sz w:val="24"/>
          <w:szCs w:val="24"/>
        </w:rPr>
      </w:pPr>
    </w:p>
    <w:p w:rsidR="005A6366"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3</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Právo na náhradu škody</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w:t>
      </w:r>
      <w:r w:rsidR="001C24E6">
        <w:rPr>
          <w:rFonts w:ascii="Times New Roman" w:hAnsi="Times New Roman"/>
          <w:sz w:val="24"/>
          <w:szCs w:val="24"/>
        </w:rPr>
        <w:t>Osoba</w:t>
      </w:r>
      <w:r w:rsidRPr="00801E87">
        <w:rPr>
          <w:rFonts w:ascii="Times New Roman" w:hAnsi="Times New Roman"/>
          <w:sz w:val="24"/>
          <w:szCs w:val="24"/>
        </w:rPr>
        <w:t>, ktorá utrpela škodu spôsobenú porušením práva hospodárskej súťaže (ďalej len „poškodená osoba“), má právo na náhradu škody.</w:t>
      </w:r>
      <w:r w:rsidRPr="00801E87">
        <w:rPr>
          <w:rFonts w:ascii="Times New Roman" w:hAnsi="Times New Roman"/>
          <w:sz w:val="24"/>
          <w:szCs w:val="24"/>
        </w:rPr>
        <w:t xml:space="preserve">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Náhrada škody pozostáva z náhrady skutočnej škody, ušlého zisku a </w:t>
      </w:r>
      <w:r w:rsidRPr="00501A29" w:rsidR="00D64132">
        <w:rPr>
          <w:rFonts w:ascii="Times New Roman" w:hAnsi="Times New Roman"/>
          <w:sz w:val="24"/>
          <w:szCs w:val="24"/>
        </w:rPr>
        <w:t>úrokov z omeškania</w:t>
      </w:r>
      <w:r>
        <w:rPr>
          <w:rStyle w:val="FootnoteReference"/>
          <w:rFonts w:ascii="Times New Roman" w:hAnsi="Times New Roman"/>
          <w:sz w:val="24"/>
          <w:szCs w:val="24"/>
          <w:rtl w:val="0"/>
        </w:rPr>
        <w:footnoteReference w:id="8"/>
      </w:r>
      <w:r w:rsidRPr="00801E87">
        <w:rPr>
          <w:rFonts w:ascii="Times New Roman" w:hAnsi="Times New Roman"/>
          <w:sz w:val="24"/>
          <w:szCs w:val="24"/>
        </w:rPr>
        <w:t>) zo sumy skutočnej škody a ušlého zisku plynúcich od okamihu vzniku škody. Náhrada škody nesmie viesť k nadmernej náhrade škody presahujúcej preukázané plnenia podľa predchádzajúcej vety.</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(3) Ak v konaní porušiteľ nepreukáže opak, predpokladá sa, že kartel vždy spôsobuje škodu podľa tohto zákona.</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(4) Ak možno výšku škody spôsobenej porušením práva hospodárskej súťaže zistiť len s nepomernými ťažkosťami alebo ak ju nemožno zistiť vôbec, určí ju súd podľa svojho odhadu.</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4</w:t>
      </w:r>
    </w:p>
    <w:p w:rsidR="00801E87" w:rsidRPr="00801E87" w:rsidP="00801E87">
      <w:pPr>
        <w:bidi w:val="0"/>
        <w:spacing w:after="0" w:line="240" w:lineRule="auto"/>
        <w:ind w:firstLine="708"/>
        <w:jc w:val="center"/>
        <w:rPr>
          <w:rFonts w:ascii="Times New Roman" w:hAnsi="Times New Roman"/>
          <w:bCs/>
          <w:sz w:val="24"/>
          <w:szCs w:val="24"/>
        </w:rPr>
      </w:pPr>
      <w:r w:rsidRPr="00801E87">
        <w:rPr>
          <w:rFonts w:ascii="Times New Roman" w:hAnsi="Times New Roman"/>
          <w:bCs/>
          <w:sz w:val="24"/>
          <w:szCs w:val="24"/>
        </w:rPr>
        <w:t>Viazanosť súdu rozhodnutím o porušení práva hospodárskej súťaže</w:t>
      </w:r>
    </w:p>
    <w:p w:rsidR="00801E87" w:rsidRPr="00801E87" w:rsidP="00801E87">
      <w:pPr>
        <w:bidi w:val="0"/>
        <w:spacing w:after="0" w:line="240" w:lineRule="auto"/>
        <w:ind w:firstLine="708"/>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Pri rozhodovaní o náhrade škody je v časti výroku o porušení práva hospodárskej súťaže súd viazaný právoplatným rozhodnutím Protimonopolného úradu Slovenskej republiky alebo konečným rozhodnutím súdu preskúmavajúceho toto rozhodnutie.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Konečné rozhodnutie o porušení práva hospodárskej súťaže vydané v inom členskom štáte Európskej únie</w:t>
      </w:r>
      <w:r>
        <w:rPr>
          <w:rStyle w:val="FootnoteReference"/>
          <w:rFonts w:ascii="Times New Roman" w:hAnsi="Times New Roman"/>
          <w:sz w:val="24"/>
          <w:szCs w:val="24"/>
          <w:rtl w:val="0"/>
        </w:rPr>
        <w:footnoteReference w:id="9"/>
      </w:r>
      <w:r w:rsidRPr="00801E87">
        <w:rPr>
          <w:rFonts w:ascii="Times New Roman" w:hAnsi="Times New Roman"/>
          <w:sz w:val="24"/>
          <w:szCs w:val="24"/>
        </w:rPr>
        <w:t>) sa považuje za dôkaz o porušení práva hospodárskej súťaže, pokiaľ v súdnom konaní o náhradu škody nebude preukázaný opak. Ustanovenie čl</w:t>
      </w:r>
      <w:r w:rsidR="00916C3A">
        <w:rPr>
          <w:rFonts w:ascii="Times New Roman" w:hAnsi="Times New Roman"/>
          <w:sz w:val="24"/>
          <w:szCs w:val="24"/>
        </w:rPr>
        <w:t>.</w:t>
      </w:r>
      <w:r w:rsidRPr="00801E87">
        <w:rPr>
          <w:rFonts w:ascii="Times New Roman" w:hAnsi="Times New Roman"/>
          <w:sz w:val="24"/>
          <w:szCs w:val="24"/>
        </w:rPr>
        <w:t xml:space="preserve"> 267 Zmluvy o fungovaní Európskej únie tým nie je dotknuté.</w:t>
      </w: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 </w:t>
      </w: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5</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Premlčanie práva na náhradu škody </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 xml:space="preserve"> </w:t>
      </w:r>
      <w:r w:rsidRPr="00801E87">
        <w:rPr>
          <w:rFonts w:ascii="Times New Roman" w:hAnsi="Times New Roman"/>
          <w:sz w:val="24"/>
          <w:szCs w:val="24"/>
        </w:rPr>
        <w:tab/>
        <w:t>(1) Premlčacia doba nezačne plynúť skôr</w:t>
      </w:r>
      <w:r w:rsidR="003C7E07">
        <w:rPr>
          <w:rFonts w:ascii="Times New Roman" w:hAnsi="Times New Roman"/>
          <w:sz w:val="24"/>
          <w:szCs w:val="24"/>
        </w:rPr>
        <w:t>,</w:t>
      </w:r>
      <w:r w:rsidRPr="00801E87">
        <w:rPr>
          <w:rFonts w:ascii="Times New Roman" w:hAnsi="Times New Roman"/>
          <w:sz w:val="24"/>
          <w:szCs w:val="24"/>
        </w:rPr>
        <w:t xml:space="preserve"> ako skončí porušenie práva hospodárskej súťaže a žalobca sa dozvie alebo možno odôvodnene predpokladať, že sa mohol dozvedieť o tom, že konanie zakladá porušenie práva hospodárskej súťaže, porušením práva hospodárskej súťaže utrpel škodu a o tom, kto je porušiteľom.</w:t>
      </w:r>
      <w:r w:rsidRPr="00801E87">
        <w:rPr>
          <w:rFonts w:ascii="Times New Roman" w:hAnsi="Times New Roman"/>
          <w:sz w:val="24"/>
          <w:szCs w:val="24"/>
        </w:rPr>
        <w:t xml:space="preserve"> </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Nárok na náhradu škody sa premlčí uplynutím piatich rokov od splnenia podmienok podľa odseku 1 alebo </w:t>
      </w:r>
      <w:r w:rsidR="003C7E07">
        <w:rPr>
          <w:rFonts w:ascii="Times New Roman" w:hAnsi="Times New Roman"/>
          <w:sz w:val="24"/>
          <w:szCs w:val="24"/>
        </w:rPr>
        <w:t xml:space="preserve">uplynutím doby </w:t>
      </w:r>
      <w:r w:rsidRPr="00801E87">
        <w:rPr>
          <w:rFonts w:ascii="Times New Roman" w:hAnsi="Times New Roman"/>
          <w:sz w:val="24"/>
          <w:szCs w:val="24"/>
        </w:rPr>
        <w:t xml:space="preserve">podľa § </w:t>
      </w:r>
      <w:r w:rsidR="001C24E6">
        <w:rPr>
          <w:rFonts w:ascii="Times New Roman" w:hAnsi="Times New Roman"/>
          <w:sz w:val="24"/>
          <w:szCs w:val="24"/>
        </w:rPr>
        <w:t>6</w:t>
      </w:r>
      <w:r w:rsidRPr="00801E87" w:rsidR="001C24E6">
        <w:rPr>
          <w:rFonts w:ascii="Times New Roman" w:hAnsi="Times New Roman"/>
          <w:sz w:val="24"/>
          <w:szCs w:val="24"/>
        </w:rPr>
        <w:t xml:space="preserve"> </w:t>
      </w:r>
      <w:r w:rsidRPr="00801E87">
        <w:rPr>
          <w:rFonts w:ascii="Times New Roman" w:hAnsi="Times New Roman"/>
          <w:sz w:val="24"/>
          <w:szCs w:val="24"/>
        </w:rPr>
        <w:t>ods. 7.</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(3) Plynutie premlčacej doby sa preruší, ak orgán hospodárskej súťaže vykoná úkony na účely vyšetrovania alebo konania v súvislosti s porušením práva hospodárskej súťaže, ktorého sa týka žaloba o náhradu škody. Nová premlčacia doba začne plynúť jeden rok po tom</w:t>
      </w:r>
      <w:r w:rsidR="003C7E07">
        <w:rPr>
          <w:rFonts w:ascii="Times New Roman" w:hAnsi="Times New Roman"/>
          <w:sz w:val="24"/>
          <w:szCs w:val="24"/>
        </w:rPr>
        <w:t>,</w:t>
      </w:r>
      <w:r w:rsidRPr="00801E87">
        <w:rPr>
          <w:rFonts w:ascii="Times New Roman" w:hAnsi="Times New Roman"/>
          <w:sz w:val="24"/>
          <w:szCs w:val="24"/>
        </w:rPr>
        <w:t xml:space="preserve"> ako sa rozhodnutie o porušení práva hospodárskej súťaže stalo právoplatným, konanie sa skončilo právoplatne inak alebo sa skončilo prešetrovanie podľa osobitného predpisu.</w:t>
      </w:r>
      <w:r>
        <w:rPr>
          <w:rStyle w:val="FootnoteReference"/>
          <w:rFonts w:ascii="Times New Roman" w:hAnsi="Times New Roman"/>
          <w:sz w:val="24"/>
          <w:szCs w:val="24"/>
          <w:rtl w:val="0"/>
        </w:rPr>
        <w:footnoteReference w:id="10"/>
      </w:r>
      <w:r w:rsidRPr="00801E87">
        <w:rPr>
          <w:rFonts w:ascii="Times New Roman" w:hAnsi="Times New Roman"/>
          <w:sz w:val="24"/>
          <w:szCs w:val="24"/>
        </w:rPr>
        <w:t>)</w:t>
      </w:r>
    </w:p>
    <w:p w:rsidR="00801E87" w:rsidRPr="00801E87" w:rsidP="00801E87">
      <w:pPr>
        <w:bidi w:val="0"/>
        <w:spacing w:after="0" w:line="240" w:lineRule="auto"/>
        <w:ind w:firstLine="708"/>
        <w:jc w:val="both"/>
        <w:rPr>
          <w:rFonts w:ascii="Times New Roman" w:hAnsi="Times New Roman"/>
          <w:sz w:val="24"/>
          <w:szCs w:val="24"/>
        </w:rPr>
      </w:pPr>
    </w:p>
    <w:p w:rsidR="003C3D76"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6</w:t>
      </w:r>
    </w:p>
    <w:p w:rsidR="00801E87" w:rsidRPr="00801E87" w:rsidP="00801E87">
      <w:pPr>
        <w:bidi w:val="0"/>
        <w:spacing w:after="0" w:line="240" w:lineRule="auto"/>
        <w:jc w:val="center"/>
        <w:rPr>
          <w:rFonts w:ascii="Times New Roman" w:hAnsi="Times New Roman"/>
          <w:sz w:val="24"/>
        </w:rPr>
      </w:pPr>
      <w:r w:rsidRPr="00801E87">
        <w:rPr>
          <w:rFonts w:ascii="Times New Roman" w:hAnsi="Times New Roman"/>
          <w:sz w:val="24"/>
        </w:rPr>
        <w:t>Spoločná a nerozdielna zodpovednosť za škodu</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(1) Porušitelia, ktorí porušili právo hospodárskej súťaže spoločným konaním, zodpovedajú za škodu spôsobenú porušením práva hospodárskej súťaže spoločne a nerozdielne a každý z porušiteľov je povinný nahradiť škodu v plnom rozsahu.</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Poškodená osoba má právo požadovať náhradu škody od ktoréhokoľvek porušiteľa.</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(3) Ak porušiteľ v rozsahu uplatneného nároku poškodenej osoby škodu uhradil, </w:t>
      </w:r>
      <w:r w:rsidRPr="00501A29" w:rsidR="00D64132">
        <w:rPr>
          <w:rFonts w:ascii="Times New Roman" w:hAnsi="Times New Roman"/>
          <w:sz w:val="24"/>
          <w:szCs w:val="24"/>
        </w:rPr>
        <w:t>má právo požadovať</w:t>
      </w:r>
      <w:r w:rsidRPr="00801E87" w:rsidR="00D64132">
        <w:rPr>
          <w:rFonts w:ascii="Times New Roman" w:hAnsi="Times New Roman"/>
          <w:sz w:val="24"/>
          <w:szCs w:val="24"/>
        </w:rPr>
        <w:t xml:space="preserve"> </w:t>
      </w:r>
      <w:r w:rsidRPr="00801E87">
        <w:rPr>
          <w:rFonts w:ascii="Times New Roman" w:hAnsi="Times New Roman"/>
          <w:sz w:val="24"/>
          <w:szCs w:val="24"/>
        </w:rPr>
        <w:t xml:space="preserve">náhradu od ostatných porušiteľov podľa ich účasti na spôsobenej škode. Účasť na spôsobenej škode sa určí podľa obratu, úlohy porušiteľa v rámci kartelu a jeho podielu na trhu.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(4) Účasť na spôsobenej škode osoby, ktorá bola oslobodená od pokút</w:t>
      </w:r>
      <w:r w:rsidR="003C7E07">
        <w:rPr>
          <w:rFonts w:ascii="Times New Roman" w:hAnsi="Times New Roman"/>
          <w:sz w:val="24"/>
          <w:szCs w:val="24"/>
        </w:rPr>
        <w:t>,</w:t>
      </w:r>
      <w:r w:rsidRPr="00801E87">
        <w:rPr>
          <w:rFonts w:ascii="Times New Roman" w:hAnsi="Times New Roman"/>
          <w:sz w:val="24"/>
          <w:szCs w:val="24"/>
        </w:rPr>
        <w:t xml:space="preserve"> nemôže byť vyššia ako škoda, ktorú spôsobila svojim priamym </w:t>
      </w:r>
      <w:r w:rsidR="003C7E07">
        <w:rPr>
          <w:rFonts w:ascii="Times New Roman" w:hAnsi="Times New Roman"/>
          <w:sz w:val="24"/>
          <w:szCs w:val="24"/>
        </w:rPr>
        <w:t xml:space="preserve">odberateľom, </w:t>
      </w:r>
      <w:r w:rsidRPr="00801E87">
        <w:rPr>
          <w:rFonts w:ascii="Times New Roman" w:hAnsi="Times New Roman"/>
          <w:sz w:val="24"/>
          <w:szCs w:val="24"/>
        </w:rPr>
        <w:t>nepriamym odberateľom</w:t>
      </w:r>
      <w:r w:rsidR="003C7E07">
        <w:rPr>
          <w:rFonts w:ascii="Times New Roman" w:hAnsi="Times New Roman"/>
          <w:sz w:val="24"/>
          <w:szCs w:val="24"/>
        </w:rPr>
        <w:t>, priamym dodávateľom</w:t>
      </w:r>
      <w:r w:rsidRPr="00801E87">
        <w:rPr>
          <w:rFonts w:ascii="Times New Roman" w:hAnsi="Times New Roman"/>
          <w:sz w:val="24"/>
          <w:szCs w:val="24"/>
        </w:rPr>
        <w:t xml:space="preserve"> alebo </w:t>
      </w:r>
      <w:r w:rsidR="003C7E07">
        <w:rPr>
          <w:rFonts w:ascii="Times New Roman" w:hAnsi="Times New Roman"/>
          <w:sz w:val="24"/>
          <w:szCs w:val="24"/>
        </w:rPr>
        <w:t xml:space="preserve">nepriamym </w:t>
      </w:r>
      <w:r w:rsidRPr="00801E87">
        <w:rPr>
          <w:rFonts w:ascii="Times New Roman" w:hAnsi="Times New Roman"/>
          <w:sz w:val="24"/>
          <w:szCs w:val="24"/>
        </w:rPr>
        <w:t xml:space="preserve">dodávateľom.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(5) </w:t>
      </w:r>
      <w:r w:rsidR="003C7E07">
        <w:rPr>
          <w:rFonts w:ascii="Times New Roman" w:hAnsi="Times New Roman"/>
          <w:sz w:val="24"/>
          <w:szCs w:val="24"/>
        </w:rPr>
        <w:t>P</w:t>
      </w:r>
      <w:r w:rsidRPr="00801E87">
        <w:rPr>
          <w:rFonts w:ascii="Times New Roman" w:hAnsi="Times New Roman"/>
          <w:sz w:val="24"/>
          <w:szCs w:val="24"/>
        </w:rPr>
        <w:t>orušiteľ</w:t>
      </w:r>
      <w:r w:rsidR="003C7E07">
        <w:rPr>
          <w:rFonts w:ascii="Times New Roman" w:hAnsi="Times New Roman"/>
          <w:sz w:val="24"/>
          <w:szCs w:val="24"/>
        </w:rPr>
        <w:t>, ktorý je</w:t>
      </w:r>
      <w:r w:rsidRPr="00801E87">
        <w:rPr>
          <w:rFonts w:ascii="Times New Roman" w:hAnsi="Times New Roman"/>
          <w:sz w:val="24"/>
          <w:szCs w:val="24"/>
        </w:rPr>
        <w:t xml:space="preserve"> malým </w:t>
      </w:r>
      <w:r w:rsidR="00D64132">
        <w:rPr>
          <w:rFonts w:ascii="Times New Roman" w:hAnsi="Times New Roman"/>
          <w:sz w:val="24"/>
          <w:szCs w:val="24"/>
        </w:rPr>
        <w:t xml:space="preserve">podnikom </w:t>
      </w:r>
      <w:r w:rsidRPr="00801E87">
        <w:rPr>
          <w:rFonts w:ascii="Times New Roman" w:hAnsi="Times New Roman"/>
          <w:sz w:val="24"/>
          <w:szCs w:val="24"/>
        </w:rPr>
        <w:t>alebo stredným podnikom podľa osobitného predpisu,</w:t>
      </w:r>
      <w:r>
        <w:rPr>
          <w:rStyle w:val="FootnoteReference"/>
          <w:rFonts w:ascii="Times New Roman" w:hAnsi="Times New Roman"/>
          <w:sz w:val="24"/>
          <w:szCs w:val="24"/>
          <w:rtl w:val="0"/>
        </w:rPr>
        <w:footnoteReference w:id="11"/>
      </w:r>
      <w:r w:rsidRPr="00801E87">
        <w:rPr>
          <w:rFonts w:ascii="Times New Roman" w:hAnsi="Times New Roman"/>
          <w:sz w:val="24"/>
          <w:szCs w:val="24"/>
        </w:rPr>
        <w:t>) zodpovedá za škodu len voči svojim priamym</w:t>
      </w:r>
      <w:r w:rsidR="00D64132">
        <w:rPr>
          <w:rFonts w:ascii="Times New Roman" w:hAnsi="Times New Roman"/>
          <w:sz w:val="24"/>
          <w:szCs w:val="24"/>
        </w:rPr>
        <w:t xml:space="preserve"> odberateľom</w:t>
      </w:r>
      <w:r w:rsidRPr="00801E87">
        <w:rPr>
          <w:rFonts w:ascii="Times New Roman" w:hAnsi="Times New Roman"/>
          <w:sz w:val="24"/>
          <w:szCs w:val="24"/>
        </w:rPr>
        <w:t xml:space="preserve"> a nepriamym odberateľom, ak</w:t>
      </w:r>
    </w:p>
    <w:p w:rsidR="00801E87" w:rsidRPr="00801E87" w:rsidP="00801E87">
      <w:pPr>
        <w:pStyle w:val="ListParagraph"/>
        <w:numPr>
          <w:numId w:val="37"/>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jeho podiel na príslušnom trhu počas celého obdobia, keď došlo k porušeniu práva hospodárskej súťaže, nedosahoval 5 % a</w:t>
      </w:r>
    </w:p>
    <w:p w:rsidR="00801E87" w:rsidRPr="00801E87" w:rsidP="00801E87">
      <w:pPr>
        <w:pStyle w:val="ListParagraph"/>
        <w:numPr>
          <w:numId w:val="37"/>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uplatnenie bežných pravidiel o spoločnej a nerozdielnej zodpovednosti by nenapraviteľne ohrozilo jeho hospodársku životaschopnosť a jeho aktíva by v dôsledku toho </w:t>
      </w:r>
      <w:r w:rsidRPr="00801E87" w:rsidR="003C7E07">
        <w:rPr>
          <w:rFonts w:ascii="Times New Roman" w:hAnsi="Times New Roman"/>
          <w:sz w:val="24"/>
          <w:szCs w:val="24"/>
        </w:rPr>
        <w:t xml:space="preserve">úplne </w:t>
      </w:r>
      <w:r w:rsidRPr="00801E87">
        <w:rPr>
          <w:rFonts w:ascii="Times New Roman" w:hAnsi="Times New Roman"/>
          <w:sz w:val="24"/>
          <w:szCs w:val="24"/>
        </w:rPr>
        <w:t>stratili hodnotu.</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(6) Ustanovenie odseku 5 sa nepoužije, ak</w:t>
      </w:r>
    </w:p>
    <w:p w:rsidR="00801E87" w:rsidRPr="00801E87" w:rsidP="00801E87">
      <w:pPr>
        <w:pStyle w:val="ListParagraph"/>
        <w:numPr>
          <w:numId w:val="38"/>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malý a stredný podnik inicioval porušenie práva hospodárskej súťaže alebo nútil iné podniky, aby sa podieľali na porušení práva hospodárskej súťaže, </w:t>
      </w:r>
    </w:p>
    <w:p w:rsidR="00801E87" w:rsidRPr="00801E87" w:rsidP="00801E87">
      <w:pPr>
        <w:pStyle w:val="ListParagraph"/>
        <w:numPr>
          <w:numId w:val="38"/>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sa už v minulosti rozhodlo, že malý a stredný podnik porušil právo hospodárskej súťaže, alebo</w:t>
      </w:r>
    </w:p>
    <w:p w:rsidR="00801E87" w:rsidRPr="00801E87" w:rsidP="00801E87">
      <w:pPr>
        <w:pStyle w:val="ListParagraph"/>
        <w:numPr>
          <w:numId w:val="38"/>
        </w:numPr>
        <w:bidi w:val="0"/>
        <w:spacing w:after="0" w:line="240" w:lineRule="auto"/>
        <w:contextualSpacing w:val="0"/>
        <w:jc w:val="both"/>
        <w:rPr>
          <w:rFonts w:ascii="Times New Roman" w:hAnsi="Times New Roman"/>
          <w:sz w:val="24"/>
          <w:szCs w:val="24"/>
        </w:rPr>
      </w:pPr>
      <w:r w:rsidRPr="00801E87" w:rsidR="00C52259">
        <w:rPr>
          <w:rFonts w:ascii="Times New Roman" w:hAnsi="Times New Roman"/>
          <w:sz w:val="24"/>
          <w:szCs w:val="24"/>
        </w:rPr>
        <w:t xml:space="preserve">nemožno získať náhradu škody </w:t>
      </w:r>
      <w:r w:rsidRPr="00801E87">
        <w:rPr>
          <w:rFonts w:ascii="Times New Roman" w:hAnsi="Times New Roman"/>
          <w:sz w:val="24"/>
          <w:szCs w:val="24"/>
        </w:rPr>
        <w:t>od ostatných porušiteľov, ktorí sa zúčastnili na tom istom porušení práva hospodárskej súťaže.</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(7) </w:t>
      </w:r>
      <w:r w:rsidRPr="00801E87" w:rsidR="00F07C0B">
        <w:rPr>
          <w:rFonts w:ascii="Times New Roman" w:hAnsi="Times New Roman"/>
          <w:sz w:val="24"/>
          <w:szCs w:val="24"/>
        </w:rPr>
        <w:t>Osoba oslobodená od pokút je spoločne a nerozdielne zodpovedná len voči svojim priamym odberateľom</w:t>
      </w:r>
      <w:r w:rsidR="00F07C0B">
        <w:rPr>
          <w:rFonts w:ascii="Times New Roman" w:hAnsi="Times New Roman"/>
          <w:sz w:val="24"/>
          <w:szCs w:val="24"/>
        </w:rPr>
        <w:t>,</w:t>
      </w:r>
      <w:r w:rsidRPr="00801E87" w:rsidR="00F07C0B">
        <w:rPr>
          <w:rFonts w:ascii="Times New Roman" w:hAnsi="Times New Roman"/>
          <w:sz w:val="24"/>
          <w:szCs w:val="24"/>
        </w:rPr>
        <w:t xml:space="preserve"> nepriamym odberateľom</w:t>
      </w:r>
      <w:r w:rsidR="00F07C0B">
        <w:rPr>
          <w:rFonts w:ascii="Times New Roman" w:hAnsi="Times New Roman"/>
          <w:sz w:val="24"/>
          <w:szCs w:val="24"/>
        </w:rPr>
        <w:t xml:space="preserve">, priamym dodávateľom, </w:t>
      </w:r>
      <w:r w:rsidRPr="00501A29" w:rsidR="000F7DD6">
        <w:rPr>
          <w:rFonts w:ascii="Times New Roman" w:hAnsi="Times New Roman"/>
          <w:sz w:val="24"/>
          <w:szCs w:val="24"/>
        </w:rPr>
        <w:t>nepriamym dodávateľom. Voči iným poškodeným osobám je spoločne a nerozdielne zodpovedná</w:t>
      </w:r>
      <w:r w:rsidR="00C52259">
        <w:rPr>
          <w:rFonts w:ascii="Times New Roman" w:hAnsi="Times New Roman"/>
          <w:sz w:val="24"/>
          <w:szCs w:val="24"/>
        </w:rPr>
        <w:t>,</w:t>
      </w:r>
      <w:r w:rsidRPr="00801E87">
        <w:rPr>
          <w:rFonts w:ascii="Times New Roman" w:hAnsi="Times New Roman"/>
          <w:sz w:val="24"/>
          <w:szCs w:val="24"/>
        </w:rPr>
        <w:t xml:space="preserve"> len ak od ostatných porušiteľov, ktorí sa zúčastnili na tom istom porušení práva hospodárskej súťaže, nemožno získať náhradu škody. </w:t>
      </w:r>
      <w:r w:rsidR="000F7DD6">
        <w:rPr>
          <w:rFonts w:ascii="Times New Roman" w:hAnsi="Times New Roman"/>
          <w:sz w:val="24"/>
          <w:szCs w:val="24"/>
        </w:rPr>
        <w:t>Premlčacia doba podľa prvej vety</w:t>
      </w:r>
      <w:r w:rsidRPr="00801E87" w:rsidR="000F7DD6">
        <w:rPr>
          <w:rFonts w:ascii="Times New Roman" w:hAnsi="Times New Roman"/>
          <w:sz w:val="24"/>
          <w:szCs w:val="24"/>
        </w:rPr>
        <w:t xml:space="preserve"> </w:t>
      </w:r>
      <w:r w:rsidRPr="00801E87">
        <w:rPr>
          <w:rFonts w:ascii="Times New Roman" w:hAnsi="Times New Roman"/>
          <w:sz w:val="24"/>
          <w:szCs w:val="24"/>
        </w:rPr>
        <w:t xml:space="preserve">uplynie jeden rok po tom, čo sa poškodená osoba dozvedela alebo mohla dozvedieť o tom, že môže náhradu škody </w:t>
      </w:r>
      <w:r w:rsidR="00C52259">
        <w:rPr>
          <w:rFonts w:ascii="Times New Roman" w:hAnsi="Times New Roman"/>
          <w:sz w:val="24"/>
          <w:szCs w:val="24"/>
        </w:rPr>
        <w:t>požadovať</w:t>
      </w:r>
      <w:r w:rsidRPr="00801E87" w:rsidR="00C52259">
        <w:rPr>
          <w:rFonts w:ascii="Times New Roman" w:hAnsi="Times New Roman"/>
          <w:sz w:val="24"/>
          <w:szCs w:val="24"/>
        </w:rPr>
        <w:t xml:space="preserve"> </w:t>
      </w:r>
      <w:r w:rsidRPr="00801E87">
        <w:rPr>
          <w:rFonts w:ascii="Times New Roman" w:hAnsi="Times New Roman"/>
          <w:sz w:val="24"/>
          <w:szCs w:val="24"/>
        </w:rPr>
        <w:t xml:space="preserve">iba od osoby, ktorú orgán hospodárskej súťaže oslobodil od pokút. </w:t>
      </w: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 </w:t>
      </w:r>
    </w:p>
    <w:p w:rsidR="005A6366" w:rsidP="00801E87">
      <w:pPr>
        <w:bidi w:val="0"/>
        <w:spacing w:after="0" w:line="240" w:lineRule="auto"/>
        <w:jc w:val="center"/>
        <w:rPr>
          <w:rFonts w:ascii="Times New Roman" w:hAnsi="Times New Roman"/>
          <w:bCs/>
          <w:spacing w:val="30"/>
          <w:sz w:val="24"/>
          <w:szCs w:val="24"/>
        </w:rPr>
      </w:pPr>
    </w:p>
    <w:p w:rsidR="005A6366" w:rsidP="00801E87">
      <w:pPr>
        <w:bidi w:val="0"/>
        <w:spacing w:after="0" w:line="240" w:lineRule="auto"/>
        <w:jc w:val="center"/>
        <w:rPr>
          <w:rFonts w:ascii="Times New Roman" w:hAnsi="Times New Roman"/>
          <w:bCs/>
          <w:spacing w:val="30"/>
          <w:sz w:val="24"/>
          <w:szCs w:val="24"/>
        </w:rPr>
      </w:pPr>
    </w:p>
    <w:p w:rsidR="005A6366" w:rsidP="00801E87">
      <w:pPr>
        <w:bidi w:val="0"/>
        <w:spacing w:after="0" w:line="240" w:lineRule="auto"/>
        <w:jc w:val="center"/>
        <w:rPr>
          <w:rFonts w:ascii="Times New Roman" w:hAnsi="Times New Roman"/>
          <w:bCs/>
          <w:spacing w:val="30"/>
          <w:sz w:val="24"/>
          <w:szCs w:val="24"/>
        </w:rPr>
      </w:pPr>
    </w:p>
    <w:p w:rsidR="00801E87" w:rsidRPr="00801E87" w:rsidP="00801E87">
      <w:pPr>
        <w:bidi w:val="0"/>
        <w:spacing w:after="0" w:line="240" w:lineRule="auto"/>
        <w:jc w:val="center"/>
        <w:rPr>
          <w:rFonts w:ascii="Times New Roman" w:hAnsi="Times New Roman"/>
          <w:bCs/>
          <w:spacing w:val="30"/>
          <w:sz w:val="24"/>
          <w:szCs w:val="24"/>
        </w:rPr>
      </w:pPr>
      <w:r w:rsidRPr="00801E87">
        <w:rPr>
          <w:rFonts w:ascii="Times New Roman" w:hAnsi="Times New Roman"/>
          <w:bCs/>
          <w:spacing w:val="30"/>
          <w:sz w:val="24"/>
          <w:szCs w:val="24"/>
        </w:rPr>
        <w:t>Prenesenie zvýšenia ceny a právo na náhradu škody</w:t>
      </w:r>
    </w:p>
    <w:p w:rsidR="00801E87" w:rsidRPr="00801E87" w:rsidP="00801E87">
      <w:pPr>
        <w:bidi w:val="0"/>
        <w:spacing w:after="0" w:line="240" w:lineRule="auto"/>
        <w:jc w:val="center"/>
        <w:rPr>
          <w:rFonts w:ascii="Times New Roman" w:hAnsi="Times New Roman"/>
          <w:bCs/>
          <w:smallCap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7</w:t>
      </w:r>
    </w:p>
    <w:p w:rsidR="00801E87" w:rsidRPr="00801E87"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 </w:t>
      </w:r>
      <w:r w:rsidRPr="00801E87">
        <w:rPr>
          <w:rFonts w:ascii="Times New Roman" w:hAnsi="Times New Roman"/>
          <w:sz w:val="24"/>
          <w:szCs w:val="24"/>
        </w:rPr>
        <w:t xml:space="preserve">(1) Náhrada škody nesmie </w:t>
      </w:r>
      <w:r w:rsidRPr="00501A29" w:rsidR="000F7DD6">
        <w:rPr>
          <w:rFonts w:ascii="Times New Roman" w:hAnsi="Times New Roman"/>
          <w:sz w:val="24"/>
          <w:szCs w:val="24"/>
        </w:rPr>
        <w:t>na ktoromkoľvek stupni</w:t>
      </w:r>
      <w:r w:rsidRPr="00801E87" w:rsidR="000F7DD6">
        <w:rPr>
          <w:rFonts w:ascii="Times New Roman" w:hAnsi="Times New Roman"/>
          <w:sz w:val="24"/>
          <w:szCs w:val="24"/>
        </w:rPr>
        <w:t xml:space="preserve"> </w:t>
      </w:r>
      <w:r w:rsidRPr="00801E87">
        <w:rPr>
          <w:rFonts w:ascii="Times New Roman" w:hAnsi="Times New Roman"/>
          <w:sz w:val="24"/>
          <w:szCs w:val="24"/>
        </w:rPr>
        <w:t xml:space="preserve">dodávania </w:t>
      </w:r>
      <w:r w:rsidR="000F7DD6">
        <w:rPr>
          <w:rFonts w:ascii="Times New Roman" w:hAnsi="Times New Roman"/>
          <w:sz w:val="24"/>
          <w:szCs w:val="24"/>
        </w:rPr>
        <w:t xml:space="preserve">tovaru </w:t>
      </w:r>
      <w:r w:rsidRPr="00801E87">
        <w:rPr>
          <w:rFonts w:ascii="Times New Roman" w:hAnsi="Times New Roman"/>
          <w:sz w:val="24"/>
          <w:szCs w:val="24"/>
        </w:rPr>
        <w:t>alebo odberu tovaru (ďalej len „dodávateľský reťazec“) presiahnuť škodu, ktorá vznikla zvýšením ceny na danom stupni. Tým nie je dotknuté právo poškodenej osoby uplatniť si nárok na náhradu ušlého zisku v dôsledku úplného alebo čiastočného prenesenia zvýšenia ceny.</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Náhrada škody podľa tohto zákona patrí poškodenej osobe aj </w:t>
      </w:r>
      <w:r w:rsidR="00C52259">
        <w:rPr>
          <w:rFonts w:ascii="Times New Roman" w:hAnsi="Times New Roman"/>
          <w:sz w:val="24"/>
          <w:szCs w:val="24"/>
        </w:rPr>
        <w:t xml:space="preserve"> pri </w:t>
      </w:r>
      <w:r w:rsidRPr="00801E87" w:rsidR="00C52259">
        <w:rPr>
          <w:rFonts w:ascii="Times New Roman" w:hAnsi="Times New Roman"/>
          <w:sz w:val="24"/>
          <w:szCs w:val="24"/>
        </w:rPr>
        <w:t>porušen</w:t>
      </w:r>
      <w:r w:rsidR="00C52259">
        <w:rPr>
          <w:rFonts w:ascii="Times New Roman" w:hAnsi="Times New Roman"/>
          <w:sz w:val="24"/>
          <w:szCs w:val="24"/>
        </w:rPr>
        <w:t>í</w:t>
      </w:r>
      <w:r w:rsidRPr="00801E87" w:rsidR="00C52259">
        <w:rPr>
          <w:rFonts w:ascii="Times New Roman" w:hAnsi="Times New Roman"/>
          <w:sz w:val="24"/>
          <w:szCs w:val="24"/>
        </w:rPr>
        <w:t xml:space="preserve"> </w:t>
      </w:r>
      <w:r w:rsidRPr="00801E87">
        <w:rPr>
          <w:rFonts w:ascii="Times New Roman" w:hAnsi="Times New Roman"/>
          <w:sz w:val="24"/>
          <w:szCs w:val="24"/>
        </w:rPr>
        <w:t>práva hospodárskej súťaže, ktoré sa týka dodávok porušiteľovi.</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(3) Ak možno prenesenie zvýšenia ceny zistiť len s nepomernými ťažkosťami alebo ak ho nemožno zistiť vôbec, určí ho súd podľa svojho odhadu.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8</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Obrana založená na prenesení</w:t>
      </w:r>
      <w:r w:rsidRPr="000F7DD6" w:rsidR="000F7DD6">
        <w:rPr>
          <w:rFonts w:ascii="Times New Roman" w:hAnsi="Times New Roman"/>
          <w:sz w:val="24"/>
          <w:szCs w:val="24"/>
        </w:rPr>
        <w:t xml:space="preserve"> </w:t>
      </w:r>
      <w:r w:rsidR="000F7DD6">
        <w:rPr>
          <w:rFonts w:ascii="Times New Roman" w:hAnsi="Times New Roman"/>
          <w:sz w:val="24"/>
          <w:szCs w:val="24"/>
        </w:rPr>
        <w:t>zvýšenia ceny</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Žalovaný môže v konaní o náhradu škody namietať, že žalobca preniesol celé zvýšenie ceny, ktoré vzniklo v dôsledku porušenia práva hospodárskej súťaže</w:t>
      </w:r>
      <w:r w:rsidR="00C52259">
        <w:rPr>
          <w:rFonts w:ascii="Times New Roman" w:hAnsi="Times New Roman"/>
          <w:sz w:val="24"/>
          <w:szCs w:val="24"/>
        </w:rPr>
        <w:t>,</w:t>
      </w:r>
      <w:r w:rsidRPr="00801E87">
        <w:rPr>
          <w:rFonts w:ascii="Times New Roman" w:hAnsi="Times New Roman"/>
          <w:sz w:val="24"/>
          <w:szCs w:val="24"/>
        </w:rPr>
        <w:t xml:space="preserve"> alebo jeho časť na iné osoby. Dôkazné bremeno v súvislosti s prenesením zvýšenia ceny na iné osoby znáša žalovaný, ktorý je oprávnený požadovať na tento účel sprístupnenie informácií, ktorých sprístupnenie možno od žalobcu alebo tretích osôb spravodlivo požadovať.</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9</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Nepriami odberatelia</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(1) Ak v konaní o náhradu škody závisí existencia nároku na náhradu škody alebo výška náhrady škody, ktorá sa má priznať, od toho, či alebo v akom rozsahu bolo zvýšenie ceny prenesené na žalobcu s prihliadnutím na obchodnú prax prenášania zvýšených cien na nižšie stupne dodávateľského reťazca, znáša dôkazné bremeno v súvislosti s preukázaním existencie prenesenia a jeho rozsahom žalobca, ktorý môže podľa tohto zákona žiadať sprístupnenie informácií, ktorých sprístupnenie možno od žalovaného alebo od tretích osôb spravodlivo požadovať.</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Ak nepriamy odberateľ preukázal, že žalovaný sa dopustil porušenia práva hospodárskej súťaže, v dôsledku porušenia práva hospodárskej súťaže došlo k zvýšeniu ceny pre priameho odberateľa žalovaného a nepriamy odberateľ kúpil tovar, ktorý bol predmetom porušenia práva hospodárskej súťaže, alebo že kúpil tovar odvodený od tovaru, ktorý bol predmetom porušenia alebo ktorý obsahoval tovar, ktorý bol predmetom porušenia, predpokladá sa, že na nepriameho odberateľa bolo prenesené zvýšenie ceny podľa odseku 1. To neplatí, ak žalovaný vierohodne preukáže, že zvýšenie ceny nebolo prenesené na nepriameho odberateľa alebo že na neho nebolo prenesené úplne.</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1</w:t>
      </w:r>
      <w:r w:rsidR="001C24E6">
        <w:rPr>
          <w:rFonts w:ascii="Times New Roman" w:hAnsi="Times New Roman"/>
          <w:iCs/>
          <w:sz w:val="24"/>
          <w:szCs w:val="24"/>
        </w:rPr>
        <w:t>0</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Žaloby o náhradu škody podávané žalobcami z rôznych stupňov dodávateľského reťazca</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V konaniach o náhradu škody podanými žalobcami z rôznych stupňov dodávateľského reťazca a s cieľom, aby tieto žaloby neviedli k viacnásobnej zodpovednosti alebo nedostatku zodpovednosti porušiteľa za škodu, súd pri posudzovaní dôkazného bremena podľa § </w:t>
      </w:r>
      <w:r w:rsidR="001C24E6">
        <w:rPr>
          <w:rFonts w:ascii="Times New Roman" w:hAnsi="Times New Roman"/>
          <w:sz w:val="24"/>
          <w:szCs w:val="24"/>
        </w:rPr>
        <w:t>8</w:t>
      </w:r>
      <w:r w:rsidRPr="00801E87" w:rsidR="001C24E6">
        <w:rPr>
          <w:rFonts w:ascii="Times New Roman" w:hAnsi="Times New Roman"/>
          <w:sz w:val="24"/>
          <w:szCs w:val="24"/>
        </w:rPr>
        <w:t xml:space="preserve"> </w:t>
      </w:r>
      <w:r w:rsidRPr="00801E87">
        <w:rPr>
          <w:rFonts w:ascii="Times New Roman" w:hAnsi="Times New Roman"/>
          <w:sz w:val="24"/>
          <w:szCs w:val="24"/>
        </w:rPr>
        <w:t xml:space="preserve">a </w:t>
      </w:r>
      <w:r w:rsidR="001C24E6">
        <w:rPr>
          <w:rFonts w:ascii="Times New Roman" w:hAnsi="Times New Roman"/>
          <w:sz w:val="24"/>
          <w:szCs w:val="24"/>
        </w:rPr>
        <w:t>9</w:t>
      </w:r>
      <w:r w:rsidRPr="00801E87" w:rsidR="001C24E6">
        <w:rPr>
          <w:rFonts w:ascii="Times New Roman" w:hAnsi="Times New Roman"/>
          <w:sz w:val="24"/>
          <w:szCs w:val="24"/>
        </w:rPr>
        <w:t xml:space="preserve"> </w:t>
      </w:r>
      <w:r w:rsidRPr="00801E87">
        <w:rPr>
          <w:rFonts w:ascii="Times New Roman" w:hAnsi="Times New Roman"/>
          <w:sz w:val="24"/>
          <w:szCs w:val="24"/>
        </w:rPr>
        <w:t xml:space="preserve">prihliadne na </w:t>
      </w:r>
    </w:p>
    <w:p w:rsidR="00801E87" w:rsidRPr="00801E87" w:rsidP="00801E87">
      <w:pPr>
        <w:pStyle w:val="ListParagraph"/>
        <w:numPr>
          <w:numId w:val="43"/>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žaloby o náhradu škody týkajúce sa rovnakého porušenia práva hospodárskej súťaže, ktoré podali žalobcovia z iných stupňov dodávateľského reťazca,</w:t>
      </w:r>
    </w:p>
    <w:p w:rsidR="00801E87" w:rsidRPr="00801E87" w:rsidP="00801E87">
      <w:pPr>
        <w:pStyle w:val="ListParagraph"/>
        <w:numPr>
          <w:numId w:val="43"/>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lang w:eastAsia="sk-SK"/>
        </w:rPr>
        <w:t xml:space="preserve">rozsudky vydané v konaniach o takýchto žalobách alebo </w:t>
      </w:r>
    </w:p>
    <w:p w:rsidR="00801E87" w:rsidRPr="00801E87" w:rsidP="00801E87">
      <w:pPr>
        <w:pStyle w:val="ListParagraph"/>
        <w:numPr>
          <w:numId w:val="43"/>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lang w:eastAsia="sk-SK"/>
        </w:rPr>
        <w:t xml:space="preserve">verejne dostupné informácie vyplývajúce z prípadov presadzovania práva hospodárskej súťaže orgánom hospodárskej súťaže. </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Ustanovením odseku 1 nie sú dotknuté ustanovenia osobitného predpisu.</w:t>
      </w:r>
      <w:r>
        <w:rPr>
          <w:rFonts w:ascii="Times New Roman" w:hAnsi="Times New Roman"/>
          <w:sz w:val="24"/>
          <w:szCs w:val="24"/>
          <w:vertAlign w:val="superscript"/>
          <w:rtl w:val="0"/>
        </w:rPr>
        <w:footnoteReference w:id="12"/>
      </w:r>
      <w:r w:rsidRPr="00801E87">
        <w:rPr>
          <w:rFonts w:ascii="Times New Roman" w:hAnsi="Times New Roman"/>
          <w:sz w:val="24"/>
          <w:szCs w:val="24"/>
        </w:rPr>
        <w:t>)</w:t>
      </w:r>
    </w:p>
    <w:tbl>
      <w:tblPr>
        <w:tblStyle w:val="TableNormal"/>
        <w:tblW w:w="5000" w:type="pct"/>
        <w:tblCellSpacing w:w="0" w:type="dxa"/>
        <w:tblCellMar>
          <w:left w:w="0" w:type="dxa"/>
          <w:right w:w="0" w:type="dxa"/>
        </w:tblCellMar>
        <w:tblLook w:val="04A0"/>
      </w:tblPr>
      <w:tblGrid>
        <w:gridCol w:w="4535"/>
        <w:gridCol w:w="4535"/>
      </w:tblGrid>
      <w:tr>
        <w:tblPrEx>
          <w:tblW w:w="5000" w:type="pct"/>
          <w:tblCellSpacing w:w="0" w:type="dxa"/>
          <w:tblCellMar>
            <w:left w:w="0" w:type="dxa"/>
            <w:right w:w="0" w:type="dxa"/>
          </w:tblCellMar>
          <w:tblLook w:val="04A0"/>
        </w:tblPrEx>
        <w:trPr>
          <w:tblCellSpacing w:w="0" w:type="dxa"/>
        </w:trPr>
        <w:tc>
          <w:tcPr>
            <w:tcW w:w="0" w:type="auto"/>
            <w:tcBorders>
              <w:top w:val="none" w:sz="0" w:space="0" w:color="auto"/>
              <w:left w:val="none" w:sz="0" w:space="0" w:color="auto"/>
              <w:bottom w:val="none" w:sz="0" w:space="0" w:color="auto"/>
              <w:right w:val="none" w:sz="0" w:space="0" w:color="auto"/>
            </w:tcBorders>
            <w:textDirection w:val="lrTb"/>
            <w:vAlign w:val="top"/>
            <w:hideMark/>
          </w:tcPr>
          <w:p w:rsidR="00801E87" w:rsidRPr="00801E87" w:rsidP="00801E87">
            <w:pPr>
              <w:bidi w:val="0"/>
              <w:spacing w:after="0" w:line="240" w:lineRule="auto"/>
              <w:jc w:val="both"/>
              <w:rPr>
                <w:rFonts w:ascii="Times New Roman" w:hAnsi="Times New Roman"/>
                <w:sz w:val="24"/>
                <w:szCs w:val="24"/>
              </w:rPr>
            </w:pPr>
          </w:p>
        </w:tc>
        <w:tc>
          <w:tcPr>
            <w:tcW w:w="0" w:type="auto"/>
            <w:tcBorders>
              <w:top w:val="none" w:sz="0" w:space="0" w:color="auto"/>
              <w:left w:val="none" w:sz="0" w:space="0" w:color="auto"/>
              <w:bottom w:val="none" w:sz="0" w:space="0" w:color="auto"/>
              <w:right w:val="none" w:sz="0" w:space="0" w:color="auto"/>
            </w:tcBorders>
            <w:textDirection w:val="lrTb"/>
            <w:vAlign w:val="top"/>
            <w:hideMark/>
          </w:tcPr>
          <w:p w:rsidR="00801E87" w:rsidRPr="00801E87" w:rsidP="00801E87">
            <w:pPr>
              <w:bidi w:val="0"/>
              <w:spacing w:after="0" w:line="240" w:lineRule="auto"/>
              <w:jc w:val="both"/>
              <w:rPr>
                <w:rFonts w:ascii="Times New Roman" w:hAnsi="Times New Roman"/>
                <w:sz w:val="24"/>
                <w:szCs w:val="24"/>
              </w:rPr>
            </w:pPr>
          </w:p>
        </w:tc>
      </w:tr>
    </w:tbl>
    <w:p w:rsidR="005A6366" w:rsidP="00801E87">
      <w:pPr>
        <w:bidi w:val="0"/>
        <w:spacing w:after="0" w:line="240" w:lineRule="auto"/>
        <w:jc w:val="center"/>
        <w:rPr>
          <w:rFonts w:ascii="Times New Roman" w:hAnsi="Times New Roman"/>
          <w:bCs/>
          <w:spacing w:val="30"/>
          <w:sz w:val="24"/>
          <w:szCs w:val="24"/>
        </w:rPr>
      </w:pPr>
    </w:p>
    <w:p w:rsidR="00801E87" w:rsidRPr="00801E87" w:rsidP="00801E87">
      <w:pPr>
        <w:bidi w:val="0"/>
        <w:spacing w:after="0" w:line="240" w:lineRule="auto"/>
        <w:jc w:val="center"/>
        <w:rPr>
          <w:rFonts w:ascii="Times New Roman" w:hAnsi="Times New Roman"/>
          <w:bCs/>
          <w:spacing w:val="30"/>
          <w:sz w:val="24"/>
          <w:szCs w:val="24"/>
        </w:rPr>
      </w:pPr>
      <w:r w:rsidRPr="00801E87">
        <w:rPr>
          <w:rFonts w:ascii="Times New Roman" w:hAnsi="Times New Roman"/>
          <w:bCs/>
          <w:spacing w:val="30"/>
          <w:sz w:val="24"/>
          <w:szCs w:val="24"/>
        </w:rPr>
        <w:t>Osobitné ustanovenia o súdnom konaní o náhradu škody a sprístupňovanie dôkazov v konaniach o nárokoch na náhradu škody</w:t>
      </w:r>
    </w:p>
    <w:p w:rsidR="00801E87" w:rsidRPr="00801E87"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1</w:t>
      </w:r>
      <w:r w:rsidR="001C24E6">
        <w:rPr>
          <w:rFonts w:ascii="Times New Roman" w:hAnsi="Times New Roman"/>
          <w:iCs/>
          <w:sz w:val="24"/>
          <w:szCs w:val="24"/>
        </w:rPr>
        <w:t>1</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Sprístupňovanie dôkazov v súdnom konaní o náhradu škody </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(1) Ak žalobca v súdnom konaní o náhradu škody predložil odôvodnený návrh obsahujúci primerane dostupné skutočnosti a dôkazy, ktoré dostatočne preukazujú odôvodnenosť jeho nároku na náhradu škody, môže súd za podmienok ustanovených v tomto zákone nariadiť žalovanému alebo tretej osobe, aby sprístupnili dôkazy, ktorými disponujú a sú podstatné pre rozhodnutie vo veci; tým nie je dotknutá právomoc súdov podľa osobitného predpisu.</w:t>
      </w:r>
      <w:r>
        <w:rPr>
          <w:rStyle w:val="FootnoteReference"/>
          <w:rFonts w:ascii="Times New Roman" w:hAnsi="Times New Roman"/>
          <w:sz w:val="24"/>
          <w:szCs w:val="24"/>
          <w:rtl w:val="0"/>
        </w:rPr>
        <w:footnoteReference w:id="13"/>
      </w:r>
      <w:r w:rsidRPr="00801E87">
        <w:rPr>
          <w:rFonts w:ascii="Times New Roman" w:hAnsi="Times New Roman"/>
          <w:sz w:val="24"/>
          <w:szCs w:val="24"/>
        </w:rPr>
        <w:t xml:space="preserve">) Rovnaké právo má voči žalobcovi alebo tretej osobe aj žalovaný. Návrh na </w:t>
      </w:r>
      <w:r w:rsidR="004C380B">
        <w:rPr>
          <w:rFonts w:ascii="Times New Roman" w:hAnsi="Times New Roman"/>
          <w:sz w:val="24"/>
          <w:szCs w:val="24"/>
        </w:rPr>
        <w:t xml:space="preserve">nariadenie </w:t>
      </w:r>
      <w:r w:rsidRPr="00801E87">
        <w:rPr>
          <w:rFonts w:ascii="Times New Roman" w:hAnsi="Times New Roman"/>
          <w:sz w:val="24"/>
          <w:szCs w:val="24"/>
        </w:rPr>
        <w:t>sprístupneni</w:t>
      </w:r>
      <w:r w:rsidR="004C380B">
        <w:rPr>
          <w:rFonts w:ascii="Times New Roman" w:hAnsi="Times New Roman"/>
          <w:sz w:val="24"/>
          <w:szCs w:val="24"/>
        </w:rPr>
        <w:t>a</w:t>
      </w:r>
      <w:r w:rsidRPr="00801E87">
        <w:rPr>
          <w:rFonts w:ascii="Times New Roman" w:hAnsi="Times New Roman"/>
          <w:sz w:val="24"/>
          <w:szCs w:val="24"/>
        </w:rPr>
        <w:t xml:space="preserve"> dôkazov musí byť na základe primerane dostupných skutočností vymedzený čo najpresnejšie a najkonkrétnejšie.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Súd pri rozhodovaní o sprístupnení dôkazov zohľadňuje oprávnené záujmy všetkých strán v konaní a dotknutých tretích osôb</w:t>
      </w:r>
      <w:r w:rsidR="004C380B">
        <w:rPr>
          <w:rFonts w:ascii="Times New Roman" w:hAnsi="Times New Roman"/>
          <w:sz w:val="24"/>
          <w:szCs w:val="24"/>
        </w:rPr>
        <w:t>,</w:t>
      </w:r>
      <w:r w:rsidR="006617E9">
        <w:rPr>
          <w:rFonts w:ascii="Times New Roman" w:hAnsi="Times New Roman"/>
          <w:sz w:val="24"/>
          <w:szCs w:val="24"/>
        </w:rPr>
        <w:t xml:space="preserve"> </w:t>
      </w:r>
      <w:r w:rsidRPr="00801E87">
        <w:rPr>
          <w:rFonts w:ascii="Times New Roman" w:hAnsi="Times New Roman"/>
          <w:sz w:val="24"/>
          <w:szCs w:val="24"/>
        </w:rPr>
        <w:t>primeranosť a dôvodnosť návrhu na nariadenie sprístupnenia dôkazov.</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(3) Primeranosť a dôvodnosť návrhu na nariadenie sprístupnenia dôkazov sa posudzuje </w:t>
      </w:r>
      <w:r w:rsidRPr="00801E87" w:rsidR="00B03724">
        <w:rPr>
          <w:rFonts w:ascii="Times New Roman" w:hAnsi="Times New Roman"/>
          <w:sz w:val="24"/>
          <w:szCs w:val="24"/>
        </w:rPr>
        <w:t xml:space="preserve">najmä </w:t>
      </w:r>
      <w:r w:rsidRPr="00801E87">
        <w:rPr>
          <w:rFonts w:ascii="Times New Roman" w:hAnsi="Times New Roman"/>
          <w:sz w:val="24"/>
          <w:szCs w:val="24"/>
        </w:rPr>
        <w:t>s ohľadom na </w:t>
      </w:r>
    </w:p>
    <w:p w:rsidR="00801E87" w:rsidRPr="00801E87" w:rsidP="00801E87">
      <w:pPr>
        <w:pStyle w:val="ListParagraph"/>
        <w:numPr>
          <w:numId w:val="44"/>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mieru, do akej je žaloba alebo procesná obrana podporená dostupnými skutočnosťami a dôkazmi odôvodňujúcimi návrh na </w:t>
      </w:r>
      <w:r w:rsidR="004C380B">
        <w:rPr>
          <w:rFonts w:ascii="Times New Roman" w:hAnsi="Times New Roman"/>
          <w:sz w:val="24"/>
          <w:szCs w:val="24"/>
        </w:rPr>
        <w:t xml:space="preserve">nariadenie </w:t>
      </w:r>
      <w:r w:rsidRPr="00801E87">
        <w:rPr>
          <w:rFonts w:ascii="Times New Roman" w:hAnsi="Times New Roman"/>
          <w:sz w:val="24"/>
          <w:szCs w:val="24"/>
        </w:rPr>
        <w:t>sprístupneni</w:t>
      </w:r>
      <w:r w:rsidR="004C380B">
        <w:rPr>
          <w:rFonts w:ascii="Times New Roman" w:hAnsi="Times New Roman"/>
          <w:sz w:val="24"/>
          <w:szCs w:val="24"/>
        </w:rPr>
        <w:t>a</w:t>
      </w:r>
      <w:r w:rsidRPr="00801E87">
        <w:rPr>
          <w:rFonts w:ascii="Times New Roman" w:hAnsi="Times New Roman"/>
          <w:sz w:val="24"/>
          <w:szCs w:val="24"/>
        </w:rPr>
        <w:t xml:space="preserve"> dôkazov,</w:t>
      </w:r>
    </w:p>
    <w:p w:rsidR="00801E87" w:rsidRPr="00801E87" w:rsidP="00801E87">
      <w:pPr>
        <w:pStyle w:val="ListParagraph"/>
        <w:numPr>
          <w:numId w:val="44"/>
        </w:numPr>
        <w:bidi w:val="0"/>
        <w:spacing w:after="0" w:line="240" w:lineRule="auto"/>
        <w:contextualSpacing w:val="0"/>
        <w:jc w:val="both"/>
        <w:rPr>
          <w:rFonts w:ascii="Times New Roman" w:hAnsi="Times New Roman"/>
          <w:vanish/>
          <w:sz w:val="24"/>
          <w:szCs w:val="24"/>
        </w:rPr>
      </w:pPr>
      <w:r w:rsidRPr="00801E87">
        <w:rPr>
          <w:rFonts w:ascii="Times New Roman" w:hAnsi="Times New Roman"/>
          <w:sz w:val="24"/>
          <w:szCs w:val="24"/>
        </w:rPr>
        <w:t xml:space="preserve">rozsah sprístupnenia a náklady sprístupnenia, a to najmä </w:t>
      </w:r>
      <w:r w:rsidR="00B03724">
        <w:rPr>
          <w:rFonts w:ascii="Times New Roman" w:hAnsi="Times New Roman"/>
          <w:sz w:val="24"/>
          <w:szCs w:val="24"/>
        </w:rPr>
        <w:t xml:space="preserve">pri </w:t>
      </w:r>
      <w:r w:rsidRPr="00801E87">
        <w:rPr>
          <w:rFonts w:ascii="Times New Roman" w:hAnsi="Times New Roman"/>
          <w:sz w:val="24"/>
          <w:szCs w:val="24"/>
        </w:rPr>
        <w:t xml:space="preserve">akýchkoľvek dotknutých tretích </w:t>
      </w:r>
      <w:r w:rsidR="00B03724">
        <w:rPr>
          <w:rFonts w:ascii="Times New Roman" w:hAnsi="Times New Roman"/>
          <w:sz w:val="24"/>
          <w:szCs w:val="24"/>
        </w:rPr>
        <w:t>osobách</w:t>
      </w:r>
      <w:r w:rsidRPr="00801E87">
        <w:rPr>
          <w:rFonts w:ascii="Times New Roman" w:hAnsi="Times New Roman"/>
          <w:sz w:val="24"/>
          <w:szCs w:val="24"/>
        </w:rPr>
        <w:t xml:space="preserve">, ako aj na to, aby sa predišlo </w:t>
      </w:r>
      <w:r w:rsidRPr="00501A29" w:rsidR="000F7DD6">
        <w:rPr>
          <w:rFonts w:ascii="Times New Roman" w:hAnsi="Times New Roman"/>
          <w:sz w:val="24"/>
          <w:szCs w:val="24"/>
        </w:rPr>
        <w:t>nešpecifikovanému</w:t>
      </w:r>
      <w:r w:rsidRPr="00801E87" w:rsidR="000F7DD6">
        <w:rPr>
          <w:rFonts w:ascii="Times New Roman" w:hAnsi="Times New Roman"/>
          <w:sz w:val="24"/>
          <w:szCs w:val="24"/>
        </w:rPr>
        <w:t xml:space="preserve"> </w:t>
      </w:r>
      <w:r w:rsidRPr="00801E87">
        <w:rPr>
          <w:rFonts w:ascii="Times New Roman" w:hAnsi="Times New Roman"/>
          <w:sz w:val="24"/>
          <w:szCs w:val="24"/>
        </w:rPr>
        <w:t>hľadaniu informácií, ktoré pravdepodobne nie sú dôležité pre strany v konaní,</w:t>
      </w:r>
    </w:p>
    <w:p w:rsidR="00801E87" w:rsidRPr="00801E87" w:rsidP="00801E87">
      <w:pPr>
        <w:pStyle w:val="ListParagraph"/>
        <w:numPr>
          <w:numId w:val="44"/>
        </w:numPr>
        <w:bidi w:val="0"/>
        <w:spacing w:after="0" w:line="240" w:lineRule="auto"/>
        <w:contextualSpacing w:val="0"/>
        <w:jc w:val="both"/>
        <w:rPr>
          <w:rFonts w:ascii="Times New Roman" w:hAnsi="Times New Roman"/>
          <w:sz w:val="24"/>
          <w:szCs w:val="24"/>
        </w:rPr>
      </w:pPr>
      <w:r w:rsidR="000F7DD6">
        <w:rPr>
          <w:rFonts w:ascii="Times New Roman" w:hAnsi="Times New Roman"/>
          <w:sz w:val="24"/>
          <w:szCs w:val="24"/>
        </w:rPr>
        <w:t xml:space="preserve"> </w:t>
      </w:r>
      <w:r w:rsidRPr="00801E87">
        <w:rPr>
          <w:rFonts w:ascii="Times New Roman" w:hAnsi="Times New Roman"/>
          <w:sz w:val="24"/>
          <w:szCs w:val="24"/>
        </w:rPr>
        <w:t>skutočnosť, či dôkazy, ktorých sprístupnenie sa žiada, obsahujú obchodné tajomstvo alebo dôverné informácie podľa osobitného predpisu,</w:t>
      </w:r>
      <w:r>
        <w:rPr>
          <w:rStyle w:val="FootnoteReference"/>
          <w:rFonts w:ascii="Times New Roman" w:hAnsi="Times New Roman"/>
          <w:sz w:val="24"/>
          <w:szCs w:val="24"/>
          <w:rtl w:val="0"/>
        </w:rPr>
        <w:footnoteReference w:id="14"/>
      </w:r>
      <w:r w:rsidRPr="00801E87">
        <w:rPr>
          <w:rFonts w:ascii="Times New Roman" w:hAnsi="Times New Roman"/>
          <w:sz w:val="24"/>
          <w:szCs w:val="24"/>
        </w:rPr>
        <w:t>) a to najmä ak sa týkajú tretích osôb.</w:t>
      </w:r>
    </w:p>
    <w:p w:rsidR="00801E87" w:rsidRPr="00801E87" w:rsidP="00801E87">
      <w:pPr>
        <w:tabs>
          <w:tab w:val="left" w:pos="187"/>
        </w:tabs>
        <w:bidi w:val="0"/>
        <w:spacing w:after="0" w:line="240" w:lineRule="auto"/>
        <w:rPr>
          <w:rFonts w:ascii="Times New Roman" w:hAnsi="Times New Roman"/>
          <w:sz w:val="24"/>
          <w:szCs w:val="24"/>
        </w:rPr>
      </w:pPr>
    </w:p>
    <w:p w:rsidR="00AE0FB1" w:rsidP="00801E87">
      <w:pPr>
        <w:bidi w:val="0"/>
        <w:spacing w:after="0" w:line="240" w:lineRule="auto"/>
        <w:ind w:firstLine="708"/>
        <w:jc w:val="both"/>
        <w:rPr>
          <w:rFonts w:ascii="Times New Roman" w:hAnsi="Times New Roman"/>
          <w:sz w:val="24"/>
          <w:szCs w:val="24"/>
        </w:rPr>
      </w:pPr>
    </w:p>
    <w:p w:rsidR="00AE0FB1" w:rsidP="00801E87">
      <w:pPr>
        <w:bidi w:val="0"/>
        <w:spacing w:after="0" w:line="240" w:lineRule="auto"/>
        <w:ind w:firstLine="708"/>
        <w:jc w:val="both"/>
        <w:rPr>
          <w:rFonts w:ascii="Times New Roman" w:hAnsi="Times New Roman"/>
          <w:sz w:val="24"/>
          <w:szCs w:val="24"/>
        </w:rPr>
      </w:pPr>
    </w:p>
    <w:p w:rsidR="00AE0FB1"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(4) Súd pri sprístupňovaní dôkazov postupuje tak, aby nedošlo k porušeniu záujmov chránených zákonom a osobitných predpisov.</w:t>
      </w:r>
      <w:r>
        <w:rPr>
          <w:rStyle w:val="FootnoteReference"/>
          <w:rFonts w:ascii="Times New Roman" w:hAnsi="Times New Roman"/>
          <w:sz w:val="24"/>
          <w:szCs w:val="24"/>
          <w:rtl w:val="0"/>
        </w:rPr>
        <w:footnoteReference w:id="15"/>
      </w:r>
      <w:r w:rsidRPr="00801E87">
        <w:rPr>
          <w:rFonts w:ascii="Times New Roman" w:hAnsi="Times New Roman"/>
          <w:sz w:val="24"/>
          <w:szCs w:val="24"/>
        </w:rPr>
        <w:t xml:space="preserve">) Ak súd rozhodne o sprístupnení dôkazov, rozhodne s ohľadom na záujem sledovaný návrhom na </w:t>
      </w:r>
      <w:r w:rsidR="004C380B">
        <w:rPr>
          <w:rFonts w:ascii="Times New Roman" w:hAnsi="Times New Roman"/>
          <w:sz w:val="24"/>
          <w:szCs w:val="24"/>
        </w:rPr>
        <w:t xml:space="preserve">nariadenie </w:t>
      </w:r>
      <w:r w:rsidRPr="00801E87" w:rsidR="004C380B">
        <w:rPr>
          <w:rFonts w:ascii="Times New Roman" w:hAnsi="Times New Roman"/>
          <w:sz w:val="24"/>
          <w:szCs w:val="24"/>
        </w:rPr>
        <w:t>sprístupneni</w:t>
      </w:r>
      <w:r w:rsidR="004C380B">
        <w:rPr>
          <w:rFonts w:ascii="Times New Roman" w:hAnsi="Times New Roman"/>
          <w:sz w:val="24"/>
          <w:szCs w:val="24"/>
        </w:rPr>
        <w:t>a</w:t>
      </w:r>
      <w:r w:rsidRPr="00801E87" w:rsidR="004C380B">
        <w:rPr>
          <w:rFonts w:ascii="Times New Roman" w:hAnsi="Times New Roman"/>
          <w:sz w:val="24"/>
          <w:szCs w:val="24"/>
        </w:rPr>
        <w:t xml:space="preserve"> </w:t>
      </w:r>
      <w:r w:rsidRPr="00801E87">
        <w:rPr>
          <w:rFonts w:ascii="Times New Roman" w:hAnsi="Times New Roman"/>
          <w:sz w:val="24"/>
          <w:szCs w:val="24"/>
        </w:rPr>
        <w:t xml:space="preserve">dôkazov a ochranu záujmov chránených zákonom aj o miere sprístupnenia obchodného tajomstva alebo dôverných informácií.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(5) Súd pred rozhodnutím o sprístupnení dôkazu umožní osobe, ktorá má dôkaz sprístupniť</w:t>
      </w:r>
      <w:r w:rsidR="001E2FAD">
        <w:rPr>
          <w:rFonts w:ascii="Times New Roman" w:hAnsi="Times New Roman"/>
          <w:sz w:val="24"/>
          <w:szCs w:val="24"/>
        </w:rPr>
        <w:t>,</w:t>
      </w:r>
      <w:r w:rsidRPr="00801E87">
        <w:rPr>
          <w:rFonts w:ascii="Times New Roman" w:hAnsi="Times New Roman"/>
          <w:sz w:val="24"/>
          <w:szCs w:val="24"/>
        </w:rPr>
        <w:t xml:space="preserve"> byť vypočutá. </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sz w:val="24"/>
          <w:szCs w:val="24"/>
        </w:rPr>
      </w:pPr>
      <w:r w:rsidRPr="00801E87">
        <w:rPr>
          <w:rFonts w:ascii="Times New Roman" w:hAnsi="Times New Roman"/>
          <w:sz w:val="24"/>
          <w:szCs w:val="24"/>
        </w:rPr>
        <w:t xml:space="preserve">§ </w:t>
      </w:r>
      <w:r w:rsidRPr="00801E87" w:rsidR="001C24E6">
        <w:rPr>
          <w:rFonts w:ascii="Times New Roman" w:hAnsi="Times New Roman"/>
          <w:sz w:val="24"/>
          <w:szCs w:val="24"/>
        </w:rPr>
        <w:t>1</w:t>
      </w:r>
      <w:r w:rsidR="001C24E6">
        <w:rPr>
          <w:rFonts w:ascii="Times New Roman" w:hAnsi="Times New Roman"/>
          <w:sz w:val="24"/>
          <w:szCs w:val="24"/>
        </w:rPr>
        <w:t>2</w:t>
      </w:r>
    </w:p>
    <w:p w:rsidR="00801E87" w:rsidRPr="00801E87" w:rsidP="00801E87">
      <w:pPr>
        <w:bidi w:val="0"/>
        <w:spacing w:after="0" w:line="240" w:lineRule="auto"/>
        <w:jc w:val="center"/>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(1) Súd poučí osobu, že môže označiť, ktoré informácie alebo podklady, ktoré má súdu predložiť v rámci konania o náhradu škody, považuje za predmet obchodného tajomstva alebo ktoré považuje za dôverné informácie.</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Súd môže od osoby žiadať, aby písomne odôvodnila označenie informácií alebo podkladov ako obchodné tajomstvo alebo ako dôvernú informáciu a aby predložila iné znenie alebo vyhotovenie informácií alebo podkladov vrátane popisu chránených informácií a podkladov, ktoré neobsahujú obchodné tajomstvo alebo dôvernú informáciu. Súd nie je na účely konania o náhradu škody označením informácií alebo podkladov podľa odseku 1 viazaný a ak dospeje k záveru, že informácie nie sú obchodným tajomstvom alebo dôvernou informáciou, upovedomí o tom osobu uvedenú v odseku 1.</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(3) Súd chráni informácie a podklady, ktoré sú obchodným tajomstvom alebo dôvernou informáciou. Súd umožní nazretie do týchto informácií a podkladov len strane v konaní alebo výlučne len jej zástupcovi, ak predstavujú dôkaz o porušení práva hospodárskej súťaže alebo sú dôležité na preukázanie nárokov v konaní o náhradu škody, a nie sú na tento účel postačujúce informácie a podklady predložené v súlade s odsekom 2 prvou vetou.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(4) Súd umožní </w:t>
      </w:r>
      <w:r w:rsidR="000F7DD6">
        <w:rPr>
          <w:rFonts w:ascii="Times New Roman" w:hAnsi="Times New Roman"/>
          <w:sz w:val="24"/>
          <w:szCs w:val="24"/>
        </w:rPr>
        <w:t>nahliadnuť</w:t>
      </w:r>
      <w:r w:rsidRPr="00801E87" w:rsidR="000F7DD6">
        <w:rPr>
          <w:rFonts w:ascii="Times New Roman" w:hAnsi="Times New Roman"/>
          <w:sz w:val="24"/>
          <w:szCs w:val="24"/>
        </w:rPr>
        <w:t xml:space="preserve"> </w:t>
      </w:r>
      <w:r w:rsidRPr="00801E87">
        <w:rPr>
          <w:rFonts w:ascii="Times New Roman" w:hAnsi="Times New Roman"/>
          <w:sz w:val="24"/>
          <w:szCs w:val="24"/>
        </w:rPr>
        <w:t xml:space="preserve">do informácií a podkladov, ktoré sú obchodným tajomstvom alebo dôvernou informáciou, strane v konaní podľa odseku 3 druhej vety, ak k tomuto postupu dá písomný súhlas osoba, ktorá tieto informácie </w:t>
      </w:r>
      <w:r w:rsidRPr="00501A29" w:rsidR="000F7DD6">
        <w:rPr>
          <w:rFonts w:ascii="Times New Roman" w:hAnsi="Times New Roman"/>
          <w:sz w:val="24"/>
          <w:szCs w:val="24"/>
        </w:rPr>
        <w:t>a podklady</w:t>
      </w:r>
      <w:r w:rsidRPr="00801E87" w:rsidR="000F7DD6">
        <w:rPr>
          <w:rFonts w:ascii="Times New Roman" w:hAnsi="Times New Roman"/>
          <w:sz w:val="24"/>
          <w:szCs w:val="24"/>
        </w:rPr>
        <w:t xml:space="preserve"> </w:t>
      </w:r>
      <w:r w:rsidRPr="00801E87">
        <w:rPr>
          <w:rFonts w:ascii="Times New Roman" w:hAnsi="Times New Roman"/>
          <w:sz w:val="24"/>
          <w:szCs w:val="24"/>
        </w:rPr>
        <w:t>poskytla. Ak táto osoba súhlas neposkytne, súd sprístupní tieto informácie</w:t>
      </w:r>
      <w:r w:rsidRPr="000F7DD6" w:rsidR="000F7DD6">
        <w:rPr>
          <w:rFonts w:ascii="Times New Roman" w:hAnsi="Times New Roman"/>
          <w:sz w:val="24"/>
          <w:szCs w:val="24"/>
        </w:rPr>
        <w:t xml:space="preserve"> </w:t>
      </w:r>
      <w:r w:rsidRPr="00501A29" w:rsidR="000F7DD6">
        <w:rPr>
          <w:rFonts w:ascii="Times New Roman" w:hAnsi="Times New Roman"/>
          <w:sz w:val="24"/>
          <w:szCs w:val="24"/>
        </w:rPr>
        <w:t>a podklady</w:t>
      </w:r>
      <w:r w:rsidRPr="00801E87">
        <w:rPr>
          <w:rFonts w:ascii="Times New Roman" w:hAnsi="Times New Roman"/>
          <w:sz w:val="24"/>
          <w:szCs w:val="24"/>
        </w:rPr>
        <w:t xml:space="preserve"> k nazretiu výlučne len zástupcovi strany v konaní. Zástupcom strany v konaní nemôže byť zamestnanec osoby, ktorá je stranou v konaní.</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(5) Ak ide o postup podľa odsekov 3 a 4, súd stranu v konaní alebo jej zástupcu vopred poučí o povinnosti zachovávať mlčanlivosť o skutočnostiach, o ktorých sa dozvedela, o čom súd spíše zápisnicu, ktorú strana v konaní alebo jej zástupca podpíše. Povinnosť zástupcu zachovávať mlčanlivosť platí tak vo vzťahu k strane v konaní, ktorú zastupuje, ako aj vo vzťahu k iným osobám.</w:t>
      </w:r>
    </w:p>
    <w:p w:rsidR="00317B3F" w:rsidP="00801E87">
      <w:pPr>
        <w:bidi w:val="0"/>
        <w:spacing w:after="0" w:line="240" w:lineRule="auto"/>
        <w:jc w:val="center"/>
        <w:rPr>
          <w:rFonts w:ascii="Times New Roman" w:hAnsi="Times New Roman"/>
          <w:bCs/>
          <w:spacing w:val="30"/>
          <w:sz w:val="24"/>
          <w:szCs w:val="24"/>
        </w:rPr>
      </w:pPr>
    </w:p>
    <w:p w:rsidR="00AE0FB1" w:rsidP="00801E87">
      <w:pPr>
        <w:bidi w:val="0"/>
        <w:spacing w:after="0" w:line="240" w:lineRule="auto"/>
        <w:jc w:val="center"/>
        <w:rPr>
          <w:rFonts w:ascii="Times New Roman" w:hAnsi="Times New Roman"/>
          <w:bCs/>
          <w:spacing w:val="30"/>
          <w:sz w:val="24"/>
          <w:szCs w:val="24"/>
        </w:rPr>
      </w:pPr>
    </w:p>
    <w:p w:rsidR="00AE0FB1" w:rsidP="00801E87">
      <w:pPr>
        <w:bidi w:val="0"/>
        <w:spacing w:after="0" w:line="240" w:lineRule="auto"/>
        <w:jc w:val="center"/>
        <w:rPr>
          <w:rFonts w:ascii="Times New Roman" w:hAnsi="Times New Roman"/>
          <w:bCs/>
          <w:spacing w:val="30"/>
          <w:sz w:val="24"/>
          <w:szCs w:val="24"/>
        </w:rPr>
      </w:pPr>
    </w:p>
    <w:p w:rsidR="00801E87" w:rsidRPr="00801E87" w:rsidP="00801E87">
      <w:pPr>
        <w:bidi w:val="0"/>
        <w:spacing w:after="0" w:line="240" w:lineRule="auto"/>
        <w:jc w:val="center"/>
        <w:rPr>
          <w:rFonts w:ascii="Times New Roman" w:hAnsi="Times New Roman"/>
          <w:bCs/>
          <w:spacing w:val="30"/>
          <w:sz w:val="24"/>
          <w:szCs w:val="24"/>
        </w:rPr>
      </w:pPr>
      <w:r w:rsidRPr="00801E87">
        <w:rPr>
          <w:rFonts w:ascii="Times New Roman" w:hAnsi="Times New Roman"/>
          <w:bCs/>
          <w:spacing w:val="30"/>
          <w:sz w:val="24"/>
          <w:szCs w:val="24"/>
        </w:rPr>
        <w:t>Nariadenie sprístupnenia dôkazov zo spisu orgánu hospodárskej súťaže</w:t>
      </w:r>
    </w:p>
    <w:p w:rsidR="00801E87" w:rsidRPr="00801E87" w:rsidP="00801E87">
      <w:pPr>
        <w:autoSpaceDE w:val="0"/>
        <w:autoSpaceDN w:val="0"/>
        <w:bidi w:val="0"/>
        <w:adjustRightInd w:val="0"/>
        <w:spacing w:after="0" w:line="240" w:lineRule="auto"/>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 </w:t>
      </w:r>
      <w:r w:rsidRPr="00801E87" w:rsidR="001C24E6">
        <w:rPr>
          <w:rFonts w:ascii="Times New Roman" w:hAnsi="Times New Roman"/>
          <w:bCs/>
          <w:sz w:val="24"/>
          <w:szCs w:val="24"/>
        </w:rPr>
        <w:t>1</w:t>
      </w:r>
      <w:r w:rsidR="001C24E6">
        <w:rPr>
          <w:rFonts w:ascii="Times New Roman" w:hAnsi="Times New Roman"/>
          <w:bCs/>
          <w:sz w:val="24"/>
          <w:szCs w:val="24"/>
        </w:rPr>
        <w:t>3</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Súd môže na návrh strany v konaní nariadiť orgánu hospodárskej súťaže, aby sprístupnil dôkazy z jeho spisu, ak po nariadení sprístupnenia dôkazov súdom inej osobe požadované dôkazy neboli sprístupnené a bolo preukázané, že strana v konaní alebo tretia osoba podľa § </w:t>
      </w:r>
      <w:r w:rsidRPr="00801E87" w:rsidR="001C24E6">
        <w:rPr>
          <w:rFonts w:ascii="Times New Roman" w:hAnsi="Times New Roman"/>
          <w:sz w:val="24"/>
          <w:szCs w:val="24"/>
        </w:rPr>
        <w:t>1</w:t>
      </w:r>
      <w:r w:rsidR="001C24E6">
        <w:rPr>
          <w:rFonts w:ascii="Times New Roman" w:hAnsi="Times New Roman"/>
          <w:sz w:val="24"/>
          <w:szCs w:val="24"/>
        </w:rPr>
        <w:t>1</w:t>
      </w:r>
      <w:r w:rsidRPr="00801E87" w:rsidR="001C24E6">
        <w:rPr>
          <w:rFonts w:ascii="Times New Roman" w:hAnsi="Times New Roman"/>
          <w:sz w:val="24"/>
          <w:szCs w:val="24"/>
        </w:rPr>
        <w:t xml:space="preserve"> </w:t>
      </w:r>
      <w:r w:rsidRPr="00801E87">
        <w:rPr>
          <w:rFonts w:ascii="Times New Roman" w:hAnsi="Times New Roman"/>
          <w:sz w:val="24"/>
          <w:szCs w:val="24"/>
        </w:rPr>
        <w:t>ods. 1 nie je schopná za primeraných okolností požadované dôkazy poskytnúť a zároveň ten, kto požaduje sprístupnenie požadovaných dôkazov</w:t>
      </w:r>
      <w:r w:rsidR="001B0012">
        <w:rPr>
          <w:rFonts w:ascii="Times New Roman" w:hAnsi="Times New Roman"/>
          <w:sz w:val="24"/>
          <w:szCs w:val="24"/>
        </w:rPr>
        <w:t>,</w:t>
      </w:r>
      <w:r w:rsidRPr="00801E87">
        <w:rPr>
          <w:rFonts w:ascii="Times New Roman" w:hAnsi="Times New Roman"/>
          <w:sz w:val="24"/>
          <w:szCs w:val="24"/>
        </w:rPr>
        <w:t xml:space="preserve"> nemá možnosť ich získať inak.</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Sprístupnenie dôkazu zo spisu orgánu hospodárskej súťaže, na ktoré sa nevzťahuje obmedzenie podľa § </w:t>
      </w:r>
      <w:r w:rsidRPr="00801E87" w:rsidR="001C24E6">
        <w:rPr>
          <w:rFonts w:ascii="Times New Roman" w:hAnsi="Times New Roman"/>
          <w:sz w:val="24"/>
          <w:szCs w:val="24"/>
        </w:rPr>
        <w:t>1</w:t>
      </w:r>
      <w:r w:rsidR="001C24E6">
        <w:rPr>
          <w:rFonts w:ascii="Times New Roman" w:hAnsi="Times New Roman"/>
          <w:sz w:val="24"/>
          <w:szCs w:val="24"/>
        </w:rPr>
        <w:t>5</w:t>
      </w:r>
      <w:r w:rsidRPr="00801E87" w:rsidR="001C24E6">
        <w:rPr>
          <w:rFonts w:ascii="Times New Roman" w:hAnsi="Times New Roman"/>
          <w:sz w:val="24"/>
          <w:szCs w:val="24"/>
        </w:rPr>
        <w:t xml:space="preserve"> </w:t>
      </w:r>
      <w:r w:rsidRPr="00801E87">
        <w:rPr>
          <w:rFonts w:ascii="Times New Roman" w:hAnsi="Times New Roman"/>
          <w:sz w:val="24"/>
          <w:szCs w:val="24"/>
        </w:rPr>
        <w:t xml:space="preserve">alebo § </w:t>
      </w:r>
      <w:r w:rsidRPr="00801E87" w:rsidR="001C24E6">
        <w:rPr>
          <w:rFonts w:ascii="Times New Roman" w:hAnsi="Times New Roman"/>
          <w:sz w:val="24"/>
          <w:szCs w:val="24"/>
        </w:rPr>
        <w:t>1</w:t>
      </w:r>
      <w:r w:rsidR="001C24E6">
        <w:rPr>
          <w:rFonts w:ascii="Times New Roman" w:hAnsi="Times New Roman"/>
          <w:sz w:val="24"/>
          <w:szCs w:val="24"/>
        </w:rPr>
        <w:t>6</w:t>
      </w:r>
      <w:r w:rsidRPr="00801E87">
        <w:rPr>
          <w:rFonts w:ascii="Times New Roman" w:hAnsi="Times New Roman"/>
          <w:sz w:val="24"/>
          <w:szCs w:val="24"/>
        </w:rPr>
        <w:t xml:space="preserve">, môže súd v konaní o náhrade škody nariadiť kedykoľvek za podmienok podľa odseku 1.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 </w:t>
      </w:r>
      <w:r w:rsidRPr="00801E87" w:rsidR="001C24E6">
        <w:rPr>
          <w:rFonts w:ascii="Times New Roman" w:hAnsi="Times New Roman"/>
          <w:bCs/>
          <w:sz w:val="24"/>
          <w:szCs w:val="24"/>
        </w:rPr>
        <w:t>1</w:t>
      </w:r>
      <w:r w:rsidR="001C24E6">
        <w:rPr>
          <w:rFonts w:ascii="Times New Roman" w:hAnsi="Times New Roman"/>
          <w:bCs/>
          <w:sz w:val="24"/>
          <w:szCs w:val="24"/>
        </w:rPr>
        <w:t>4</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b/>
          <w:bCs/>
          <w:sz w:val="24"/>
          <w:szCs w:val="24"/>
        </w:rPr>
        <w:t xml:space="preserve"> </w:t>
      </w:r>
      <w:r w:rsidRPr="00801E87">
        <w:rPr>
          <w:rFonts w:ascii="Times New Roman" w:hAnsi="Times New Roman"/>
          <w:sz w:val="24"/>
          <w:szCs w:val="24"/>
        </w:rPr>
        <w:t xml:space="preserve">(1) Návrh na </w:t>
      </w:r>
      <w:r w:rsidR="00B03724">
        <w:rPr>
          <w:rFonts w:ascii="Times New Roman" w:hAnsi="Times New Roman"/>
          <w:sz w:val="24"/>
          <w:szCs w:val="24"/>
        </w:rPr>
        <w:t xml:space="preserve">nariadenie </w:t>
      </w:r>
      <w:r w:rsidRPr="00801E87" w:rsidR="00B03724">
        <w:rPr>
          <w:rFonts w:ascii="Times New Roman" w:hAnsi="Times New Roman"/>
          <w:sz w:val="24"/>
          <w:szCs w:val="24"/>
        </w:rPr>
        <w:t>sprístupneni</w:t>
      </w:r>
      <w:r w:rsidR="00B03724">
        <w:rPr>
          <w:rFonts w:ascii="Times New Roman" w:hAnsi="Times New Roman"/>
          <w:sz w:val="24"/>
          <w:szCs w:val="24"/>
        </w:rPr>
        <w:t>a</w:t>
      </w:r>
      <w:r w:rsidRPr="00801E87" w:rsidR="00B03724">
        <w:rPr>
          <w:rFonts w:ascii="Times New Roman" w:hAnsi="Times New Roman"/>
          <w:sz w:val="24"/>
          <w:szCs w:val="24"/>
        </w:rPr>
        <w:t xml:space="preserve"> </w:t>
      </w:r>
      <w:r w:rsidRPr="00801E87">
        <w:rPr>
          <w:rFonts w:ascii="Times New Roman" w:hAnsi="Times New Roman"/>
          <w:sz w:val="24"/>
          <w:szCs w:val="24"/>
        </w:rPr>
        <w:t xml:space="preserve">dôkazov zo spisu orgánu hospodárskej súťaže musí byť s ohľadom na záujmy chránené zákonom a záujmy strán v konaní primeraný a musí z neho byť zrejmé splnenie podmienok sprístupnenia dôkazov podľa § </w:t>
      </w:r>
      <w:r w:rsidRPr="00801E87" w:rsidR="001C24E6">
        <w:rPr>
          <w:rFonts w:ascii="Times New Roman" w:hAnsi="Times New Roman"/>
          <w:sz w:val="24"/>
          <w:szCs w:val="24"/>
        </w:rPr>
        <w:t>1</w:t>
      </w:r>
      <w:r w:rsidR="001C24E6">
        <w:rPr>
          <w:rFonts w:ascii="Times New Roman" w:hAnsi="Times New Roman"/>
          <w:sz w:val="24"/>
          <w:szCs w:val="24"/>
        </w:rPr>
        <w:t>1</w:t>
      </w:r>
      <w:r w:rsidRPr="00801E87" w:rsidR="001C24E6">
        <w:rPr>
          <w:rFonts w:ascii="Times New Roman" w:hAnsi="Times New Roman"/>
          <w:sz w:val="24"/>
          <w:szCs w:val="24"/>
        </w:rPr>
        <w:t xml:space="preserve"> </w:t>
      </w:r>
      <w:r w:rsidRPr="00801E87">
        <w:rPr>
          <w:rFonts w:ascii="Times New Roman" w:hAnsi="Times New Roman"/>
          <w:sz w:val="24"/>
          <w:szCs w:val="24"/>
        </w:rPr>
        <w:t>a aké dôkazy majú byť zo spisu orgánu hospodárskej súťaže sprístupnené.</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Súd posúdi určitosť návrhu s prihliadnutím na vymedzenie povahy, predmetu alebo obsahu dokumentov, ktorých sprístupnenie strana v konaní navrhuje, a časového obdobia, z ktorého požadované dokumenty pochádzajú.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(3) Súd pred rozhodnutím o návrhu na nariadenie sprístupnenia dôkazov posúdi</w:t>
      </w:r>
    </w:p>
    <w:p w:rsidR="00801E87" w:rsidRPr="00801E87" w:rsidP="00801E87">
      <w:pPr>
        <w:pStyle w:val="ListParagraph"/>
        <w:numPr>
          <w:numId w:val="39"/>
        </w:numPr>
        <w:bidi w:val="0"/>
        <w:spacing w:after="0" w:line="240" w:lineRule="auto"/>
        <w:contextualSpacing w:val="0"/>
        <w:jc w:val="both"/>
        <w:rPr>
          <w:rFonts w:ascii="Times New Roman" w:hAnsi="Times New Roman"/>
          <w:sz w:val="24"/>
          <w:szCs w:val="24"/>
        </w:rPr>
      </w:pPr>
      <w:r w:rsidR="00246BDA">
        <w:rPr>
          <w:rFonts w:ascii="Times New Roman" w:hAnsi="Times New Roman"/>
          <w:sz w:val="24"/>
          <w:szCs w:val="24"/>
        </w:rPr>
        <w:t>splnenie</w:t>
      </w:r>
      <w:r w:rsidRPr="00801E87">
        <w:rPr>
          <w:rFonts w:ascii="Times New Roman" w:hAnsi="Times New Roman"/>
          <w:sz w:val="24"/>
          <w:szCs w:val="24"/>
        </w:rPr>
        <w:t xml:space="preserve"> náležitost</w:t>
      </w:r>
      <w:r w:rsidR="00246BDA">
        <w:rPr>
          <w:rFonts w:ascii="Times New Roman" w:hAnsi="Times New Roman"/>
          <w:sz w:val="24"/>
          <w:szCs w:val="24"/>
        </w:rPr>
        <w:t>í</w:t>
      </w:r>
      <w:r w:rsidRPr="00801E87">
        <w:rPr>
          <w:rFonts w:ascii="Times New Roman" w:hAnsi="Times New Roman"/>
          <w:sz w:val="24"/>
          <w:szCs w:val="24"/>
        </w:rPr>
        <w:t xml:space="preserve"> a </w:t>
      </w:r>
      <w:r w:rsidRPr="00801E87" w:rsidR="00246BDA">
        <w:rPr>
          <w:rFonts w:ascii="Times New Roman" w:hAnsi="Times New Roman"/>
          <w:sz w:val="24"/>
          <w:szCs w:val="24"/>
        </w:rPr>
        <w:t>podmien</w:t>
      </w:r>
      <w:r w:rsidR="00246BDA">
        <w:rPr>
          <w:rFonts w:ascii="Times New Roman" w:hAnsi="Times New Roman"/>
          <w:sz w:val="24"/>
          <w:szCs w:val="24"/>
        </w:rPr>
        <w:t>ok</w:t>
      </w:r>
      <w:r w:rsidRPr="00801E87" w:rsidR="00246BDA">
        <w:rPr>
          <w:rFonts w:ascii="Times New Roman" w:hAnsi="Times New Roman"/>
          <w:sz w:val="24"/>
          <w:szCs w:val="24"/>
        </w:rPr>
        <w:t xml:space="preserve"> </w:t>
      </w:r>
      <w:r w:rsidRPr="00801E87">
        <w:rPr>
          <w:rFonts w:ascii="Times New Roman" w:hAnsi="Times New Roman"/>
          <w:sz w:val="24"/>
          <w:szCs w:val="24"/>
        </w:rPr>
        <w:t xml:space="preserve">podľa </w:t>
      </w:r>
      <w:r w:rsidR="000F7DD6">
        <w:rPr>
          <w:rFonts w:ascii="Times New Roman" w:hAnsi="Times New Roman"/>
          <w:sz w:val="24"/>
          <w:szCs w:val="24"/>
          <w:lang w:eastAsia="sk-SK"/>
        </w:rPr>
        <w:t>odsekov</w:t>
      </w:r>
      <w:r w:rsidRPr="00801E87" w:rsidR="000F7DD6">
        <w:rPr>
          <w:rFonts w:ascii="Times New Roman" w:hAnsi="Times New Roman"/>
          <w:sz w:val="24"/>
          <w:szCs w:val="24"/>
        </w:rPr>
        <w:t xml:space="preserve"> </w:t>
      </w:r>
      <w:r w:rsidRPr="00801E87">
        <w:rPr>
          <w:rFonts w:ascii="Times New Roman" w:hAnsi="Times New Roman"/>
          <w:sz w:val="24"/>
          <w:szCs w:val="24"/>
        </w:rPr>
        <w:t>1 a 2 a</w:t>
      </w:r>
    </w:p>
    <w:p w:rsidR="00801E87" w:rsidRPr="00801E87" w:rsidP="00801E87">
      <w:pPr>
        <w:pStyle w:val="ListParagraph"/>
        <w:numPr>
          <w:numId w:val="39"/>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verejný záujem na odhaľovaní protisúťažného konania, najmä, či by sa sprístupnením požadovaných dokumentov nemohol ohroziť ďalší vyšetrovací postup v rámci prebiehajúceho konania alebo prešetrovania podľa osobitného predpisu</w:t>
      </w:r>
      <w:r w:rsidRPr="00801E87">
        <w:rPr>
          <w:rStyle w:val="FootnoteReference"/>
          <w:rFonts w:ascii="Times New Roman" w:hAnsi="Times New Roman"/>
          <w:sz w:val="24"/>
          <w:szCs w:val="24"/>
        </w:rPr>
        <w:t>9</w:t>
      </w:r>
      <w:r w:rsidRPr="00801E87">
        <w:rPr>
          <w:rFonts w:ascii="Times New Roman" w:hAnsi="Times New Roman"/>
          <w:sz w:val="24"/>
          <w:szCs w:val="24"/>
        </w:rPr>
        <w:t xml:space="preserve">) vedeného orgánom hospodárskej súťaže. </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(4) Návrh na </w:t>
      </w:r>
      <w:r w:rsidR="00B03724">
        <w:rPr>
          <w:rFonts w:ascii="Times New Roman" w:hAnsi="Times New Roman"/>
          <w:sz w:val="24"/>
          <w:szCs w:val="24"/>
        </w:rPr>
        <w:t xml:space="preserve">nariadenie </w:t>
      </w:r>
      <w:r w:rsidRPr="00801E87" w:rsidR="00B03724">
        <w:rPr>
          <w:rFonts w:ascii="Times New Roman" w:hAnsi="Times New Roman"/>
          <w:sz w:val="24"/>
          <w:szCs w:val="24"/>
        </w:rPr>
        <w:t>sprístupneni</w:t>
      </w:r>
      <w:r w:rsidR="00B03724">
        <w:rPr>
          <w:rFonts w:ascii="Times New Roman" w:hAnsi="Times New Roman"/>
          <w:sz w:val="24"/>
          <w:szCs w:val="24"/>
        </w:rPr>
        <w:t>a</w:t>
      </w:r>
      <w:r w:rsidRPr="00801E87" w:rsidR="00B03724">
        <w:rPr>
          <w:rFonts w:ascii="Times New Roman" w:hAnsi="Times New Roman"/>
          <w:sz w:val="24"/>
          <w:szCs w:val="24"/>
        </w:rPr>
        <w:t xml:space="preserve"> </w:t>
      </w:r>
      <w:r w:rsidRPr="00801E87">
        <w:rPr>
          <w:rFonts w:ascii="Times New Roman" w:hAnsi="Times New Roman"/>
          <w:sz w:val="24"/>
          <w:szCs w:val="24"/>
        </w:rPr>
        <w:t>dôkazov, ktorý nespĺňa podmienky podľa odseku 3</w:t>
      </w:r>
      <w:r w:rsidR="00246BDA">
        <w:rPr>
          <w:rFonts w:ascii="Times New Roman" w:hAnsi="Times New Roman"/>
          <w:sz w:val="24"/>
          <w:szCs w:val="24"/>
        </w:rPr>
        <w:t>,</w:t>
      </w:r>
      <w:r w:rsidRPr="00801E87">
        <w:rPr>
          <w:rFonts w:ascii="Times New Roman" w:hAnsi="Times New Roman"/>
          <w:sz w:val="24"/>
          <w:szCs w:val="24"/>
        </w:rPr>
        <w:t xml:space="preserve"> súd zamietne. Rovnako súd postupuje, ak strana v konaní o náhradu škody ani na výzvu súdu v lehote určenej súdom nedostatky návrhu neodstráni.</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(5) Ak súd nezamietne návrh na </w:t>
      </w:r>
      <w:r w:rsidR="00B03724">
        <w:rPr>
          <w:rFonts w:ascii="Times New Roman" w:hAnsi="Times New Roman"/>
          <w:sz w:val="24"/>
          <w:szCs w:val="24"/>
        </w:rPr>
        <w:t xml:space="preserve">nariadenie </w:t>
      </w:r>
      <w:r w:rsidRPr="00801E87" w:rsidR="00B03724">
        <w:rPr>
          <w:rFonts w:ascii="Times New Roman" w:hAnsi="Times New Roman"/>
          <w:sz w:val="24"/>
          <w:szCs w:val="24"/>
        </w:rPr>
        <w:t>sprístupneni</w:t>
      </w:r>
      <w:r w:rsidR="00B03724">
        <w:rPr>
          <w:rFonts w:ascii="Times New Roman" w:hAnsi="Times New Roman"/>
          <w:sz w:val="24"/>
          <w:szCs w:val="24"/>
        </w:rPr>
        <w:t>a</w:t>
      </w:r>
      <w:r w:rsidRPr="00801E87" w:rsidR="00B03724">
        <w:rPr>
          <w:rFonts w:ascii="Times New Roman" w:hAnsi="Times New Roman"/>
          <w:sz w:val="24"/>
          <w:szCs w:val="24"/>
        </w:rPr>
        <w:t xml:space="preserve"> </w:t>
      </w:r>
      <w:r w:rsidRPr="00801E87">
        <w:rPr>
          <w:rFonts w:ascii="Times New Roman" w:hAnsi="Times New Roman"/>
          <w:sz w:val="24"/>
          <w:szCs w:val="24"/>
        </w:rPr>
        <w:t xml:space="preserve">dôkazov podľa odseku 4 druhá veta alebo konanie o návrhu nezastaví, vyzve orgán hospodárskej súťaže, aby sa k primeranosti návrhu na </w:t>
      </w:r>
      <w:r w:rsidR="00B03724">
        <w:rPr>
          <w:rFonts w:ascii="Times New Roman" w:hAnsi="Times New Roman"/>
          <w:sz w:val="24"/>
          <w:szCs w:val="24"/>
        </w:rPr>
        <w:t xml:space="preserve">nariadenie </w:t>
      </w:r>
      <w:r w:rsidRPr="00801E87" w:rsidR="00B03724">
        <w:rPr>
          <w:rFonts w:ascii="Times New Roman" w:hAnsi="Times New Roman"/>
          <w:sz w:val="24"/>
          <w:szCs w:val="24"/>
        </w:rPr>
        <w:t>sprístupneni</w:t>
      </w:r>
      <w:r w:rsidR="00B03724">
        <w:rPr>
          <w:rFonts w:ascii="Times New Roman" w:hAnsi="Times New Roman"/>
          <w:sz w:val="24"/>
          <w:szCs w:val="24"/>
        </w:rPr>
        <w:t>a</w:t>
      </w:r>
      <w:r w:rsidRPr="00801E87" w:rsidR="00B03724">
        <w:rPr>
          <w:rFonts w:ascii="Times New Roman" w:hAnsi="Times New Roman"/>
          <w:sz w:val="24"/>
          <w:szCs w:val="24"/>
        </w:rPr>
        <w:t xml:space="preserve"> </w:t>
      </w:r>
      <w:r w:rsidRPr="00801E87">
        <w:rPr>
          <w:rFonts w:ascii="Times New Roman" w:hAnsi="Times New Roman"/>
          <w:sz w:val="24"/>
          <w:szCs w:val="24"/>
        </w:rPr>
        <w:t xml:space="preserve">dôkazov </w:t>
      </w:r>
      <w:r w:rsidRPr="00801E87" w:rsidR="00246BDA">
        <w:rPr>
          <w:rFonts w:ascii="Times New Roman" w:hAnsi="Times New Roman"/>
          <w:sz w:val="24"/>
          <w:szCs w:val="24"/>
        </w:rPr>
        <w:t xml:space="preserve">vyjadril </w:t>
      </w:r>
      <w:r w:rsidRPr="00801E87">
        <w:rPr>
          <w:rFonts w:ascii="Times New Roman" w:hAnsi="Times New Roman"/>
          <w:sz w:val="24"/>
          <w:szCs w:val="24"/>
        </w:rPr>
        <w:t xml:space="preserve">v lehote nie kratšej ako 30 dní.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(6) Orgán hospodárskej súťaže môže predložiť pripomienky k primeranosti návrhu na </w:t>
      </w:r>
      <w:r w:rsidR="00B03724">
        <w:rPr>
          <w:rFonts w:ascii="Times New Roman" w:hAnsi="Times New Roman"/>
          <w:sz w:val="24"/>
          <w:szCs w:val="24"/>
        </w:rPr>
        <w:t xml:space="preserve">nariadenie </w:t>
      </w:r>
      <w:r w:rsidRPr="00801E87" w:rsidR="00B03724">
        <w:rPr>
          <w:rFonts w:ascii="Times New Roman" w:hAnsi="Times New Roman"/>
          <w:sz w:val="24"/>
          <w:szCs w:val="24"/>
        </w:rPr>
        <w:t>sprístupneni</w:t>
      </w:r>
      <w:r w:rsidR="00B03724">
        <w:rPr>
          <w:rFonts w:ascii="Times New Roman" w:hAnsi="Times New Roman"/>
          <w:sz w:val="24"/>
          <w:szCs w:val="24"/>
        </w:rPr>
        <w:t>a</w:t>
      </w:r>
      <w:r w:rsidRPr="00801E87" w:rsidR="00B03724">
        <w:rPr>
          <w:rFonts w:ascii="Times New Roman" w:hAnsi="Times New Roman"/>
          <w:sz w:val="24"/>
          <w:szCs w:val="24"/>
        </w:rPr>
        <w:t xml:space="preserve"> </w:t>
      </w:r>
      <w:r w:rsidRPr="00801E87">
        <w:rPr>
          <w:rFonts w:ascii="Times New Roman" w:hAnsi="Times New Roman"/>
          <w:sz w:val="24"/>
          <w:szCs w:val="24"/>
        </w:rPr>
        <w:t xml:space="preserve">dôkazov aj z vlastného podnetu. </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jc w:val="center"/>
        <w:rPr>
          <w:rFonts w:ascii="Times New Roman" w:hAnsi="Times New Roman"/>
          <w:bCs/>
          <w:spacing w:val="30"/>
          <w:sz w:val="24"/>
          <w:szCs w:val="24"/>
        </w:rPr>
      </w:pPr>
      <w:r w:rsidRPr="00801E87">
        <w:rPr>
          <w:rFonts w:ascii="Times New Roman" w:hAnsi="Times New Roman"/>
          <w:bCs/>
          <w:spacing w:val="30"/>
          <w:sz w:val="24"/>
          <w:szCs w:val="24"/>
        </w:rPr>
        <w:t xml:space="preserve">Obmedzenie sprístupnenia dôkazov v súdnom konaní o náhradu škody </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 </w:t>
      </w:r>
      <w:r w:rsidRPr="00801E87" w:rsidR="001C24E6">
        <w:rPr>
          <w:rFonts w:ascii="Times New Roman" w:hAnsi="Times New Roman"/>
          <w:bCs/>
          <w:sz w:val="24"/>
          <w:szCs w:val="24"/>
        </w:rPr>
        <w:t>1</w:t>
      </w:r>
      <w:r w:rsidR="001C24E6">
        <w:rPr>
          <w:rFonts w:ascii="Times New Roman" w:hAnsi="Times New Roman"/>
          <w:bCs/>
          <w:sz w:val="24"/>
          <w:szCs w:val="24"/>
        </w:rPr>
        <w:t>5</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Dôkazy s časovo obmedzeným sprístupnením</w:t>
      </w:r>
    </w:p>
    <w:p w:rsidR="00317B3F" w:rsidP="00801E87">
      <w:pPr>
        <w:tabs>
          <w:tab w:val="left" w:pos="709"/>
        </w:tabs>
        <w:bidi w:val="0"/>
        <w:spacing w:after="0" w:line="240" w:lineRule="auto"/>
        <w:jc w:val="both"/>
        <w:rPr>
          <w:rFonts w:ascii="Times New Roman" w:hAnsi="Times New Roman"/>
          <w:sz w:val="24"/>
          <w:szCs w:val="24"/>
        </w:rPr>
      </w:pPr>
      <w:r w:rsidRPr="00801E87" w:rsidR="00801E87">
        <w:rPr>
          <w:rFonts w:ascii="Times New Roman" w:hAnsi="Times New Roman"/>
          <w:sz w:val="24"/>
          <w:szCs w:val="24"/>
        </w:rPr>
        <w:tab/>
      </w:r>
    </w:p>
    <w:p w:rsidR="00801E87" w:rsidRPr="00801E87" w:rsidP="00801E87">
      <w:pPr>
        <w:tabs>
          <w:tab w:val="left" w:pos="709"/>
        </w:tabs>
        <w:bidi w:val="0"/>
        <w:spacing w:after="0" w:line="240" w:lineRule="auto"/>
        <w:jc w:val="both"/>
        <w:rPr>
          <w:rFonts w:ascii="Times New Roman" w:hAnsi="Times New Roman"/>
          <w:sz w:val="24"/>
          <w:szCs w:val="24"/>
        </w:rPr>
      </w:pPr>
      <w:r w:rsidR="00317B3F">
        <w:rPr>
          <w:rFonts w:ascii="Times New Roman" w:hAnsi="Times New Roman"/>
          <w:sz w:val="24"/>
          <w:szCs w:val="24"/>
        </w:rPr>
        <w:tab/>
      </w:r>
      <w:r w:rsidRPr="00801E87">
        <w:rPr>
          <w:rFonts w:ascii="Times New Roman" w:hAnsi="Times New Roman"/>
          <w:sz w:val="24"/>
          <w:szCs w:val="24"/>
        </w:rPr>
        <w:t>Ak bolo konanie vedené orgánom hospodárskej súťaže alebo prešetrovanie podľa osobitného predpisu</w:t>
      </w:r>
      <w:r w:rsidRPr="00801E87">
        <w:rPr>
          <w:rFonts w:ascii="Times New Roman" w:hAnsi="Times New Roman"/>
          <w:sz w:val="24"/>
          <w:szCs w:val="24"/>
          <w:vertAlign w:val="superscript"/>
        </w:rPr>
        <w:t>9</w:t>
      </w:r>
      <w:r w:rsidRPr="00801E87">
        <w:rPr>
          <w:rFonts w:ascii="Times New Roman" w:hAnsi="Times New Roman"/>
          <w:sz w:val="24"/>
          <w:szCs w:val="24"/>
        </w:rPr>
        <w:t xml:space="preserve">) skončené prijatím rozhodnutia alebo iným spôsobom, môže súd nariadiť sprístupnenie týchto dôkazov: </w:t>
      </w:r>
    </w:p>
    <w:p w:rsidR="00801E87" w:rsidRPr="00801E87" w:rsidP="00801E87">
      <w:pPr>
        <w:tabs>
          <w:tab w:val="left" w:pos="709"/>
        </w:tabs>
        <w:bidi w:val="0"/>
        <w:spacing w:after="0" w:line="240" w:lineRule="auto"/>
        <w:jc w:val="both"/>
        <w:rPr>
          <w:rFonts w:ascii="Times New Roman" w:hAnsi="Times New Roman"/>
          <w:sz w:val="24"/>
          <w:szCs w:val="24"/>
        </w:rPr>
      </w:pPr>
    </w:p>
    <w:p w:rsidR="00801E87" w:rsidRPr="00801E87" w:rsidP="00801E87">
      <w:pPr>
        <w:pStyle w:val="ListParagraph"/>
        <w:numPr>
          <w:numId w:val="40"/>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informácie, ktoré osoba vypracovala osobitne na účely konania alebo prešetrovania</w:t>
      </w:r>
      <w:r w:rsidR="003F2AE0">
        <w:rPr>
          <w:rFonts w:ascii="Times New Roman" w:hAnsi="Times New Roman"/>
          <w:sz w:val="24"/>
          <w:szCs w:val="24"/>
        </w:rPr>
        <w:t xml:space="preserve"> vedeného </w:t>
      </w:r>
      <w:r w:rsidRPr="00801E87">
        <w:rPr>
          <w:rFonts w:ascii="Times New Roman" w:hAnsi="Times New Roman"/>
          <w:sz w:val="24"/>
          <w:szCs w:val="24"/>
        </w:rPr>
        <w:t>orgán</w:t>
      </w:r>
      <w:r w:rsidR="003F2AE0">
        <w:rPr>
          <w:rFonts w:ascii="Times New Roman" w:hAnsi="Times New Roman"/>
          <w:sz w:val="24"/>
          <w:szCs w:val="24"/>
        </w:rPr>
        <w:t>om</w:t>
      </w:r>
      <w:r w:rsidRPr="00801E87">
        <w:rPr>
          <w:rFonts w:ascii="Times New Roman" w:hAnsi="Times New Roman"/>
          <w:sz w:val="24"/>
          <w:szCs w:val="24"/>
        </w:rPr>
        <w:t xml:space="preserve"> hospodárskej súťaže,</w:t>
      </w:r>
    </w:p>
    <w:p w:rsidR="00801E87" w:rsidRPr="00801E87" w:rsidP="00801E87">
      <w:pPr>
        <w:pStyle w:val="ListParagraph"/>
        <w:numPr>
          <w:numId w:val="40"/>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informácie, ktoré vypracoval orgán hospodárskej súťaže a zaslal stranám v konaní v priebehu konania alebo prešetrovania pred týmto orgánom</w:t>
      </w:r>
      <w:r w:rsidR="003F2AE0">
        <w:rPr>
          <w:rFonts w:ascii="Times New Roman" w:hAnsi="Times New Roman"/>
          <w:sz w:val="24"/>
          <w:szCs w:val="24"/>
        </w:rPr>
        <w:t>,</w:t>
      </w:r>
      <w:r w:rsidRPr="00801E87">
        <w:rPr>
          <w:rFonts w:ascii="Times New Roman" w:hAnsi="Times New Roman"/>
          <w:sz w:val="24"/>
          <w:szCs w:val="24"/>
        </w:rPr>
        <w:t xml:space="preserve"> a </w:t>
      </w:r>
    </w:p>
    <w:p w:rsidR="00801E87" w:rsidRPr="00801E87" w:rsidP="00801E87">
      <w:pPr>
        <w:pStyle w:val="ListParagraph"/>
        <w:numPr>
          <w:numId w:val="40"/>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podania v rámci konania o urovnaní, ktoré boli vzaté späť.</w:t>
      </w:r>
    </w:p>
    <w:p w:rsidR="00801E87" w:rsidRPr="00801E87" w:rsidP="00801E87">
      <w:pPr>
        <w:tabs>
          <w:tab w:val="left" w:pos="709"/>
        </w:tabs>
        <w:bidi w:val="0"/>
        <w:spacing w:after="0" w:line="240" w:lineRule="auto"/>
        <w:jc w:val="both"/>
        <w:rPr>
          <w:rFonts w:ascii="Times New Roman" w:hAnsi="Times New Roman"/>
          <w:sz w:val="24"/>
          <w:szCs w:val="24"/>
        </w:rPr>
      </w:pPr>
      <w:r w:rsidRPr="00801E87">
        <w:rPr>
          <w:rFonts w:ascii="Times New Roman" w:hAnsi="Times New Roman"/>
          <w:sz w:val="24"/>
          <w:szCs w:val="24"/>
        </w:rPr>
        <w:tab/>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 </w:t>
      </w:r>
      <w:r w:rsidRPr="00801E87" w:rsidR="001C24E6">
        <w:rPr>
          <w:rFonts w:ascii="Times New Roman" w:hAnsi="Times New Roman"/>
          <w:bCs/>
          <w:sz w:val="24"/>
          <w:szCs w:val="24"/>
        </w:rPr>
        <w:t>1</w:t>
      </w:r>
      <w:r w:rsidR="001C24E6">
        <w:rPr>
          <w:rFonts w:ascii="Times New Roman" w:hAnsi="Times New Roman"/>
          <w:bCs/>
          <w:sz w:val="24"/>
          <w:szCs w:val="24"/>
        </w:rPr>
        <w:t>6</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Dôkazy vylúčené zo sprístupnenia dôkazov</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pStyle w:val="ListParagraph"/>
        <w:tabs>
          <w:tab w:val="left" w:pos="284"/>
        </w:tabs>
        <w:bidi w:val="0"/>
        <w:spacing w:after="0" w:line="240" w:lineRule="auto"/>
        <w:ind w:left="0"/>
        <w:jc w:val="both"/>
        <w:rPr>
          <w:rFonts w:ascii="Times New Roman" w:hAnsi="Times New Roman"/>
          <w:sz w:val="24"/>
          <w:szCs w:val="24"/>
        </w:rPr>
      </w:pPr>
      <w:r w:rsidRPr="00801E87">
        <w:rPr>
          <w:rFonts w:ascii="Times New Roman" w:hAnsi="Times New Roman"/>
          <w:sz w:val="24"/>
          <w:szCs w:val="24"/>
        </w:rPr>
        <w:tab/>
        <w:tab/>
        <w:t xml:space="preserve">(1) Zo sprístupnenia dôkazov stranám v konaní o náhradu škody a tretím osobám sú vylúčené </w:t>
      </w:r>
    </w:p>
    <w:p w:rsidR="00801E87" w:rsidRPr="00801E87" w:rsidP="00801E87">
      <w:pPr>
        <w:pStyle w:val="ListParagraph"/>
        <w:numPr>
          <w:numId w:val="41"/>
        </w:numPr>
        <w:tabs>
          <w:tab w:val="left" w:pos="284"/>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vyhlásenia v rámci programu zhovievavosti a</w:t>
      </w:r>
    </w:p>
    <w:p w:rsidR="00801E87" w:rsidRPr="00801E87" w:rsidP="00801E87">
      <w:pPr>
        <w:pStyle w:val="ListParagraph"/>
        <w:numPr>
          <w:numId w:val="41"/>
        </w:numPr>
        <w:tabs>
          <w:tab w:val="left" w:pos="284"/>
        </w:tabs>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podania v rámci konania o urovnaní.</w:t>
      </w:r>
    </w:p>
    <w:p w:rsidR="00801E87" w:rsidRPr="00801E87" w:rsidP="00801E87">
      <w:pPr>
        <w:pStyle w:val="ListParagraph"/>
        <w:tabs>
          <w:tab w:val="left" w:pos="284"/>
        </w:tabs>
        <w:bidi w:val="0"/>
        <w:spacing w:after="0" w:line="240" w:lineRule="auto"/>
        <w:ind w:left="0"/>
        <w:jc w:val="both"/>
        <w:rPr>
          <w:rFonts w:ascii="Times New Roman" w:hAnsi="Times New Roman"/>
          <w:sz w:val="24"/>
          <w:szCs w:val="24"/>
        </w:rPr>
      </w:pPr>
    </w:p>
    <w:p w:rsidR="00801E87" w:rsidRPr="00801E87" w:rsidP="00801E87">
      <w:pPr>
        <w:pStyle w:val="ListParagraph"/>
        <w:tabs>
          <w:tab w:val="left" w:pos="284"/>
        </w:tabs>
        <w:bidi w:val="0"/>
        <w:spacing w:after="0" w:line="240" w:lineRule="auto"/>
        <w:ind w:left="0"/>
        <w:jc w:val="both"/>
        <w:rPr>
          <w:rFonts w:ascii="Times New Roman" w:hAnsi="Times New Roman"/>
          <w:sz w:val="24"/>
          <w:szCs w:val="24"/>
        </w:rPr>
      </w:pPr>
      <w:r w:rsidRPr="00801E87">
        <w:rPr>
          <w:rFonts w:ascii="Times New Roman" w:hAnsi="Times New Roman"/>
          <w:sz w:val="24"/>
          <w:szCs w:val="24"/>
        </w:rPr>
        <w:tab/>
        <w:tab/>
        <w:t>(2) Časti dôkazov, na ktoré sa vylúčenie podľa odseku 1 nevzťahuje, sa sprístupnia v súlade s ustanoveniami tohto zákona.</w:t>
      </w:r>
    </w:p>
    <w:p w:rsidR="00801E87" w:rsidRPr="00801E87" w:rsidP="00801E87">
      <w:pPr>
        <w:pStyle w:val="ListParagraph"/>
        <w:tabs>
          <w:tab w:val="left" w:pos="284"/>
        </w:tabs>
        <w:bidi w:val="0"/>
        <w:spacing w:after="0" w:line="240" w:lineRule="auto"/>
        <w:ind w:left="0"/>
        <w:jc w:val="both"/>
        <w:rPr>
          <w:rFonts w:ascii="Times New Roman" w:hAnsi="Times New Roman"/>
          <w:b/>
          <w:bCs/>
          <w:sz w:val="24"/>
          <w:szCs w:val="24"/>
        </w:rPr>
      </w:pPr>
    </w:p>
    <w:p w:rsidR="00801E87" w:rsidRPr="00801E87" w:rsidP="00801E87">
      <w:pPr>
        <w:tabs>
          <w:tab w:val="left" w:pos="284"/>
        </w:tabs>
        <w:bidi w:val="0"/>
        <w:spacing w:after="0" w:line="240" w:lineRule="auto"/>
        <w:jc w:val="both"/>
        <w:rPr>
          <w:rFonts w:ascii="Times New Roman" w:hAnsi="Times New Roman"/>
          <w:sz w:val="24"/>
          <w:szCs w:val="24"/>
        </w:rPr>
      </w:pPr>
      <w:r w:rsidRPr="00801E87">
        <w:rPr>
          <w:rFonts w:ascii="Times New Roman" w:hAnsi="Times New Roman"/>
          <w:sz w:val="24"/>
          <w:szCs w:val="24"/>
        </w:rPr>
        <w:tab/>
        <w:tab/>
        <w:t xml:space="preserve">(3) Žalobca môže podať návrh, aby súd posúdil, </w:t>
      </w:r>
      <w:r w:rsidR="003F2AE0">
        <w:rPr>
          <w:rFonts w:ascii="Times New Roman" w:hAnsi="Times New Roman"/>
          <w:sz w:val="24"/>
          <w:szCs w:val="24"/>
        </w:rPr>
        <w:t>či</w:t>
      </w:r>
      <w:r w:rsidRPr="00801E87" w:rsidR="003F2AE0">
        <w:rPr>
          <w:rFonts w:ascii="Times New Roman" w:hAnsi="Times New Roman"/>
          <w:sz w:val="24"/>
          <w:szCs w:val="24"/>
        </w:rPr>
        <w:t xml:space="preserve"> </w:t>
      </w:r>
      <w:r w:rsidRPr="00801E87">
        <w:rPr>
          <w:rFonts w:ascii="Times New Roman" w:hAnsi="Times New Roman"/>
          <w:sz w:val="24"/>
          <w:szCs w:val="24"/>
        </w:rPr>
        <w:t xml:space="preserve">obsah dokumentov, ktoré sú vylúčené zo sprístupnenia podľa odseku 1, zodpovedá ich povahe podľa § 2 písm. g) a h). Na náležitosti návrhu sa primerane použije ustanovenie § </w:t>
      </w:r>
      <w:r w:rsidRPr="00801E87" w:rsidR="001C24E6">
        <w:rPr>
          <w:rFonts w:ascii="Times New Roman" w:hAnsi="Times New Roman"/>
          <w:sz w:val="24"/>
          <w:szCs w:val="24"/>
        </w:rPr>
        <w:t>1</w:t>
      </w:r>
      <w:r w:rsidR="001C24E6">
        <w:rPr>
          <w:rFonts w:ascii="Times New Roman" w:hAnsi="Times New Roman"/>
          <w:sz w:val="24"/>
          <w:szCs w:val="24"/>
        </w:rPr>
        <w:t>4</w:t>
      </w:r>
      <w:r w:rsidRPr="00801E87" w:rsidR="001C24E6">
        <w:rPr>
          <w:rFonts w:ascii="Times New Roman" w:hAnsi="Times New Roman"/>
          <w:sz w:val="24"/>
          <w:szCs w:val="24"/>
        </w:rPr>
        <w:t xml:space="preserve"> </w:t>
      </w:r>
      <w:r w:rsidRPr="00801E87">
        <w:rPr>
          <w:rFonts w:ascii="Times New Roman" w:hAnsi="Times New Roman"/>
          <w:sz w:val="24"/>
          <w:szCs w:val="24"/>
        </w:rPr>
        <w:t>ods. 1.</w:t>
      </w:r>
    </w:p>
    <w:p w:rsidR="00801E87" w:rsidRPr="00801E87" w:rsidP="00801E87">
      <w:pPr>
        <w:tabs>
          <w:tab w:val="left" w:pos="284"/>
        </w:tabs>
        <w:bidi w:val="0"/>
        <w:spacing w:after="0" w:line="240" w:lineRule="auto"/>
        <w:jc w:val="both"/>
        <w:rPr>
          <w:rFonts w:ascii="Times New Roman" w:hAnsi="Times New Roman"/>
          <w:sz w:val="24"/>
          <w:szCs w:val="24"/>
        </w:rPr>
      </w:pPr>
    </w:p>
    <w:p w:rsidR="00801E87" w:rsidRPr="00801E87" w:rsidP="00801E87">
      <w:pPr>
        <w:tabs>
          <w:tab w:val="left" w:pos="284"/>
        </w:tabs>
        <w:bidi w:val="0"/>
        <w:spacing w:after="0" w:line="240" w:lineRule="auto"/>
        <w:jc w:val="both"/>
        <w:rPr>
          <w:rFonts w:ascii="Times New Roman" w:hAnsi="Times New Roman"/>
          <w:sz w:val="24"/>
          <w:szCs w:val="24"/>
        </w:rPr>
      </w:pPr>
      <w:r w:rsidRPr="00801E87">
        <w:rPr>
          <w:rFonts w:ascii="Times New Roman" w:hAnsi="Times New Roman"/>
          <w:sz w:val="24"/>
          <w:szCs w:val="24"/>
        </w:rPr>
        <w:tab/>
        <w:tab/>
        <w:t xml:space="preserve">(4) Súd na účely posúdenia obsahu dokumentov podľa odseku 3 požiada o vyjadrenie orgán hospodárskej súťaže a určí mu lehotu, ktorá nesmie byť kratšia ako 30 dní. </w:t>
      </w:r>
    </w:p>
    <w:p w:rsidR="00801E87" w:rsidRPr="00801E87" w:rsidP="00801E87">
      <w:pPr>
        <w:tabs>
          <w:tab w:val="left" w:pos="284"/>
        </w:tabs>
        <w:bidi w:val="0"/>
        <w:spacing w:after="0" w:line="240" w:lineRule="auto"/>
        <w:jc w:val="both"/>
        <w:rPr>
          <w:rFonts w:ascii="Times New Roman" w:hAnsi="Times New Roman"/>
          <w:sz w:val="24"/>
          <w:szCs w:val="24"/>
        </w:rPr>
      </w:pPr>
    </w:p>
    <w:p w:rsidR="00801E87" w:rsidRPr="00801E87" w:rsidP="00801E87">
      <w:pPr>
        <w:tabs>
          <w:tab w:val="left" w:pos="284"/>
        </w:tabs>
        <w:bidi w:val="0"/>
        <w:spacing w:after="0" w:line="240" w:lineRule="auto"/>
        <w:jc w:val="both"/>
        <w:rPr>
          <w:rFonts w:ascii="Times New Roman" w:hAnsi="Times New Roman"/>
          <w:sz w:val="24"/>
          <w:szCs w:val="24"/>
        </w:rPr>
      </w:pPr>
      <w:r w:rsidRPr="00801E87">
        <w:rPr>
          <w:rFonts w:ascii="Times New Roman" w:hAnsi="Times New Roman"/>
          <w:sz w:val="24"/>
          <w:szCs w:val="24"/>
        </w:rPr>
        <w:tab/>
        <w:tab/>
        <w:t>(5) Predtým ako súd posúdi obsah dokumentov podľa odseku 3, umožní osobe, ktorá urobila vyhlásenie podľa odseku 1 písm. a) alebo podanie podľa odseku 1 písm. b) byť vypočutá.</w:t>
      </w:r>
    </w:p>
    <w:p w:rsidR="00801E87" w:rsidRPr="00801E87" w:rsidP="00801E87">
      <w:pPr>
        <w:tabs>
          <w:tab w:val="left" w:pos="284"/>
        </w:tabs>
        <w:bidi w:val="0"/>
        <w:spacing w:after="0" w:line="240" w:lineRule="auto"/>
        <w:jc w:val="both"/>
        <w:rPr>
          <w:rFonts w:ascii="Times New Roman" w:hAnsi="Times New Roman"/>
          <w:sz w:val="24"/>
          <w:szCs w:val="24"/>
        </w:rPr>
      </w:pPr>
    </w:p>
    <w:p w:rsidR="00801E87" w:rsidP="00801E87">
      <w:pPr>
        <w:pStyle w:val="ListParagraph"/>
        <w:bidi w:val="0"/>
        <w:spacing w:after="0" w:line="240" w:lineRule="auto"/>
        <w:ind w:left="0" w:firstLine="708"/>
        <w:jc w:val="both"/>
        <w:rPr>
          <w:rFonts w:ascii="Times New Roman" w:hAnsi="Times New Roman"/>
          <w:sz w:val="24"/>
          <w:szCs w:val="24"/>
        </w:rPr>
      </w:pPr>
      <w:r w:rsidRPr="00801E87">
        <w:rPr>
          <w:rFonts w:ascii="Times New Roman" w:hAnsi="Times New Roman"/>
          <w:sz w:val="24"/>
          <w:szCs w:val="24"/>
        </w:rPr>
        <w:t xml:space="preserve"> </w:t>
      </w:r>
      <w:r w:rsidRPr="00801E87">
        <w:rPr>
          <w:rFonts w:ascii="Times New Roman" w:hAnsi="Times New Roman"/>
          <w:sz w:val="24"/>
          <w:szCs w:val="24"/>
        </w:rPr>
        <w:t xml:space="preserve">(6) Ak súd pristúpi k posúdeniu obsahu dokumentov podľa odseku 3, na tento účel zabezpečí, aby nedošlo k ich sprístupneniu stranám v konaní a tretím osobám s výnimkou osoby, ktorá vyhlásenie podľa odseku 1 písm. a) alebo podanie podľa odseku 1 písm. b) urobila. </w:t>
      </w:r>
    </w:p>
    <w:p w:rsidR="003F2AE0" w:rsidP="00801E87">
      <w:pPr>
        <w:pStyle w:val="ListParagraph"/>
        <w:bidi w:val="0"/>
        <w:spacing w:after="0" w:line="240" w:lineRule="auto"/>
        <w:ind w:left="0" w:firstLine="708"/>
        <w:jc w:val="both"/>
        <w:rPr>
          <w:rFonts w:ascii="Times New Roman" w:hAnsi="Times New Roman"/>
          <w:sz w:val="24"/>
          <w:szCs w:val="24"/>
        </w:rPr>
      </w:pPr>
    </w:p>
    <w:p w:rsidR="003F2AE0" w:rsidRPr="00801E87" w:rsidP="00801E87">
      <w:pPr>
        <w:pStyle w:val="ListParagraph"/>
        <w:bidi w:val="0"/>
        <w:spacing w:after="0" w:line="240" w:lineRule="auto"/>
        <w:ind w:left="0" w:firstLine="708"/>
        <w:jc w:val="both"/>
        <w:rPr>
          <w:rFonts w:ascii="Times New Roman" w:hAnsi="Times New Roman"/>
          <w:sz w:val="24"/>
          <w:szCs w:val="24"/>
        </w:rPr>
      </w:pPr>
      <w:r>
        <w:rPr>
          <w:rFonts w:ascii="Times New Roman" w:hAnsi="Times New Roman"/>
          <w:sz w:val="24"/>
          <w:szCs w:val="24"/>
        </w:rPr>
        <w:t>(7) Dokumenty podľa odseku 6 nie sú súčasťou súdneho spisu.</w:t>
      </w:r>
    </w:p>
    <w:p w:rsidR="00801E87" w:rsidRPr="00801E87" w:rsidP="00801E87">
      <w:pPr>
        <w:pStyle w:val="ListParagraph"/>
        <w:bidi w:val="0"/>
        <w:spacing w:after="0" w:line="240" w:lineRule="auto"/>
        <w:ind w:left="0" w:firstLine="708"/>
        <w:jc w:val="both"/>
        <w:rPr>
          <w:rFonts w:ascii="Times New Roman" w:hAnsi="Times New Roman"/>
          <w:b/>
          <w:b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1</w:t>
      </w:r>
      <w:r w:rsidR="001C24E6">
        <w:rPr>
          <w:rFonts w:ascii="Times New Roman" w:hAnsi="Times New Roman"/>
          <w:iCs/>
          <w:sz w:val="24"/>
          <w:szCs w:val="24"/>
        </w:rPr>
        <w:t>7</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Obmedzenia použitia dôkazov získaných zo spisu orgánu hospodárskej súťaže</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Súd dôkazy podľa § </w:t>
      </w:r>
      <w:r w:rsidRPr="00801E87" w:rsidR="001C24E6">
        <w:rPr>
          <w:rFonts w:ascii="Times New Roman" w:hAnsi="Times New Roman"/>
          <w:sz w:val="24"/>
          <w:szCs w:val="24"/>
        </w:rPr>
        <w:t>1</w:t>
      </w:r>
      <w:r w:rsidR="001C24E6">
        <w:rPr>
          <w:rFonts w:ascii="Times New Roman" w:hAnsi="Times New Roman"/>
          <w:sz w:val="24"/>
          <w:szCs w:val="24"/>
        </w:rPr>
        <w:t>6</w:t>
      </w:r>
      <w:r w:rsidRPr="00801E87" w:rsidR="001C24E6">
        <w:rPr>
          <w:rFonts w:ascii="Times New Roman" w:hAnsi="Times New Roman"/>
          <w:sz w:val="24"/>
          <w:szCs w:val="24"/>
        </w:rPr>
        <w:t xml:space="preserve"> </w:t>
      </w:r>
      <w:r w:rsidRPr="00801E87">
        <w:rPr>
          <w:rFonts w:ascii="Times New Roman" w:hAnsi="Times New Roman"/>
          <w:sz w:val="24"/>
          <w:szCs w:val="24"/>
        </w:rPr>
        <w:t>ods. 1 získané výhradne zo spisu orgánu hospodárskej súťaže v rámci súdneho konania o náhradu škody nepripustí.</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Súd dôkazy podľa § </w:t>
      </w:r>
      <w:r w:rsidRPr="00801E87" w:rsidR="001C24E6">
        <w:rPr>
          <w:rFonts w:ascii="Times New Roman" w:hAnsi="Times New Roman"/>
          <w:sz w:val="24"/>
          <w:szCs w:val="24"/>
        </w:rPr>
        <w:t>1</w:t>
      </w:r>
      <w:r w:rsidR="001C24E6">
        <w:rPr>
          <w:rFonts w:ascii="Times New Roman" w:hAnsi="Times New Roman"/>
          <w:sz w:val="24"/>
          <w:szCs w:val="24"/>
        </w:rPr>
        <w:t>5</w:t>
      </w:r>
      <w:r w:rsidRPr="00801E87" w:rsidR="001C24E6">
        <w:rPr>
          <w:rFonts w:ascii="Times New Roman" w:hAnsi="Times New Roman"/>
          <w:sz w:val="24"/>
          <w:szCs w:val="24"/>
        </w:rPr>
        <w:t xml:space="preserve"> </w:t>
      </w:r>
      <w:r w:rsidRPr="00801E87">
        <w:rPr>
          <w:rFonts w:ascii="Times New Roman" w:hAnsi="Times New Roman"/>
          <w:sz w:val="24"/>
          <w:szCs w:val="24"/>
        </w:rPr>
        <w:t xml:space="preserve">ods. 1 získané výhradne zo spisu orgánu hospodárskej súťaže v rámci súdneho konania o náhradu škody nevykoná a ak budú v konaní predložené, tieto nepripustí dovtedy, pokým orgán hospodárskej súťaže neukončí konanie v súlade s § </w:t>
      </w:r>
      <w:r w:rsidRPr="00801E87" w:rsidR="001C24E6">
        <w:rPr>
          <w:rFonts w:ascii="Times New Roman" w:hAnsi="Times New Roman"/>
          <w:sz w:val="24"/>
          <w:szCs w:val="24"/>
        </w:rPr>
        <w:t>1</w:t>
      </w:r>
      <w:r w:rsidR="001C24E6">
        <w:rPr>
          <w:rFonts w:ascii="Times New Roman" w:hAnsi="Times New Roman"/>
          <w:sz w:val="24"/>
          <w:szCs w:val="24"/>
        </w:rPr>
        <w:t>5</w:t>
      </w:r>
      <w:r w:rsidRPr="00801E87" w:rsidR="001C24E6">
        <w:rPr>
          <w:rFonts w:ascii="Times New Roman" w:hAnsi="Times New Roman"/>
          <w:sz w:val="24"/>
          <w:szCs w:val="24"/>
        </w:rPr>
        <w:t xml:space="preserve"> </w:t>
      </w:r>
      <w:r w:rsidRPr="00801E87">
        <w:rPr>
          <w:rFonts w:ascii="Times New Roman" w:hAnsi="Times New Roman"/>
          <w:sz w:val="24"/>
          <w:szCs w:val="24"/>
        </w:rPr>
        <w:t>ods. 2 alebo pokiaľ neukončí prešetrovanie podľa osobitného predpisu</w:t>
      </w:r>
      <w:r w:rsidRPr="00801E87">
        <w:rPr>
          <w:rFonts w:ascii="Times New Roman" w:hAnsi="Times New Roman"/>
          <w:sz w:val="24"/>
          <w:szCs w:val="24"/>
          <w:vertAlign w:val="superscript"/>
        </w:rPr>
        <w:t>9</w:t>
      </w:r>
      <w:r w:rsidRPr="00801E87">
        <w:rPr>
          <w:rFonts w:ascii="Times New Roman" w:hAnsi="Times New Roman"/>
          <w:sz w:val="24"/>
          <w:szCs w:val="24"/>
        </w:rPr>
        <w:t>) iným spôsobom.</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(3) Dôkazy, ktoré osoba získala zo spisu orgánu hospodárskej súťaže, ktorých prípustnosť sa nespravuje </w:t>
      </w:r>
      <w:r w:rsidR="000F7DD6">
        <w:rPr>
          <w:rFonts w:ascii="Times New Roman" w:hAnsi="Times New Roman"/>
          <w:sz w:val="24"/>
          <w:szCs w:val="24"/>
          <w:lang w:eastAsia="sk-SK"/>
        </w:rPr>
        <w:t>odsekom 1 alebo odsekom 2</w:t>
      </w:r>
      <w:r w:rsidRPr="00801E87">
        <w:rPr>
          <w:rFonts w:ascii="Times New Roman" w:hAnsi="Times New Roman"/>
          <w:sz w:val="24"/>
          <w:szCs w:val="24"/>
        </w:rPr>
        <w:t>, môže v súdnom konaní o náhrade škody použiť iba táto osoba</w:t>
      </w:r>
      <w:r w:rsidR="00D60B83">
        <w:rPr>
          <w:rFonts w:ascii="Times New Roman" w:hAnsi="Times New Roman"/>
          <w:sz w:val="24"/>
          <w:szCs w:val="24"/>
        </w:rPr>
        <w:t>,</w:t>
      </w:r>
      <w:r w:rsidRPr="00801E87">
        <w:rPr>
          <w:rFonts w:ascii="Times New Roman" w:hAnsi="Times New Roman"/>
          <w:sz w:val="24"/>
          <w:szCs w:val="24"/>
        </w:rPr>
        <w:t xml:space="preserve"> jej právny </w:t>
      </w:r>
      <w:r w:rsidRPr="00801E87" w:rsidR="00D60B83">
        <w:rPr>
          <w:rFonts w:ascii="Times New Roman" w:hAnsi="Times New Roman"/>
          <w:sz w:val="24"/>
          <w:szCs w:val="24"/>
        </w:rPr>
        <w:t>nástupc</w:t>
      </w:r>
      <w:r w:rsidR="00D60B83">
        <w:rPr>
          <w:rFonts w:ascii="Times New Roman" w:hAnsi="Times New Roman"/>
          <w:sz w:val="24"/>
          <w:szCs w:val="24"/>
        </w:rPr>
        <w:t>a</w:t>
      </w:r>
      <w:r w:rsidRPr="00801E87" w:rsidR="00D60B83">
        <w:rPr>
          <w:rFonts w:ascii="Times New Roman" w:hAnsi="Times New Roman"/>
          <w:sz w:val="24"/>
          <w:szCs w:val="24"/>
        </w:rPr>
        <w:t xml:space="preserve"> </w:t>
      </w:r>
      <w:r w:rsidRPr="00801E87">
        <w:rPr>
          <w:rFonts w:ascii="Times New Roman" w:hAnsi="Times New Roman"/>
          <w:sz w:val="24"/>
          <w:szCs w:val="24"/>
        </w:rPr>
        <w:t xml:space="preserve">alebo </w:t>
      </w:r>
      <w:r w:rsidR="00D60B83">
        <w:rPr>
          <w:rFonts w:ascii="Times New Roman" w:hAnsi="Times New Roman"/>
          <w:sz w:val="24"/>
          <w:szCs w:val="24"/>
        </w:rPr>
        <w:t xml:space="preserve">osoba, </w:t>
      </w:r>
      <w:r w:rsidRPr="00801E87">
        <w:rPr>
          <w:rFonts w:ascii="Times New Roman" w:hAnsi="Times New Roman"/>
          <w:sz w:val="24"/>
          <w:szCs w:val="24"/>
        </w:rPr>
        <w:t xml:space="preserve">ktorá nadobudla jej nárok. </w:t>
      </w:r>
    </w:p>
    <w:p w:rsidR="00801E87" w:rsidRPr="00801E87" w:rsidP="00801E87">
      <w:pPr>
        <w:bidi w:val="0"/>
        <w:spacing w:after="0" w:line="240" w:lineRule="auto"/>
        <w:jc w:val="center"/>
        <w:rPr>
          <w:rFonts w:ascii="Times New Roman" w:hAnsi="Times New Roman"/>
          <w:iCs/>
          <w:sz w:val="24"/>
          <w:szCs w:val="24"/>
        </w:rPr>
      </w:pPr>
    </w:p>
    <w:p w:rsidR="005A6366"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1</w:t>
      </w:r>
      <w:r w:rsidR="001C24E6">
        <w:rPr>
          <w:rFonts w:ascii="Times New Roman" w:hAnsi="Times New Roman"/>
          <w:iCs/>
          <w:sz w:val="24"/>
          <w:szCs w:val="24"/>
        </w:rPr>
        <w:t>8</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Sankcie</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w:t>
      </w:r>
      <w:r w:rsidR="00D60B83">
        <w:rPr>
          <w:rFonts w:ascii="Times New Roman" w:hAnsi="Times New Roman"/>
          <w:sz w:val="24"/>
          <w:szCs w:val="24"/>
        </w:rPr>
        <w:t>O</w:t>
      </w:r>
      <w:r w:rsidRPr="00801E87">
        <w:rPr>
          <w:rFonts w:ascii="Times New Roman" w:hAnsi="Times New Roman"/>
          <w:sz w:val="24"/>
          <w:szCs w:val="24"/>
        </w:rPr>
        <w:t xml:space="preserve">sobe, ktorá nesprístupní dôkazy podľa rozhodnutia súdu vydaného v súlade s týmto zákonom, zničí dôkazy, ktoré mala povinnosť predložiť, nesplní </w:t>
      </w:r>
      <w:r w:rsidR="00D60B83">
        <w:rPr>
          <w:rFonts w:ascii="Times New Roman" w:hAnsi="Times New Roman"/>
          <w:sz w:val="24"/>
          <w:szCs w:val="24"/>
        </w:rPr>
        <w:t xml:space="preserve">alebo odmietne splniť </w:t>
      </w:r>
      <w:r w:rsidRPr="00801E87">
        <w:rPr>
          <w:rFonts w:ascii="Times New Roman" w:hAnsi="Times New Roman"/>
          <w:sz w:val="24"/>
          <w:szCs w:val="24"/>
        </w:rPr>
        <w:t>povinnosti uložené súdom v záujme ochrany obchodného tajomstva, dôverných informácií alebo iných informácií chránených podľa osobitných predpisov</w:t>
      </w:r>
      <w:r w:rsidRPr="00801E87">
        <w:rPr>
          <w:rFonts w:ascii="Times New Roman" w:hAnsi="Times New Roman"/>
          <w:sz w:val="24"/>
          <w:szCs w:val="24"/>
          <w:vertAlign w:val="superscript"/>
        </w:rPr>
        <w:t>14</w:t>
      </w:r>
      <w:r w:rsidRPr="00801E87">
        <w:rPr>
          <w:rFonts w:ascii="Times New Roman" w:hAnsi="Times New Roman"/>
          <w:sz w:val="24"/>
          <w:szCs w:val="24"/>
        </w:rPr>
        <w:t>) alebo poruší obmedzenia použitia dôkazov podľa tohto zákona, uloží súd poriadkové opatrenie podľa Civilného sporového poriadku</w:t>
      </w:r>
      <w:r>
        <w:rPr>
          <w:rStyle w:val="FootnoteReference"/>
          <w:rFonts w:ascii="Times New Roman" w:hAnsi="Times New Roman"/>
          <w:sz w:val="24"/>
          <w:szCs w:val="24"/>
          <w:rtl w:val="0"/>
        </w:rPr>
        <w:footnoteReference w:id="16"/>
      </w:r>
      <w:r w:rsidRPr="00801E87">
        <w:rPr>
          <w:rFonts w:ascii="Times New Roman" w:hAnsi="Times New Roman"/>
          <w:sz w:val="24"/>
          <w:szCs w:val="24"/>
        </w:rPr>
        <w:t xml:space="preserve">) a ak by poriadkové opatrenie nesplnilo účel, môže súd nesplnenie povinnosti zohľadniť tak, že </w:t>
      </w:r>
    </w:p>
    <w:p w:rsidR="00801E87" w:rsidRPr="00801E87" w:rsidP="00801E87">
      <w:pPr>
        <w:pStyle w:val="ListParagraph"/>
        <w:numPr>
          <w:numId w:val="42"/>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bude považovať určitú skutočnosť, ktorá by mohla byť dôkazmi preukázaná, za preukázanú,</w:t>
      </w:r>
    </w:p>
    <w:p w:rsidR="00801E87" w:rsidRPr="00801E87" w:rsidP="00801E87">
      <w:pPr>
        <w:pStyle w:val="ListParagraph"/>
        <w:numPr>
          <w:numId w:val="42"/>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neprihliadne celkom alebo sčasti na obranu osoby v konaní alebo</w:t>
      </w:r>
    </w:p>
    <w:p w:rsidR="00801E87" w:rsidRPr="00801E87" w:rsidP="00801E87">
      <w:pPr>
        <w:pStyle w:val="ListParagraph"/>
        <w:numPr>
          <w:numId w:val="42"/>
        </w:numPr>
        <w:bidi w:val="0"/>
        <w:spacing w:after="0" w:line="240" w:lineRule="auto"/>
        <w:contextualSpacing w:val="0"/>
        <w:jc w:val="both"/>
        <w:rPr>
          <w:rFonts w:ascii="Times New Roman" w:hAnsi="Times New Roman"/>
          <w:sz w:val="24"/>
          <w:szCs w:val="24"/>
        </w:rPr>
      </w:pPr>
      <w:r w:rsidRPr="00801E87">
        <w:rPr>
          <w:rFonts w:ascii="Times New Roman" w:hAnsi="Times New Roman"/>
          <w:sz w:val="24"/>
          <w:szCs w:val="24"/>
        </w:rPr>
        <w:t xml:space="preserve">posúdi jej nároky celkom alebo sčasti ako nedôvodné.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w:t>
      </w:r>
      <w:r w:rsidR="00D60B83">
        <w:rPr>
          <w:rFonts w:ascii="Times New Roman" w:hAnsi="Times New Roman"/>
          <w:sz w:val="24"/>
          <w:szCs w:val="24"/>
        </w:rPr>
        <w:t>P</w:t>
      </w:r>
      <w:r w:rsidRPr="00801E87" w:rsidR="00D60B83">
        <w:rPr>
          <w:rFonts w:ascii="Times New Roman" w:hAnsi="Times New Roman"/>
          <w:sz w:val="24"/>
          <w:szCs w:val="24"/>
        </w:rPr>
        <w:t xml:space="preserve">orušenie povinnosti </w:t>
      </w:r>
      <w:r w:rsidRPr="00801E87">
        <w:rPr>
          <w:rFonts w:ascii="Times New Roman" w:hAnsi="Times New Roman"/>
          <w:sz w:val="24"/>
          <w:szCs w:val="24"/>
        </w:rPr>
        <w:t xml:space="preserve">podľa odseku 1 môže súd zohľadniť aj pri rozhodovaní o povinnosti znášať trovy konania. </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19</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Odkladný účinok a iné právne účinky mimosúdneho riešenia sporu</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(1) Ak strany v konaní oznámia súdu, že po začatí súdneho konania o náhradu škody sa rozhodli riešiť spor mediáciou alebo mimosúdnym urovnaním, preruší súd konanie až na obdobie dvoch rokov; súd pokračuje v konaní, ak pominuli dôvody prerušenia konania a vždy aj vtedy, ak mu strana v konaní oznámi, že v mediácii alebo v rokovaní o mimosúdnom urovnaní ďalej nepokračuje. </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(2) Počas rokovania o mimosúdnom urovnaní </w:t>
      </w:r>
      <w:r w:rsidRPr="00801E87" w:rsidR="007C3AD9">
        <w:rPr>
          <w:rFonts w:ascii="Times New Roman" w:hAnsi="Times New Roman"/>
          <w:sz w:val="24"/>
          <w:szCs w:val="24"/>
        </w:rPr>
        <w:t xml:space="preserve">osobám zúčastneným na mimosúdnom urovnaní neplynie </w:t>
      </w:r>
      <w:r w:rsidRPr="00801E87">
        <w:rPr>
          <w:rFonts w:ascii="Times New Roman" w:hAnsi="Times New Roman"/>
          <w:sz w:val="24"/>
          <w:szCs w:val="24"/>
        </w:rPr>
        <w:t>premlčacia doba na uplatnenie práva na náhradu škody.</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001C24E6">
        <w:rPr>
          <w:rFonts w:ascii="Times New Roman" w:hAnsi="Times New Roman"/>
          <w:iCs/>
          <w:sz w:val="24"/>
          <w:szCs w:val="24"/>
        </w:rPr>
        <w:t>20</w:t>
      </w:r>
    </w:p>
    <w:p w:rsidR="00801E87" w:rsidRPr="00801E87" w:rsidP="00801E87">
      <w:pPr>
        <w:bidi w:val="0"/>
        <w:spacing w:after="0" w:line="240" w:lineRule="auto"/>
        <w:jc w:val="center"/>
        <w:rPr>
          <w:rFonts w:ascii="Times New Roman" w:hAnsi="Times New Roman"/>
          <w:bCs/>
          <w:sz w:val="24"/>
          <w:szCs w:val="24"/>
        </w:rPr>
      </w:pPr>
      <w:r w:rsidRPr="00801E87">
        <w:rPr>
          <w:rFonts w:ascii="Times New Roman" w:hAnsi="Times New Roman"/>
          <w:bCs/>
          <w:sz w:val="24"/>
          <w:szCs w:val="24"/>
        </w:rPr>
        <w:t xml:space="preserve">Účinky mimosúdneho urovnania na následné súdne </w:t>
      </w:r>
      <w:r w:rsidRPr="00801E87" w:rsidR="007C3AD9">
        <w:rPr>
          <w:rFonts w:ascii="Times New Roman" w:hAnsi="Times New Roman"/>
          <w:bCs/>
          <w:sz w:val="24"/>
          <w:szCs w:val="24"/>
        </w:rPr>
        <w:t>konani</w:t>
      </w:r>
      <w:r w:rsidR="007C3AD9">
        <w:rPr>
          <w:rFonts w:ascii="Times New Roman" w:hAnsi="Times New Roman"/>
          <w:bCs/>
          <w:sz w:val="24"/>
          <w:szCs w:val="24"/>
        </w:rPr>
        <w:t>e</w:t>
      </w:r>
      <w:r w:rsidRPr="00801E87" w:rsidR="007C3AD9">
        <w:rPr>
          <w:rFonts w:ascii="Times New Roman" w:hAnsi="Times New Roman"/>
          <w:bCs/>
          <w:sz w:val="24"/>
          <w:szCs w:val="24"/>
        </w:rPr>
        <w:t xml:space="preserve"> </w:t>
      </w:r>
      <w:r w:rsidRPr="00801E87">
        <w:rPr>
          <w:rFonts w:ascii="Times New Roman" w:hAnsi="Times New Roman"/>
          <w:bCs/>
          <w:sz w:val="24"/>
          <w:szCs w:val="24"/>
        </w:rPr>
        <w:t>o náhradu škody</w:t>
      </w:r>
    </w:p>
    <w:p w:rsidR="00801E87" w:rsidRPr="00801E87" w:rsidP="00801E87">
      <w:pPr>
        <w:bidi w:val="0"/>
        <w:spacing w:after="0" w:line="240" w:lineRule="auto"/>
        <w:jc w:val="center"/>
        <w:rPr>
          <w:rFonts w:ascii="Times New Roman" w:hAnsi="Times New Roman"/>
          <w:b/>
          <w:bCs/>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(1)</w:t>
      </w:r>
      <w:r w:rsidR="0011317B">
        <w:rPr>
          <w:rFonts w:ascii="Times New Roman" w:hAnsi="Times New Roman"/>
          <w:sz w:val="24"/>
          <w:szCs w:val="24"/>
        </w:rPr>
        <w:t xml:space="preserve"> </w:t>
      </w:r>
      <w:r w:rsidRPr="00801E87">
        <w:rPr>
          <w:rFonts w:ascii="Times New Roman" w:hAnsi="Times New Roman"/>
          <w:sz w:val="24"/>
          <w:szCs w:val="24"/>
        </w:rPr>
        <w:t>Súd neprizná poškodenej osobe náhradu škody spôsobenú niektorým z porušiteľov v rozsahu, v ktorom bola už uspokojená na základe úspešného riešenia sporu mediáciou alebo mimosúdnym urovnaním, ak dohoda o mediácii alebo dohoda o mimosúdnom urovnaní neurčuje inak. Zvyšok nároku poškodenej osoby, ktorá uzavrela dohodu o mediácii alebo dohodu o mimosúdnom urovnaní, možno uplatniť len voči porušiteľom, ktorí takéto dohody neuzavreli.</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(2) Ak sa porušiteľ dohodol na urovnaní sporu a náhrade škody, nemôžu ostatní porušitelia od porušiteľa, ktorý uzavrel dohodu o mediácii alebo dohodu o mimosúdnom urovnaní</w:t>
      </w:r>
      <w:r w:rsidR="007C3AD9">
        <w:rPr>
          <w:rFonts w:ascii="Times New Roman" w:hAnsi="Times New Roman"/>
          <w:sz w:val="24"/>
          <w:szCs w:val="24"/>
        </w:rPr>
        <w:t>,</w:t>
      </w:r>
      <w:r w:rsidRPr="00801E87">
        <w:rPr>
          <w:rFonts w:ascii="Times New Roman" w:hAnsi="Times New Roman"/>
          <w:sz w:val="24"/>
          <w:szCs w:val="24"/>
        </w:rPr>
        <w:t xml:space="preserve"> požadovať, aby sa podieľal na uspokojení zvyšného nároku na náhradu škody. To neplatí, ak porušitelia, ktorí neuzavreli dohodu o mediácii alebo dohodu o mimosúdnom urovnaní, nie sú schopní uhradiť náhradu škody, ktorá zodpovedá zvyšnému nároku poškodenej osoby, ktorá uzavrela dohodu o mediácii alebo dohodu o mimosúdnom urovnaní. Nároku podľa predchádzajúcej vety sa môže poškodená osoba výslovne vzdať v dohode o mediácii alebo dohode o mimosúdnom urovnaní.</w:t>
      </w: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 </w:t>
      </w: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 xml:space="preserve">(3) Pri určení nároku porušiteľa na náhradu od ostatných porušiteľov podľa § </w:t>
      </w:r>
      <w:r w:rsidR="001C24E6">
        <w:rPr>
          <w:rFonts w:ascii="Times New Roman" w:hAnsi="Times New Roman"/>
          <w:sz w:val="24"/>
          <w:szCs w:val="24"/>
        </w:rPr>
        <w:t>6</w:t>
      </w:r>
      <w:r w:rsidRPr="00801E87" w:rsidR="001C24E6">
        <w:rPr>
          <w:rFonts w:ascii="Times New Roman" w:hAnsi="Times New Roman"/>
          <w:sz w:val="24"/>
          <w:szCs w:val="24"/>
        </w:rPr>
        <w:t xml:space="preserve"> </w:t>
      </w:r>
      <w:r w:rsidRPr="00801E87">
        <w:rPr>
          <w:rFonts w:ascii="Times New Roman" w:hAnsi="Times New Roman"/>
          <w:sz w:val="24"/>
          <w:szCs w:val="24"/>
        </w:rPr>
        <w:t>ods. 3 súd prihliadne na už zaplatenú náhradu škody podľa dohody o mediácii alebo dohody o mimosúdnom urovnaní, ktorých účastníkom bol niektorý z porušiteľov.</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center"/>
        <w:rPr>
          <w:rFonts w:ascii="Times New Roman" w:hAnsi="Times New Roman"/>
          <w:iCs/>
          <w:spacing w:val="30"/>
          <w:sz w:val="24"/>
          <w:szCs w:val="24"/>
        </w:rPr>
      </w:pPr>
      <w:r w:rsidRPr="00801E87">
        <w:rPr>
          <w:rFonts w:ascii="Times New Roman" w:hAnsi="Times New Roman"/>
          <w:iCs/>
          <w:spacing w:val="30"/>
          <w:sz w:val="24"/>
          <w:szCs w:val="24"/>
        </w:rPr>
        <w:t>Spoločné ustanovenia</w:t>
      </w:r>
    </w:p>
    <w:p w:rsidR="00801E87" w:rsidRPr="00801E87"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2</w:t>
      </w:r>
      <w:r w:rsidR="001C24E6">
        <w:rPr>
          <w:rFonts w:ascii="Times New Roman" w:hAnsi="Times New Roman"/>
          <w:iCs/>
          <w:sz w:val="24"/>
          <w:szCs w:val="24"/>
        </w:rPr>
        <w:t>1</w:t>
      </w: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p>
    <w:p w:rsidR="00801E87" w:rsidRPr="00801E87" w:rsidP="00801E87">
      <w:pPr>
        <w:bidi w:val="0"/>
        <w:spacing w:after="0" w:line="240" w:lineRule="auto"/>
        <w:ind w:firstLine="708"/>
        <w:jc w:val="both"/>
        <w:rPr>
          <w:rFonts w:ascii="Times New Roman" w:hAnsi="Times New Roman"/>
          <w:iCs/>
          <w:sz w:val="24"/>
          <w:szCs w:val="24"/>
        </w:rPr>
      </w:pPr>
      <w:r w:rsidRPr="00801E87">
        <w:rPr>
          <w:rFonts w:ascii="Times New Roman" w:hAnsi="Times New Roman"/>
          <w:iCs/>
          <w:sz w:val="24"/>
          <w:szCs w:val="24"/>
        </w:rPr>
        <w:t xml:space="preserve">Ak tento zákon v </w:t>
      </w:r>
      <w:r w:rsidRPr="00801E87">
        <w:rPr>
          <w:rFonts w:ascii="Times New Roman" w:hAnsi="Times New Roman"/>
          <w:bCs/>
          <w:sz w:val="24"/>
          <w:szCs w:val="24"/>
        </w:rPr>
        <w:t>§ 3 ods. 1 až 3, § 5</w:t>
      </w:r>
      <w:r w:rsidR="001C24E6">
        <w:rPr>
          <w:rFonts w:ascii="Times New Roman" w:hAnsi="Times New Roman"/>
          <w:bCs/>
          <w:sz w:val="24"/>
          <w:szCs w:val="24"/>
        </w:rPr>
        <w:t>, § 6</w:t>
      </w:r>
      <w:r w:rsidRPr="00801E87">
        <w:rPr>
          <w:rFonts w:ascii="Times New Roman" w:hAnsi="Times New Roman"/>
          <w:bCs/>
          <w:sz w:val="24"/>
          <w:szCs w:val="24"/>
        </w:rPr>
        <w:t xml:space="preserve">, § </w:t>
      </w:r>
      <w:r w:rsidR="001C24E6">
        <w:rPr>
          <w:rFonts w:ascii="Times New Roman" w:hAnsi="Times New Roman"/>
          <w:bCs/>
          <w:sz w:val="24"/>
          <w:szCs w:val="24"/>
        </w:rPr>
        <w:t>7</w:t>
      </w:r>
      <w:r w:rsidRPr="00801E87" w:rsidR="001C24E6">
        <w:rPr>
          <w:rFonts w:ascii="Times New Roman" w:hAnsi="Times New Roman"/>
          <w:bCs/>
          <w:sz w:val="24"/>
          <w:szCs w:val="24"/>
        </w:rPr>
        <w:t xml:space="preserve"> </w:t>
      </w:r>
      <w:r w:rsidRPr="00801E87">
        <w:rPr>
          <w:rFonts w:ascii="Times New Roman" w:hAnsi="Times New Roman"/>
          <w:bCs/>
          <w:sz w:val="24"/>
          <w:szCs w:val="24"/>
        </w:rPr>
        <w:t xml:space="preserve">ods. 1 a 2, § </w:t>
      </w:r>
      <w:r w:rsidR="001C24E6">
        <w:rPr>
          <w:rFonts w:ascii="Times New Roman" w:hAnsi="Times New Roman"/>
          <w:bCs/>
          <w:sz w:val="24"/>
          <w:szCs w:val="24"/>
        </w:rPr>
        <w:t>8</w:t>
      </w:r>
      <w:r w:rsidRPr="00801E87">
        <w:rPr>
          <w:rFonts w:ascii="Times New Roman" w:hAnsi="Times New Roman"/>
          <w:bCs/>
          <w:sz w:val="24"/>
          <w:szCs w:val="24"/>
        </w:rPr>
        <w:t xml:space="preserve">, § </w:t>
      </w:r>
      <w:r w:rsidR="001C24E6">
        <w:rPr>
          <w:rFonts w:ascii="Times New Roman" w:hAnsi="Times New Roman"/>
          <w:bCs/>
          <w:sz w:val="24"/>
          <w:szCs w:val="24"/>
        </w:rPr>
        <w:t>9</w:t>
      </w:r>
      <w:r w:rsidRPr="00801E87">
        <w:rPr>
          <w:rFonts w:ascii="Times New Roman" w:hAnsi="Times New Roman"/>
          <w:bCs/>
          <w:sz w:val="24"/>
          <w:szCs w:val="24"/>
        </w:rPr>
        <w:t xml:space="preserve">, § </w:t>
      </w:r>
      <w:r w:rsidRPr="00801E87" w:rsidR="001C24E6">
        <w:rPr>
          <w:rFonts w:ascii="Times New Roman" w:hAnsi="Times New Roman"/>
          <w:bCs/>
          <w:sz w:val="24"/>
          <w:szCs w:val="24"/>
        </w:rPr>
        <w:t>2</w:t>
      </w:r>
      <w:r w:rsidR="001C24E6">
        <w:rPr>
          <w:rFonts w:ascii="Times New Roman" w:hAnsi="Times New Roman"/>
          <w:bCs/>
          <w:sz w:val="24"/>
          <w:szCs w:val="24"/>
        </w:rPr>
        <w:t>0</w:t>
      </w:r>
      <w:r w:rsidRPr="00801E87" w:rsidR="001C24E6">
        <w:rPr>
          <w:rFonts w:ascii="Times New Roman" w:hAnsi="Times New Roman"/>
          <w:bCs/>
          <w:sz w:val="24"/>
          <w:szCs w:val="24"/>
        </w:rPr>
        <w:t xml:space="preserve"> </w:t>
      </w:r>
      <w:r w:rsidRPr="00801E87">
        <w:rPr>
          <w:rFonts w:ascii="Times New Roman" w:hAnsi="Times New Roman"/>
          <w:iCs/>
          <w:sz w:val="24"/>
          <w:szCs w:val="24"/>
        </w:rPr>
        <w:t xml:space="preserve">neustanovuje inak, použije sa na právne vzťahy súvisiace s náhradou škody vzniknutou porušením práva </w:t>
      </w:r>
      <w:r w:rsidRPr="00801E87">
        <w:rPr>
          <w:rFonts w:ascii="Times New Roman" w:hAnsi="Times New Roman"/>
          <w:sz w:val="24"/>
          <w:szCs w:val="24"/>
        </w:rPr>
        <w:t>hospodárskej súťaže</w:t>
      </w:r>
      <w:r w:rsidRPr="00801E87">
        <w:rPr>
          <w:rFonts w:ascii="Times New Roman" w:hAnsi="Times New Roman"/>
          <w:iCs/>
          <w:sz w:val="24"/>
          <w:szCs w:val="24"/>
        </w:rPr>
        <w:t xml:space="preserve"> Obchodný zákonník.</w:t>
      </w:r>
    </w:p>
    <w:p w:rsidR="00801E87" w:rsidRPr="00801E87" w:rsidP="00801E87">
      <w:pPr>
        <w:bidi w:val="0"/>
        <w:spacing w:after="0" w:line="240" w:lineRule="auto"/>
        <w:jc w:val="both"/>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2</w:t>
      </w:r>
      <w:r w:rsidR="001C24E6">
        <w:rPr>
          <w:rFonts w:ascii="Times New Roman" w:hAnsi="Times New Roman"/>
          <w:iCs/>
          <w:sz w:val="24"/>
          <w:szCs w:val="24"/>
        </w:rPr>
        <w:t>2</w:t>
      </w:r>
    </w:p>
    <w:p w:rsidR="00801E87" w:rsidRPr="00801E87" w:rsidP="00801E87">
      <w:pPr>
        <w:bidi w:val="0"/>
        <w:spacing w:after="0" w:line="240" w:lineRule="auto"/>
        <w:jc w:val="center"/>
        <w:rPr>
          <w:rFonts w:ascii="Times New Roman" w:hAnsi="Times New Roman"/>
          <w:iCs/>
          <w:sz w:val="24"/>
          <w:szCs w:val="24"/>
        </w:rPr>
      </w:pPr>
    </w:p>
    <w:p w:rsidR="00801E87" w:rsidRPr="00801E87" w:rsidP="00801E87">
      <w:pPr>
        <w:bidi w:val="0"/>
        <w:spacing w:after="0" w:line="240" w:lineRule="auto"/>
        <w:ind w:firstLine="708"/>
        <w:jc w:val="both"/>
        <w:rPr>
          <w:rFonts w:ascii="Times New Roman" w:hAnsi="Times New Roman"/>
          <w:iCs/>
          <w:sz w:val="24"/>
          <w:szCs w:val="24"/>
        </w:rPr>
      </w:pPr>
      <w:r w:rsidRPr="00801E87">
        <w:rPr>
          <w:rFonts w:ascii="Times New Roman" w:hAnsi="Times New Roman"/>
          <w:iCs/>
          <w:sz w:val="24"/>
          <w:szCs w:val="24"/>
        </w:rPr>
        <w:t xml:space="preserve">Pri uplatnení nároku na náhradu škody </w:t>
      </w:r>
      <w:r w:rsidR="00364E9F">
        <w:rPr>
          <w:rFonts w:ascii="Times New Roman" w:hAnsi="Times New Roman"/>
          <w:iCs/>
          <w:sz w:val="24"/>
          <w:szCs w:val="24"/>
        </w:rPr>
        <w:t>spôsobenej</w:t>
      </w:r>
      <w:r w:rsidRPr="00801E87" w:rsidR="00364E9F">
        <w:rPr>
          <w:rFonts w:ascii="Times New Roman" w:hAnsi="Times New Roman"/>
          <w:iCs/>
          <w:sz w:val="24"/>
          <w:szCs w:val="24"/>
        </w:rPr>
        <w:t xml:space="preserve"> </w:t>
      </w:r>
      <w:r w:rsidRPr="00801E87">
        <w:rPr>
          <w:rFonts w:ascii="Times New Roman" w:hAnsi="Times New Roman"/>
          <w:iCs/>
          <w:sz w:val="24"/>
          <w:szCs w:val="24"/>
        </w:rPr>
        <w:t xml:space="preserve">porušením práva </w:t>
      </w:r>
      <w:r w:rsidRPr="00801E87">
        <w:rPr>
          <w:rFonts w:ascii="Times New Roman" w:hAnsi="Times New Roman"/>
          <w:sz w:val="24"/>
          <w:szCs w:val="24"/>
        </w:rPr>
        <w:t>hospodárskej súťaže</w:t>
      </w:r>
      <w:r w:rsidRPr="00801E87">
        <w:rPr>
          <w:rFonts w:ascii="Times New Roman" w:hAnsi="Times New Roman"/>
          <w:iCs/>
          <w:sz w:val="24"/>
          <w:szCs w:val="24"/>
        </w:rPr>
        <w:t xml:space="preserve"> sa postupuje podľa Civilného sporového poriadku, ak tento zákon v </w:t>
      </w:r>
      <w:r w:rsidRPr="00801E87">
        <w:rPr>
          <w:rFonts w:ascii="Times New Roman" w:hAnsi="Times New Roman"/>
          <w:bCs/>
          <w:sz w:val="24"/>
          <w:szCs w:val="24"/>
        </w:rPr>
        <w:t xml:space="preserve">§ 3 ods. 4, § 4, § </w:t>
      </w:r>
      <w:r w:rsidR="001C24E6">
        <w:rPr>
          <w:rFonts w:ascii="Times New Roman" w:hAnsi="Times New Roman"/>
          <w:bCs/>
          <w:sz w:val="24"/>
          <w:szCs w:val="24"/>
        </w:rPr>
        <w:t>7</w:t>
      </w:r>
      <w:r w:rsidRPr="00801E87" w:rsidR="001C24E6">
        <w:rPr>
          <w:rFonts w:ascii="Times New Roman" w:hAnsi="Times New Roman"/>
          <w:bCs/>
          <w:sz w:val="24"/>
          <w:szCs w:val="24"/>
        </w:rPr>
        <w:t xml:space="preserve"> </w:t>
      </w:r>
      <w:r w:rsidRPr="00801E87">
        <w:rPr>
          <w:rFonts w:ascii="Times New Roman" w:hAnsi="Times New Roman"/>
          <w:bCs/>
          <w:sz w:val="24"/>
          <w:szCs w:val="24"/>
        </w:rPr>
        <w:t xml:space="preserve">ods. 3, § </w:t>
      </w:r>
      <w:r w:rsidR="001C24E6">
        <w:rPr>
          <w:rFonts w:ascii="Times New Roman" w:hAnsi="Times New Roman"/>
          <w:bCs/>
          <w:sz w:val="24"/>
          <w:szCs w:val="24"/>
        </w:rPr>
        <w:t>10</w:t>
      </w:r>
      <w:r w:rsidRPr="00801E87" w:rsidR="001C24E6">
        <w:rPr>
          <w:rFonts w:ascii="Times New Roman" w:hAnsi="Times New Roman"/>
          <w:bCs/>
          <w:sz w:val="24"/>
          <w:szCs w:val="24"/>
        </w:rPr>
        <w:t xml:space="preserve"> </w:t>
      </w:r>
      <w:r w:rsidRPr="00801E87">
        <w:rPr>
          <w:rFonts w:ascii="Times New Roman" w:hAnsi="Times New Roman"/>
          <w:bCs/>
          <w:sz w:val="24"/>
          <w:szCs w:val="24"/>
        </w:rPr>
        <w:t xml:space="preserve">až </w:t>
      </w:r>
      <w:r w:rsidR="001C24E6">
        <w:rPr>
          <w:rFonts w:ascii="Times New Roman" w:hAnsi="Times New Roman"/>
          <w:bCs/>
          <w:sz w:val="24"/>
          <w:szCs w:val="24"/>
        </w:rPr>
        <w:t>14</w:t>
      </w:r>
      <w:r w:rsidRPr="00801E87">
        <w:rPr>
          <w:rFonts w:ascii="Times New Roman" w:hAnsi="Times New Roman"/>
          <w:bCs/>
          <w:sz w:val="24"/>
          <w:szCs w:val="24"/>
        </w:rPr>
        <w:t xml:space="preserve">, § </w:t>
      </w:r>
      <w:r w:rsidRPr="00801E87" w:rsidR="001C24E6">
        <w:rPr>
          <w:rFonts w:ascii="Times New Roman" w:hAnsi="Times New Roman"/>
          <w:bCs/>
          <w:sz w:val="24"/>
          <w:szCs w:val="24"/>
        </w:rPr>
        <w:t>1</w:t>
      </w:r>
      <w:r w:rsidR="001C24E6">
        <w:rPr>
          <w:rFonts w:ascii="Times New Roman" w:hAnsi="Times New Roman"/>
          <w:bCs/>
          <w:sz w:val="24"/>
          <w:szCs w:val="24"/>
        </w:rPr>
        <w:t>6</w:t>
      </w:r>
      <w:r w:rsidRPr="00801E87" w:rsidR="001C24E6">
        <w:rPr>
          <w:rFonts w:ascii="Times New Roman" w:hAnsi="Times New Roman"/>
          <w:bCs/>
          <w:sz w:val="24"/>
          <w:szCs w:val="24"/>
        </w:rPr>
        <w:t xml:space="preserve"> </w:t>
      </w:r>
      <w:r w:rsidRPr="00801E87">
        <w:rPr>
          <w:rFonts w:ascii="Times New Roman" w:hAnsi="Times New Roman"/>
          <w:bCs/>
          <w:sz w:val="24"/>
          <w:szCs w:val="24"/>
        </w:rPr>
        <w:t xml:space="preserve">až </w:t>
      </w:r>
      <w:r w:rsidR="001C24E6">
        <w:rPr>
          <w:rFonts w:ascii="Times New Roman" w:hAnsi="Times New Roman"/>
          <w:bCs/>
          <w:sz w:val="24"/>
          <w:szCs w:val="24"/>
        </w:rPr>
        <w:t>19</w:t>
      </w:r>
      <w:r w:rsidRPr="00801E87" w:rsidR="001C24E6">
        <w:rPr>
          <w:rFonts w:ascii="Times New Roman" w:hAnsi="Times New Roman"/>
          <w:bCs/>
          <w:sz w:val="24"/>
          <w:szCs w:val="24"/>
        </w:rPr>
        <w:t xml:space="preserve"> </w:t>
      </w:r>
      <w:r w:rsidRPr="00801E87">
        <w:rPr>
          <w:rFonts w:ascii="Times New Roman" w:hAnsi="Times New Roman"/>
          <w:iCs/>
          <w:sz w:val="24"/>
          <w:szCs w:val="24"/>
        </w:rPr>
        <w:t>neustanovuje inak.</w:t>
      </w:r>
    </w:p>
    <w:p w:rsidR="00801E87" w:rsidRPr="00801E87" w:rsidP="00801E87">
      <w:pPr>
        <w:bidi w:val="0"/>
        <w:spacing w:after="0" w:line="240" w:lineRule="auto"/>
        <w:ind w:firstLine="708"/>
        <w:jc w:val="both"/>
        <w:rPr>
          <w:rFonts w:ascii="Times New Roman" w:hAnsi="Times New Roman"/>
          <w:iCs/>
          <w:sz w:val="24"/>
          <w:szCs w:val="24"/>
        </w:rPr>
      </w:pP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2</w:t>
      </w:r>
      <w:r w:rsidR="001C24E6">
        <w:rPr>
          <w:rFonts w:ascii="Times New Roman" w:hAnsi="Times New Roman"/>
          <w:iCs/>
          <w:sz w:val="24"/>
          <w:szCs w:val="24"/>
        </w:rPr>
        <w:t>3</w:t>
      </w: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Prechodné ustanovenia</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ind w:firstLine="708"/>
        <w:jc w:val="both"/>
        <w:rPr>
          <w:rFonts w:ascii="Times New Roman" w:hAnsi="Times New Roman"/>
          <w:iCs/>
          <w:sz w:val="24"/>
          <w:szCs w:val="24"/>
        </w:rPr>
      </w:pPr>
      <w:r w:rsidRPr="00801E87">
        <w:rPr>
          <w:rFonts w:ascii="Times New Roman" w:hAnsi="Times New Roman"/>
          <w:iCs/>
          <w:sz w:val="24"/>
          <w:szCs w:val="24"/>
        </w:rPr>
        <w:t>(1) Ustanovenia tohto zákona sa použijú na nároky na náhradu škody vzniknuté po 26. decembri 2016.</w:t>
      </w:r>
    </w:p>
    <w:p w:rsidR="00801E87" w:rsidRPr="00801E87" w:rsidP="00801E87">
      <w:pPr>
        <w:bidi w:val="0"/>
        <w:spacing w:after="0" w:line="240" w:lineRule="auto"/>
        <w:ind w:firstLine="708"/>
        <w:jc w:val="both"/>
        <w:rPr>
          <w:rFonts w:ascii="Times New Roman" w:hAnsi="Times New Roman"/>
          <w:iCs/>
          <w:sz w:val="24"/>
          <w:szCs w:val="24"/>
        </w:rPr>
      </w:pPr>
    </w:p>
    <w:p w:rsidR="00801E87" w:rsidRPr="00801E87" w:rsidP="00801E87">
      <w:pPr>
        <w:bidi w:val="0"/>
        <w:spacing w:after="0" w:line="240" w:lineRule="auto"/>
        <w:ind w:firstLine="708"/>
        <w:jc w:val="both"/>
        <w:rPr>
          <w:rFonts w:ascii="Times New Roman" w:hAnsi="Times New Roman"/>
          <w:iCs/>
          <w:sz w:val="24"/>
          <w:szCs w:val="24"/>
        </w:rPr>
      </w:pPr>
      <w:r w:rsidRPr="00801E87">
        <w:rPr>
          <w:rFonts w:ascii="Times New Roman" w:hAnsi="Times New Roman"/>
          <w:iCs/>
          <w:sz w:val="24"/>
          <w:szCs w:val="24"/>
        </w:rPr>
        <w:t>(2) Ustanovenia tohto zákona sa použijú na konania o náhradu škody začaté po 26. decembri 2016.</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 xml:space="preserve">§ </w:t>
      </w:r>
      <w:r w:rsidRPr="00801E87" w:rsidR="001C24E6">
        <w:rPr>
          <w:rFonts w:ascii="Times New Roman" w:hAnsi="Times New Roman"/>
          <w:iCs/>
          <w:sz w:val="24"/>
          <w:szCs w:val="24"/>
        </w:rPr>
        <w:t>2</w:t>
      </w:r>
      <w:r w:rsidR="001C24E6">
        <w:rPr>
          <w:rFonts w:ascii="Times New Roman" w:hAnsi="Times New Roman"/>
          <w:iCs/>
          <w:sz w:val="24"/>
          <w:szCs w:val="24"/>
        </w:rPr>
        <w:t>4</w:t>
      </w:r>
    </w:p>
    <w:p w:rsidR="00801E87" w:rsidRPr="00801E87" w:rsidP="00801E87">
      <w:pPr>
        <w:bidi w:val="0"/>
        <w:spacing w:after="0" w:line="240" w:lineRule="auto"/>
        <w:jc w:val="center"/>
        <w:rPr>
          <w:rFonts w:ascii="Times New Roman" w:hAnsi="Times New Roman"/>
          <w:iCs/>
          <w:sz w:val="24"/>
          <w:szCs w:val="24"/>
        </w:rPr>
      </w:pPr>
      <w:r w:rsidRPr="00801E87">
        <w:rPr>
          <w:rFonts w:ascii="Times New Roman" w:hAnsi="Times New Roman"/>
          <w:iCs/>
          <w:sz w:val="24"/>
          <w:szCs w:val="24"/>
        </w:rPr>
        <w:t>Záverečné ustanovenie</w:t>
      </w:r>
    </w:p>
    <w:p w:rsidR="00801E87" w:rsidRPr="00801E87" w:rsidP="00801E87">
      <w:pPr>
        <w:bidi w:val="0"/>
        <w:spacing w:after="0" w:line="240" w:lineRule="auto"/>
        <w:jc w:val="both"/>
        <w:rPr>
          <w:rFonts w:ascii="Times New Roman" w:hAnsi="Times New Roman"/>
          <w:iCs/>
          <w:sz w:val="24"/>
          <w:szCs w:val="24"/>
        </w:rPr>
      </w:pPr>
    </w:p>
    <w:p w:rsidR="00801E87" w:rsidRPr="00801E87" w:rsidP="00801E87">
      <w:pPr>
        <w:bidi w:val="0"/>
        <w:spacing w:after="0" w:line="240" w:lineRule="auto"/>
        <w:ind w:firstLine="708"/>
        <w:jc w:val="both"/>
        <w:rPr>
          <w:rFonts w:ascii="Times New Roman" w:hAnsi="Times New Roman"/>
          <w:iCs/>
          <w:sz w:val="24"/>
          <w:szCs w:val="24"/>
        </w:rPr>
      </w:pPr>
      <w:r w:rsidRPr="00801E87">
        <w:rPr>
          <w:rFonts w:ascii="Times New Roman" w:hAnsi="Times New Roman"/>
          <w:iCs/>
          <w:sz w:val="24"/>
          <w:szCs w:val="24"/>
        </w:rPr>
        <w:t xml:space="preserve">Týmto zákonom sa preberajú právne záväzné akty Európskej únie uvedené v prílohe. </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b/>
          <w:sz w:val="24"/>
          <w:szCs w:val="24"/>
        </w:rPr>
      </w:pPr>
      <w:r w:rsidRPr="00801E87">
        <w:rPr>
          <w:rFonts w:ascii="Times New Roman" w:hAnsi="Times New Roman"/>
          <w:b/>
          <w:sz w:val="24"/>
          <w:szCs w:val="24"/>
        </w:rPr>
        <w:t>Čl. II</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Zákon č. 136/2001 Z. z. o ochrane hospodárskej súťaže a o zmene a doplnení zákona Slovenskej národnej rady č. 347/1990 Zb. o organizácii ministerstiev a ostatných ústredných orgánov štátnej správy Slovenskej republiky v znení neskorších predpisov v znení zákona č. 465/2002 Z. z., zákona č. 204/2004 Z. z., zákona č. 68/2005 Z. z., zákona č. 165/2009 Z. z., zákona č. 387/2011 Z. z., zákona č. 151/2014 Z. z., zákona č. 343/2015 Z. z. a zákona č. 125/2016 Z. z. sa mení a dopĺňa takto:</w:t>
      </w:r>
    </w:p>
    <w:p w:rsidR="00801E87" w:rsidRPr="00801E87" w:rsidP="00801E87">
      <w:pPr>
        <w:bidi w:val="0"/>
        <w:spacing w:after="0" w:line="240" w:lineRule="auto"/>
        <w:jc w:val="both"/>
        <w:rPr>
          <w:rFonts w:ascii="Times New Roman" w:hAnsi="Times New Roman"/>
          <w:b/>
          <w:sz w:val="24"/>
          <w:szCs w:val="24"/>
        </w:rPr>
      </w:pP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1. V § 22 sa odsek 1 dopĺňa písmenom n), ktoré znie:</w:t>
      </w: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„n) poskytuje súdu stanovisko k návrhu na predloženie dôkazov z jeho spisu, k primeranosti takéhoto návrhu, k otázke sprístupnenia týchto dôkazov v súdnom konaní o náhradu škody podľa osobitného predpisu</w:t>
      </w:r>
      <w:r w:rsidRPr="00801E87">
        <w:rPr>
          <w:rFonts w:ascii="Times New Roman" w:hAnsi="Times New Roman"/>
          <w:sz w:val="24"/>
          <w:szCs w:val="24"/>
          <w:vertAlign w:val="superscript"/>
        </w:rPr>
        <w:t>22ba</w:t>
      </w:r>
      <w:r w:rsidRPr="00801E87">
        <w:rPr>
          <w:rFonts w:ascii="Times New Roman" w:hAnsi="Times New Roman"/>
          <w:sz w:val="24"/>
          <w:szCs w:val="24"/>
        </w:rPr>
        <w:t>) a v rozsahu svojej pôsobnosti poskytuje ďalšiu spoluprácu súdu v konaní o náhradu škody, ak to uzná za vhodné.“.</w:t>
      </w:r>
    </w:p>
    <w:p w:rsidR="003C3D76"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Poznámka pod čiarou k odkazu 22ba znie:</w:t>
      </w: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w:t>
      </w:r>
      <w:r w:rsidRPr="00801E87">
        <w:rPr>
          <w:rFonts w:ascii="Times New Roman" w:hAnsi="Times New Roman"/>
          <w:sz w:val="24"/>
          <w:szCs w:val="24"/>
          <w:vertAlign w:val="superscript"/>
        </w:rPr>
        <w:t>22ba</w:t>
      </w:r>
      <w:r w:rsidRPr="00801E87">
        <w:rPr>
          <w:rFonts w:ascii="Times New Roman" w:hAnsi="Times New Roman"/>
          <w:sz w:val="24"/>
          <w:szCs w:val="24"/>
        </w:rPr>
        <w:t xml:space="preserve">) Zákon č. .../2016 Z. z. o niektorých pravidlách uplatňovania nárokov na náhradu škody </w:t>
      </w:r>
      <w:r w:rsidR="0011317B">
        <w:rPr>
          <w:rFonts w:ascii="Times New Roman" w:hAnsi="Times New Roman"/>
          <w:sz w:val="24"/>
          <w:szCs w:val="24"/>
        </w:rPr>
        <w:t>spôsobenej</w:t>
      </w:r>
      <w:r w:rsidRPr="00801E87" w:rsidR="0011317B">
        <w:rPr>
          <w:rFonts w:ascii="Times New Roman" w:hAnsi="Times New Roman"/>
          <w:sz w:val="24"/>
          <w:szCs w:val="24"/>
        </w:rPr>
        <w:t xml:space="preserve"> </w:t>
      </w:r>
      <w:r w:rsidRPr="00801E87">
        <w:rPr>
          <w:rFonts w:ascii="Times New Roman" w:hAnsi="Times New Roman"/>
          <w:sz w:val="24"/>
          <w:szCs w:val="24"/>
        </w:rPr>
        <w:t>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2. V § 38 ods. 3 sa na konci pripája táto veta: „Úrad môže pri ukladaní pokuty zohľadniť ako poľahčujúcu okolnosť aj skutočnosť, že náhrada škody bola uhradená na základe dohody o mediácii alebo dohody o mimosúdnom urovnaní pred vydaním rozhodnutia úradu o uložení pokuty.“.</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both"/>
        <w:rPr>
          <w:rFonts w:ascii="Times New Roman" w:hAnsi="Times New Roman"/>
          <w:sz w:val="24"/>
          <w:szCs w:val="24"/>
        </w:rPr>
      </w:pPr>
      <w:r w:rsidRPr="00801E87">
        <w:rPr>
          <w:rFonts w:ascii="Times New Roman" w:hAnsi="Times New Roman"/>
          <w:sz w:val="24"/>
          <w:szCs w:val="24"/>
        </w:rPr>
        <w:t>3. Deviata časť vrátane nadpisu sa vypúšťa.</w:t>
      </w:r>
    </w:p>
    <w:p w:rsidR="00801E87" w:rsidRPr="00801E87" w:rsidP="00801E87">
      <w:pPr>
        <w:bidi w:val="0"/>
        <w:spacing w:after="0" w:line="240" w:lineRule="auto"/>
        <w:jc w:val="both"/>
        <w:rPr>
          <w:rFonts w:ascii="Times New Roman" w:hAnsi="Times New Roman"/>
          <w:sz w:val="24"/>
          <w:szCs w:val="24"/>
        </w:rPr>
      </w:pPr>
    </w:p>
    <w:p w:rsidR="00801E87" w:rsidRPr="00801E87" w:rsidP="00801E87">
      <w:pPr>
        <w:bidi w:val="0"/>
        <w:spacing w:after="0" w:line="240" w:lineRule="auto"/>
        <w:jc w:val="both"/>
        <w:rPr>
          <w:rFonts w:ascii="Times New Roman" w:hAnsi="Times New Roman"/>
          <w:b/>
          <w:bCs/>
          <w:color w:val="000000"/>
          <w:sz w:val="24"/>
          <w:szCs w:val="24"/>
        </w:rPr>
      </w:pPr>
      <w:r w:rsidRPr="00801E87">
        <w:rPr>
          <w:rFonts w:ascii="Times New Roman" w:hAnsi="Times New Roman"/>
          <w:sz w:val="24"/>
          <w:szCs w:val="24"/>
        </w:rPr>
        <w:t>4. Za § 44e sa vkladá § 44f, ktorý vrátane nadpisu znie:</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jc w:val="center"/>
        <w:rPr>
          <w:rFonts w:ascii="Times New Roman" w:hAnsi="Times New Roman"/>
          <w:sz w:val="24"/>
          <w:szCs w:val="24"/>
        </w:rPr>
      </w:pPr>
      <w:r w:rsidRPr="00801E87">
        <w:rPr>
          <w:rFonts w:ascii="Times New Roman" w:hAnsi="Times New Roman"/>
          <w:sz w:val="24"/>
          <w:szCs w:val="24"/>
        </w:rPr>
        <w:t>„§ 44f</w:t>
      </w:r>
    </w:p>
    <w:p w:rsidR="00801E87" w:rsidRPr="00801E87" w:rsidP="00801E87">
      <w:pPr>
        <w:bidi w:val="0"/>
        <w:spacing w:after="0" w:line="240" w:lineRule="auto"/>
        <w:jc w:val="center"/>
        <w:rPr>
          <w:rFonts w:ascii="Times New Roman" w:hAnsi="Times New Roman"/>
          <w:sz w:val="24"/>
          <w:szCs w:val="24"/>
        </w:rPr>
      </w:pPr>
      <w:r w:rsidRPr="00801E87">
        <w:rPr>
          <w:rFonts w:ascii="Times New Roman" w:hAnsi="Times New Roman"/>
          <w:sz w:val="24"/>
          <w:szCs w:val="24"/>
        </w:rPr>
        <w:t>Prechodné ustanovenie k úpravám účinným od 27. decembra 2016</w:t>
      </w:r>
    </w:p>
    <w:p w:rsidR="00801E87" w:rsidRPr="00801E87" w:rsidP="00801E87">
      <w:pPr>
        <w:bidi w:val="0"/>
        <w:spacing w:after="0" w:line="240" w:lineRule="auto"/>
        <w:ind w:firstLine="708"/>
        <w:jc w:val="both"/>
        <w:rPr>
          <w:rFonts w:ascii="Times New Roman" w:hAnsi="Times New Roman"/>
          <w:sz w:val="24"/>
          <w:szCs w:val="24"/>
        </w:rPr>
      </w:pPr>
    </w:p>
    <w:p w:rsidR="00801E87" w:rsidRPr="00801E87" w:rsidP="00801E87">
      <w:pPr>
        <w:bidi w:val="0"/>
        <w:spacing w:after="0" w:line="240" w:lineRule="auto"/>
        <w:ind w:firstLine="708"/>
        <w:jc w:val="both"/>
        <w:rPr>
          <w:rFonts w:ascii="Times New Roman" w:hAnsi="Times New Roman"/>
          <w:b/>
          <w:sz w:val="24"/>
          <w:szCs w:val="24"/>
        </w:rPr>
      </w:pPr>
      <w:r w:rsidRPr="00801E87">
        <w:rPr>
          <w:rFonts w:ascii="Times New Roman" w:hAnsi="Times New Roman"/>
          <w:sz w:val="24"/>
          <w:szCs w:val="24"/>
        </w:rPr>
        <w:t>Právne vzťahy vzniknuté do 26. decembra 2016 podľa deviatej časti tohto zákona sa spravujú podľa doterajších predpisov.“.</w:t>
      </w:r>
    </w:p>
    <w:p w:rsidR="00801E87" w:rsidRPr="00801E87" w:rsidP="00801E87">
      <w:pPr>
        <w:bidi w:val="0"/>
        <w:spacing w:after="0" w:line="240" w:lineRule="auto"/>
        <w:jc w:val="center"/>
        <w:rPr>
          <w:rFonts w:ascii="Times New Roman" w:hAnsi="Times New Roman"/>
          <w:b/>
          <w:sz w:val="24"/>
          <w:szCs w:val="24"/>
        </w:rPr>
      </w:pPr>
    </w:p>
    <w:p w:rsidR="003C3D76">
      <w:pPr>
        <w:bidi w:val="0"/>
        <w:rPr>
          <w:rFonts w:ascii="Times New Roman" w:hAnsi="Times New Roman"/>
          <w:b/>
          <w:sz w:val="24"/>
          <w:szCs w:val="24"/>
        </w:rPr>
      </w:pPr>
      <w:r>
        <w:rPr>
          <w:rFonts w:ascii="Times New Roman" w:hAnsi="Times New Roman"/>
          <w:b/>
          <w:sz w:val="24"/>
          <w:szCs w:val="24"/>
        </w:rPr>
        <w:br w:type="page"/>
      </w:r>
    </w:p>
    <w:p w:rsidR="00801E87" w:rsidRPr="00801E87" w:rsidP="00801E87">
      <w:pPr>
        <w:bidi w:val="0"/>
        <w:spacing w:after="0" w:line="240" w:lineRule="auto"/>
        <w:jc w:val="center"/>
        <w:rPr>
          <w:rFonts w:ascii="Times New Roman" w:hAnsi="Times New Roman"/>
          <w:b/>
          <w:sz w:val="24"/>
          <w:szCs w:val="24"/>
        </w:rPr>
      </w:pPr>
      <w:r w:rsidRPr="00801E87">
        <w:rPr>
          <w:rFonts w:ascii="Times New Roman" w:hAnsi="Times New Roman"/>
          <w:b/>
          <w:sz w:val="24"/>
          <w:szCs w:val="24"/>
        </w:rPr>
        <w:t>Čl. III</w:t>
      </w:r>
    </w:p>
    <w:p w:rsidR="00801E87" w:rsidRPr="00801E87" w:rsidP="00801E87">
      <w:pPr>
        <w:bidi w:val="0"/>
        <w:spacing w:after="0" w:line="240" w:lineRule="auto"/>
        <w:jc w:val="center"/>
        <w:rPr>
          <w:rFonts w:ascii="Times New Roman" w:hAnsi="Times New Roman"/>
          <w:b/>
          <w:sz w:val="24"/>
          <w:szCs w:val="24"/>
        </w:rPr>
      </w:pPr>
      <w:r w:rsidRPr="00801E87">
        <w:rPr>
          <w:rFonts w:ascii="Times New Roman" w:hAnsi="Times New Roman"/>
          <w:b/>
          <w:sz w:val="24"/>
          <w:szCs w:val="24"/>
        </w:rPr>
        <w:t>Účinnosť</w:t>
      </w:r>
    </w:p>
    <w:p w:rsidR="00801E87" w:rsidRPr="00801E87" w:rsidP="00801E87">
      <w:pPr>
        <w:bidi w:val="0"/>
        <w:spacing w:after="0" w:line="240" w:lineRule="auto"/>
        <w:jc w:val="center"/>
        <w:rPr>
          <w:rFonts w:ascii="Times New Roman" w:hAnsi="Times New Roman"/>
          <w:b/>
          <w:sz w:val="24"/>
          <w:szCs w:val="24"/>
        </w:rPr>
      </w:pPr>
    </w:p>
    <w:p w:rsidR="00801E87" w:rsidRPr="00801E87" w:rsidP="00801E87">
      <w:pPr>
        <w:bidi w:val="0"/>
        <w:spacing w:after="0" w:line="240" w:lineRule="auto"/>
        <w:ind w:firstLine="708"/>
        <w:jc w:val="both"/>
        <w:rPr>
          <w:rFonts w:ascii="Times New Roman" w:hAnsi="Times New Roman"/>
          <w:sz w:val="24"/>
          <w:szCs w:val="24"/>
        </w:rPr>
      </w:pPr>
      <w:r w:rsidRPr="00801E87">
        <w:rPr>
          <w:rFonts w:ascii="Times New Roman" w:hAnsi="Times New Roman"/>
          <w:sz w:val="24"/>
          <w:szCs w:val="24"/>
        </w:rPr>
        <w:t>Tento zákon nadobúda účinnosť 27. decembra 2016.</w:t>
      </w:r>
    </w:p>
    <w:p w:rsidR="00801E87" w:rsidRPr="00801E87" w:rsidP="00801E87">
      <w:pPr>
        <w:bidi w:val="0"/>
        <w:spacing w:after="0" w:line="240" w:lineRule="auto"/>
        <w:jc w:val="both"/>
        <w:rPr>
          <w:rFonts w:ascii="Times New Roman" w:hAnsi="Times New Roman"/>
          <w:strike/>
          <w:sz w:val="24"/>
          <w:szCs w:val="24"/>
        </w:rPr>
      </w:pPr>
    </w:p>
    <w:p w:rsidR="003C3D76" w:rsidRPr="003C3D76" w:rsidP="003C3D76">
      <w:pPr>
        <w:bidi w:val="0"/>
        <w:rPr>
          <w:rFonts w:ascii="Times New Roman" w:hAnsi="Times New Roman"/>
          <w:sz w:val="24"/>
          <w:szCs w:val="24"/>
        </w:rPr>
      </w:pPr>
    </w:p>
    <w:p w:rsidR="003C3D76" w:rsidRPr="003C3D76" w:rsidP="003C3D76">
      <w:pPr>
        <w:bidi w:val="0"/>
        <w:rPr>
          <w:rFonts w:ascii="Times New Roman" w:hAnsi="Times New Roman"/>
          <w:sz w:val="24"/>
          <w:szCs w:val="24"/>
        </w:rPr>
      </w:pPr>
    </w:p>
    <w:p w:rsidR="003C3D76" w:rsidP="003C3D76">
      <w:pPr>
        <w:bidi w:val="0"/>
        <w:rPr>
          <w:rFonts w:ascii="Times New Roman" w:hAnsi="Times New Roman"/>
          <w:sz w:val="24"/>
          <w:szCs w:val="24"/>
        </w:rPr>
      </w:pPr>
    </w:p>
    <w:p w:rsidR="00AE0FB1" w:rsidP="003C3D76">
      <w:pPr>
        <w:bidi w:val="0"/>
        <w:rPr>
          <w:rFonts w:ascii="Times New Roman" w:hAnsi="Times New Roman"/>
          <w:sz w:val="24"/>
          <w:szCs w:val="24"/>
        </w:rPr>
      </w:pPr>
    </w:p>
    <w:p w:rsidR="00AE0FB1" w:rsidRPr="003C3D76" w:rsidP="003C3D76">
      <w:pPr>
        <w:bidi w:val="0"/>
        <w:rPr>
          <w:rFonts w:ascii="Times New Roman" w:hAnsi="Times New Roman"/>
          <w:sz w:val="24"/>
          <w:szCs w:val="24"/>
        </w:rPr>
      </w:pPr>
    </w:p>
    <w:p w:rsidR="003C3D76" w:rsidRPr="003C3D76" w:rsidP="003C3D76">
      <w:pPr>
        <w:bidi w:val="0"/>
        <w:jc w:val="center"/>
        <w:rPr>
          <w:rFonts w:ascii="Times New Roman" w:hAnsi="Times New Roman"/>
          <w:sz w:val="24"/>
          <w:szCs w:val="24"/>
        </w:rPr>
      </w:pPr>
      <w:r w:rsidRPr="003C3D76">
        <w:rPr>
          <w:rFonts w:ascii="Times New Roman" w:hAnsi="Times New Roman"/>
          <w:sz w:val="24"/>
          <w:szCs w:val="24"/>
        </w:rPr>
        <w:t>prezident Slovenskej republiky</w:t>
      </w:r>
    </w:p>
    <w:p w:rsidR="003C3D76" w:rsidRPr="003C3D76" w:rsidP="003C3D76">
      <w:pPr>
        <w:bidi w:val="0"/>
        <w:rPr>
          <w:rFonts w:ascii="Times New Roman" w:hAnsi="Times New Roman"/>
          <w:sz w:val="24"/>
          <w:szCs w:val="24"/>
        </w:rPr>
      </w:pPr>
    </w:p>
    <w:p w:rsidR="003C3D76" w:rsidRPr="003C3D76" w:rsidP="003C3D76">
      <w:pPr>
        <w:bidi w:val="0"/>
        <w:rPr>
          <w:rFonts w:ascii="Times New Roman" w:hAnsi="Times New Roman"/>
          <w:sz w:val="24"/>
          <w:szCs w:val="24"/>
        </w:rPr>
      </w:pPr>
    </w:p>
    <w:p w:rsidR="003C3D76" w:rsidRPr="003C3D76" w:rsidP="003C3D76">
      <w:pPr>
        <w:bidi w:val="0"/>
        <w:rPr>
          <w:rFonts w:ascii="Times New Roman" w:hAnsi="Times New Roman"/>
          <w:sz w:val="24"/>
          <w:szCs w:val="24"/>
        </w:rPr>
      </w:pPr>
    </w:p>
    <w:p w:rsidR="003C3D76" w:rsidRPr="003C3D76" w:rsidP="003C3D76">
      <w:pPr>
        <w:bidi w:val="0"/>
        <w:rPr>
          <w:rFonts w:ascii="Times New Roman" w:hAnsi="Times New Roman"/>
          <w:sz w:val="24"/>
          <w:szCs w:val="24"/>
        </w:rPr>
      </w:pPr>
    </w:p>
    <w:p w:rsidR="003C3D76" w:rsidRPr="003C3D76" w:rsidP="003C3D76">
      <w:pPr>
        <w:bidi w:val="0"/>
        <w:jc w:val="center"/>
        <w:rPr>
          <w:rFonts w:ascii="Times New Roman" w:hAnsi="Times New Roman"/>
          <w:sz w:val="24"/>
          <w:szCs w:val="24"/>
        </w:rPr>
      </w:pPr>
    </w:p>
    <w:p w:rsidR="003C3D76" w:rsidRPr="003C3D76" w:rsidP="003C3D76">
      <w:pPr>
        <w:bidi w:val="0"/>
        <w:jc w:val="center"/>
        <w:rPr>
          <w:rFonts w:ascii="Times New Roman" w:hAnsi="Times New Roman"/>
          <w:sz w:val="24"/>
          <w:szCs w:val="24"/>
        </w:rPr>
      </w:pPr>
      <w:r w:rsidRPr="003C3D76">
        <w:rPr>
          <w:rFonts w:ascii="Times New Roman" w:hAnsi="Times New Roman"/>
          <w:sz w:val="24"/>
          <w:szCs w:val="24"/>
        </w:rPr>
        <w:t>predseda Národnej rady Slovenskej republiky</w:t>
      </w:r>
    </w:p>
    <w:p w:rsidR="003C3D76" w:rsidRPr="003C3D76" w:rsidP="003C3D76">
      <w:pPr>
        <w:bidi w:val="0"/>
        <w:rPr>
          <w:rFonts w:ascii="Times New Roman" w:hAnsi="Times New Roman"/>
          <w:sz w:val="24"/>
          <w:szCs w:val="24"/>
        </w:rPr>
      </w:pPr>
    </w:p>
    <w:p w:rsidR="003C3D76" w:rsidRPr="003C3D76" w:rsidP="003C3D76">
      <w:pPr>
        <w:bidi w:val="0"/>
        <w:rPr>
          <w:rFonts w:ascii="Times New Roman" w:hAnsi="Times New Roman"/>
          <w:sz w:val="24"/>
          <w:szCs w:val="24"/>
        </w:rPr>
      </w:pPr>
    </w:p>
    <w:p w:rsidR="003C3D76" w:rsidRPr="003C3D76" w:rsidP="003C3D76">
      <w:pPr>
        <w:bidi w:val="0"/>
        <w:rPr>
          <w:rFonts w:ascii="Times New Roman" w:hAnsi="Times New Roman"/>
          <w:sz w:val="24"/>
          <w:szCs w:val="24"/>
        </w:rPr>
      </w:pPr>
    </w:p>
    <w:p w:rsidR="003C3D76" w:rsidRPr="003C3D76" w:rsidP="003C3D76">
      <w:pPr>
        <w:bidi w:val="0"/>
        <w:rPr>
          <w:rFonts w:ascii="Times New Roman" w:hAnsi="Times New Roman"/>
          <w:sz w:val="24"/>
          <w:szCs w:val="24"/>
        </w:rPr>
      </w:pPr>
    </w:p>
    <w:p w:rsidR="003C3D76" w:rsidRPr="003C3D76" w:rsidP="003C3D76">
      <w:pPr>
        <w:bidi w:val="0"/>
        <w:rPr>
          <w:rFonts w:ascii="Times New Roman" w:hAnsi="Times New Roman"/>
          <w:sz w:val="24"/>
          <w:szCs w:val="24"/>
        </w:rPr>
      </w:pPr>
    </w:p>
    <w:p w:rsidR="003C3D76" w:rsidRPr="003C3D76" w:rsidP="003C3D76">
      <w:pPr>
        <w:bidi w:val="0"/>
        <w:spacing w:after="0" w:line="240" w:lineRule="auto"/>
        <w:jc w:val="center"/>
        <w:rPr>
          <w:rFonts w:ascii="Times New Roman" w:hAnsi="Times New Roman"/>
          <w:sz w:val="24"/>
          <w:szCs w:val="24"/>
          <w:lang w:eastAsia="sk-SK"/>
        </w:rPr>
      </w:pPr>
      <w:r w:rsidRPr="003C3D76">
        <w:rPr>
          <w:rFonts w:ascii="Times New Roman" w:hAnsi="Times New Roman"/>
          <w:sz w:val="24"/>
          <w:szCs w:val="24"/>
        </w:rPr>
        <w:t>predseda vlády Slovenskej republiky</w:t>
      </w:r>
    </w:p>
    <w:p w:rsidR="003C3D76">
      <w:pPr>
        <w:bidi w:val="0"/>
        <w:rPr>
          <w:rFonts w:ascii="Times New Roman" w:hAnsi="Times New Roman"/>
          <w:strike/>
          <w:sz w:val="24"/>
          <w:szCs w:val="24"/>
        </w:rPr>
      </w:pPr>
    </w:p>
    <w:p w:rsidR="003C3D76">
      <w:pPr>
        <w:bidi w:val="0"/>
        <w:rPr>
          <w:rFonts w:ascii="Times New Roman" w:hAnsi="Times New Roman"/>
          <w:b/>
          <w:sz w:val="24"/>
          <w:szCs w:val="24"/>
        </w:rPr>
      </w:pPr>
      <w:r>
        <w:rPr>
          <w:rFonts w:ascii="Times New Roman" w:hAnsi="Times New Roman"/>
          <w:b/>
          <w:sz w:val="24"/>
          <w:szCs w:val="24"/>
        </w:rPr>
        <w:br w:type="page"/>
      </w:r>
    </w:p>
    <w:p w:rsidR="00801E87" w:rsidRPr="00801E87" w:rsidP="00801E87">
      <w:pPr>
        <w:bidi w:val="0"/>
        <w:spacing w:after="0" w:line="240" w:lineRule="auto"/>
        <w:ind w:left="7200"/>
        <w:jc w:val="right"/>
        <w:rPr>
          <w:rFonts w:ascii="Times New Roman" w:hAnsi="Times New Roman"/>
          <w:b/>
          <w:sz w:val="24"/>
          <w:szCs w:val="24"/>
        </w:rPr>
      </w:pPr>
      <w:r w:rsidRPr="00801E87">
        <w:rPr>
          <w:rFonts w:ascii="Times New Roman" w:hAnsi="Times New Roman"/>
          <w:b/>
          <w:sz w:val="24"/>
          <w:szCs w:val="24"/>
        </w:rPr>
        <w:t xml:space="preserve">           Príloha</w:t>
      </w:r>
    </w:p>
    <w:p w:rsidR="00801E87" w:rsidRPr="00801E87" w:rsidP="00801E87">
      <w:pPr>
        <w:bidi w:val="0"/>
        <w:spacing w:after="0" w:line="240" w:lineRule="auto"/>
        <w:ind w:left="6480"/>
        <w:jc w:val="right"/>
        <w:rPr>
          <w:rFonts w:ascii="Times New Roman" w:hAnsi="Times New Roman"/>
          <w:b/>
          <w:sz w:val="24"/>
          <w:szCs w:val="24"/>
        </w:rPr>
      </w:pPr>
      <w:r w:rsidRPr="00801E87">
        <w:rPr>
          <w:rFonts w:ascii="Times New Roman" w:hAnsi="Times New Roman"/>
          <w:b/>
          <w:sz w:val="24"/>
          <w:szCs w:val="24"/>
        </w:rPr>
        <w:t xml:space="preserve">  k zákonu č. .../2016 Z. z.</w:t>
      </w:r>
    </w:p>
    <w:p w:rsidR="00801E87" w:rsidRPr="00801E87" w:rsidP="00801E87">
      <w:pPr>
        <w:bidi w:val="0"/>
        <w:spacing w:after="0" w:line="240" w:lineRule="auto"/>
        <w:ind w:left="6480" w:firstLine="720"/>
        <w:jc w:val="center"/>
        <w:rPr>
          <w:rFonts w:ascii="Times New Roman" w:hAnsi="Times New Roman"/>
          <w:b/>
          <w:sz w:val="24"/>
          <w:szCs w:val="24"/>
        </w:rPr>
      </w:pPr>
    </w:p>
    <w:p w:rsidR="00801E87" w:rsidRPr="00801E87" w:rsidP="00801E87">
      <w:pPr>
        <w:widowControl w:val="0"/>
        <w:autoSpaceDE w:val="0"/>
        <w:autoSpaceDN w:val="0"/>
        <w:bidi w:val="0"/>
        <w:adjustRightInd w:val="0"/>
        <w:spacing w:after="0" w:line="240" w:lineRule="auto"/>
        <w:jc w:val="center"/>
        <w:rPr>
          <w:rFonts w:ascii="Times New Roman" w:hAnsi="Times New Roman"/>
          <w:b/>
          <w:caps/>
          <w:sz w:val="24"/>
          <w:szCs w:val="24"/>
        </w:rPr>
      </w:pPr>
      <w:r w:rsidRPr="00801E87">
        <w:rPr>
          <w:rFonts w:ascii="Times New Roman" w:hAnsi="Times New Roman"/>
          <w:b/>
          <w:caps/>
          <w:sz w:val="24"/>
          <w:szCs w:val="24"/>
        </w:rPr>
        <w:t>Zoznam preberaných právne záväzných aktov Európskej únie</w:t>
      </w:r>
    </w:p>
    <w:p w:rsidR="00801E87" w:rsidRPr="00801E87" w:rsidP="00801E87">
      <w:pPr>
        <w:tabs>
          <w:tab w:val="left" w:pos="851"/>
        </w:tabs>
        <w:bidi w:val="0"/>
        <w:spacing w:after="0" w:line="240" w:lineRule="auto"/>
        <w:jc w:val="both"/>
        <w:rPr>
          <w:rFonts w:ascii="Times New Roman" w:hAnsi="Times New Roman"/>
          <w:sz w:val="24"/>
          <w:szCs w:val="24"/>
        </w:rPr>
      </w:pPr>
      <w:r w:rsidRPr="00801E87">
        <w:rPr>
          <w:rFonts w:ascii="Times New Roman" w:hAnsi="Times New Roman"/>
          <w:sz w:val="24"/>
          <w:szCs w:val="24"/>
        </w:rPr>
        <w:tab/>
      </w:r>
    </w:p>
    <w:p w:rsidR="00801E87" w:rsidRPr="00801E87" w:rsidP="00801E87">
      <w:pPr>
        <w:tabs>
          <w:tab w:val="left" w:pos="851"/>
        </w:tabs>
        <w:bidi w:val="0"/>
        <w:spacing w:after="0" w:line="240" w:lineRule="auto"/>
        <w:jc w:val="both"/>
        <w:rPr>
          <w:rFonts w:ascii="Times New Roman" w:hAnsi="Times New Roman"/>
          <w:sz w:val="24"/>
          <w:szCs w:val="24"/>
        </w:rPr>
      </w:pPr>
      <w:r w:rsidRPr="00801E87">
        <w:rPr>
          <w:rFonts w:ascii="Times New Roman" w:hAnsi="Times New Roman"/>
          <w:sz w:val="24"/>
          <w:szCs w:val="24"/>
        </w:rPr>
        <w:tab/>
        <w:t>Smernica Európskeho parlamentu a Rady 2014/104/EÚ z 26. novembra 2014 o určitých pravidlách upravujúcich žaloby podľa vnútroštátneho práva o náhradu škody utrpenej v dôsledku porušenia ustanovení práva hospodárskej súťaže členských štátov a Európskej únie (Ú. v. EÚ L 349, 5.12.2014).</w:t>
      </w:r>
    </w:p>
    <w:p w:rsidR="00801E87" w:rsidRPr="00801E87" w:rsidP="00801E87">
      <w:pPr>
        <w:bidi w:val="0"/>
        <w:spacing w:after="0" w:line="240" w:lineRule="auto"/>
        <w:jc w:val="both"/>
        <w:rPr>
          <w:rFonts w:ascii="Times New Roman" w:hAnsi="Times New Roman"/>
          <w:strike/>
          <w:sz w:val="24"/>
          <w:szCs w:val="24"/>
        </w:rPr>
      </w:pPr>
    </w:p>
    <w:p w:rsidR="00D21FE5" w:rsidRPr="00801E87" w:rsidP="00801E87">
      <w:pPr>
        <w:bidi w:val="0"/>
        <w:spacing w:after="0" w:line="240" w:lineRule="auto"/>
        <w:jc w:val="center"/>
        <w:rPr>
          <w:rFonts w:ascii="Times New Roman" w:hAnsi="Times New Roman"/>
          <w:b/>
          <w:sz w:val="24"/>
          <w:szCs w:val="24"/>
        </w:rPr>
      </w:pPr>
    </w:p>
    <w:sectPr w:rsidSect="00F07D32">
      <w:footerReference w:type="default" r:id="rId6"/>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32" w:rsidRPr="00F07D32">
    <w:pPr>
      <w:pStyle w:val="Footer"/>
      <w:bidi w:val="0"/>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DE32E0">
      <w:rPr>
        <w:rFonts w:ascii="Times New Roman" w:hAnsi="Times New Roman"/>
        <w:noProof/>
        <w:sz w:val="24"/>
      </w:rPr>
      <w:t>5</w:t>
    </w:r>
    <w:r w:rsidRPr="00F07D32">
      <w:rPr>
        <w:rFonts w:ascii="Times New Roman" w:hAnsi="Times New Roman"/>
        <w:sz w:val="24"/>
      </w:rPr>
      <w:fldChar w:fldCharType="end"/>
    </w:r>
  </w:p>
  <w:p w:rsidR="00F07D32" w:rsidRPr="00F07D32">
    <w:pPr>
      <w:pStyle w:val="Footer"/>
      <w:bidi w:val="0"/>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19F" w:rsidP="00F07D32">
      <w:pPr>
        <w:bidi w:val="0"/>
        <w:spacing w:after="0" w:line="240" w:lineRule="auto"/>
      </w:pPr>
      <w:r>
        <w:separator/>
      </w:r>
    </w:p>
  </w:footnote>
  <w:footnote w:type="continuationSeparator" w:id="1">
    <w:p w:rsidR="0062219F" w:rsidP="00F07D32">
      <w:pPr>
        <w:bidi w:val="0"/>
        <w:spacing w:after="0" w:line="240" w:lineRule="auto"/>
      </w:pPr>
      <w:r>
        <w:continuationSeparator/>
      </w:r>
    </w:p>
  </w:footnote>
  <w:footnote w:id="2">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Napríklad </w:t>
      </w:r>
      <w:r w:rsidRPr="00F93664" w:rsidR="00777B32">
        <w:rPr>
          <w:rFonts w:ascii="Times New Roman" w:hAnsi="Times New Roman"/>
        </w:rPr>
        <w:t>čl. 101 a</w:t>
      </w:r>
      <w:r w:rsidRPr="00124E05" w:rsidR="00777B32">
        <w:rPr>
          <w:rFonts w:ascii="Times New Roman" w:hAnsi="Times New Roman"/>
        </w:rPr>
        <w:t> </w:t>
      </w:r>
      <w:r w:rsidRPr="00F93664" w:rsidR="00777B32">
        <w:rPr>
          <w:rFonts w:ascii="Times New Roman" w:hAnsi="Times New Roman"/>
        </w:rPr>
        <w:t>102 Zmluvy o</w:t>
      </w:r>
      <w:r w:rsidRPr="00124E05" w:rsidR="00777B32">
        <w:rPr>
          <w:rFonts w:ascii="Times New Roman" w:hAnsi="Times New Roman"/>
        </w:rPr>
        <w:t> </w:t>
      </w:r>
      <w:r w:rsidRPr="00F93664" w:rsidR="00777B32">
        <w:rPr>
          <w:rFonts w:ascii="Times New Roman" w:hAnsi="Times New Roman"/>
        </w:rPr>
        <w:t>fungovaní Európskej únie (Ú. v. EÚ C 202, 7.6.2016), nariadenie Rady (ES) č. 1/2003 zo 16. decembra 2002 o</w:t>
      </w:r>
      <w:r w:rsidRPr="00124E05" w:rsidR="00777B32">
        <w:rPr>
          <w:rFonts w:ascii="Times New Roman" w:hAnsi="Times New Roman"/>
        </w:rPr>
        <w:t> </w:t>
      </w:r>
      <w:r w:rsidRPr="00F93664" w:rsidR="00777B32">
        <w:rPr>
          <w:rFonts w:ascii="Times New Roman" w:hAnsi="Times New Roman"/>
        </w:rPr>
        <w:t>vykonávaní pravidiel hospodárskej súťaže stanovených v</w:t>
      </w:r>
      <w:r w:rsidRPr="00124E05" w:rsidR="00777B32">
        <w:rPr>
          <w:rFonts w:ascii="Times New Roman" w:hAnsi="Times New Roman"/>
        </w:rPr>
        <w:t> </w:t>
      </w:r>
      <w:r w:rsidRPr="00F93664" w:rsidR="00777B32">
        <w:rPr>
          <w:rFonts w:ascii="Times New Roman" w:hAnsi="Times New Roman"/>
        </w:rPr>
        <w:t>článkoch 81 a</w:t>
      </w:r>
      <w:r w:rsidRPr="00124E05" w:rsidR="00777B32">
        <w:rPr>
          <w:rFonts w:ascii="Times New Roman" w:hAnsi="Times New Roman"/>
        </w:rPr>
        <w:t> </w:t>
      </w:r>
      <w:r w:rsidRPr="00F93664" w:rsidR="00777B32">
        <w:rPr>
          <w:rFonts w:ascii="Times New Roman" w:hAnsi="Times New Roman"/>
        </w:rPr>
        <w:t>82 Zmluvy (Ú. v. ES L 1, 4.1.2003) v</w:t>
      </w:r>
      <w:r w:rsidRPr="00124E05" w:rsidR="00777B32">
        <w:rPr>
          <w:rFonts w:ascii="Times New Roman" w:hAnsi="Times New Roman"/>
        </w:rPr>
        <w:t> </w:t>
      </w:r>
      <w:r w:rsidRPr="00F93664" w:rsidR="00777B32">
        <w:rPr>
          <w:rFonts w:ascii="Times New Roman" w:hAnsi="Times New Roman"/>
        </w:rPr>
        <w:t>platnom znení,</w:t>
      </w:r>
      <w:r w:rsidR="00777B32">
        <w:rPr>
          <w:rFonts w:ascii="Times New Roman" w:hAnsi="Times New Roman"/>
        </w:rPr>
        <w:t xml:space="preserve"> </w:t>
      </w:r>
      <w:r w:rsidRPr="005447E4" w:rsidR="00801E87">
        <w:rPr>
          <w:rFonts w:ascii="Times New Roman" w:hAnsi="Times New Roman"/>
        </w:rPr>
        <w:t xml:space="preserve">zákon č. 136/2001 Z. z. o ochrane hospodárskej súťaže a o zmene a doplnení zákona Slovenskej národnej rady č. 347/1990 Zb. o organizácii ministerstiev a ostatných ústredných orgánov štátnej správy Slovenskej republiky v znení </w:t>
      </w:r>
      <w:r w:rsidR="00DB55D9">
        <w:rPr>
          <w:rFonts w:ascii="Times New Roman" w:hAnsi="Times New Roman"/>
        </w:rPr>
        <w:t xml:space="preserve">neskorších predpisov </w:t>
      </w:r>
      <w:r w:rsidR="00EE3DB1">
        <w:rPr>
          <w:rFonts w:ascii="Times New Roman" w:hAnsi="Times New Roman"/>
        </w:rPr>
        <w:t>v znení neskorších predpisov.</w:t>
      </w:r>
    </w:p>
  </w:footnote>
  <w:footnote w:id="3">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w:t>
      </w:r>
      <w:r w:rsidR="00801E87">
        <w:rPr>
          <w:rFonts w:ascii="Times New Roman" w:hAnsi="Times New Roman"/>
        </w:rPr>
        <w:t>§ 4 až 6 z</w:t>
      </w:r>
      <w:r w:rsidRPr="005447E4" w:rsidR="00801E87">
        <w:rPr>
          <w:rFonts w:ascii="Times New Roman" w:hAnsi="Times New Roman"/>
        </w:rPr>
        <w:t>ákon</w:t>
      </w:r>
      <w:r w:rsidR="00801E87">
        <w:rPr>
          <w:rFonts w:ascii="Times New Roman" w:hAnsi="Times New Roman"/>
        </w:rPr>
        <w:t>a</w:t>
      </w:r>
      <w:r w:rsidRPr="005447E4" w:rsidR="00801E87">
        <w:rPr>
          <w:rFonts w:ascii="Times New Roman" w:hAnsi="Times New Roman"/>
        </w:rPr>
        <w:t xml:space="preserve"> č. 136/2001 Z. z. v znení neskorších predpisov.</w:t>
      </w:r>
    </w:p>
  </w:footnote>
  <w:footnote w:id="4">
    <w:p w:rsidP="00801E87">
      <w:pPr>
        <w:pStyle w:val="FootnoteText"/>
        <w:bidi w:val="0"/>
      </w:pPr>
      <w:r w:rsidRPr="007859D8" w:rsidR="00801E87">
        <w:rPr>
          <w:rStyle w:val="FootnoteReference"/>
          <w:rFonts w:ascii="Times New Roman" w:hAnsi="Times New Roman"/>
        </w:rPr>
        <w:footnoteRef/>
      </w:r>
      <w:r w:rsidRPr="00BB470A" w:rsidR="00801E87">
        <w:rPr>
          <w:rFonts w:ascii="Times New Roman" w:hAnsi="Times New Roman"/>
        </w:rPr>
        <w:t>)</w:t>
      </w:r>
      <w:r w:rsidR="00801E87">
        <w:t xml:space="preserve"> </w:t>
      </w:r>
      <w:r w:rsidRPr="00BB470A" w:rsidR="00801E87">
        <w:rPr>
          <w:rFonts w:ascii="Times New Roman" w:hAnsi="Times New Roman"/>
        </w:rPr>
        <w:t xml:space="preserve">§ 8 </w:t>
      </w:r>
      <w:r w:rsidR="00801E87">
        <w:rPr>
          <w:rFonts w:ascii="Times New Roman" w:hAnsi="Times New Roman"/>
        </w:rPr>
        <w:t>z</w:t>
      </w:r>
      <w:r w:rsidRPr="005447E4" w:rsidR="00801E87">
        <w:rPr>
          <w:rFonts w:ascii="Times New Roman" w:hAnsi="Times New Roman"/>
        </w:rPr>
        <w:t>ákon</w:t>
      </w:r>
      <w:r w:rsidR="00801E87">
        <w:rPr>
          <w:rFonts w:ascii="Times New Roman" w:hAnsi="Times New Roman"/>
        </w:rPr>
        <w:t>a</w:t>
      </w:r>
      <w:r w:rsidRPr="005447E4" w:rsidR="00801E87">
        <w:rPr>
          <w:rFonts w:ascii="Times New Roman" w:hAnsi="Times New Roman"/>
        </w:rPr>
        <w:t xml:space="preserve"> č. 136/2001 Z. z. v znení neskorších predpisov.</w:t>
      </w:r>
    </w:p>
  </w:footnote>
  <w:footnote w:id="5">
    <w:p w:rsidP="00801E87">
      <w:pPr>
        <w:pStyle w:val="FootnoteText"/>
        <w:bidi w:val="0"/>
        <w:jc w:val="both"/>
      </w:pPr>
      <w:r w:rsidRPr="003C3D76" w:rsidR="00777B32">
        <w:rPr>
          <w:rFonts w:ascii="Times New Roman" w:hAnsi="Times New Roman"/>
          <w:szCs w:val="24"/>
          <w:vertAlign w:val="superscript"/>
        </w:rPr>
        <w:t>4</w:t>
      </w:r>
      <w:r w:rsidRPr="003C3D76" w:rsidR="00777B32">
        <w:rPr>
          <w:rFonts w:ascii="Times New Roman" w:hAnsi="Times New Roman"/>
          <w:szCs w:val="24"/>
        </w:rPr>
        <w:t>) Čl. 35 nariadenia (ES) č. 1/2003 v platnom znení.</w:t>
      </w:r>
    </w:p>
  </w:footnote>
  <w:footnote w:id="6">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 38d zákona č. 136/2001 Z. z. v znení </w:t>
      </w:r>
      <w:r w:rsidR="00801E87">
        <w:rPr>
          <w:rFonts w:ascii="Times New Roman" w:hAnsi="Times New Roman"/>
        </w:rPr>
        <w:t>zákona č. 151/2014 Z. z</w:t>
      </w:r>
      <w:r w:rsidRPr="005447E4" w:rsidR="00801E87">
        <w:rPr>
          <w:rFonts w:ascii="Times New Roman" w:hAnsi="Times New Roman"/>
        </w:rPr>
        <w:t>.</w:t>
      </w:r>
    </w:p>
  </w:footnote>
  <w:footnote w:id="7">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w:t>
      </w:r>
      <w:r w:rsidR="00801E87">
        <w:rPr>
          <w:rFonts w:ascii="Times New Roman" w:hAnsi="Times New Roman"/>
        </w:rPr>
        <w:t xml:space="preserve">Napríklad </w:t>
      </w:r>
      <w:r w:rsidRPr="005447E4" w:rsidR="00801E87">
        <w:rPr>
          <w:rFonts w:ascii="Times New Roman" w:hAnsi="Times New Roman"/>
        </w:rPr>
        <w:t xml:space="preserve">§ 38e zákona č. 136/2001 Z. z. v znení </w:t>
      </w:r>
      <w:r w:rsidR="00801E87">
        <w:rPr>
          <w:rFonts w:ascii="Times New Roman" w:hAnsi="Times New Roman"/>
        </w:rPr>
        <w:t>zákona č. 151/2014 Z. z</w:t>
      </w:r>
      <w:r w:rsidRPr="005447E4" w:rsidR="00801E87">
        <w:rPr>
          <w:rFonts w:ascii="Times New Roman" w:hAnsi="Times New Roman"/>
        </w:rPr>
        <w:t>.</w:t>
      </w:r>
    </w:p>
  </w:footnote>
  <w:footnote w:id="8">
    <w:p w:rsidP="00801E87">
      <w:pPr>
        <w:pStyle w:val="FootnoteText"/>
        <w:bidi w:val="0"/>
      </w:pPr>
      <w:r w:rsidRPr="00605937" w:rsidR="00801E87">
        <w:rPr>
          <w:rStyle w:val="FootnoteReference"/>
          <w:rFonts w:ascii="Times New Roman" w:hAnsi="Times New Roman"/>
        </w:rPr>
        <w:footnoteRef/>
      </w:r>
      <w:r w:rsidR="00801E87">
        <w:rPr>
          <w:rFonts w:ascii="Times New Roman" w:hAnsi="Times New Roman"/>
        </w:rPr>
        <w:t>) § 369 ods. 2 Obchodného zákonníka</w:t>
      </w:r>
      <w:r w:rsidR="001C24E6">
        <w:rPr>
          <w:rFonts w:ascii="Times New Roman" w:hAnsi="Times New Roman"/>
        </w:rPr>
        <w:t xml:space="preserve"> v znení neskorších predpisov</w:t>
      </w:r>
      <w:r w:rsidR="00801E87">
        <w:rPr>
          <w:rFonts w:ascii="Times New Roman" w:hAnsi="Times New Roman"/>
        </w:rPr>
        <w:t xml:space="preserve">. </w:t>
      </w:r>
      <w:r w:rsidRPr="006C2705" w:rsidR="00801E87">
        <w:rPr>
          <w:rFonts w:ascii="Times New Roman" w:hAnsi="Times New Roman"/>
        </w:rPr>
        <w:t xml:space="preserve"> </w:t>
      </w:r>
    </w:p>
  </w:footnote>
  <w:footnote w:id="9">
    <w:p w:rsidP="00801E87">
      <w:pPr>
        <w:pStyle w:val="FootnoteText"/>
        <w:bidi w:val="0"/>
        <w:jc w:val="both"/>
      </w:pPr>
      <w:r w:rsidRPr="008C12B5" w:rsidR="00801E87">
        <w:rPr>
          <w:rStyle w:val="FootnoteReference"/>
          <w:rFonts w:ascii="Times New Roman" w:hAnsi="Times New Roman"/>
        </w:rPr>
        <w:footnoteRef/>
      </w:r>
      <w:r w:rsidRPr="00BB470A" w:rsidR="00801E87">
        <w:rPr>
          <w:rFonts w:ascii="Times New Roman" w:hAnsi="Times New Roman"/>
        </w:rPr>
        <w:t xml:space="preserve">) </w:t>
      </w:r>
      <w:r w:rsidRPr="0073292D" w:rsidR="00801E87">
        <w:rPr>
          <w:rFonts w:ascii="Times New Roman" w:hAnsi="Times New Roman"/>
        </w:rPr>
        <w:t>Nariadenie Rady ES č. 1/2003</w:t>
      </w:r>
      <w:r w:rsidR="00801E87">
        <w:rPr>
          <w:rFonts w:ascii="Times New Roman" w:hAnsi="Times New Roman"/>
        </w:rPr>
        <w:t>.</w:t>
      </w:r>
      <w:r w:rsidRPr="0073292D" w:rsidR="00801E87">
        <w:rPr>
          <w:rFonts w:ascii="Times New Roman" w:hAnsi="Times New Roman"/>
        </w:rPr>
        <w:t xml:space="preserve"> </w:t>
      </w:r>
    </w:p>
  </w:footnote>
  <w:footnote w:id="10">
    <w:p w:rsidP="00801E87">
      <w:pPr>
        <w:pStyle w:val="FootnoteText"/>
        <w:bidi w:val="0"/>
      </w:pPr>
      <w:r w:rsidRPr="007859D8" w:rsidR="00801E87">
        <w:rPr>
          <w:rStyle w:val="FootnoteReference"/>
          <w:rFonts w:ascii="Times New Roman" w:hAnsi="Times New Roman"/>
        </w:rPr>
        <w:footnoteRef/>
      </w:r>
      <w:r w:rsidR="00801E87">
        <w:rPr>
          <w:rFonts w:ascii="Times New Roman" w:hAnsi="Times New Roman"/>
        </w:rPr>
        <w:t xml:space="preserve">) Zákon č. 136/2001 Z. z. v znení neskorších predpisov. </w:t>
      </w:r>
    </w:p>
  </w:footnote>
  <w:footnote w:id="11">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w:t>
      </w:r>
      <w:r w:rsidRPr="00F93664" w:rsidR="00D64132">
        <w:rPr>
          <w:rFonts w:ascii="Times New Roman" w:hAnsi="Times New Roman"/>
        </w:rPr>
        <w:t>Čl. 2 prílohy I nariadenia Komisie (EÚ) č. 651/2014 zo 17. júna 2014 o</w:t>
      </w:r>
      <w:r w:rsidRPr="00124E05" w:rsidR="00D64132">
        <w:rPr>
          <w:rFonts w:ascii="Times New Roman" w:hAnsi="Times New Roman"/>
        </w:rPr>
        <w:t> </w:t>
      </w:r>
      <w:r w:rsidRPr="00F93664" w:rsidR="00D64132">
        <w:rPr>
          <w:rFonts w:ascii="Times New Roman" w:hAnsi="Times New Roman"/>
        </w:rPr>
        <w:t>vyhlásení určitých kategórií pomoci za zlučiteľné s</w:t>
      </w:r>
      <w:r w:rsidRPr="00124E05" w:rsidR="00D64132">
        <w:rPr>
          <w:rFonts w:ascii="Times New Roman" w:hAnsi="Times New Roman"/>
        </w:rPr>
        <w:t> </w:t>
      </w:r>
      <w:r w:rsidRPr="00F93664" w:rsidR="00D64132">
        <w:rPr>
          <w:rFonts w:ascii="Times New Roman" w:hAnsi="Times New Roman"/>
        </w:rPr>
        <w:t>vnútorným trhom podľa článkov 107 a</w:t>
      </w:r>
      <w:r w:rsidRPr="00124E05" w:rsidR="00D64132">
        <w:rPr>
          <w:rFonts w:ascii="Times New Roman" w:hAnsi="Times New Roman"/>
        </w:rPr>
        <w:t> </w:t>
      </w:r>
      <w:r w:rsidRPr="00F93664" w:rsidR="00D64132">
        <w:rPr>
          <w:rFonts w:ascii="Times New Roman" w:hAnsi="Times New Roman"/>
        </w:rPr>
        <w:t>108 Zmluvy (Ú. v. EÚ L 187,</w:t>
      </w:r>
      <w:r w:rsidR="00DE32E0">
        <w:rPr>
          <w:rFonts w:ascii="Times New Roman" w:hAnsi="Times New Roman"/>
        </w:rPr>
        <w:t xml:space="preserve"> </w:t>
      </w:r>
      <w:r w:rsidRPr="00F93664" w:rsidR="00D64132">
        <w:rPr>
          <w:rFonts w:ascii="Times New Roman" w:hAnsi="Times New Roman"/>
        </w:rPr>
        <w:t>26.6.2014)</w:t>
      </w:r>
      <w:r w:rsidR="00D64132">
        <w:rPr>
          <w:rFonts w:ascii="Times New Roman" w:hAnsi="Times New Roman"/>
        </w:rPr>
        <w:t>.</w:t>
      </w:r>
    </w:p>
  </w:footnote>
  <w:footnote w:id="12">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Čl</w:t>
      </w:r>
      <w:r w:rsidR="00801E87">
        <w:rPr>
          <w:rFonts w:ascii="Times New Roman" w:hAnsi="Times New Roman"/>
        </w:rPr>
        <w:t>.</w:t>
      </w:r>
      <w:r w:rsidRPr="005447E4" w:rsidR="00801E87">
        <w:rPr>
          <w:rFonts w:ascii="Times New Roman" w:hAnsi="Times New Roman"/>
        </w:rPr>
        <w:t xml:space="preserve"> 30 nariadenia Európskeho parlamentu a Rady (EÚ) č. 1215/2012 z 12. decembra 2012 o právomoci a o uznávaní a výkone rozsudkov v občianskych a obchodných veciach (Ú. v. EÚ L 351, 20.12.2012).</w:t>
      </w:r>
    </w:p>
  </w:footnote>
  <w:footnote w:id="13">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Nariadenie Rady (ES) č. 1206/2001 z 28. mája 2001 o spolupráci medzi súdmi členských štátov pri vykonávaní dôkazov v občianskych a obchodných veciach (Ú. </w:t>
      </w:r>
      <w:r w:rsidR="00801E87">
        <w:rPr>
          <w:rFonts w:ascii="Times New Roman" w:hAnsi="Times New Roman"/>
        </w:rPr>
        <w:t>v</w:t>
      </w:r>
      <w:r w:rsidRPr="005447E4" w:rsidR="00801E87">
        <w:rPr>
          <w:rFonts w:ascii="Times New Roman" w:hAnsi="Times New Roman"/>
        </w:rPr>
        <w:t xml:space="preserve">. </w:t>
      </w:r>
      <w:r w:rsidR="00875573">
        <w:rPr>
          <w:rFonts w:ascii="Times New Roman" w:hAnsi="Times New Roman"/>
        </w:rPr>
        <w:t xml:space="preserve">ES </w:t>
      </w:r>
      <w:r w:rsidRPr="005447E4" w:rsidR="00801E87">
        <w:rPr>
          <w:rFonts w:ascii="Times New Roman" w:hAnsi="Times New Roman"/>
        </w:rPr>
        <w:t xml:space="preserve">L 174, 27.06.2001). </w:t>
      </w:r>
    </w:p>
  </w:footnote>
  <w:footnote w:id="14">
    <w:p w:rsidP="00801E87">
      <w:pPr>
        <w:pStyle w:val="FootnoteText"/>
        <w:bidi w:val="0"/>
        <w:jc w:val="both"/>
      </w:pPr>
      <w:r w:rsidRPr="005447E4" w:rsidR="00801E87">
        <w:rPr>
          <w:rStyle w:val="FootnoteReference"/>
          <w:rFonts w:ascii="Times New Roman" w:hAnsi="Times New Roman"/>
        </w:rPr>
        <w:footnoteRef/>
      </w:r>
      <w:r w:rsidRPr="005447E4" w:rsidR="00801E87">
        <w:rPr>
          <w:rFonts w:ascii="Times New Roman" w:hAnsi="Times New Roman"/>
        </w:rPr>
        <w:t xml:space="preserve">) § 40 ods. 5 zákona č. 136/2001 Z. z. v znení </w:t>
      </w:r>
      <w:r w:rsidR="00801E87">
        <w:rPr>
          <w:rFonts w:ascii="Times New Roman" w:hAnsi="Times New Roman"/>
        </w:rPr>
        <w:t>zákona č. 151/2014 Z. z</w:t>
      </w:r>
      <w:r w:rsidRPr="005447E4" w:rsidR="00801E87">
        <w:rPr>
          <w:rFonts w:ascii="Times New Roman" w:hAnsi="Times New Roman"/>
        </w:rPr>
        <w:t>.</w:t>
      </w:r>
    </w:p>
  </w:footnote>
  <w:footnote w:id="15">
    <w:p w:rsidP="00801E87">
      <w:pPr>
        <w:pStyle w:val="FootnoteText"/>
        <w:bidi w:val="0"/>
        <w:jc w:val="both"/>
      </w:pPr>
      <w:r w:rsidRPr="005447E4" w:rsidR="00801E87">
        <w:rPr>
          <w:rStyle w:val="FootnoteReference"/>
          <w:rFonts w:ascii="Times New Roman" w:hAnsi="Times New Roman"/>
        </w:rPr>
        <w:footnoteRef/>
      </w:r>
      <w:r w:rsidRPr="005447E4" w:rsidR="00801E87">
        <w:rPr>
          <w:rStyle w:val="FootnoteReference"/>
          <w:rFonts w:ascii="Times New Roman" w:hAnsi="Times New Roman"/>
        </w:rPr>
        <w:t>)</w:t>
      </w:r>
      <w:r w:rsidRPr="005447E4" w:rsidR="00801E87">
        <w:rPr>
          <w:rFonts w:ascii="Times New Roman" w:hAnsi="Times New Roman"/>
        </w:rPr>
        <w:t xml:space="preserve"> Napríklad </w:t>
      </w:r>
      <w:r w:rsidRPr="005447E4" w:rsidR="001E2FAD">
        <w:rPr>
          <w:rFonts w:ascii="Times New Roman" w:hAnsi="Times New Roman"/>
        </w:rPr>
        <w:t>zákon č. 586/2003 Z. z. o advokácii a o zmene a doplnení zákona č. 455/1991 Zb. o živnostenskom podnikaní (živnostenský zákon) v znení neskorších predpisov v znení neskorších predpisov</w:t>
      </w:r>
      <w:r w:rsidR="001E2FAD">
        <w:rPr>
          <w:rFonts w:ascii="Times New Roman" w:hAnsi="Times New Roman"/>
        </w:rPr>
        <w:t>,</w:t>
      </w:r>
      <w:r w:rsidRPr="005447E4" w:rsidR="001E2FAD">
        <w:rPr>
          <w:rFonts w:ascii="Times New Roman" w:hAnsi="Times New Roman"/>
        </w:rPr>
        <w:t xml:space="preserve"> </w:t>
      </w:r>
      <w:r w:rsidRPr="005447E4" w:rsidR="00801E87">
        <w:rPr>
          <w:rFonts w:ascii="Times New Roman" w:hAnsi="Times New Roman"/>
        </w:rPr>
        <w:t xml:space="preserve">zákon č. 215/2004 Z. z. o ochrane utajovaných skutočností a o zmene a doplnení niektorých zákonov v znení neskorších predpisov, zákon č. 563/2009 Z. z. o správe daní (daňový poriadok) a o zmene a doplnení niektorých zákonov v znení neskorších predpisov, zákon č. 122/2013 Z. z. o ochrane osobných údajov a o zmene a doplnení niektorých zákonov v znení </w:t>
      </w:r>
      <w:r w:rsidR="00B03724">
        <w:rPr>
          <w:rFonts w:ascii="Times New Roman" w:hAnsi="Times New Roman"/>
        </w:rPr>
        <w:t>zákona č. 84/2014 Z. z.</w:t>
      </w:r>
    </w:p>
  </w:footnote>
  <w:footnote w:id="16">
    <w:p w:rsidP="00801E87">
      <w:pPr>
        <w:pStyle w:val="FootnoteText"/>
        <w:bidi w:val="0"/>
      </w:pPr>
      <w:r w:rsidRPr="00605937" w:rsidR="00801E87">
        <w:rPr>
          <w:rStyle w:val="FootnoteReference"/>
          <w:rFonts w:ascii="Times New Roman" w:hAnsi="Times New Roman"/>
        </w:rPr>
        <w:footnoteRef/>
      </w:r>
      <w:r w:rsidRPr="006C2705" w:rsidR="00801E87">
        <w:rPr>
          <w:rFonts w:ascii="Times New Roman" w:hAnsi="Times New Roman"/>
        </w:rPr>
        <w:t>)</w:t>
      </w:r>
      <w:r w:rsidR="00801E87">
        <w:rPr>
          <w:rFonts w:ascii="Times New Roman" w:hAnsi="Times New Roman"/>
        </w:rPr>
        <w:t xml:space="preserve"> § 102 Civilného sporového poriadku.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5EC"/>
    <w:multiLevelType w:val="hybridMultilevel"/>
    <w:tmpl w:val="BDC006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2EC5351"/>
    <w:multiLevelType w:val="hybridMultilevel"/>
    <w:tmpl w:val="F9E0A93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B769BD"/>
    <w:multiLevelType w:val="hybridMultilevel"/>
    <w:tmpl w:val="1B68C3E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67E3B60"/>
    <w:multiLevelType w:val="hybridMultilevel"/>
    <w:tmpl w:val="6BE4A00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B4C1544"/>
    <w:multiLevelType w:val="hybridMultilevel"/>
    <w:tmpl w:val="1084D3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320494"/>
    <w:multiLevelType w:val="hybridMultilevel"/>
    <w:tmpl w:val="D2EEB1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77F2B3C"/>
    <w:multiLevelType w:val="hybridMultilevel"/>
    <w:tmpl w:val="61E86B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A6C5841"/>
    <w:multiLevelType w:val="hybridMultilevel"/>
    <w:tmpl w:val="E272DA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CE1281B"/>
    <w:multiLevelType w:val="hybridMultilevel"/>
    <w:tmpl w:val="8F96049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E2C289B"/>
    <w:multiLevelType w:val="hybridMultilevel"/>
    <w:tmpl w:val="EB2A6B8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EA55DF1"/>
    <w:multiLevelType w:val="hybridMultilevel"/>
    <w:tmpl w:val="3EF6E92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58D5D62"/>
    <w:multiLevelType w:val="hybridMultilevel"/>
    <w:tmpl w:val="18E4496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2B6E4873"/>
    <w:multiLevelType w:val="hybridMultilevel"/>
    <w:tmpl w:val="21587F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F27199E"/>
    <w:multiLevelType w:val="hybridMultilevel"/>
    <w:tmpl w:val="5178FC3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4">
    <w:nsid w:val="329826A3"/>
    <w:multiLevelType w:val="hybridMultilevel"/>
    <w:tmpl w:val="C95ECD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6923816"/>
    <w:multiLevelType w:val="hybridMultilevel"/>
    <w:tmpl w:val="0FF8065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A517A4D"/>
    <w:multiLevelType w:val="hybridMultilevel"/>
    <w:tmpl w:val="0D5854A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C3033B4"/>
    <w:multiLevelType w:val="hybridMultilevel"/>
    <w:tmpl w:val="841A81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F5D0F24"/>
    <w:multiLevelType w:val="hybridMultilevel"/>
    <w:tmpl w:val="7D2EEED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2D772AE"/>
    <w:multiLevelType w:val="hybridMultilevel"/>
    <w:tmpl w:val="A18AC2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4122C1E"/>
    <w:multiLevelType w:val="hybridMultilevel"/>
    <w:tmpl w:val="0A9EAE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A654763"/>
    <w:multiLevelType w:val="hybridMultilevel"/>
    <w:tmpl w:val="03AACD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C082665"/>
    <w:multiLevelType w:val="hybridMultilevel"/>
    <w:tmpl w:val="5D145C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D11518C"/>
    <w:multiLevelType w:val="hybridMultilevel"/>
    <w:tmpl w:val="15C8E7D2"/>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4DE04BCE"/>
    <w:multiLevelType w:val="hybridMultilevel"/>
    <w:tmpl w:val="B68821D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1D47D26"/>
    <w:multiLevelType w:val="hybridMultilevel"/>
    <w:tmpl w:val="CC80FF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2067558"/>
    <w:multiLevelType w:val="hybridMultilevel"/>
    <w:tmpl w:val="7AA4695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542606AB"/>
    <w:multiLevelType w:val="hybridMultilevel"/>
    <w:tmpl w:val="2A8A38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49C2438"/>
    <w:multiLevelType w:val="hybridMultilevel"/>
    <w:tmpl w:val="441E9C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61E1182"/>
    <w:multiLevelType w:val="hybridMultilevel"/>
    <w:tmpl w:val="DC1C9E7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0">
    <w:nsid w:val="571047BC"/>
    <w:multiLevelType w:val="hybridMultilevel"/>
    <w:tmpl w:val="3C644E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78A0033"/>
    <w:multiLevelType w:val="hybridMultilevel"/>
    <w:tmpl w:val="57C474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881248B"/>
    <w:multiLevelType w:val="hybridMultilevel"/>
    <w:tmpl w:val="B886966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5BE64930"/>
    <w:multiLevelType w:val="hybridMultilevel"/>
    <w:tmpl w:val="E52ED22E"/>
    <w:lvl w:ilvl="0">
      <w:start w:val="1"/>
      <w:numFmt w:val="decimal"/>
      <w:lvlText w:val="%1."/>
      <w:lvlJc w:val="left"/>
      <w:pPr>
        <w:ind w:left="1068" w:hanging="360"/>
      </w:pPr>
      <w:rPr>
        <w:rFonts w:ascii="Times New Roman" w:eastAsia="Times New Roman" w:hAnsi="Times New Roman"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4">
    <w:nsid w:val="5CDA677A"/>
    <w:multiLevelType w:val="hybridMultilevel"/>
    <w:tmpl w:val="2A1E3AA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5CDB0133"/>
    <w:multiLevelType w:val="hybridMultilevel"/>
    <w:tmpl w:val="5838C9C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5F6D12AD"/>
    <w:multiLevelType w:val="hybridMultilevel"/>
    <w:tmpl w:val="6A4AF9E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62755DA1"/>
    <w:multiLevelType w:val="hybridMultilevel"/>
    <w:tmpl w:val="EE8E59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7DA5BB0"/>
    <w:multiLevelType w:val="hybridMultilevel"/>
    <w:tmpl w:val="A9B87F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6ABD2193"/>
    <w:multiLevelType w:val="hybridMultilevel"/>
    <w:tmpl w:val="A538EF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C374653"/>
    <w:multiLevelType w:val="hybridMultilevel"/>
    <w:tmpl w:val="417C7E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6DEF49DD"/>
    <w:multiLevelType w:val="hybridMultilevel"/>
    <w:tmpl w:val="9D3811A0"/>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50F0C2D"/>
    <w:multiLevelType w:val="hybridMultilevel"/>
    <w:tmpl w:val="A01847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DDE090F"/>
    <w:multiLevelType w:val="hybridMultilevel"/>
    <w:tmpl w:val="A50C2DE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E5021A6"/>
    <w:multiLevelType w:val="hybridMultilevel"/>
    <w:tmpl w:val="ACD29C1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7"/>
  </w:num>
  <w:num w:numId="2">
    <w:abstractNumId w:val="12"/>
  </w:num>
  <w:num w:numId="3">
    <w:abstractNumId w:val="7"/>
  </w:num>
  <w:num w:numId="4">
    <w:abstractNumId w:val="39"/>
  </w:num>
  <w:num w:numId="5">
    <w:abstractNumId w:val="30"/>
  </w:num>
  <w:num w:numId="6">
    <w:abstractNumId w:val="28"/>
  </w:num>
  <w:num w:numId="7">
    <w:abstractNumId w:val="27"/>
  </w:num>
  <w:num w:numId="8">
    <w:abstractNumId w:val="1"/>
  </w:num>
  <w:num w:numId="9">
    <w:abstractNumId w:val="43"/>
  </w:num>
  <w:num w:numId="10">
    <w:abstractNumId w:val="3"/>
  </w:num>
  <w:num w:numId="11">
    <w:abstractNumId w:val="44"/>
  </w:num>
  <w:num w:numId="12">
    <w:abstractNumId w:val="41"/>
  </w:num>
  <w:num w:numId="13">
    <w:abstractNumId w:val="2"/>
  </w:num>
  <w:num w:numId="14">
    <w:abstractNumId w:val="11"/>
  </w:num>
  <w:num w:numId="15">
    <w:abstractNumId w:val="38"/>
  </w:num>
  <w:num w:numId="16">
    <w:abstractNumId w:val="32"/>
  </w:num>
  <w:num w:numId="17">
    <w:abstractNumId w:val="5"/>
  </w:num>
  <w:num w:numId="18">
    <w:abstractNumId w:val="4"/>
  </w:num>
  <w:num w:numId="19">
    <w:abstractNumId w:val="29"/>
  </w:num>
  <w:num w:numId="20">
    <w:abstractNumId w:val="23"/>
  </w:num>
  <w:num w:numId="21">
    <w:abstractNumId w:val="26"/>
  </w:num>
  <w:num w:numId="22">
    <w:abstractNumId w:val="8"/>
  </w:num>
  <w:num w:numId="23">
    <w:abstractNumId w:val="42"/>
  </w:num>
  <w:num w:numId="24">
    <w:abstractNumId w:val="34"/>
  </w:num>
  <w:num w:numId="25">
    <w:abstractNumId w:val="33"/>
  </w:num>
  <w:num w:numId="26">
    <w:abstractNumId w:val="18"/>
  </w:num>
  <w:num w:numId="27">
    <w:abstractNumId w:val="13"/>
  </w:num>
  <w:num w:numId="28">
    <w:abstractNumId w:val="24"/>
  </w:num>
  <w:num w:numId="29">
    <w:abstractNumId w:val="31"/>
  </w:num>
  <w:num w:numId="30">
    <w:abstractNumId w:val="10"/>
  </w:num>
  <w:num w:numId="31">
    <w:abstractNumId w:val="0"/>
  </w:num>
  <w:num w:numId="32">
    <w:abstractNumId w:val="14"/>
  </w:num>
  <w:num w:numId="33">
    <w:abstractNumId w:val="9"/>
  </w:num>
  <w:num w:numId="34">
    <w:abstractNumId w:val="22"/>
  </w:num>
  <w:num w:numId="35">
    <w:abstractNumId w:val="35"/>
  </w:num>
  <w:num w:numId="36">
    <w:abstractNumId w:val="40"/>
  </w:num>
  <w:num w:numId="37">
    <w:abstractNumId w:val="36"/>
  </w:num>
  <w:num w:numId="38">
    <w:abstractNumId w:val="6"/>
  </w:num>
  <w:num w:numId="39">
    <w:abstractNumId w:val="37"/>
  </w:num>
  <w:num w:numId="40">
    <w:abstractNumId w:val="21"/>
  </w:num>
  <w:num w:numId="41">
    <w:abstractNumId w:val="20"/>
  </w:num>
  <w:num w:numId="42">
    <w:abstractNumId w:val="15"/>
  </w:num>
  <w:num w:numId="43">
    <w:abstractNumId w:val="25"/>
  </w:num>
  <w:num w:numId="44">
    <w:abstractNumId w:val="19"/>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D21FE5"/>
    <w:rsid w:val="00001507"/>
    <w:rsid w:val="000074DB"/>
    <w:rsid w:val="000079E3"/>
    <w:rsid w:val="000122BE"/>
    <w:rsid w:val="00025274"/>
    <w:rsid w:val="00036F08"/>
    <w:rsid w:val="000446C1"/>
    <w:rsid w:val="00063AF1"/>
    <w:rsid w:val="00065017"/>
    <w:rsid w:val="00077C17"/>
    <w:rsid w:val="00077F6F"/>
    <w:rsid w:val="00082113"/>
    <w:rsid w:val="0008687B"/>
    <w:rsid w:val="000922E9"/>
    <w:rsid w:val="000954AC"/>
    <w:rsid w:val="00097EB9"/>
    <w:rsid w:val="000A115F"/>
    <w:rsid w:val="000A15F6"/>
    <w:rsid w:val="000B32FD"/>
    <w:rsid w:val="000C3DD0"/>
    <w:rsid w:val="000D3035"/>
    <w:rsid w:val="000D77E1"/>
    <w:rsid w:val="000E1E96"/>
    <w:rsid w:val="000E1E9F"/>
    <w:rsid w:val="000E5297"/>
    <w:rsid w:val="000F297F"/>
    <w:rsid w:val="000F7DD6"/>
    <w:rsid w:val="00101571"/>
    <w:rsid w:val="001022D3"/>
    <w:rsid w:val="00102362"/>
    <w:rsid w:val="0011317B"/>
    <w:rsid w:val="0011408E"/>
    <w:rsid w:val="0011451A"/>
    <w:rsid w:val="001155C8"/>
    <w:rsid w:val="00115976"/>
    <w:rsid w:val="0011673C"/>
    <w:rsid w:val="00123C8D"/>
    <w:rsid w:val="00124E05"/>
    <w:rsid w:val="00126BC9"/>
    <w:rsid w:val="00132387"/>
    <w:rsid w:val="001427FD"/>
    <w:rsid w:val="00142A0C"/>
    <w:rsid w:val="00145BB6"/>
    <w:rsid w:val="00145F1D"/>
    <w:rsid w:val="00146793"/>
    <w:rsid w:val="0014728B"/>
    <w:rsid w:val="001504A6"/>
    <w:rsid w:val="00150DF7"/>
    <w:rsid w:val="00151E9D"/>
    <w:rsid w:val="00160C48"/>
    <w:rsid w:val="00161CF5"/>
    <w:rsid w:val="00165131"/>
    <w:rsid w:val="0016584E"/>
    <w:rsid w:val="0016607B"/>
    <w:rsid w:val="00176A5B"/>
    <w:rsid w:val="00176E5D"/>
    <w:rsid w:val="00181B4B"/>
    <w:rsid w:val="0018650A"/>
    <w:rsid w:val="00192E57"/>
    <w:rsid w:val="001A5DE0"/>
    <w:rsid w:val="001B0012"/>
    <w:rsid w:val="001B19A4"/>
    <w:rsid w:val="001C24E6"/>
    <w:rsid w:val="001C258D"/>
    <w:rsid w:val="001C551C"/>
    <w:rsid w:val="001C5B1E"/>
    <w:rsid w:val="001C6250"/>
    <w:rsid w:val="001C65FE"/>
    <w:rsid w:val="001D5F0C"/>
    <w:rsid w:val="001E0B64"/>
    <w:rsid w:val="001E2A63"/>
    <w:rsid w:val="001E2CF6"/>
    <w:rsid w:val="001E2FAD"/>
    <w:rsid w:val="001E66AD"/>
    <w:rsid w:val="001E6DF5"/>
    <w:rsid w:val="001F42FC"/>
    <w:rsid w:val="001F5A37"/>
    <w:rsid w:val="001F61E7"/>
    <w:rsid w:val="001F6AB5"/>
    <w:rsid w:val="00201FFC"/>
    <w:rsid w:val="002075E1"/>
    <w:rsid w:val="00207BC0"/>
    <w:rsid w:val="0021351F"/>
    <w:rsid w:val="00213896"/>
    <w:rsid w:val="00216760"/>
    <w:rsid w:val="002228CE"/>
    <w:rsid w:val="00224B0D"/>
    <w:rsid w:val="00225325"/>
    <w:rsid w:val="00226F0B"/>
    <w:rsid w:val="0022751B"/>
    <w:rsid w:val="00232931"/>
    <w:rsid w:val="0023413D"/>
    <w:rsid w:val="00240F9D"/>
    <w:rsid w:val="00243CDE"/>
    <w:rsid w:val="00246BDA"/>
    <w:rsid w:val="002473DA"/>
    <w:rsid w:val="00247E12"/>
    <w:rsid w:val="00254823"/>
    <w:rsid w:val="002615D0"/>
    <w:rsid w:val="00261E61"/>
    <w:rsid w:val="002632AE"/>
    <w:rsid w:val="00296FD9"/>
    <w:rsid w:val="002B7EAC"/>
    <w:rsid w:val="002D1AE8"/>
    <w:rsid w:val="002D2A87"/>
    <w:rsid w:val="002D3501"/>
    <w:rsid w:val="002D4800"/>
    <w:rsid w:val="002E1461"/>
    <w:rsid w:val="002F2431"/>
    <w:rsid w:val="002F6A2A"/>
    <w:rsid w:val="002F7154"/>
    <w:rsid w:val="002F721C"/>
    <w:rsid w:val="00301658"/>
    <w:rsid w:val="00302201"/>
    <w:rsid w:val="00307F8F"/>
    <w:rsid w:val="0031507A"/>
    <w:rsid w:val="00317B3F"/>
    <w:rsid w:val="00317C3B"/>
    <w:rsid w:val="0032030C"/>
    <w:rsid w:val="00321D4D"/>
    <w:rsid w:val="00322C7A"/>
    <w:rsid w:val="003259BE"/>
    <w:rsid w:val="00340B3F"/>
    <w:rsid w:val="00346212"/>
    <w:rsid w:val="00356E4D"/>
    <w:rsid w:val="00361165"/>
    <w:rsid w:val="00364E9F"/>
    <w:rsid w:val="00374869"/>
    <w:rsid w:val="0037492A"/>
    <w:rsid w:val="003801C7"/>
    <w:rsid w:val="0038116B"/>
    <w:rsid w:val="00383026"/>
    <w:rsid w:val="00386A75"/>
    <w:rsid w:val="00390BAD"/>
    <w:rsid w:val="0039587F"/>
    <w:rsid w:val="003A5954"/>
    <w:rsid w:val="003A5D87"/>
    <w:rsid w:val="003B17F1"/>
    <w:rsid w:val="003B3709"/>
    <w:rsid w:val="003C24AF"/>
    <w:rsid w:val="003C277C"/>
    <w:rsid w:val="003C3D76"/>
    <w:rsid w:val="003C7E07"/>
    <w:rsid w:val="003D3778"/>
    <w:rsid w:val="003D4BA6"/>
    <w:rsid w:val="003D62D7"/>
    <w:rsid w:val="003D74BD"/>
    <w:rsid w:val="003F1D80"/>
    <w:rsid w:val="003F2AE0"/>
    <w:rsid w:val="003F36C7"/>
    <w:rsid w:val="00400173"/>
    <w:rsid w:val="00404247"/>
    <w:rsid w:val="00404E27"/>
    <w:rsid w:val="0040584E"/>
    <w:rsid w:val="004169C7"/>
    <w:rsid w:val="0041756D"/>
    <w:rsid w:val="0041781E"/>
    <w:rsid w:val="00417A4D"/>
    <w:rsid w:val="0043356D"/>
    <w:rsid w:val="00450995"/>
    <w:rsid w:val="00451477"/>
    <w:rsid w:val="00452C1D"/>
    <w:rsid w:val="004538DD"/>
    <w:rsid w:val="00455279"/>
    <w:rsid w:val="00455817"/>
    <w:rsid w:val="0047082D"/>
    <w:rsid w:val="00470881"/>
    <w:rsid w:val="00471E57"/>
    <w:rsid w:val="004812F8"/>
    <w:rsid w:val="00481EED"/>
    <w:rsid w:val="004823A7"/>
    <w:rsid w:val="00483530"/>
    <w:rsid w:val="004A5D50"/>
    <w:rsid w:val="004B1CC2"/>
    <w:rsid w:val="004B46D0"/>
    <w:rsid w:val="004C19F1"/>
    <w:rsid w:val="004C380B"/>
    <w:rsid w:val="004C38E5"/>
    <w:rsid w:val="004C570D"/>
    <w:rsid w:val="004C5A84"/>
    <w:rsid w:val="004D1DF8"/>
    <w:rsid w:val="004D44F5"/>
    <w:rsid w:val="004D7BC4"/>
    <w:rsid w:val="004E039B"/>
    <w:rsid w:val="004E189C"/>
    <w:rsid w:val="004E6422"/>
    <w:rsid w:val="004F0CB1"/>
    <w:rsid w:val="004F18BE"/>
    <w:rsid w:val="004F5B43"/>
    <w:rsid w:val="00500887"/>
    <w:rsid w:val="00501A29"/>
    <w:rsid w:val="0050212A"/>
    <w:rsid w:val="0050227E"/>
    <w:rsid w:val="00504131"/>
    <w:rsid w:val="00505488"/>
    <w:rsid w:val="005064B8"/>
    <w:rsid w:val="00510D85"/>
    <w:rsid w:val="005110B9"/>
    <w:rsid w:val="00513D32"/>
    <w:rsid w:val="00516E60"/>
    <w:rsid w:val="00523205"/>
    <w:rsid w:val="005269A9"/>
    <w:rsid w:val="00530208"/>
    <w:rsid w:val="005352C1"/>
    <w:rsid w:val="00535429"/>
    <w:rsid w:val="00540773"/>
    <w:rsid w:val="005408C8"/>
    <w:rsid w:val="005447E4"/>
    <w:rsid w:val="0055071C"/>
    <w:rsid w:val="00550779"/>
    <w:rsid w:val="00552114"/>
    <w:rsid w:val="005609AD"/>
    <w:rsid w:val="005665D7"/>
    <w:rsid w:val="00571A0D"/>
    <w:rsid w:val="00577921"/>
    <w:rsid w:val="00580FE9"/>
    <w:rsid w:val="005810BC"/>
    <w:rsid w:val="00593411"/>
    <w:rsid w:val="00593AB4"/>
    <w:rsid w:val="00595B48"/>
    <w:rsid w:val="00596959"/>
    <w:rsid w:val="005A00BA"/>
    <w:rsid w:val="005A47D1"/>
    <w:rsid w:val="005A6366"/>
    <w:rsid w:val="005A776C"/>
    <w:rsid w:val="005A78ED"/>
    <w:rsid w:val="005A7BA7"/>
    <w:rsid w:val="005B2841"/>
    <w:rsid w:val="005B71B0"/>
    <w:rsid w:val="005C1DEC"/>
    <w:rsid w:val="005C6CA0"/>
    <w:rsid w:val="005C74D3"/>
    <w:rsid w:val="005E0B78"/>
    <w:rsid w:val="005E26C9"/>
    <w:rsid w:val="005F3225"/>
    <w:rsid w:val="00600799"/>
    <w:rsid w:val="0060472B"/>
    <w:rsid w:val="0060537E"/>
    <w:rsid w:val="00605937"/>
    <w:rsid w:val="0062219F"/>
    <w:rsid w:val="00622A6E"/>
    <w:rsid w:val="00623833"/>
    <w:rsid w:val="00630880"/>
    <w:rsid w:val="00635DD0"/>
    <w:rsid w:val="00640157"/>
    <w:rsid w:val="00641EA1"/>
    <w:rsid w:val="006456E5"/>
    <w:rsid w:val="006512A2"/>
    <w:rsid w:val="00653189"/>
    <w:rsid w:val="006576E5"/>
    <w:rsid w:val="006617E9"/>
    <w:rsid w:val="00661E2E"/>
    <w:rsid w:val="006643CB"/>
    <w:rsid w:val="0066641C"/>
    <w:rsid w:val="006702D8"/>
    <w:rsid w:val="00670CE0"/>
    <w:rsid w:val="00671A05"/>
    <w:rsid w:val="00673195"/>
    <w:rsid w:val="00676675"/>
    <w:rsid w:val="006860D3"/>
    <w:rsid w:val="0069260C"/>
    <w:rsid w:val="00692F4D"/>
    <w:rsid w:val="006C0D33"/>
    <w:rsid w:val="006C2705"/>
    <w:rsid w:val="006C5947"/>
    <w:rsid w:val="006C6E4F"/>
    <w:rsid w:val="006D1C10"/>
    <w:rsid w:val="006D5018"/>
    <w:rsid w:val="006E45E4"/>
    <w:rsid w:val="006E6555"/>
    <w:rsid w:val="006F194A"/>
    <w:rsid w:val="006F2AE8"/>
    <w:rsid w:val="006F4EC8"/>
    <w:rsid w:val="00700210"/>
    <w:rsid w:val="0070206E"/>
    <w:rsid w:val="00705352"/>
    <w:rsid w:val="00706240"/>
    <w:rsid w:val="0071066C"/>
    <w:rsid w:val="007200A9"/>
    <w:rsid w:val="007229BA"/>
    <w:rsid w:val="00725EF8"/>
    <w:rsid w:val="007267A6"/>
    <w:rsid w:val="00732689"/>
    <w:rsid w:val="0073292D"/>
    <w:rsid w:val="00735E70"/>
    <w:rsid w:val="00741451"/>
    <w:rsid w:val="00746667"/>
    <w:rsid w:val="00747EA6"/>
    <w:rsid w:val="00750AB0"/>
    <w:rsid w:val="0075203D"/>
    <w:rsid w:val="00754FDD"/>
    <w:rsid w:val="00755790"/>
    <w:rsid w:val="00755C18"/>
    <w:rsid w:val="00761A8B"/>
    <w:rsid w:val="00763831"/>
    <w:rsid w:val="00763C7B"/>
    <w:rsid w:val="00773599"/>
    <w:rsid w:val="00774930"/>
    <w:rsid w:val="00774D2D"/>
    <w:rsid w:val="007752CE"/>
    <w:rsid w:val="00777B32"/>
    <w:rsid w:val="00784343"/>
    <w:rsid w:val="007849D9"/>
    <w:rsid w:val="007853EB"/>
    <w:rsid w:val="007859D8"/>
    <w:rsid w:val="00787C9C"/>
    <w:rsid w:val="00793037"/>
    <w:rsid w:val="00794A41"/>
    <w:rsid w:val="0079765B"/>
    <w:rsid w:val="007A2613"/>
    <w:rsid w:val="007A5D17"/>
    <w:rsid w:val="007A5FEA"/>
    <w:rsid w:val="007B344F"/>
    <w:rsid w:val="007B6828"/>
    <w:rsid w:val="007C24ED"/>
    <w:rsid w:val="007C270A"/>
    <w:rsid w:val="007C3AD9"/>
    <w:rsid w:val="007E108D"/>
    <w:rsid w:val="007E3011"/>
    <w:rsid w:val="007E4EEE"/>
    <w:rsid w:val="007E6D0A"/>
    <w:rsid w:val="007E753C"/>
    <w:rsid w:val="007F3ED8"/>
    <w:rsid w:val="00801E87"/>
    <w:rsid w:val="0080212D"/>
    <w:rsid w:val="00802481"/>
    <w:rsid w:val="00804B8D"/>
    <w:rsid w:val="00813C6A"/>
    <w:rsid w:val="00815398"/>
    <w:rsid w:val="0081586E"/>
    <w:rsid w:val="00816B01"/>
    <w:rsid w:val="0082012D"/>
    <w:rsid w:val="00822D20"/>
    <w:rsid w:val="00826520"/>
    <w:rsid w:val="0083248E"/>
    <w:rsid w:val="00832C0F"/>
    <w:rsid w:val="00832FB5"/>
    <w:rsid w:val="008360A6"/>
    <w:rsid w:val="008367A5"/>
    <w:rsid w:val="008439F3"/>
    <w:rsid w:val="00845F06"/>
    <w:rsid w:val="008470C3"/>
    <w:rsid w:val="00851725"/>
    <w:rsid w:val="00852D91"/>
    <w:rsid w:val="00861575"/>
    <w:rsid w:val="0086182E"/>
    <w:rsid w:val="00862082"/>
    <w:rsid w:val="008676A6"/>
    <w:rsid w:val="00867AC1"/>
    <w:rsid w:val="00875573"/>
    <w:rsid w:val="0087660D"/>
    <w:rsid w:val="00886E88"/>
    <w:rsid w:val="00891266"/>
    <w:rsid w:val="00891E06"/>
    <w:rsid w:val="0089428F"/>
    <w:rsid w:val="00895EBF"/>
    <w:rsid w:val="008A2A2A"/>
    <w:rsid w:val="008B2919"/>
    <w:rsid w:val="008B533F"/>
    <w:rsid w:val="008B5B88"/>
    <w:rsid w:val="008C0A3F"/>
    <w:rsid w:val="008C12B5"/>
    <w:rsid w:val="008C4F60"/>
    <w:rsid w:val="008C66EF"/>
    <w:rsid w:val="008C755F"/>
    <w:rsid w:val="008C75CF"/>
    <w:rsid w:val="008C78EF"/>
    <w:rsid w:val="008D504A"/>
    <w:rsid w:val="008E376E"/>
    <w:rsid w:val="008E3CAC"/>
    <w:rsid w:val="008E5386"/>
    <w:rsid w:val="008F0D0D"/>
    <w:rsid w:val="008F1749"/>
    <w:rsid w:val="008F59F9"/>
    <w:rsid w:val="00901FFD"/>
    <w:rsid w:val="00905F24"/>
    <w:rsid w:val="009079B0"/>
    <w:rsid w:val="00916C3A"/>
    <w:rsid w:val="00921A57"/>
    <w:rsid w:val="0092233D"/>
    <w:rsid w:val="009227CF"/>
    <w:rsid w:val="009253AD"/>
    <w:rsid w:val="009349B2"/>
    <w:rsid w:val="00944DC6"/>
    <w:rsid w:val="009504D3"/>
    <w:rsid w:val="0095560E"/>
    <w:rsid w:val="0096073E"/>
    <w:rsid w:val="00964711"/>
    <w:rsid w:val="00966A82"/>
    <w:rsid w:val="00967CB3"/>
    <w:rsid w:val="0097119A"/>
    <w:rsid w:val="0097251B"/>
    <w:rsid w:val="00977A8E"/>
    <w:rsid w:val="00985068"/>
    <w:rsid w:val="009B0C49"/>
    <w:rsid w:val="009B6871"/>
    <w:rsid w:val="009C37A9"/>
    <w:rsid w:val="009D4DEE"/>
    <w:rsid w:val="009D4F89"/>
    <w:rsid w:val="009E5024"/>
    <w:rsid w:val="009F24FB"/>
    <w:rsid w:val="00A0166D"/>
    <w:rsid w:val="00A0448D"/>
    <w:rsid w:val="00A133C8"/>
    <w:rsid w:val="00A24BE8"/>
    <w:rsid w:val="00A30094"/>
    <w:rsid w:val="00A335C4"/>
    <w:rsid w:val="00A537A0"/>
    <w:rsid w:val="00A54740"/>
    <w:rsid w:val="00A63DFA"/>
    <w:rsid w:val="00A67022"/>
    <w:rsid w:val="00A673E4"/>
    <w:rsid w:val="00A75DD3"/>
    <w:rsid w:val="00A80460"/>
    <w:rsid w:val="00A81F71"/>
    <w:rsid w:val="00A8296D"/>
    <w:rsid w:val="00A83462"/>
    <w:rsid w:val="00A91C02"/>
    <w:rsid w:val="00A9262A"/>
    <w:rsid w:val="00A93F73"/>
    <w:rsid w:val="00A94DED"/>
    <w:rsid w:val="00A95D2C"/>
    <w:rsid w:val="00A9639B"/>
    <w:rsid w:val="00AA4107"/>
    <w:rsid w:val="00AA43FF"/>
    <w:rsid w:val="00AA60D1"/>
    <w:rsid w:val="00AB468C"/>
    <w:rsid w:val="00AB50DB"/>
    <w:rsid w:val="00AC241E"/>
    <w:rsid w:val="00AC5A30"/>
    <w:rsid w:val="00AD5F6B"/>
    <w:rsid w:val="00AE0FB1"/>
    <w:rsid w:val="00AE4181"/>
    <w:rsid w:val="00AE65FD"/>
    <w:rsid w:val="00AF28A8"/>
    <w:rsid w:val="00AF29B9"/>
    <w:rsid w:val="00AF5B94"/>
    <w:rsid w:val="00B002D7"/>
    <w:rsid w:val="00B03724"/>
    <w:rsid w:val="00B03F51"/>
    <w:rsid w:val="00B0693A"/>
    <w:rsid w:val="00B07232"/>
    <w:rsid w:val="00B21CF6"/>
    <w:rsid w:val="00B31108"/>
    <w:rsid w:val="00B426E1"/>
    <w:rsid w:val="00B42F04"/>
    <w:rsid w:val="00B5603B"/>
    <w:rsid w:val="00B560CC"/>
    <w:rsid w:val="00B57B81"/>
    <w:rsid w:val="00B61700"/>
    <w:rsid w:val="00B61B94"/>
    <w:rsid w:val="00B7389C"/>
    <w:rsid w:val="00B738C2"/>
    <w:rsid w:val="00B828CF"/>
    <w:rsid w:val="00B8447F"/>
    <w:rsid w:val="00B91EC8"/>
    <w:rsid w:val="00B9474D"/>
    <w:rsid w:val="00B97DB3"/>
    <w:rsid w:val="00BA0B86"/>
    <w:rsid w:val="00BA0FE4"/>
    <w:rsid w:val="00BA63B9"/>
    <w:rsid w:val="00BA6C06"/>
    <w:rsid w:val="00BA6EE7"/>
    <w:rsid w:val="00BB4171"/>
    <w:rsid w:val="00BB470A"/>
    <w:rsid w:val="00BC00DE"/>
    <w:rsid w:val="00BC1DE6"/>
    <w:rsid w:val="00BC2BE4"/>
    <w:rsid w:val="00BC42AF"/>
    <w:rsid w:val="00BC43D0"/>
    <w:rsid w:val="00BC622A"/>
    <w:rsid w:val="00BD170C"/>
    <w:rsid w:val="00BD7DF6"/>
    <w:rsid w:val="00BE22B6"/>
    <w:rsid w:val="00BE6608"/>
    <w:rsid w:val="00BE7938"/>
    <w:rsid w:val="00BE7A00"/>
    <w:rsid w:val="00C01B00"/>
    <w:rsid w:val="00C02C69"/>
    <w:rsid w:val="00C03D08"/>
    <w:rsid w:val="00C11F87"/>
    <w:rsid w:val="00C14576"/>
    <w:rsid w:val="00C200F7"/>
    <w:rsid w:val="00C207CE"/>
    <w:rsid w:val="00C26EFC"/>
    <w:rsid w:val="00C41461"/>
    <w:rsid w:val="00C441C3"/>
    <w:rsid w:val="00C44DEF"/>
    <w:rsid w:val="00C52259"/>
    <w:rsid w:val="00C54BE3"/>
    <w:rsid w:val="00C60185"/>
    <w:rsid w:val="00C633C1"/>
    <w:rsid w:val="00C63DF8"/>
    <w:rsid w:val="00C6418C"/>
    <w:rsid w:val="00C73846"/>
    <w:rsid w:val="00C73CA5"/>
    <w:rsid w:val="00C83C9F"/>
    <w:rsid w:val="00C84365"/>
    <w:rsid w:val="00C84BD8"/>
    <w:rsid w:val="00C91E75"/>
    <w:rsid w:val="00C948CE"/>
    <w:rsid w:val="00C9555C"/>
    <w:rsid w:val="00CA0228"/>
    <w:rsid w:val="00CA056F"/>
    <w:rsid w:val="00CA1375"/>
    <w:rsid w:val="00CA42AA"/>
    <w:rsid w:val="00CA4312"/>
    <w:rsid w:val="00CB3C3A"/>
    <w:rsid w:val="00CB5196"/>
    <w:rsid w:val="00CB75F9"/>
    <w:rsid w:val="00CC3784"/>
    <w:rsid w:val="00CC3B52"/>
    <w:rsid w:val="00CC478E"/>
    <w:rsid w:val="00CC70B8"/>
    <w:rsid w:val="00CD1854"/>
    <w:rsid w:val="00CD2B0E"/>
    <w:rsid w:val="00CD6665"/>
    <w:rsid w:val="00CE62A0"/>
    <w:rsid w:val="00CE64E8"/>
    <w:rsid w:val="00CF3538"/>
    <w:rsid w:val="00CF4AAE"/>
    <w:rsid w:val="00D03DF6"/>
    <w:rsid w:val="00D11F47"/>
    <w:rsid w:val="00D14ABF"/>
    <w:rsid w:val="00D1554D"/>
    <w:rsid w:val="00D155D4"/>
    <w:rsid w:val="00D21FE5"/>
    <w:rsid w:val="00D25DFD"/>
    <w:rsid w:val="00D308FD"/>
    <w:rsid w:val="00D30C2A"/>
    <w:rsid w:val="00D403ED"/>
    <w:rsid w:val="00D41904"/>
    <w:rsid w:val="00D43F83"/>
    <w:rsid w:val="00D44C87"/>
    <w:rsid w:val="00D4628A"/>
    <w:rsid w:val="00D47AA1"/>
    <w:rsid w:val="00D56038"/>
    <w:rsid w:val="00D56129"/>
    <w:rsid w:val="00D57723"/>
    <w:rsid w:val="00D60B83"/>
    <w:rsid w:val="00D61766"/>
    <w:rsid w:val="00D61C5B"/>
    <w:rsid w:val="00D636D2"/>
    <w:rsid w:val="00D64132"/>
    <w:rsid w:val="00D672F3"/>
    <w:rsid w:val="00D679BD"/>
    <w:rsid w:val="00D726FA"/>
    <w:rsid w:val="00D74378"/>
    <w:rsid w:val="00D75AD6"/>
    <w:rsid w:val="00D76605"/>
    <w:rsid w:val="00D7662B"/>
    <w:rsid w:val="00D83615"/>
    <w:rsid w:val="00D83A99"/>
    <w:rsid w:val="00D92E48"/>
    <w:rsid w:val="00D93935"/>
    <w:rsid w:val="00D94152"/>
    <w:rsid w:val="00D94C89"/>
    <w:rsid w:val="00D969F1"/>
    <w:rsid w:val="00DA0CBE"/>
    <w:rsid w:val="00DA553B"/>
    <w:rsid w:val="00DA66E9"/>
    <w:rsid w:val="00DB0B53"/>
    <w:rsid w:val="00DB5483"/>
    <w:rsid w:val="00DB55D9"/>
    <w:rsid w:val="00DB5F3E"/>
    <w:rsid w:val="00DB75D3"/>
    <w:rsid w:val="00DB7B4B"/>
    <w:rsid w:val="00DC07DA"/>
    <w:rsid w:val="00DC0AD5"/>
    <w:rsid w:val="00DC7B5E"/>
    <w:rsid w:val="00DD2EF9"/>
    <w:rsid w:val="00DD7CA8"/>
    <w:rsid w:val="00DE32E0"/>
    <w:rsid w:val="00DF5DB9"/>
    <w:rsid w:val="00DF7D29"/>
    <w:rsid w:val="00E03D01"/>
    <w:rsid w:val="00E04404"/>
    <w:rsid w:val="00E04617"/>
    <w:rsid w:val="00E05801"/>
    <w:rsid w:val="00E06D18"/>
    <w:rsid w:val="00E118E1"/>
    <w:rsid w:val="00E16CCC"/>
    <w:rsid w:val="00E179C6"/>
    <w:rsid w:val="00E217CD"/>
    <w:rsid w:val="00E2363F"/>
    <w:rsid w:val="00E25524"/>
    <w:rsid w:val="00E355A7"/>
    <w:rsid w:val="00E365BA"/>
    <w:rsid w:val="00E36A5A"/>
    <w:rsid w:val="00E423DB"/>
    <w:rsid w:val="00E4351A"/>
    <w:rsid w:val="00E56267"/>
    <w:rsid w:val="00E56913"/>
    <w:rsid w:val="00E56A9B"/>
    <w:rsid w:val="00E6759E"/>
    <w:rsid w:val="00E7298E"/>
    <w:rsid w:val="00E7436C"/>
    <w:rsid w:val="00E7486A"/>
    <w:rsid w:val="00E769A7"/>
    <w:rsid w:val="00E85F0B"/>
    <w:rsid w:val="00E95AEC"/>
    <w:rsid w:val="00EA18C4"/>
    <w:rsid w:val="00ED1744"/>
    <w:rsid w:val="00EE2B99"/>
    <w:rsid w:val="00EE3DB1"/>
    <w:rsid w:val="00F024E6"/>
    <w:rsid w:val="00F03B4F"/>
    <w:rsid w:val="00F03ECC"/>
    <w:rsid w:val="00F040FF"/>
    <w:rsid w:val="00F07BB9"/>
    <w:rsid w:val="00F07C0B"/>
    <w:rsid w:val="00F07D32"/>
    <w:rsid w:val="00F07E2E"/>
    <w:rsid w:val="00F14270"/>
    <w:rsid w:val="00F2301E"/>
    <w:rsid w:val="00F248B4"/>
    <w:rsid w:val="00F27BC6"/>
    <w:rsid w:val="00F27C26"/>
    <w:rsid w:val="00F30B09"/>
    <w:rsid w:val="00F31089"/>
    <w:rsid w:val="00F33A38"/>
    <w:rsid w:val="00F358A6"/>
    <w:rsid w:val="00F377E9"/>
    <w:rsid w:val="00F40952"/>
    <w:rsid w:val="00F423C2"/>
    <w:rsid w:val="00F433D9"/>
    <w:rsid w:val="00F46711"/>
    <w:rsid w:val="00F46C8D"/>
    <w:rsid w:val="00F56DAA"/>
    <w:rsid w:val="00F57B83"/>
    <w:rsid w:val="00F64DE0"/>
    <w:rsid w:val="00F656C9"/>
    <w:rsid w:val="00F65BED"/>
    <w:rsid w:val="00F71C36"/>
    <w:rsid w:val="00F72557"/>
    <w:rsid w:val="00F7799D"/>
    <w:rsid w:val="00F804B5"/>
    <w:rsid w:val="00F8602B"/>
    <w:rsid w:val="00F86BC6"/>
    <w:rsid w:val="00F9004F"/>
    <w:rsid w:val="00F9017B"/>
    <w:rsid w:val="00F90BAD"/>
    <w:rsid w:val="00F91C92"/>
    <w:rsid w:val="00F93664"/>
    <w:rsid w:val="00F94C4D"/>
    <w:rsid w:val="00F97FE8"/>
    <w:rsid w:val="00FA1575"/>
    <w:rsid w:val="00FA15BE"/>
    <w:rsid w:val="00FA6152"/>
    <w:rsid w:val="00FA769E"/>
    <w:rsid w:val="00FB66C8"/>
    <w:rsid w:val="00FB71E4"/>
    <w:rsid w:val="00FB7BEA"/>
    <w:rsid w:val="00FC27B3"/>
    <w:rsid w:val="00FC31A7"/>
    <w:rsid w:val="00FC62D3"/>
    <w:rsid w:val="00FC681E"/>
    <w:rsid w:val="00FD2EBC"/>
    <w:rsid w:val="00FD3B75"/>
    <w:rsid w:val="00FE0760"/>
    <w:rsid w:val="00FE26FC"/>
    <w:rsid w:val="00FE5B30"/>
    <w:rsid w:val="00FE5B94"/>
    <w:rsid w:val="00FE5EE2"/>
    <w:rsid w:val="00FF1D95"/>
    <w:rsid w:val="00FF2F13"/>
    <w:rsid w:val="00FF3BAD"/>
    <w:rsid w:val="00FF51F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CC478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unhideWhenUsed/>
    <w:rsid w:val="00F07D3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F07D32"/>
    <w:rPr>
      <w:rFonts w:cs="Times New Roman"/>
      <w:rtl w:val="0"/>
      <w:cs w:val="0"/>
    </w:rPr>
  </w:style>
  <w:style w:type="paragraph" w:styleId="Footer">
    <w:name w:val="footer"/>
    <w:basedOn w:val="Normal"/>
    <w:link w:val="PtaChar"/>
    <w:uiPriority w:val="99"/>
    <w:unhideWhenUsed/>
    <w:rsid w:val="00F07D3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F07D32"/>
    <w:rPr>
      <w:rFonts w:cs="Times New Roman"/>
      <w:rtl w:val="0"/>
      <w:cs w:val="0"/>
    </w:rPr>
  </w:style>
  <w:style w:type="paragraph" w:styleId="ListParagraph">
    <w:name w:val="List Paragraph"/>
    <w:basedOn w:val="Normal"/>
    <w:uiPriority w:val="99"/>
    <w:qFormat/>
    <w:rsid w:val="009C37A9"/>
    <w:pPr>
      <w:ind w:left="720"/>
      <w:contextualSpacing/>
      <w:jc w:val="left"/>
    </w:pPr>
  </w:style>
  <w:style w:type="character" w:styleId="CommentReference">
    <w:name w:val="annotation reference"/>
    <w:basedOn w:val="DefaultParagraphFont"/>
    <w:uiPriority w:val="99"/>
    <w:unhideWhenUsed/>
    <w:rsid w:val="00A63DFA"/>
    <w:rPr>
      <w:rFonts w:cs="Times New Roman"/>
      <w:sz w:val="16"/>
      <w:szCs w:val="16"/>
      <w:rtl w:val="0"/>
      <w:cs w:val="0"/>
    </w:rPr>
  </w:style>
  <w:style w:type="paragraph" w:styleId="CommentText">
    <w:name w:val="annotation text"/>
    <w:basedOn w:val="Normal"/>
    <w:link w:val="TextkomentraChar"/>
    <w:uiPriority w:val="99"/>
    <w:unhideWhenUsed/>
    <w:rsid w:val="00A63DFA"/>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A63DF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63DFA"/>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63DFA"/>
    <w:rPr>
      <w:b/>
      <w:bCs/>
    </w:rPr>
  </w:style>
  <w:style w:type="paragraph" w:styleId="BalloonText">
    <w:name w:val="Balloon Text"/>
    <w:basedOn w:val="Normal"/>
    <w:link w:val="TextbublinyChar"/>
    <w:uiPriority w:val="99"/>
    <w:semiHidden/>
    <w:unhideWhenUsed/>
    <w:rsid w:val="00A63DF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63DFA"/>
    <w:rPr>
      <w:rFonts w:ascii="Tahoma" w:hAnsi="Tahoma" w:cs="Tahoma"/>
      <w:sz w:val="16"/>
      <w:szCs w:val="16"/>
      <w:rtl w:val="0"/>
      <w:cs w:val="0"/>
    </w:rPr>
  </w:style>
  <w:style w:type="paragraph" w:styleId="BodyText">
    <w:name w:val="Body Text"/>
    <w:basedOn w:val="Normal"/>
    <w:link w:val="ZkladntextChar"/>
    <w:uiPriority w:val="99"/>
    <w:rsid w:val="00571A0D"/>
    <w:pPr>
      <w:autoSpaceDE w:val="0"/>
      <w:autoSpaceDN w:val="0"/>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DefaultParagraphFont"/>
    <w:link w:val="BodyText"/>
    <w:uiPriority w:val="99"/>
    <w:locked/>
    <w:rsid w:val="00571A0D"/>
    <w:rPr>
      <w:rFonts w:ascii="Times New Roman" w:hAnsi="Times New Roman" w:cs="Times New Roman"/>
      <w:b/>
      <w:bCs/>
      <w:sz w:val="24"/>
      <w:szCs w:val="24"/>
      <w:rtl w:val="0"/>
      <w:cs w:val="0"/>
      <w:lang w:val="x-none" w:eastAsia="sk-SK"/>
    </w:rPr>
  </w:style>
  <w:style w:type="paragraph" w:styleId="FootnoteText">
    <w:name w:val="footnote text"/>
    <w:basedOn w:val="Normal"/>
    <w:link w:val="TextpoznmkypodiarouChar"/>
    <w:uiPriority w:val="99"/>
    <w:unhideWhenUsed/>
    <w:rsid w:val="00E179C6"/>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locked/>
    <w:rsid w:val="00E179C6"/>
    <w:rPr>
      <w:rFonts w:cs="Times New Roman"/>
      <w:sz w:val="20"/>
      <w:szCs w:val="20"/>
      <w:rtl w:val="0"/>
      <w:cs w:val="0"/>
    </w:rPr>
  </w:style>
  <w:style w:type="character" w:styleId="FootnoteReference">
    <w:name w:val="footnote reference"/>
    <w:basedOn w:val="DefaultParagraphFont"/>
    <w:uiPriority w:val="99"/>
    <w:semiHidden/>
    <w:unhideWhenUsed/>
    <w:rsid w:val="00E179C6"/>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DF97A-495D-4103-9B43-8553F4C7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14</Pages>
  <Words>4108</Words>
  <Characters>23422</Characters>
  <Application>Microsoft Office Word</Application>
  <DocSecurity>0</DocSecurity>
  <Lines>0</Lines>
  <Paragraphs>0</Paragraphs>
  <ScaleCrop>false</ScaleCrop>
  <Company>Kancelaria NR SR</Company>
  <LinksUpToDate>false</LinksUpToDate>
  <CharactersWithSpaces>27476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Švorcová, Veronika</cp:lastModifiedBy>
  <cp:revision>3</cp:revision>
  <cp:lastPrinted>2016-11-28T10:18:00Z</cp:lastPrinted>
  <dcterms:created xsi:type="dcterms:W3CDTF">2016-11-28T10:19:00Z</dcterms:created>
  <dcterms:modified xsi:type="dcterms:W3CDTF">2016-11-30T08:44:00Z</dcterms:modified>
</cp:coreProperties>
</file>