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 xml:space="preserve">Číslo: </w:t>
      </w:r>
      <w:r w:rsidR="00415976">
        <w:rPr>
          <w:rFonts w:ascii="Times New Roman" w:hAnsi="Times New Roman"/>
          <w:bCs/>
        </w:rPr>
        <w:t>1718</w:t>
      </w:r>
      <w:r w:rsidRPr="00F36DCE" w:rsidR="00092E2E">
        <w:rPr>
          <w:rFonts w:ascii="Times New Roman" w:hAnsi="Times New Roman"/>
          <w:bCs/>
        </w:rPr>
        <w:t>/201</w:t>
      </w:r>
      <w:r w:rsidR="005A2F51">
        <w:rPr>
          <w:rFonts w:ascii="Times New Roman" w:hAnsi="Times New Roman"/>
          <w:bCs/>
        </w:rPr>
        <w:t>6</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00415976">
        <w:rPr>
          <w:rFonts w:ascii="Times New Roman" w:hAnsi="Times New Roman"/>
          <w:b/>
          <w:sz w:val="32"/>
          <w:szCs w:val="32"/>
        </w:rPr>
        <w:t>255</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2C4455" w:rsidRPr="00EF588B" w:rsidP="002C4455">
      <w:pPr>
        <w:keepNext/>
        <w:shd w:val="clear" w:color="auto" w:fill="FFFFFF"/>
        <w:bidi w:val="0"/>
        <w:jc w:val="both"/>
        <w:outlineLvl w:val="1"/>
        <w:rPr>
          <w:rFonts w:ascii="Times New Roman" w:hAnsi="Times New Roman"/>
          <w:b/>
          <w:bCs/>
          <w:iCs/>
        </w:rPr>
      </w:pPr>
      <w:r w:rsidRPr="00F36DCE" w:rsidR="00AA7E5B">
        <w:rPr>
          <w:rFonts w:ascii="Times New Roman" w:hAnsi="Times New Roman"/>
          <w:b/>
        </w:rPr>
        <w:t xml:space="preserve">výborov Národnej rady Slovenskej republiky o prerokovaní </w:t>
      </w:r>
      <w:r w:rsidRPr="00E22D35" w:rsidR="00D63CFE">
        <w:rPr>
          <w:rFonts w:ascii="Times New Roman" w:hAnsi="Times New Roman"/>
          <w:b/>
        </w:rPr>
        <w:t>v</w:t>
      </w:r>
      <w:r w:rsidRPr="0012774F" w:rsidR="00D63CFE">
        <w:rPr>
          <w:rFonts w:ascii="Times New Roman" w:hAnsi="Times New Roman"/>
          <w:b/>
        </w:rPr>
        <w:t>ládn</w:t>
      </w:r>
      <w:r w:rsidR="00D63CFE">
        <w:rPr>
          <w:rFonts w:ascii="Times New Roman" w:hAnsi="Times New Roman"/>
          <w:b/>
        </w:rPr>
        <w:t>eho</w:t>
      </w:r>
      <w:r w:rsidRPr="0012774F" w:rsidR="00D63CFE">
        <w:rPr>
          <w:rFonts w:ascii="Times New Roman" w:hAnsi="Times New Roman"/>
          <w:b/>
        </w:rPr>
        <w:t xml:space="preserve"> návrh</w:t>
      </w:r>
      <w:r w:rsidR="00D63CFE">
        <w:rPr>
          <w:rFonts w:ascii="Times New Roman" w:hAnsi="Times New Roman"/>
          <w:b/>
        </w:rPr>
        <w:t>u</w:t>
      </w:r>
      <w:r w:rsidRPr="0012774F" w:rsidR="00D63CFE">
        <w:rPr>
          <w:rFonts w:ascii="Times New Roman" w:hAnsi="Times New Roman"/>
          <w:b/>
        </w:rPr>
        <w:t xml:space="preserve"> zákona, ktorým sa mení a dopĺňa zákon č. 171/2005 Z. z. o hazardných hrách a o zmene a doplnení niektorých zákonov v znení neskorších predpisov a ktorým sa menia a dopĺňajú niektoré zákony (tlač 255)</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A32B69" w:rsidP="00D63CFE">
      <w:pPr>
        <w:bidi w:val="0"/>
        <w:ind w:firstLine="709"/>
        <w:jc w:val="both"/>
        <w:rPr>
          <w:rFonts w:ascii="Times New Roman" w:hAnsi="Times New Roman"/>
        </w:rPr>
      </w:pPr>
      <w:r w:rsidRPr="00A32B69" w:rsidR="00AA7E5B">
        <w:rPr>
          <w:rFonts w:ascii="Times New Roman" w:hAnsi="Times New Roman"/>
        </w:rPr>
        <w:t xml:space="preserve">Národná rada Slovenskej republiky </w:t>
      </w:r>
      <w:r w:rsidRPr="004F6E52" w:rsidR="00AA7E5B">
        <w:rPr>
          <w:rFonts w:ascii="Times New Roman" w:hAnsi="Times New Roman"/>
        </w:rPr>
        <w:t xml:space="preserve">uznesením </w:t>
      </w:r>
      <w:r w:rsidRPr="004F6E52" w:rsidR="00955448">
        <w:rPr>
          <w:rFonts w:ascii="Times New Roman" w:hAnsi="Times New Roman"/>
        </w:rPr>
        <w:t xml:space="preserve">č. </w:t>
      </w:r>
      <w:r w:rsidR="00D63CFE">
        <w:rPr>
          <w:rFonts w:ascii="Times New Roman" w:hAnsi="Times New Roman"/>
        </w:rPr>
        <w:t>267</w:t>
      </w:r>
      <w:r w:rsidRPr="004F6E52" w:rsidR="00955448">
        <w:rPr>
          <w:rFonts w:ascii="Times New Roman" w:hAnsi="Times New Roman"/>
        </w:rPr>
        <w:t xml:space="preserve"> </w:t>
      </w:r>
      <w:r w:rsidRPr="004F6E52" w:rsidR="00AA7E5B">
        <w:rPr>
          <w:rFonts w:ascii="Times New Roman" w:hAnsi="Times New Roman"/>
        </w:rPr>
        <w:t>z</w:t>
      </w:r>
      <w:r w:rsidRPr="004F6E52" w:rsidR="004E652B">
        <w:rPr>
          <w:rFonts w:ascii="Times New Roman" w:hAnsi="Times New Roman"/>
        </w:rPr>
        <w:t> </w:t>
      </w:r>
      <w:r w:rsidR="00D63CFE">
        <w:rPr>
          <w:rFonts w:ascii="Times New Roman" w:hAnsi="Times New Roman"/>
        </w:rPr>
        <w:t>19</w:t>
      </w:r>
      <w:r w:rsidRPr="004F6E52" w:rsidR="004E652B">
        <w:rPr>
          <w:rFonts w:ascii="Times New Roman" w:hAnsi="Times New Roman"/>
        </w:rPr>
        <w:t xml:space="preserve">. </w:t>
      </w:r>
      <w:r w:rsidR="00D63CFE">
        <w:rPr>
          <w:rFonts w:ascii="Times New Roman" w:hAnsi="Times New Roman"/>
        </w:rPr>
        <w:t>októbra</w:t>
      </w:r>
      <w:r w:rsidRPr="004F6E52" w:rsidR="00D31BCE">
        <w:rPr>
          <w:rFonts w:ascii="Times New Roman" w:hAnsi="Times New Roman"/>
        </w:rPr>
        <w:t xml:space="preserve"> </w:t>
      </w:r>
      <w:r w:rsidRPr="004F6E52" w:rsidR="00AA7E5B">
        <w:rPr>
          <w:rFonts w:ascii="Times New Roman" w:hAnsi="Times New Roman"/>
        </w:rPr>
        <w:t>201</w:t>
      </w:r>
      <w:r w:rsidRPr="004F6E52" w:rsidR="005A2F51">
        <w:rPr>
          <w:rFonts w:ascii="Times New Roman" w:hAnsi="Times New Roman"/>
        </w:rPr>
        <w:t>6</w:t>
      </w:r>
      <w:r w:rsidRPr="00A32B69" w:rsidR="00AA7E5B">
        <w:rPr>
          <w:rFonts w:ascii="Times New Roman" w:hAnsi="Times New Roman"/>
        </w:rPr>
        <w:t xml:space="preserve"> pridelila</w:t>
      </w:r>
      <w:r w:rsidR="00EF588B">
        <w:rPr>
          <w:rFonts w:ascii="Times New Roman" w:hAnsi="Times New Roman"/>
        </w:rPr>
        <w:t xml:space="preserve"> </w:t>
      </w:r>
      <w:r w:rsidRPr="00D63CFE" w:rsidR="00D63CFE">
        <w:rPr>
          <w:rFonts w:ascii="Times New Roman" w:hAnsi="Times New Roman"/>
        </w:rPr>
        <w:t>vládny návrh zákona, ktorým sa mení a dopĺňa zákon č. 171/2005 Z. z. o hazardných hrách a o zmene a doplnení niektorých zákonov v znení neskorších predpisov a ktorým sa menia a dopĺňajú niektoré zákony (tlač 255)</w:t>
      </w:r>
      <w:r w:rsidR="00D63CFE">
        <w:rPr>
          <w:rFonts w:ascii="Times New Roman" w:hAnsi="Times New Roman"/>
          <w:b/>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D63CFE" w:rsidP="00A666DE">
      <w:pPr>
        <w:bidi w:val="0"/>
        <w:ind w:firstLine="709"/>
        <w:jc w:val="both"/>
        <w:rPr>
          <w:rFonts w:ascii="Times New Roman" w:hAnsi="Times New Roman"/>
        </w:rPr>
      </w:pPr>
    </w:p>
    <w:p w:rsidR="00D63CFE" w:rsidP="00D63CFE">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Výboru Národnej rady Slovenskej republiky pre financie a</w:t>
      </w:r>
      <w:r>
        <w:rPr>
          <w:rFonts w:ascii="Times New Roman" w:hAnsi="Times New Roman"/>
          <w:sz w:val="24"/>
          <w:szCs w:val="24"/>
        </w:rPr>
        <w:t> </w:t>
      </w:r>
      <w:r w:rsidRPr="00845921">
        <w:rPr>
          <w:rFonts w:ascii="Times New Roman" w:hAnsi="Times New Roman"/>
          <w:sz w:val="24"/>
          <w:szCs w:val="24"/>
        </w:rPr>
        <w:t>rozpočet</w:t>
      </w:r>
      <w:r>
        <w:rPr>
          <w:rFonts w:ascii="Times New Roman" w:hAnsi="Times New Roman"/>
          <w:sz w:val="24"/>
          <w:szCs w:val="24"/>
        </w:rPr>
        <w:t>,</w:t>
      </w: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Pr="00845921" w:rsidR="0057420B">
        <w:rPr>
          <w:rFonts w:ascii="Times New Roman" w:hAnsi="Times New Roman"/>
          <w:sz w:val="24"/>
          <w:szCs w:val="24"/>
        </w:rPr>
        <w:t>,</w:t>
      </w:r>
      <w:r w:rsidRPr="00845921" w:rsidR="00625A81">
        <w:rPr>
          <w:rFonts w:ascii="Times New Roman" w:hAnsi="Times New Roman"/>
          <w:sz w:val="24"/>
          <w:szCs w:val="24"/>
        </w:rPr>
        <w:t xml:space="preserve"> </w:t>
      </w:r>
    </w:p>
    <w:p w:rsidR="00D63CFE" w:rsidP="00A130DD">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Výboru Národnej rady Slovenskej republiky pre</w:t>
      </w:r>
      <w:r>
        <w:rPr>
          <w:rFonts w:ascii="Times New Roman" w:hAnsi="Times New Roman"/>
          <w:sz w:val="24"/>
          <w:szCs w:val="24"/>
        </w:rPr>
        <w:t xml:space="preserve"> verejnú správu a regionálny rozvoj,</w:t>
      </w:r>
    </w:p>
    <w:p w:rsidR="00D63CFE" w:rsidP="00A130DD">
      <w:pPr>
        <w:pStyle w:val="ListParagraph"/>
        <w:numPr>
          <w:numId w:val="14"/>
        </w:numPr>
        <w:bidi w:val="0"/>
        <w:ind w:left="708"/>
        <w:jc w:val="both"/>
        <w:rPr>
          <w:rFonts w:ascii="Times New Roman" w:hAnsi="Times New Roman"/>
          <w:sz w:val="24"/>
          <w:szCs w:val="24"/>
        </w:rPr>
      </w:pPr>
      <w:r>
        <w:rPr>
          <w:rFonts w:ascii="Times New Roman" w:hAnsi="Times New Roman"/>
          <w:sz w:val="24"/>
          <w:szCs w:val="24"/>
        </w:rPr>
        <w:t>Výboru Národnej rady Slovenskej republiky pre zdravotníctvo.</w:t>
      </w: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CE6895"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666DE" w:rsidP="00A666DE">
      <w:pPr>
        <w:pStyle w:val="BodyText3"/>
        <w:tabs>
          <w:tab w:val="left" w:pos="-1985"/>
          <w:tab w:val="left" w:pos="709"/>
          <w:tab w:val="left" w:pos="1077"/>
        </w:tabs>
        <w:bidi w:val="0"/>
        <w:rPr>
          <w:rFonts w:ascii="Times New Roman" w:hAnsi="Times New Roman"/>
          <w:bCs/>
          <w:szCs w:val="24"/>
        </w:rPr>
      </w:pPr>
    </w:p>
    <w:p w:rsidR="00CE6895" w:rsidP="00A666DE">
      <w:pPr>
        <w:pStyle w:val="BodyText3"/>
        <w:tabs>
          <w:tab w:val="left" w:pos="-1985"/>
          <w:tab w:val="left" w:pos="709"/>
          <w:tab w:val="left" w:pos="1077"/>
        </w:tabs>
        <w:bidi w:val="0"/>
        <w:rPr>
          <w:rFonts w:ascii="Times New Roman" w:hAnsi="Times New Roman"/>
          <w:bCs/>
          <w:szCs w:val="24"/>
        </w:rPr>
      </w:pPr>
    </w:p>
    <w:p w:rsidR="002C4455"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4F6E52" w:rsidP="00A666DE">
      <w:pPr>
        <w:numPr>
          <w:numId w:val="10"/>
        </w:numPr>
        <w:bidi w:val="0"/>
        <w:jc w:val="both"/>
        <w:rPr>
          <w:rFonts w:ascii="Times New Roman" w:hAnsi="Times New Roman"/>
          <w:szCs w:val="20"/>
        </w:rPr>
      </w:pPr>
      <w:r w:rsidRPr="004F6E52">
        <w:rPr>
          <w:rFonts w:ascii="Times New Roman" w:hAnsi="Times New Roman"/>
          <w:b/>
          <w:szCs w:val="20"/>
        </w:rPr>
        <w:t>Výbor</w:t>
      </w:r>
      <w:r w:rsidRPr="004F6E52">
        <w:rPr>
          <w:rFonts w:ascii="Times New Roman" w:hAnsi="Times New Roman"/>
          <w:szCs w:val="20"/>
        </w:rPr>
        <w:t xml:space="preserve"> Národnej rady Slovenskej republiky </w:t>
      </w:r>
      <w:r w:rsidRPr="004F6E52">
        <w:rPr>
          <w:rFonts w:ascii="Times New Roman" w:hAnsi="Times New Roman"/>
          <w:b/>
          <w:szCs w:val="20"/>
        </w:rPr>
        <w:t>pre financie a rozpočet</w:t>
      </w:r>
      <w:r w:rsidRPr="004F6E52">
        <w:rPr>
          <w:rFonts w:ascii="Times New Roman" w:hAnsi="Times New Roman"/>
          <w:szCs w:val="20"/>
        </w:rPr>
        <w:t xml:space="preserve"> (uzn. č. </w:t>
      </w:r>
      <w:r w:rsidR="009B4400">
        <w:rPr>
          <w:rFonts w:ascii="Times New Roman" w:hAnsi="Times New Roman"/>
          <w:szCs w:val="20"/>
        </w:rPr>
        <w:t>101</w:t>
      </w:r>
      <w:r w:rsidR="00D63CFE">
        <w:rPr>
          <w:rFonts w:ascii="Times New Roman" w:hAnsi="Times New Roman"/>
          <w:szCs w:val="20"/>
        </w:rPr>
        <w:t xml:space="preserve"> zo dňa 15</w:t>
      </w:r>
      <w:r w:rsidRPr="004F6E52">
        <w:rPr>
          <w:rFonts w:ascii="Times New Roman" w:hAnsi="Times New Roman"/>
          <w:szCs w:val="20"/>
        </w:rPr>
        <w:t xml:space="preserve">. </w:t>
      </w:r>
      <w:r w:rsidR="00D63CFE">
        <w:rPr>
          <w:rFonts w:ascii="Times New Roman" w:hAnsi="Times New Roman"/>
          <w:szCs w:val="20"/>
        </w:rPr>
        <w:t>novembra</w:t>
      </w:r>
      <w:r w:rsidRPr="004F6E52">
        <w:rPr>
          <w:rFonts w:ascii="Times New Roman" w:hAnsi="Times New Roman"/>
          <w:szCs w:val="20"/>
        </w:rPr>
        <w:t xml:space="preserve"> 201</w:t>
      </w:r>
      <w:r w:rsidRPr="004F6E52" w:rsidR="005A2F51">
        <w:rPr>
          <w:rFonts w:ascii="Times New Roman" w:hAnsi="Times New Roman"/>
          <w:szCs w:val="20"/>
        </w:rPr>
        <w:t>6</w:t>
      </w:r>
      <w:r w:rsidRPr="004F6E52">
        <w:rPr>
          <w:rFonts w:ascii="Times New Roman" w:hAnsi="Times New Roman"/>
          <w:szCs w:val="20"/>
        </w:rPr>
        <w:t>)</w:t>
      </w:r>
    </w:p>
    <w:p w:rsidR="00A32B69" w:rsidRPr="00AD2E86" w:rsidP="00A666DE">
      <w:pPr>
        <w:bidi w:val="0"/>
        <w:ind w:left="1065"/>
        <w:jc w:val="both"/>
        <w:rPr>
          <w:rFonts w:ascii="Times New Roman" w:hAnsi="Times New Roman"/>
          <w:szCs w:val="20"/>
        </w:rPr>
      </w:pPr>
    </w:p>
    <w:p w:rsidR="00A32B69" w:rsidRPr="00987D24" w:rsidP="00A666DE">
      <w:pPr>
        <w:numPr>
          <w:numId w:val="10"/>
        </w:numPr>
        <w:bidi w:val="0"/>
        <w:jc w:val="both"/>
        <w:rPr>
          <w:rFonts w:ascii="Times New Roman" w:hAnsi="Times New Roman"/>
          <w:szCs w:val="20"/>
        </w:rPr>
      </w:pPr>
      <w:r w:rsidRPr="00AD2E86">
        <w:rPr>
          <w:rFonts w:ascii="Times New Roman" w:hAnsi="Times New Roman"/>
          <w:b/>
          <w:szCs w:val="20"/>
        </w:rPr>
        <w:t>Ústavnoprávny výbor</w:t>
      </w:r>
      <w:r w:rsidRPr="00AD2E86">
        <w:rPr>
          <w:rFonts w:ascii="Times New Roman" w:hAnsi="Times New Roman"/>
          <w:szCs w:val="20"/>
        </w:rPr>
        <w:t xml:space="preserve"> Národnej rady Slovenskej republiky </w:t>
      </w:r>
      <w:r w:rsidRPr="00987D24">
        <w:rPr>
          <w:rFonts w:ascii="Times New Roman" w:hAnsi="Times New Roman"/>
          <w:szCs w:val="20"/>
        </w:rPr>
        <w:t xml:space="preserve">(uzn. č. </w:t>
      </w:r>
      <w:r w:rsidRPr="00987D24" w:rsidR="00987D24">
        <w:rPr>
          <w:rFonts w:ascii="Times New Roman" w:hAnsi="Times New Roman"/>
          <w:szCs w:val="20"/>
        </w:rPr>
        <w:t xml:space="preserve">111 </w:t>
      </w:r>
      <w:r w:rsidRPr="00987D24">
        <w:rPr>
          <w:rFonts w:ascii="Times New Roman" w:hAnsi="Times New Roman"/>
          <w:szCs w:val="20"/>
        </w:rPr>
        <w:t xml:space="preserve">zo dňa </w:t>
      </w:r>
      <w:r w:rsidRPr="00987D24" w:rsidR="00D63CFE">
        <w:rPr>
          <w:rFonts w:ascii="Times New Roman" w:hAnsi="Times New Roman"/>
          <w:szCs w:val="20"/>
        </w:rPr>
        <w:t>16. novembra</w:t>
      </w:r>
      <w:r w:rsidRPr="00987D24">
        <w:rPr>
          <w:rFonts w:ascii="Times New Roman" w:hAnsi="Times New Roman"/>
          <w:szCs w:val="20"/>
        </w:rPr>
        <w:t xml:space="preserve"> 201</w:t>
      </w:r>
      <w:r w:rsidRPr="00987D24" w:rsidR="005A2F51">
        <w:rPr>
          <w:rFonts w:ascii="Times New Roman" w:hAnsi="Times New Roman"/>
          <w:szCs w:val="20"/>
        </w:rPr>
        <w:t>6</w:t>
      </w:r>
      <w:r w:rsidRPr="00987D24">
        <w:rPr>
          <w:rFonts w:ascii="Times New Roman" w:hAnsi="Times New Roman"/>
          <w:szCs w:val="20"/>
        </w:rPr>
        <w:t>)</w:t>
      </w:r>
    </w:p>
    <w:p w:rsidR="00D63CFE" w:rsidP="00D63CFE">
      <w:pPr>
        <w:bidi w:val="0"/>
        <w:jc w:val="both"/>
        <w:rPr>
          <w:rFonts w:ascii="Times New Roman" w:hAnsi="Times New Roman"/>
          <w:szCs w:val="20"/>
        </w:rPr>
      </w:pPr>
    </w:p>
    <w:p w:rsidR="00D63CFE" w:rsidRPr="00F02140" w:rsidP="00D63CFE">
      <w:pPr>
        <w:numPr>
          <w:numId w:val="10"/>
        </w:numPr>
        <w:bidi w:val="0"/>
        <w:jc w:val="both"/>
        <w:rPr>
          <w:rFonts w:ascii="Times New Roman" w:hAnsi="Times New Roman"/>
          <w:szCs w:val="20"/>
        </w:rPr>
      </w:pPr>
      <w:r w:rsidRPr="00D63CFE">
        <w:rPr>
          <w:rFonts w:ascii="Times New Roman" w:hAnsi="Times New Roman"/>
          <w:b/>
        </w:rPr>
        <w:t>Výbor</w:t>
      </w:r>
      <w:r w:rsidRPr="00845921">
        <w:rPr>
          <w:rFonts w:ascii="Times New Roman" w:hAnsi="Times New Roman"/>
        </w:rPr>
        <w:t xml:space="preserve"> Národnej rady Slovenskej republiky </w:t>
      </w:r>
      <w:r w:rsidRPr="00D63CFE">
        <w:rPr>
          <w:rFonts w:ascii="Times New Roman" w:hAnsi="Times New Roman"/>
          <w:b/>
        </w:rPr>
        <w:t>pre verejnú správu a regionálny rozvoj</w:t>
      </w:r>
      <w:r>
        <w:rPr>
          <w:rFonts w:ascii="Times New Roman" w:hAnsi="Times New Roman"/>
          <w:szCs w:val="20"/>
        </w:rPr>
        <w:t xml:space="preserve"> </w:t>
      </w:r>
      <w:r w:rsidRPr="00F02140" w:rsidR="00B02E2B">
        <w:rPr>
          <w:rFonts w:ascii="Times New Roman" w:hAnsi="Times New Roman"/>
          <w:szCs w:val="20"/>
        </w:rPr>
        <w:t xml:space="preserve">(uzn. č. </w:t>
      </w:r>
      <w:r w:rsidRPr="00F02140" w:rsidR="00F02140">
        <w:rPr>
          <w:rFonts w:ascii="Times New Roman" w:hAnsi="Times New Roman"/>
          <w:szCs w:val="20"/>
        </w:rPr>
        <w:t>39</w:t>
      </w:r>
      <w:r w:rsidRPr="00F02140" w:rsidR="00B02E2B">
        <w:rPr>
          <w:rFonts w:ascii="Times New Roman" w:hAnsi="Times New Roman"/>
          <w:szCs w:val="20"/>
        </w:rPr>
        <w:t xml:space="preserve"> zo dňa 21</w:t>
      </w:r>
      <w:r w:rsidRPr="00F02140">
        <w:rPr>
          <w:rFonts w:ascii="Times New Roman" w:hAnsi="Times New Roman"/>
          <w:szCs w:val="20"/>
        </w:rPr>
        <w:t>. novembra 2016)</w:t>
      </w:r>
    </w:p>
    <w:p w:rsidR="00987D24" w:rsidRPr="00D63CFE" w:rsidP="00987D24">
      <w:pPr>
        <w:bidi w:val="0"/>
        <w:ind w:left="1065"/>
        <w:jc w:val="both"/>
        <w:rPr>
          <w:rFonts w:ascii="Times New Roman" w:hAnsi="Times New Roman"/>
          <w:szCs w:val="20"/>
        </w:rPr>
      </w:pPr>
    </w:p>
    <w:p w:rsidR="00D63CFE" w:rsidRPr="004F6E52" w:rsidP="00D63CFE">
      <w:pPr>
        <w:numPr>
          <w:numId w:val="10"/>
        </w:numPr>
        <w:bidi w:val="0"/>
        <w:jc w:val="both"/>
        <w:rPr>
          <w:rFonts w:ascii="Times New Roman" w:hAnsi="Times New Roman"/>
          <w:szCs w:val="20"/>
        </w:rPr>
      </w:pPr>
      <w:r w:rsidRPr="00D63CFE">
        <w:rPr>
          <w:rFonts w:ascii="Times New Roman" w:hAnsi="Times New Roman"/>
          <w:b/>
        </w:rPr>
        <w:t>Výbor</w:t>
      </w:r>
      <w:r>
        <w:rPr>
          <w:rFonts w:ascii="Times New Roman" w:hAnsi="Times New Roman"/>
        </w:rPr>
        <w:t xml:space="preserve"> Národnej rady Slovenskej republiky </w:t>
      </w:r>
      <w:r w:rsidRPr="00D63CFE">
        <w:rPr>
          <w:rFonts w:ascii="Times New Roman" w:hAnsi="Times New Roman"/>
          <w:b/>
        </w:rPr>
        <w:t>pre zdravotníctvo</w:t>
      </w:r>
      <w:r>
        <w:rPr>
          <w:rFonts w:ascii="Times New Roman" w:hAnsi="Times New Roman"/>
        </w:rPr>
        <w:t xml:space="preserve"> </w:t>
      </w:r>
      <w:r w:rsidRPr="004F6E52">
        <w:rPr>
          <w:rFonts w:ascii="Times New Roman" w:hAnsi="Times New Roman"/>
          <w:szCs w:val="20"/>
        </w:rPr>
        <w:t xml:space="preserve">(uzn. č. </w:t>
      </w:r>
      <w:r w:rsidR="006A6B12">
        <w:rPr>
          <w:rFonts w:ascii="Times New Roman" w:hAnsi="Times New Roman"/>
          <w:szCs w:val="20"/>
        </w:rPr>
        <w:t>30</w:t>
      </w:r>
      <w:r>
        <w:rPr>
          <w:rFonts w:ascii="Times New Roman" w:hAnsi="Times New Roman"/>
          <w:szCs w:val="20"/>
        </w:rPr>
        <w:t xml:space="preserve"> zo dňa 15</w:t>
      </w:r>
      <w:r w:rsidRPr="004F6E52">
        <w:rPr>
          <w:rFonts w:ascii="Times New Roman" w:hAnsi="Times New Roman"/>
          <w:szCs w:val="20"/>
        </w:rPr>
        <w:t xml:space="preserve">. </w:t>
      </w:r>
      <w:r>
        <w:rPr>
          <w:rFonts w:ascii="Times New Roman" w:hAnsi="Times New Roman"/>
          <w:szCs w:val="20"/>
        </w:rPr>
        <w:t>novembra</w:t>
      </w:r>
      <w:r w:rsidRPr="004F6E52">
        <w:rPr>
          <w:rFonts w:ascii="Times New Roman" w:hAnsi="Times New Roman"/>
          <w:szCs w:val="20"/>
        </w:rPr>
        <w:t xml:space="preserve"> 2016)</w:t>
      </w:r>
    </w:p>
    <w:p w:rsidR="004A67B5" w:rsidRPr="005A2F51" w:rsidP="000C2ABD">
      <w:pPr>
        <w:bidi w:val="0"/>
        <w:jc w:val="both"/>
        <w:rPr>
          <w:rFonts w:ascii="Times New Roman" w:hAnsi="Times New Roman"/>
          <w:color w:val="FF0000"/>
          <w:szCs w:val="20"/>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P="00A666DE">
      <w:pPr>
        <w:tabs>
          <w:tab w:val="left" w:pos="-1985"/>
          <w:tab w:val="left" w:pos="709"/>
          <w:tab w:val="left" w:pos="1077"/>
        </w:tabs>
        <w:bidi w:val="0"/>
        <w:jc w:val="both"/>
        <w:rPr>
          <w:rFonts w:ascii="Times New Roman" w:hAnsi="Times New Roman"/>
          <w:b/>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4A67B5" w:rsidR="00AA7E5B">
        <w:rPr>
          <w:rFonts w:ascii="Times New Roman" w:hAnsi="Times New Roman"/>
          <w:b/>
        </w:rPr>
        <w:t xml:space="preserve">tieto </w:t>
      </w:r>
      <w:r w:rsidRPr="004A67B5" w:rsidR="00653FBD">
        <w:rPr>
          <w:rFonts w:ascii="Times New Roman" w:hAnsi="Times New Roman"/>
          <w:b/>
          <w:bCs/>
        </w:rPr>
        <w:t>p</w:t>
      </w:r>
      <w:r w:rsidRPr="004A67B5">
        <w:rPr>
          <w:rFonts w:ascii="Times New Roman" w:hAnsi="Times New Roman"/>
          <w:b/>
          <w:bCs/>
        </w:rPr>
        <w:t>ozmeňujúce a doplňujúce návrhy:</w:t>
      </w:r>
    </w:p>
    <w:p w:rsidR="00D11087" w:rsidRPr="004A67B5" w:rsidP="00A666DE">
      <w:pPr>
        <w:tabs>
          <w:tab w:val="left" w:pos="-1985"/>
          <w:tab w:val="left" w:pos="709"/>
          <w:tab w:val="left" w:pos="1077"/>
        </w:tabs>
        <w:bidi w:val="0"/>
        <w:jc w:val="both"/>
        <w:rPr>
          <w:rFonts w:ascii="Times New Roman" w:hAnsi="Times New Roman"/>
          <w:b/>
          <w:bCs/>
        </w:rPr>
      </w:pPr>
    </w:p>
    <w:p w:rsidR="000679AD" w:rsidP="00A666DE">
      <w:pPr>
        <w:bidi w:val="0"/>
        <w:jc w:val="both"/>
        <w:rPr>
          <w:rFonts w:ascii="Times New Roman" w:hAnsi="Times New Roman"/>
          <w:b/>
          <w:color w:val="FF0000"/>
          <w:lang w:eastAsia="en-US"/>
        </w:rPr>
      </w:pPr>
    </w:p>
    <w:p w:rsidR="00904DBB" w:rsidRPr="00020EBA" w:rsidP="00904DBB">
      <w:pPr>
        <w:numPr>
          <w:numId w:val="28"/>
        </w:numPr>
        <w:bidi w:val="0"/>
        <w:ind w:left="426" w:hanging="426"/>
        <w:jc w:val="both"/>
        <w:rPr>
          <w:rFonts w:ascii="Times New Roman" w:hAnsi="Times New Roman"/>
          <w:b/>
        </w:rPr>
      </w:pPr>
      <w:r w:rsidRPr="00020EBA">
        <w:rPr>
          <w:rFonts w:ascii="Times New Roman" w:hAnsi="Times New Roman"/>
          <w:b/>
        </w:rPr>
        <w:t>K čl. I – k doterajšiemu bodu 6 (§ 2 písm. o))</w:t>
      </w:r>
    </w:p>
    <w:p w:rsidR="00904DBB" w:rsidRPr="00020EBA" w:rsidP="00904DBB">
      <w:pPr>
        <w:pStyle w:val="ListParagraph"/>
        <w:bidi w:val="0"/>
        <w:spacing w:after="0" w:line="240" w:lineRule="auto"/>
        <w:ind w:left="284"/>
        <w:jc w:val="both"/>
        <w:rPr>
          <w:rFonts w:ascii="Times New Roman" w:hAnsi="Times New Roman"/>
          <w:sz w:val="24"/>
          <w:szCs w:val="24"/>
        </w:rPr>
      </w:pPr>
    </w:p>
    <w:p w:rsidR="00904DBB" w:rsidRPr="00020EBA" w:rsidP="00904DBB">
      <w:pPr>
        <w:pStyle w:val="ListParagraph"/>
        <w:bidi w:val="0"/>
        <w:spacing w:after="0" w:line="240" w:lineRule="auto"/>
        <w:ind w:left="426"/>
        <w:jc w:val="both"/>
        <w:rPr>
          <w:rFonts w:ascii="Times New Roman" w:hAnsi="Times New Roman"/>
          <w:sz w:val="24"/>
          <w:szCs w:val="24"/>
        </w:rPr>
      </w:pPr>
      <w:r w:rsidRPr="00020EBA">
        <w:rPr>
          <w:rFonts w:ascii="Times New Roman" w:hAnsi="Times New Roman"/>
          <w:sz w:val="24"/>
          <w:szCs w:val="24"/>
        </w:rPr>
        <w:t>V čl. I doterajší bod 6 znie:</w:t>
      </w:r>
    </w:p>
    <w:p w:rsidR="00904DBB" w:rsidRPr="00020EBA" w:rsidP="00904DBB">
      <w:pPr>
        <w:autoSpaceDE w:val="0"/>
        <w:autoSpaceDN w:val="0"/>
        <w:bidi w:val="0"/>
        <w:adjustRightInd w:val="0"/>
        <w:ind w:left="426"/>
        <w:jc w:val="both"/>
        <w:rPr>
          <w:rFonts w:ascii="Times New Roman" w:hAnsi="Times New Roman"/>
        </w:rPr>
      </w:pPr>
      <w:r w:rsidRPr="00020EBA">
        <w:rPr>
          <w:rFonts w:ascii="Times New Roman" w:hAnsi="Times New Roman"/>
        </w:rPr>
        <w:t>„6. V § 2 písm. o) sa za slovo „hier“ vkladajú slová „prevádzkovaných prostredníctvom výherných prístrojov, prostredníctvom technických zariadení obsluhovaných priamo hráčmi a videohier“ a na konci sa pripájajú tieto slová: „a musí byť súčasťou pozemnej  stavby podľa osobitného predpisu,</w:t>
      </w:r>
      <w:r w:rsidRPr="00020EBA">
        <w:rPr>
          <w:rFonts w:ascii="Times New Roman" w:hAnsi="Times New Roman"/>
          <w:vertAlign w:val="superscript"/>
        </w:rPr>
        <w:t>1aaa</w:t>
      </w:r>
      <w:r w:rsidRPr="00020EBA">
        <w:rPr>
          <w:rFonts w:ascii="Times New Roman" w:hAnsi="Times New Roman"/>
        </w:rPr>
        <w:t>) ktorá má steny“.</w:t>
      </w:r>
    </w:p>
    <w:p w:rsidR="00904DBB" w:rsidRPr="00020EBA" w:rsidP="00904DBB">
      <w:pPr>
        <w:autoSpaceDE w:val="0"/>
        <w:autoSpaceDN w:val="0"/>
        <w:bidi w:val="0"/>
        <w:adjustRightInd w:val="0"/>
        <w:ind w:left="284"/>
        <w:jc w:val="both"/>
        <w:rPr>
          <w:rFonts w:ascii="Times New Roman" w:hAnsi="Times New Roman"/>
        </w:rPr>
      </w:pPr>
    </w:p>
    <w:p w:rsidR="00904DBB" w:rsidRPr="00020EBA" w:rsidP="00904DBB">
      <w:pPr>
        <w:autoSpaceDE w:val="0"/>
        <w:autoSpaceDN w:val="0"/>
        <w:bidi w:val="0"/>
        <w:adjustRightInd w:val="0"/>
        <w:ind w:left="426"/>
        <w:jc w:val="both"/>
        <w:rPr>
          <w:rFonts w:ascii="Times New Roman" w:hAnsi="Times New Roman"/>
        </w:rPr>
      </w:pPr>
      <w:r w:rsidRPr="00020EBA">
        <w:rPr>
          <w:rFonts w:ascii="Times New Roman" w:hAnsi="Times New Roman"/>
        </w:rPr>
        <w:t>Poznámka pod čiarou k odkazu laaa znie:</w:t>
      </w:r>
    </w:p>
    <w:p w:rsidR="00904DBB" w:rsidRPr="00020EBA" w:rsidP="00904DBB">
      <w:pPr>
        <w:autoSpaceDE w:val="0"/>
        <w:autoSpaceDN w:val="0"/>
        <w:bidi w:val="0"/>
        <w:adjustRightInd w:val="0"/>
        <w:ind w:left="426"/>
        <w:jc w:val="both"/>
        <w:rPr>
          <w:rFonts w:ascii="Times New Roman" w:hAnsi="Times New Roman"/>
        </w:rPr>
      </w:pPr>
      <w:r w:rsidRPr="00020EBA">
        <w:rPr>
          <w:rFonts w:ascii="Times New Roman" w:hAnsi="Times New Roman"/>
        </w:rPr>
        <w:t>„</w:t>
      </w:r>
      <w:r w:rsidRPr="00020EBA">
        <w:rPr>
          <w:rFonts w:ascii="Times New Roman" w:hAnsi="Times New Roman"/>
          <w:vertAlign w:val="superscript"/>
        </w:rPr>
        <w:t>1aaa</w:t>
      </w:r>
      <w:r w:rsidRPr="00020EBA">
        <w:rPr>
          <w:rFonts w:ascii="Times New Roman" w:hAnsi="Times New Roman"/>
        </w:rPr>
        <w:t xml:space="preserve">) § 43a ods. 2 zákona č. 50/1976 Zb. o územnom plánovaní a stavebnom poriadku (stavebný zákon) v znení zákona č. 237/2000 Z. z.“.“.       </w:t>
      </w:r>
    </w:p>
    <w:p w:rsidR="00904DBB" w:rsidRPr="00020EBA" w:rsidP="00904DBB">
      <w:pPr>
        <w:pStyle w:val="ListParagraph"/>
        <w:bidi w:val="0"/>
        <w:spacing w:after="0" w:line="240" w:lineRule="auto"/>
        <w:ind w:left="426"/>
        <w:jc w:val="both"/>
        <w:rPr>
          <w:rFonts w:ascii="Times New Roman" w:hAnsi="Times New Roman"/>
          <w:sz w:val="24"/>
          <w:szCs w:val="24"/>
        </w:rPr>
      </w:pPr>
      <w:r w:rsidRPr="00020EBA">
        <w:rPr>
          <w:rFonts w:ascii="Times New Roman" w:hAnsi="Times New Roman"/>
          <w:sz w:val="24"/>
          <w:szCs w:val="24"/>
        </w:rPr>
        <w:t xml:space="preserve"> </w:t>
      </w:r>
    </w:p>
    <w:p w:rsidR="00904DBB" w:rsidRPr="00020EBA" w:rsidP="00904DBB">
      <w:pPr>
        <w:bidi w:val="0"/>
        <w:ind w:left="2835"/>
        <w:jc w:val="both"/>
        <w:rPr>
          <w:rFonts w:ascii="Times New Roman" w:hAnsi="Times New Roman"/>
        </w:rPr>
      </w:pPr>
      <w:r w:rsidRPr="00020EBA">
        <w:rPr>
          <w:rFonts w:ascii="Times New Roman" w:hAnsi="Times New Roman"/>
        </w:rPr>
        <w:t>Navrhovanou úpravou znenia § 2 písm. o) zákona o hazardných hrách sa oproti vládnemu návrhu precizuje a dopĺňa definícia herne o tú podmienku, že herňa musí byť súčasťou takej pozemnej stavby, ktorá má steny (nie každá pozemná stavba musí mať steny), pričom každá stavba podľa stavebného zákona musí byť pevne spojená so zemou. Zároveň tento definičný znak herne má zabrániť využívaniu pojazdných zariadení, v ktorých by bolo možné hrať hazardné hry.</w:t>
      </w:r>
    </w:p>
    <w:p w:rsidR="00904DBB" w:rsidRPr="00020EBA" w:rsidP="00904DBB">
      <w:pPr>
        <w:bidi w:val="0"/>
        <w:ind w:left="3402"/>
        <w:jc w:val="both"/>
        <w:rPr>
          <w:rFonts w:ascii="Times New Roman" w:hAnsi="Times New Roman"/>
          <w:i/>
        </w:rPr>
      </w:pPr>
    </w:p>
    <w:p w:rsidR="00904DBB" w:rsidRPr="00020EBA" w:rsidP="00904DBB">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904DBB" w:rsidRPr="00D83BC5" w:rsidP="00904DBB">
      <w:pPr>
        <w:bidi w:val="0"/>
        <w:ind w:left="2124" w:firstLine="708"/>
        <w:rPr>
          <w:rFonts w:ascii="Times New Roman" w:hAnsi="Times New Roman"/>
          <w:b/>
        </w:rPr>
      </w:pPr>
      <w:r w:rsidRPr="00D83BC5">
        <w:rPr>
          <w:rFonts w:ascii="Times New Roman" w:hAnsi="Times New Roman"/>
          <w:b/>
        </w:rPr>
        <w:t>Gestorský výbor odporúča schváliť</w:t>
      </w:r>
      <w:r w:rsidRPr="00D83BC5" w:rsidR="00D83BC5">
        <w:rPr>
          <w:rFonts w:ascii="Times New Roman" w:hAnsi="Times New Roman"/>
          <w:b/>
        </w:rPr>
        <w:t>.</w:t>
      </w:r>
    </w:p>
    <w:p w:rsidR="00904DBB" w:rsidP="00904DBB">
      <w:pPr>
        <w:bidi w:val="0"/>
        <w:ind w:left="3402"/>
        <w:jc w:val="both"/>
        <w:rPr>
          <w:rFonts w:ascii="Times New Roman" w:hAnsi="Times New Roman"/>
          <w:i/>
          <w:color w:val="000000"/>
        </w:rPr>
      </w:pPr>
    </w:p>
    <w:p w:rsidR="00D11087" w:rsidRPr="000824EC" w:rsidP="00904DBB">
      <w:pPr>
        <w:bidi w:val="0"/>
        <w:ind w:left="3402"/>
        <w:jc w:val="both"/>
        <w:rPr>
          <w:rFonts w:ascii="Times New Roman" w:hAnsi="Times New Roman"/>
          <w:i/>
          <w:color w:val="000000"/>
        </w:rPr>
      </w:pPr>
    </w:p>
    <w:p w:rsidR="00871EBA" w:rsidRPr="00904DBB" w:rsidP="00904DBB">
      <w:pPr>
        <w:pStyle w:val="ListParagraph"/>
        <w:numPr>
          <w:numId w:val="28"/>
        </w:numPr>
        <w:bidi w:val="0"/>
        <w:spacing w:after="0" w:line="240" w:lineRule="auto"/>
        <w:ind w:left="714" w:hanging="357"/>
        <w:jc w:val="both"/>
        <w:rPr>
          <w:rFonts w:ascii="Times New Roman" w:hAnsi="Times New Roman"/>
          <w:b/>
          <w:sz w:val="24"/>
          <w:szCs w:val="24"/>
        </w:rPr>
      </w:pPr>
      <w:r w:rsidRPr="00904DBB">
        <w:rPr>
          <w:rFonts w:ascii="Times New Roman" w:hAnsi="Times New Roman"/>
          <w:b/>
          <w:bCs/>
          <w:sz w:val="24"/>
          <w:szCs w:val="24"/>
        </w:rPr>
        <w:t>K čl. I – k doterajšiemu bodu 10 (§ 3 ods. 3)</w:t>
      </w:r>
    </w:p>
    <w:p w:rsidR="00871EBA" w:rsidP="00871EBA">
      <w:pPr>
        <w:bidi w:val="0"/>
        <w:ind w:left="426"/>
        <w:jc w:val="both"/>
        <w:rPr>
          <w:rFonts w:ascii="Times New Roman" w:hAnsi="Times New Roman"/>
          <w:bCs/>
        </w:rPr>
      </w:pPr>
      <w:r>
        <w:rPr>
          <w:rFonts w:ascii="Times New Roman" w:hAnsi="Times New Roman"/>
          <w:bCs/>
        </w:rPr>
        <w:t>V čl. I doterajšom bode 10 sa v § 3 ods. 3 slová „podľa § 10 ods. 5 písm. d)“ nahrádzajú čiarkou a slovami „na ktoré sa uplatňuje § 58m ods. 20 a pri hazardných hrách prevádzkovaných v herni možno umiestniť herňu v budovách uvedených v § 38 ods. 4 len na území obce, na ktorom v týchto budovách jej umiestnenie nie je obmedzené všeobecne záväzným nariadením obce podľa § 10 ods. 5 písm. d)“.</w:t>
      </w:r>
    </w:p>
    <w:p w:rsidR="00871EBA" w:rsidP="00871EBA">
      <w:pPr>
        <w:bidi w:val="0"/>
        <w:ind w:left="426"/>
        <w:jc w:val="both"/>
        <w:rPr>
          <w:rFonts w:ascii="Times New Roman" w:hAnsi="Times New Roman"/>
          <w:bCs/>
        </w:rPr>
      </w:pPr>
    </w:p>
    <w:p w:rsidR="00871EBA" w:rsidP="00871EBA">
      <w:pPr>
        <w:bidi w:val="0"/>
        <w:ind w:left="2835"/>
        <w:jc w:val="both"/>
        <w:rPr>
          <w:rFonts w:ascii="Times New Roman" w:hAnsi="Times New Roman"/>
          <w:bCs/>
          <w:color w:val="000000"/>
        </w:rPr>
      </w:pPr>
      <w:r>
        <w:rPr>
          <w:rFonts w:ascii="Times New Roman" w:hAnsi="Times New Roman"/>
          <w:bCs/>
          <w:color w:val="000000"/>
        </w:rPr>
        <w:t>Z dôvodu navrhovanej zmeny rozsahu pôsobnosti všeobecne záväzného nariadenia (ďalej len „VZN“) obce podľa § 10 ods. 5 písm. d) zákona o hazardných hrách (viď pozmeňujúci návrh v bode 3) je potrebné upraviť znenie § 3 ods. 3 zákona doplnením o obmedzenie umiestenia herne v budovách uvedených v § 38 ods. 4 na území obce, ktorá vydá VZN podľa nových predpisov, ale zároveň aj s odvolaním sa na už prijaté VZN podľa doterajších predpisov, pretože tie zostávajú v platnosti.</w:t>
      </w:r>
    </w:p>
    <w:p w:rsidR="00871EBA" w:rsidP="00871EBA">
      <w:pPr>
        <w:bidi w:val="0"/>
        <w:ind w:left="3402"/>
        <w:jc w:val="both"/>
        <w:rPr>
          <w:rFonts w:ascii="Times New Roman" w:hAnsi="Times New Roman"/>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bidi w:val="0"/>
        <w:ind w:left="3402"/>
        <w:jc w:val="both"/>
        <w:rPr>
          <w:rFonts w:ascii="Times New Roman" w:hAnsi="Times New Roman"/>
          <w:bCs/>
        </w:rPr>
      </w:pPr>
    </w:p>
    <w:p w:rsidR="00FF2FCF" w:rsidRPr="00020EBA" w:rsidP="00FF2FCF">
      <w:pPr>
        <w:numPr>
          <w:numId w:val="28"/>
        </w:numPr>
        <w:bidi w:val="0"/>
        <w:ind w:left="426" w:hanging="426"/>
        <w:jc w:val="both"/>
        <w:rPr>
          <w:rFonts w:ascii="Times New Roman" w:hAnsi="Times New Roman"/>
          <w:b/>
        </w:rPr>
      </w:pPr>
      <w:r w:rsidRPr="00020EBA">
        <w:rPr>
          <w:rFonts w:ascii="Times New Roman" w:hAnsi="Times New Roman"/>
          <w:b/>
        </w:rPr>
        <w:t>K čl. I – k doterajšiemu bodu 14 (§ 10 ods. 2 písm. g))</w:t>
      </w:r>
    </w:p>
    <w:p w:rsidR="00FF2FCF" w:rsidRPr="00020EBA" w:rsidP="00FF2FCF">
      <w:pPr>
        <w:bidi w:val="0"/>
        <w:ind w:left="426"/>
        <w:jc w:val="both"/>
        <w:rPr>
          <w:rFonts w:ascii="Times New Roman" w:hAnsi="Times New Roman"/>
        </w:rPr>
      </w:pPr>
      <w:r w:rsidRPr="00020EBA">
        <w:rPr>
          <w:rFonts w:ascii="Times New Roman" w:hAnsi="Times New Roman"/>
        </w:rPr>
        <w:t>V čl. I doterajšom bode 14 sa v § 10 ods. 2 vypúšťa písmeno g).</w:t>
      </w:r>
    </w:p>
    <w:p w:rsidR="00FF2FCF" w:rsidRPr="00020EBA" w:rsidP="00FF2FCF">
      <w:pPr>
        <w:bidi w:val="0"/>
        <w:jc w:val="both"/>
        <w:rPr>
          <w:rFonts w:ascii="Times New Roman" w:hAnsi="Times New Roman"/>
          <w:b/>
        </w:rPr>
      </w:pPr>
    </w:p>
    <w:p w:rsidR="00FF2FCF" w:rsidRPr="00020EBA" w:rsidP="00FF2FCF">
      <w:pPr>
        <w:bidi w:val="0"/>
        <w:ind w:left="2835"/>
        <w:jc w:val="both"/>
        <w:rPr>
          <w:rFonts w:ascii="Times New Roman" w:hAnsi="Times New Roman"/>
        </w:rPr>
      </w:pPr>
      <w:r w:rsidRPr="00020EBA">
        <w:rPr>
          <w:rFonts w:ascii="Times New Roman" w:hAnsi="Times New Roman"/>
        </w:rPr>
        <w:t>Navrhuje sa vypustiť právomoc Ministerstva financií SR rozhodovať o zrušení prevádzkovania hazardných hier v konkrétnej herni, ak obec požiada a preukáže, že v súvislosti s hraním hazardných hier v tejto herni dochádza k opakovanému a preukázateľnému narušovaniu verejného poriadku, a to z dôvodu, že aj napriek navrhovanej spolupráci s Policajným zborom (§ 10 ods. 7) je problematické objektívne a jednoznačne dokázať, že k opakovanému a preukázateľnému narušovaniu verejného poriadku dochádza práve v príčinnej súvislosti s hraním hazardných hier v tejto herni.</w:t>
      </w:r>
    </w:p>
    <w:p w:rsidR="00FF2FCF" w:rsidRPr="00020EBA" w:rsidP="00FF2FCF">
      <w:pPr>
        <w:bidi w:val="0"/>
        <w:ind w:left="3402"/>
        <w:jc w:val="both"/>
        <w:rPr>
          <w:rFonts w:ascii="Times New Roman" w:hAnsi="Times New Roman"/>
          <w:i/>
        </w:rPr>
      </w:pPr>
    </w:p>
    <w:p w:rsidR="00FF2FCF" w:rsidRPr="00020EBA" w:rsidP="00FF2FCF">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D83BC5" w:rsidRPr="00D83BC5" w:rsidP="00D83BC5">
      <w:pPr>
        <w:bidi w:val="0"/>
        <w:ind w:left="2124" w:firstLine="708"/>
        <w:rPr>
          <w:rFonts w:ascii="Times New Roman" w:hAnsi="Times New Roman"/>
          <w:b/>
        </w:rPr>
      </w:pPr>
      <w:r w:rsidRPr="00D83BC5">
        <w:rPr>
          <w:rFonts w:ascii="Times New Roman" w:hAnsi="Times New Roman"/>
          <w:b/>
        </w:rPr>
        <w:t>Gestorský výbor odporúča schváliť.</w:t>
      </w:r>
    </w:p>
    <w:p w:rsidR="00FF2FCF" w:rsidP="00FF2FCF">
      <w:pPr>
        <w:bidi w:val="0"/>
        <w:ind w:left="3402"/>
        <w:jc w:val="both"/>
        <w:rPr>
          <w:rFonts w:ascii="Times New Roman" w:hAnsi="Times New Roman"/>
          <w:i/>
          <w:color w:val="000000"/>
        </w:rPr>
      </w:pPr>
    </w:p>
    <w:p w:rsidR="00871EBA" w:rsidP="00904DBB">
      <w:pPr>
        <w:numPr>
          <w:numId w:val="28"/>
        </w:numPr>
        <w:bidi w:val="0"/>
        <w:ind w:left="426" w:hanging="426"/>
        <w:jc w:val="both"/>
        <w:rPr>
          <w:rFonts w:ascii="Times New Roman" w:hAnsi="Times New Roman"/>
          <w:b/>
          <w:bCs/>
        </w:rPr>
      </w:pPr>
      <w:r>
        <w:rPr>
          <w:rFonts w:ascii="Times New Roman" w:hAnsi="Times New Roman"/>
          <w:b/>
          <w:bCs/>
        </w:rPr>
        <w:t>K čl. I (§ 10 ods. 3 písm. b))</w:t>
      </w:r>
    </w:p>
    <w:p w:rsidR="00871EBA" w:rsidP="00871EBA">
      <w:pPr>
        <w:bidi w:val="0"/>
        <w:ind w:left="426"/>
        <w:jc w:val="both"/>
        <w:rPr>
          <w:rFonts w:ascii="Times New Roman" w:hAnsi="Times New Roman"/>
          <w:bCs/>
        </w:rPr>
      </w:pPr>
      <w:r>
        <w:rPr>
          <w:rFonts w:ascii="Times New Roman" w:hAnsi="Times New Roman"/>
          <w:bCs/>
        </w:rPr>
        <w:t>V čl. I sa za doterajší bod 14 vkladá nový bod 15, ktorý znie:</w:t>
      </w:r>
    </w:p>
    <w:p w:rsidR="00871EBA" w:rsidP="00871EBA">
      <w:pPr>
        <w:bidi w:val="0"/>
        <w:ind w:left="426"/>
        <w:jc w:val="both"/>
        <w:rPr>
          <w:rFonts w:ascii="Times New Roman" w:hAnsi="Times New Roman"/>
          <w:bCs/>
        </w:rPr>
      </w:pPr>
      <w:r>
        <w:rPr>
          <w:rFonts w:ascii="Times New Roman" w:hAnsi="Times New Roman"/>
          <w:bCs/>
        </w:rPr>
        <w:t>„15. V § 10 ods. 3 písmeno b) znie:</w:t>
      </w:r>
    </w:p>
    <w:p w:rsidR="00871EBA" w:rsidP="00871EBA">
      <w:pPr>
        <w:bidi w:val="0"/>
        <w:ind w:left="426"/>
        <w:jc w:val="both"/>
        <w:rPr>
          <w:rFonts w:ascii="Times New Roman" w:hAnsi="Times New Roman"/>
          <w:bCs/>
        </w:rPr>
      </w:pPr>
      <w:r>
        <w:rPr>
          <w:rFonts w:ascii="Times New Roman" w:hAnsi="Times New Roman"/>
          <w:bCs/>
        </w:rPr>
        <w:t>„b) vedie centrálny register prevádzkovateľov hazardných hier a centrálny register umiestnenia herní a údaje z nich predkladá ministerstvu do troch dní od doručenia žiadosti ministerstva,“.“.</w:t>
      </w:r>
    </w:p>
    <w:p w:rsidR="00871EBA" w:rsidP="00871EBA">
      <w:pPr>
        <w:bidi w:val="0"/>
        <w:ind w:left="426"/>
        <w:jc w:val="both"/>
        <w:rPr>
          <w:rFonts w:ascii="Times New Roman" w:hAnsi="Times New Roman"/>
          <w:bCs/>
        </w:rPr>
      </w:pPr>
    </w:p>
    <w:p w:rsidR="00871EBA" w:rsidP="00871EBA">
      <w:pPr>
        <w:bidi w:val="0"/>
        <w:ind w:left="426"/>
        <w:jc w:val="both"/>
        <w:rPr>
          <w:rFonts w:ascii="Times New Roman" w:hAnsi="Times New Roman"/>
          <w:bCs/>
        </w:rPr>
      </w:pPr>
      <w:r>
        <w:rPr>
          <w:rFonts w:ascii="Times New Roman" w:hAnsi="Times New Roman"/>
          <w:bCs/>
        </w:rPr>
        <w:t xml:space="preserve">Doterajšie body sa primerane prečíslujú. </w:t>
      </w:r>
    </w:p>
    <w:p w:rsidR="00871EBA" w:rsidP="00871EBA">
      <w:pPr>
        <w:bidi w:val="0"/>
        <w:ind w:left="3402"/>
        <w:jc w:val="both"/>
        <w:rPr>
          <w:rFonts w:ascii="Times New Roman" w:hAnsi="Times New Roman"/>
          <w:bCs/>
        </w:rPr>
      </w:pPr>
      <w:r>
        <w:rPr>
          <w:rFonts w:ascii="Times New Roman" w:hAnsi="Times New Roman"/>
          <w:bCs/>
        </w:rPr>
        <w:t xml:space="preserve">       </w:t>
      </w:r>
    </w:p>
    <w:p w:rsidR="00871EBA" w:rsidP="00871EBA">
      <w:pPr>
        <w:bidi w:val="0"/>
        <w:ind w:left="2835"/>
        <w:jc w:val="both"/>
        <w:rPr>
          <w:rFonts w:ascii="Times New Roman" w:hAnsi="Times New Roman"/>
          <w:bCs/>
        </w:rPr>
      </w:pPr>
      <w:r>
        <w:rPr>
          <w:rFonts w:ascii="Times New Roman" w:hAnsi="Times New Roman"/>
          <w:bCs/>
          <w:color w:val="000000"/>
        </w:rPr>
        <w:t xml:space="preserve">Z dôvodu obmedzenia umiestenia herní výlučne do budov uvedených v 38 ods. 4 (v hoteloch, moteloch a penziónoch, budovách pre obchod a služby, budovách pre kultúru a na verejnú zábavu alebo v bytových domoch) sa oproti platnému zneniu ustanovenia § 10 ods. 3 písm. c) zákona o hazardných hrách navrhuje zaviesť pre Finančné riaditeľstvo SR povinnosť viesť aj register umiestenia herní a údaje z neho predkladať Ministerstvu financií SR ako licenčnému orgánu.     </w:t>
      </w:r>
    </w:p>
    <w:p w:rsidR="00871EBA" w:rsidP="00871EBA">
      <w:pPr>
        <w:bidi w:val="0"/>
        <w:ind w:left="426"/>
        <w:jc w:val="both"/>
        <w:rPr>
          <w:rFonts w:ascii="Times New Roman" w:hAnsi="Times New Roman"/>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bidi w:val="0"/>
        <w:ind w:left="426"/>
        <w:jc w:val="both"/>
        <w:rPr>
          <w:rFonts w:ascii="Times New Roman" w:hAnsi="Times New Roman"/>
          <w:bCs/>
        </w:rPr>
      </w:pPr>
    </w:p>
    <w:p w:rsidR="00871EBA" w:rsidP="00904DBB">
      <w:pPr>
        <w:numPr>
          <w:numId w:val="28"/>
        </w:numPr>
        <w:bidi w:val="0"/>
        <w:ind w:left="426" w:hanging="426"/>
        <w:jc w:val="both"/>
        <w:rPr>
          <w:rFonts w:ascii="Times New Roman" w:hAnsi="Times New Roman"/>
          <w:b/>
          <w:bCs/>
        </w:rPr>
      </w:pPr>
      <w:r>
        <w:rPr>
          <w:rFonts w:ascii="Times New Roman" w:hAnsi="Times New Roman"/>
          <w:b/>
          <w:bCs/>
        </w:rPr>
        <w:t>K čl. I – k doterajším bodom 19 (§ 10 ods. 4) a 20 (§ 10 ods. 5)</w:t>
      </w:r>
    </w:p>
    <w:p w:rsidR="00871EBA" w:rsidP="00871EBA">
      <w:pPr>
        <w:bidi w:val="0"/>
        <w:ind w:left="426"/>
        <w:contextualSpacing/>
        <w:jc w:val="both"/>
        <w:rPr>
          <w:rFonts w:ascii="Times New Roman" w:hAnsi="Times New Roman"/>
          <w:bCs/>
        </w:rPr>
      </w:pPr>
      <w:r>
        <w:rPr>
          <w:rFonts w:ascii="Times New Roman" w:hAnsi="Times New Roman"/>
          <w:bCs/>
        </w:rPr>
        <w:t>V čl. I navrhuje doterajšie body 19 a 20 spojiť do jedného bodu 19 takto:</w:t>
      </w:r>
    </w:p>
    <w:p w:rsidR="00871EBA" w:rsidP="00871EBA">
      <w:pPr>
        <w:bidi w:val="0"/>
        <w:ind w:left="426"/>
        <w:contextualSpacing/>
        <w:jc w:val="both"/>
        <w:rPr>
          <w:rFonts w:ascii="Times New Roman" w:hAnsi="Times New Roman"/>
          <w:bCs/>
        </w:rPr>
      </w:pPr>
      <w:r>
        <w:rPr>
          <w:rFonts w:ascii="Times New Roman" w:hAnsi="Times New Roman"/>
          <w:bCs/>
        </w:rPr>
        <w:t>„19. V § 10 odseky 4 a 5 znejú:</w:t>
      </w:r>
    </w:p>
    <w:p w:rsidR="00871EBA" w:rsidP="00871EBA">
      <w:pPr>
        <w:bidi w:val="0"/>
        <w:ind w:left="426"/>
        <w:contextualSpacing/>
        <w:jc w:val="both"/>
        <w:rPr>
          <w:rFonts w:ascii="Times New Roman" w:hAnsi="Times New Roman"/>
          <w:bCs/>
        </w:rPr>
      </w:pPr>
      <w:r>
        <w:rPr>
          <w:rFonts w:ascii="Times New Roman" w:hAnsi="Times New Roman"/>
          <w:bCs/>
        </w:rPr>
        <w:t>„(4) Daňový úrad</w:t>
      </w:r>
    </w:p>
    <w:p w:rsidR="00871EBA" w:rsidP="00871EBA">
      <w:pPr>
        <w:numPr>
          <w:ilvl w:val="2"/>
          <w:numId w:val="18"/>
        </w:numPr>
        <w:autoSpaceDE w:val="0"/>
        <w:autoSpaceDN w:val="0"/>
        <w:bidi w:val="0"/>
        <w:adjustRightInd w:val="0"/>
        <w:ind w:left="709" w:hanging="142"/>
        <w:jc w:val="both"/>
        <w:rPr>
          <w:rFonts w:ascii="Times New Roman" w:hAnsi="Times New Roman"/>
          <w:bCs/>
        </w:rPr>
      </w:pPr>
      <w:r>
        <w:rPr>
          <w:rFonts w:ascii="Times New Roman" w:hAnsi="Times New Roman"/>
          <w:bCs/>
        </w:rPr>
        <w:t>vykonáva správu odvodov do štátneho rozpočtu,</w:t>
      </w:r>
    </w:p>
    <w:p w:rsidR="00871EBA" w:rsidP="00871EBA">
      <w:pPr>
        <w:numPr>
          <w:ilvl w:val="2"/>
          <w:numId w:val="18"/>
        </w:numPr>
        <w:autoSpaceDE w:val="0"/>
        <w:autoSpaceDN w:val="0"/>
        <w:bidi w:val="0"/>
        <w:adjustRightInd w:val="0"/>
        <w:ind w:left="709" w:hanging="142"/>
        <w:jc w:val="both"/>
        <w:rPr>
          <w:rFonts w:ascii="Times New Roman" w:hAnsi="Times New Roman"/>
          <w:bCs/>
        </w:rPr>
      </w:pPr>
      <w:r>
        <w:rPr>
          <w:rFonts w:ascii="Times New Roman" w:hAnsi="Times New Roman"/>
          <w:bCs/>
        </w:rPr>
        <w:t>vydáva potvrdenia o zložení finančnej zábezpeky pre žiadateľov a prevádzkovateľov hazardných hier podľa ich sídla,</w:t>
      </w:r>
    </w:p>
    <w:p w:rsidR="00871EBA" w:rsidP="00871EBA">
      <w:pPr>
        <w:numPr>
          <w:ilvl w:val="2"/>
          <w:numId w:val="18"/>
        </w:numPr>
        <w:autoSpaceDE w:val="0"/>
        <w:autoSpaceDN w:val="0"/>
        <w:bidi w:val="0"/>
        <w:adjustRightInd w:val="0"/>
        <w:ind w:left="709" w:hanging="142"/>
        <w:jc w:val="both"/>
        <w:rPr>
          <w:rFonts w:ascii="Times New Roman" w:hAnsi="Times New Roman"/>
          <w:bCs/>
        </w:rPr>
      </w:pPr>
      <w:r>
        <w:rPr>
          <w:rFonts w:ascii="Times New Roman" w:hAnsi="Times New Roman"/>
          <w:bCs/>
        </w:rPr>
        <w:t>je odvolacím orgánom pre obce v správnom konaní podľa osobitného predpisu</w:t>
      </w:r>
      <w:r>
        <w:rPr>
          <w:rFonts w:ascii="Times New Roman" w:hAnsi="Times New Roman"/>
          <w:bCs/>
          <w:vertAlign w:val="superscript"/>
        </w:rPr>
        <w:t>4</w:t>
      </w:r>
      <w:r>
        <w:rPr>
          <w:rFonts w:ascii="Times New Roman" w:hAnsi="Times New Roman"/>
          <w:bCs/>
        </w:rPr>
        <w:t>) vo veciach individuálnych licencií na prevádzkovanie výherných prístrojov a vo veciach nimi uložených sankcií prevádzkovateľom hazardných hier podľa tohto zákona,</w:t>
      </w:r>
    </w:p>
    <w:p w:rsidR="00871EBA" w:rsidP="00871EBA">
      <w:pPr>
        <w:numPr>
          <w:ilvl w:val="2"/>
          <w:numId w:val="18"/>
        </w:numPr>
        <w:autoSpaceDE w:val="0"/>
        <w:autoSpaceDN w:val="0"/>
        <w:bidi w:val="0"/>
        <w:adjustRightInd w:val="0"/>
        <w:ind w:left="709" w:hanging="142"/>
        <w:jc w:val="both"/>
        <w:rPr>
          <w:rFonts w:ascii="Times New Roman" w:hAnsi="Times New Roman"/>
          <w:bCs/>
        </w:rPr>
      </w:pPr>
      <w:r>
        <w:rPr>
          <w:rFonts w:ascii="Times New Roman" w:hAnsi="Times New Roman"/>
          <w:bCs/>
        </w:rPr>
        <w:t>ukladá sankcie podľa tohto zákona.</w:t>
      </w:r>
    </w:p>
    <w:p w:rsidR="00871EBA" w:rsidP="00871EBA">
      <w:pPr>
        <w:autoSpaceDE w:val="0"/>
        <w:autoSpaceDN w:val="0"/>
        <w:bidi w:val="0"/>
        <w:adjustRightInd w:val="0"/>
        <w:ind w:left="709"/>
        <w:jc w:val="both"/>
        <w:rPr>
          <w:rFonts w:ascii="Times New Roman" w:hAnsi="Times New Roman"/>
          <w:bCs/>
        </w:rPr>
      </w:pPr>
    </w:p>
    <w:p w:rsidR="00871EBA" w:rsidP="00871EBA">
      <w:pPr>
        <w:bidi w:val="0"/>
        <w:ind w:left="426"/>
        <w:contextualSpacing/>
        <w:jc w:val="both"/>
        <w:rPr>
          <w:rFonts w:ascii="Times New Roman" w:hAnsi="Times New Roman"/>
          <w:bCs/>
        </w:rPr>
      </w:pPr>
      <w:r>
        <w:rPr>
          <w:rFonts w:ascii="Times New Roman" w:hAnsi="Times New Roman"/>
          <w:bCs/>
        </w:rPr>
        <w:t>(5) Obec</w:t>
      </w:r>
    </w:p>
    <w:p w:rsidR="00871EBA" w:rsidP="00871EBA">
      <w:pPr>
        <w:numPr>
          <w:numId w:val="19"/>
        </w:numPr>
        <w:bidi w:val="0"/>
        <w:contextualSpacing/>
        <w:jc w:val="both"/>
        <w:rPr>
          <w:rFonts w:ascii="Times New Roman" w:hAnsi="Times New Roman"/>
          <w:bCs/>
          <w:color w:val="000000"/>
        </w:rPr>
      </w:pPr>
      <w:r>
        <w:rPr>
          <w:rFonts w:ascii="Times New Roman" w:hAnsi="Times New Roman"/>
          <w:bCs/>
        </w:rPr>
        <w:t>rozhoduje o udelení individuálnej licencie podľa tohto zákona,</w:t>
      </w:r>
    </w:p>
    <w:p w:rsidR="00871EBA" w:rsidP="00871EBA">
      <w:pPr>
        <w:numPr>
          <w:numId w:val="19"/>
        </w:numPr>
        <w:bidi w:val="0"/>
        <w:contextualSpacing/>
        <w:jc w:val="both"/>
        <w:rPr>
          <w:rFonts w:ascii="Times New Roman" w:hAnsi="Times New Roman"/>
          <w:bCs/>
          <w:color w:val="000000"/>
        </w:rPr>
      </w:pPr>
      <w:r>
        <w:rPr>
          <w:rFonts w:ascii="Times New Roman" w:hAnsi="Times New Roman"/>
          <w:bCs/>
        </w:rPr>
        <w:t>vykonáva správu odvodov do rozpočtu obce,</w:t>
      </w:r>
    </w:p>
    <w:p w:rsidR="00871EBA" w:rsidP="00871EBA">
      <w:pPr>
        <w:numPr>
          <w:numId w:val="19"/>
        </w:numPr>
        <w:bidi w:val="0"/>
        <w:contextualSpacing/>
        <w:jc w:val="both"/>
        <w:rPr>
          <w:rFonts w:ascii="Times New Roman" w:hAnsi="Times New Roman"/>
          <w:bCs/>
          <w:color w:val="000000"/>
        </w:rPr>
      </w:pPr>
      <w:r>
        <w:rPr>
          <w:rFonts w:ascii="Times New Roman" w:hAnsi="Times New Roman"/>
          <w:bCs/>
          <w:color w:val="000000"/>
        </w:rPr>
        <w:t>ukladá sankcie podľa tohto zákona,</w:t>
      </w:r>
    </w:p>
    <w:p w:rsidR="00871EBA" w:rsidP="00871EBA">
      <w:pPr>
        <w:numPr>
          <w:numId w:val="19"/>
        </w:numPr>
        <w:bidi w:val="0"/>
        <w:ind w:left="709" w:hanging="283"/>
        <w:contextualSpacing/>
        <w:jc w:val="both"/>
        <w:rPr>
          <w:rFonts w:ascii="Times New Roman" w:hAnsi="Times New Roman"/>
          <w:bCs/>
          <w:color w:val="000000"/>
        </w:rPr>
      </w:pPr>
      <w:r>
        <w:rPr>
          <w:rFonts w:ascii="Times New Roman" w:hAnsi="Times New Roman"/>
          <w:bCs/>
          <w:color w:val="000000"/>
        </w:rPr>
        <w:t xml:space="preserve">môže za podmienok podľa odseku 6 ustanoviť všeobecne záväzným nariadením, že na jej území nie je možné umiestniť herňu v budovách uvedených v § 38 ods. 4 písm. a), b), c) alebo písm. d) alebo v kombinácii budov v členení podľa § 38 ods. 4 písm. a) až d) alebo vo všetkých budovách uvedených v § 38 ods. 4, pričom toto všeobecne záväzné nariadenie musí platiť na celom území obce; na prevádzkovateľa hazardnej hry, ktorému bola udelená individuálna licencia na prevádzkovanie hazardnej hry pred nadobudnutím účinnosti všeobecného záväzného nariadenia, sa toto všeobecne záväzné nariadenie nevzťahuje do doby skončenia platnosti tejto individuálnej licencie.“.“.          </w:t>
      </w:r>
    </w:p>
    <w:p w:rsidR="00871EBA" w:rsidP="00871EBA">
      <w:pPr>
        <w:bidi w:val="0"/>
        <w:jc w:val="both"/>
        <w:rPr>
          <w:rFonts w:ascii="Times New Roman" w:hAnsi="Times New Roman"/>
          <w:bCs/>
        </w:rPr>
      </w:pPr>
    </w:p>
    <w:p w:rsidR="00871EBA" w:rsidP="00871EBA">
      <w:pPr>
        <w:bidi w:val="0"/>
        <w:ind w:left="426"/>
        <w:jc w:val="both"/>
        <w:rPr>
          <w:rFonts w:ascii="Times New Roman" w:hAnsi="Times New Roman"/>
          <w:bCs/>
        </w:rPr>
      </w:pPr>
      <w:r>
        <w:rPr>
          <w:rFonts w:ascii="Times New Roman" w:hAnsi="Times New Roman"/>
          <w:bCs/>
        </w:rPr>
        <w:t>Doterajšie body sa primeranie prečíslujú.</w:t>
      </w:r>
    </w:p>
    <w:p w:rsidR="00871EBA" w:rsidP="00871EBA">
      <w:pPr>
        <w:bidi w:val="0"/>
        <w:jc w:val="both"/>
        <w:rPr>
          <w:rFonts w:ascii="Times New Roman" w:hAnsi="Times New Roman"/>
          <w:bCs/>
        </w:rPr>
      </w:pPr>
    </w:p>
    <w:p w:rsidR="00871EBA" w:rsidP="00871EBA">
      <w:pPr>
        <w:bidi w:val="0"/>
        <w:ind w:left="2835"/>
        <w:jc w:val="both"/>
        <w:rPr>
          <w:rFonts w:ascii="Times New Roman" w:hAnsi="Times New Roman"/>
          <w:bCs/>
          <w:color w:val="000000"/>
        </w:rPr>
      </w:pPr>
      <w:r w:rsidRPr="00721E5F">
        <w:rPr>
          <w:rFonts w:ascii="Times New Roman" w:hAnsi="Times New Roman"/>
          <w:bCs/>
        </w:rPr>
        <w:t>Pozmeňujúcim návrhom sa prostredníctvom celého znenia odsekov 4 a 5 v § 10 zákona o hazardných hrách (z legislatívnych dôvodov) oproti vládnemu návrhu navrhuje upraviť aj znenie § 10 ods. 5 písm. d) zákona o hazardných hrách, ktorý ustanovuje rozsah platnosti a pôsobnosti VZN obce  o nemožnosti prevádzkovania hazardných hier na jej území. Novým znením tohto ustanovenia sa v súvislosti s doplnením nového odseku 4 do § 38 zákona umožňuje pri vydaní VZN zakázať na území obce umiestnenie herne v hoteloch, moteloch a penziónoch a/alebo v budovách pre obchod a služby a/alebo budovách pre kultúru a na verejnú zábavu a/alebo v bytových domoch, pričom toto VZN musí platiť na celom území obce (podľa platného právneho stavu sa musí VZN vždy vzťahovať „en bloc“ na hazardné hry podľa § 3 ods. 2 písm. b), d), e) a i) zákona). Obec tak nebude musieť plošne zakázať umiestnenie herní vo všetkých budovách uvedených v § 38 ods. 4, ale bude jej umožnené prostredníctvom VZN obmedziť na celom svojom území umiestnenie herní</w:t>
      </w:r>
      <w:r>
        <w:rPr>
          <w:rFonts w:ascii="Times New Roman" w:hAnsi="Times New Roman"/>
          <w:bCs/>
          <w:color w:val="000000"/>
        </w:rPr>
        <w:t xml:space="preserve"> v takých budovách (hoteloch, moteloch a penziónoch a/alebo budovách pre obchod a služby a/alebo </w:t>
      </w:r>
      <w:r w:rsidRPr="00721E5F">
        <w:rPr>
          <w:rFonts w:ascii="Times New Roman" w:hAnsi="Times New Roman"/>
          <w:bCs/>
          <w:color w:val="000000"/>
        </w:rPr>
        <w:t>budovách pre kultúru a na verejnú zábavu a/alebo v bytových domoch), pri hraní hazardných hier v ktorých podľa miestnych podmienok dochádza v súvislosti s týmto hraním k narušovaniu verejného poriadku. Toto obmedzenie sa bude týkať aj umiestenia kasín, pretože kasíno je tiež herňou. Samozrejme platí, že obec bude môcť prostredníctvom VZN zakázať na celom svojom území umiestenie herne vo všetkých týchto budovách. Z dôvodu úpravy ustanovenia § 10 ods. 5 písm. d) zákona o hazardných hrách týmto pozmeňujúcim návrhom sa</w:t>
      </w:r>
      <w:r>
        <w:rPr>
          <w:rFonts w:ascii="Times New Roman" w:hAnsi="Times New Roman"/>
          <w:bCs/>
          <w:color w:val="000000"/>
        </w:rPr>
        <w:t xml:space="preserve"> spolu s vládnym návrhom novely zákona (doterajší novelizačný bod 20) zasahuje do celého znenia § 10 ods. 5 zákona, preto je potrebné vyjadriť všetky jeho zmeny celým novým znením. Keďže predchádzajúci novelizačný bod 19 rieši celé nové znenie § 10 ods. 4, je v tomto kontexte zároveň nevyhnutné v záujme dodržania legislatívnych pravidiel spojiť tieto dva novelizačné body do jedného bodu.</w:t>
      </w:r>
    </w:p>
    <w:p w:rsidR="00871EBA" w:rsidP="00871EBA">
      <w:pPr>
        <w:bidi w:val="0"/>
        <w:jc w:val="both"/>
        <w:rPr>
          <w:rFonts w:ascii="Times New Roman" w:hAnsi="Times New Roman"/>
          <w:b/>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bidi w:val="0"/>
        <w:jc w:val="both"/>
        <w:rPr>
          <w:rFonts w:ascii="Times New Roman" w:hAnsi="Times New Roman"/>
          <w:b/>
        </w:rPr>
      </w:pPr>
    </w:p>
    <w:p w:rsidR="00871EBA" w:rsidP="00904DBB">
      <w:pPr>
        <w:numPr>
          <w:numId w:val="28"/>
        </w:numPr>
        <w:tabs>
          <w:tab w:val="left" w:pos="426"/>
        </w:tabs>
        <w:bidi w:val="0"/>
        <w:ind w:left="0" w:firstLine="0"/>
        <w:jc w:val="both"/>
        <w:rPr>
          <w:rFonts w:ascii="Times New Roman" w:hAnsi="Times New Roman"/>
          <w:b/>
        </w:rPr>
      </w:pPr>
      <w:r>
        <w:rPr>
          <w:rFonts w:ascii="Times New Roman" w:hAnsi="Times New Roman"/>
          <w:b/>
        </w:rPr>
        <w:t>K čl. I – k doterajšiemu bodu 21 (§ 10 ods. 6 prvá veta)</w:t>
      </w:r>
    </w:p>
    <w:p w:rsidR="00871EBA" w:rsidP="00871EBA">
      <w:pPr>
        <w:bidi w:val="0"/>
        <w:jc w:val="both"/>
        <w:rPr>
          <w:rFonts w:ascii="Times New Roman" w:hAnsi="Times New Roman"/>
        </w:rPr>
      </w:pPr>
      <w:r>
        <w:rPr>
          <w:rFonts w:ascii="Times New Roman" w:hAnsi="Times New Roman"/>
        </w:rPr>
        <w:t xml:space="preserve">       V čl. I sa doterajší bod 21. vypúšťa.</w:t>
      </w:r>
    </w:p>
    <w:p w:rsidR="00871EBA" w:rsidP="00871EBA">
      <w:pPr>
        <w:tabs>
          <w:tab w:val="left" w:pos="1010"/>
        </w:tabs>
        <w:autoSpaceDE w:val="0"/>
        <w:autoSpaceDN w:val="0"/>
        <w:bidi w:val="0"/>
        <w:adjustRightInd w:val="0"/>
        <w:ind w:left="426"/>
        <w:jc w:val="both"/>
        <w:rPr>
          <w:rFonts w:ascii="Times New Roman" w:hAnsi="Times New Roman"/>
        </w:rPr>
      </w:pPr>
    </w:p>
    <w:p w:rsidR="00871EBA" w:rsidP="00871EBA">
      <w:pPr>
        <w:bidi w:val="0"/>
        <w:ind w:left="2835"/>
        <w:jc w:val="both"/>
        <w:rPr>
          <w:rFonts w:ascii="Times New Roman" w:hAnsi="Times New Roman"/>
          <w:color w:val="000000"/>
        </w:rPr>
      </w:pPr>
      <w:r>
        <w:rPr>
          <w:rFonts w:ascii="Times New Roman" w:hAnsi="Times New Roman"/>
          <w:color w:val="000000"/>
        </w:rPr>
        <w:t>Týmto pozmeňujúcim návrhom sa vypúšťa podmienka prijatia VZN na základe opakovaného a preukázateľného narušovania verejného poriadku. Už podpísaním petície sa obyvatelia obce sťažujú, že sa v obci narúša verejný poriadok v súvislosti s hraním hazardných hier, preto zákon nemôže vyžadovať preukazovanie narúšania verejného poriadku.</w:t>
      </w:r>
    </w:p>
    <w:p w:rsidR="00871EBA" w:rsidP="00871EBA">
      <w:pPr>
        <w:pStyle w:val="ListParagraph"/>
        <w:bidi w:val="0"/>
        <w:spacing w:after="0" w:line="240" w:lineRule="auto"/>
        <w:ind w:left="0"/>
        <w:jc w:val="both"/>
        <w:rPr>
          <w:rStyle w:val="Emphasis"/>
          <w:i w:val="0"/>
          <w:sz w:val="24"/>
          <w:szCs w:val="24"/>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RPr="00311508" w:rsidP="00871EBA">
      <w:pPr>
        <w:bidi w:val="0"/>
        <w:ind w:left="2124" w:firstLine="708"/>
        <w:rPr>
          <w:rFonts w:ascii="Times New Roman" w:hAnsi="Times New Roman"/>
          <w:b/>
        </w:rPr>
      </w:pPr>
      <w:r w:rsidRPr="00311508">
        <w:rPr>
          <w:rFonts w:ascii="Times New Roman" w:hAnsi="Times New Roman"/>
          <w:b/>
        </w:rPr>
        <w:t>Gestorský výbor odporúča schváliť</w:t>
      </w:r>
      <w:r w:rsidRPr="00311508" w:rsidR="00311508">
        <w:rPr>
          <w:rFonts w:ascii="Times New Roman" w:hAnsi="Times New Roman"/>
          <w:b/>
        </w:rPr>
        <w:t>.</w:t>
      </w:r>
    </w:p>
    <w:p w:rsidR="00871EBA" w:rsidP="00871EBA">
      <w:pPr>
        <w:pStyle w:val="ListParagraph"/>
        <w:bidi w:val="0"/>
        <w:spacing w:after="0" w:line="240" w:lineRule="auto"/>
        <w:ind w:left="0"/>
        <w:jc w:val="both"/>
        <w:rPr>
          <w:rStyle w:val="Emphasis"/>
          <w:i w:val="0"/>
          <w:sz w:val="24"/>
          <w:szCs w:val="24"/>
        </w:rPr>
      </w:pPr>
    </w:p>
    <w:p w:rsidR="00871EBA" w:rsidP="00904DBB">
      <w:pPr>
        <w:numPr>
          <w:numId w:val="28"/>
        </w:numPr>
        <w:bidi w:val="0"/>
        <w:ind w:left="426" w:hanging="426"/>
        <w:jc w:val="both"/>
        <w:rPr>
          <w:rFonts w:ascii="Times New Roman" w:hAnsi="Times New Roman"/>
          <w:b/>
        </w:rPr>
      </w:pPr>
      <w:r>
        <w:rPr>
          <w:rFonts w:ascii="Times New Roman" w:hAnsi="Times New Roman"/>
          <w:b/>
        </w:rPr>
        <w:t xml:space="preserve">K čl. I – </w:t>
      </w:r>
      <w:r w:rsidR="00B95606">
        <w:rPr>
          <w:rFonts w:ascii="Times New Roman" w:hAnsi="Times New Roman"/>
          <w:b/>
        </w:rPr>
        <w:t>nový bod</w:t>
      </w:r>
      <w:r>
        <w:rPr>
          <w:rFonts w:ascii="Times New Roman" w:hAnsi="Times New Roman"/>
          <w:b/>
        </w:rPr>
        <w:t xml:space="preserve"> 21 (§ 10 ods. 6)</w:t>
      </w:r>
    </w:p>
    <w:p w:rsidR="00871EBA" w:rsidP="00871EBA">
      <w:pPr>
        <w:bidi w:val="0"/>
        <w:ind w:left="426"/>
        <w:jc w:val="both"/>
        <w:rPr>
          <w:rFonts w:ascii="Times New Roman" w:hAnsi="Times New Roman"/>
        </w:rPr>
      </w:pPr>
      <w:r>
        <w:rPr>
          <w:rFonts w:ascii="Times New Roman" w:hAnsi="Times New Roman"/>
        </w:rPr>
        <w:t>V čl. I </w:t>
      </w:r>
      <w:r w:rsidR="00B95606">
        <w:rPr>
          <w:rFonts w:ascii="Times New Roman" w:hAnsi="Times New Roman"/>
        </w:rPr>
        <w:t>nový</w:t>
      </w:r>
      <w:r>
        <w:rPr>
          <w:rFonts w:ascii="Times New Roman" w:hAnsi="Times New Roman"/>
        </w:rPr>
        <w:t xml:space="preserve"> bod 21 znie:</w:t>
      </w:r>
    </w:p>
    <w:p w:rsidR="00871EBA" w:rsidP="00871EBA">
      <w:pPr>
        <w:autoSpaceDE w:val="0"/>
        <w:autoSpaceDN w:val="0"/>
        <w:bidi w:val="0"/>
        <w:adjustRightInd w:val="0"/>
        <w:ind w:left="426"/>
        <w:jc w:val="both"/>
        <w:rPr>
          <w:rFonts w:ascii="Times New Roman" w:hAnsi="Times New Roman"/>
        </w:rPr>
      </w:pPr>
      <w:r>
        <w:rPr>
          <w:rFonts w:ascii="Times New Roman" w:hAnsi="Times New Roman"/>
        </w:rPr>
        <w:t>„21. V § 10 ods. 6 sa za prvú vetu vkladá nová druhá veta, ktorá znie: „Osobitný predpis o hlavnom meste Slovenskej republiky Bratislave</w:t>
      </w:r>
      <w:r>
        <w:rPr>
          <w:rFonts w:ascii="Times New Roman" w:hAnsi="Times New Roman"/>
          <w:vertAlign w:val="superscript"/>
        </w:rPr>
        <w:t>4a</w:t>
      </w:r>
      <w:r>
        <w:rPr>
          <w:rFonts w:ascii="Times New Roman" w:hAnsi="Times New Roman"/>
        </w:rPr>
        <w:t>) a osobitný predpis o meste Košice</w:t>
      </w:r>
      <w:r>
        <w:rPr>
          <w:rFonts w:ascii="Times New Roman" w:hAnsi="Times New Roman"/>
          <w:vertAlign w:val="superscript"/>
        </w:rPr>
        <w:t>4b</w:t>
      </w:r>
      <w:r>
        <w:rPr>
          <w:rFonts w:ascii="Times New Roman" w:hAnsi="Times New Roman"/>
        </w:rPr>
        <w:t>) môžu ustanoviť nižšie kvórum obyvateľov mesta, ktorí dovŕšili 18 rokov veku a ktorí musia takúto petíciu podporiť, pričom toto kvórum nemôže byť nižšie ako 20 %; toto nižšie kvórum sa uplatní, len ak pôsobnosť v oblasti hazardných hier nie je štatútom mesta prenesená na mestské časti.“.</w:t>
      </w:r>
    </w:p>
    <w:p w:rsidR="00871EBA" w:rsidP="00871EBA">
      <w:pPr>
        <w:autoSpaceDE w:val="0"/>
        <w:autoSpaceDN w:val="0"/>
        <w:bidi w:val="0"/>
        <w:adjustRightInd w:val="0"/>
        <w:ind w:left="644"/>
        <w:rPr>
          <w:rFonts w:ascii="Times New Roman" w:hAnsi="Times New Roman"/>
        </w:rPr>
      </w:pPr>
    </w:p>
    <w:p w:rsidR="00871EBA" w:rsidP="00871EBA">
      <w:pPr>
        <w:autoSpaceDE w:val="0"/>
        <w:autoSpaceDN w:val="0"/>
        <w:bidi w:val="0"/>
        <w:adjustRightInd w:val="0"/>
        <w:ind w:left="426"/>
        <w:jc w:val="both"/>
        <w:rPr>
          <w:rFonts w:ascii="Times New Roman" w:hAnsi="Times New Roman"/>
        </w:rPr>
      </w:pPr>
      <w:r>
        <w:rPr>
          <w:rFonts w:ascii="Times New Roman" w:hAnsi="Times New Roman"/>
        </w:rPr>
        <w:t xml:space="preserve">Poznámky pod čiarou k odkazom 4a a 4b znejú: </w:t>
      </w:r>
    </w:p>
    <w:p w:rsidR="00871EBA" w:rsidP="00871EBA">
      <w:pPr>
        <w:tabs>
          <w:tab w:val="left" w:pos="1010"/>
        </w:tabs>
        <w:autoSpaceDE w:val="0"/>
        <w:autoSpaceDN w:val="0"/>
        <w:bidi w:val="0"/>
        <w:adjustRightInd w:val="0"/>
        <w:ind w:left="426"/>
        <w:jc w:val="both"/>
        <w:rPr>
          <w:rFonts w:ascii="Times New Roman" w:hAnsi="Times New Roman"/>
        </w:rPr>
      </w:pPr>
      <w:r>
        <w:rPr>
          <w:rFonts w:ascii="Times New Roman" w:hAnsi="Times New Roman"/>
        </w:rPr>
        <w:t>,,</w:t>
      </w:r>
      <w:r>
        <w:rPr>
          <w:rFonts w:ascii="Times New Roman" w:hAnsi="Times New Roman"/>
          <w:vertAlign w:val="superscript"/>
        </w:rPr>
        <w:t>4a</w:t>
      </w:r>
      <w:r>
        <w:rPr>
          <w:rFonts w:ascii="Times New Roman" w:hAnsi="Times New Roman"/>
        </w:rPr>
        <w:t>) Zákon Slovenskej národnej rady č. 377/1990 Zb. o hlavnom meste Slovenskej republiky Bratislave v znení neskorších predpisov.</w:t>
      </w:r>
    </w:p>
    <w:p w:rsidR="00871EBA" w:rsidP="00871EBA">
      <w:pPr>
        <w:tabs>
          <w:tab w:val="left" w:pos="1010"/>
        </w:tabs>
        <w:autoSpaceDE w:val="0"/>
        <w:autoSpaceDN w:val="0"/>
        <w:bidi w:val="0"/>
        <w:adjustRightInd w:val="0"/>
        <w:ind w:left="426"/>
        <w:jc w:val="both"/>
        <w:rPr>
          <w:rFonts w:ascii="Times New Roman" w:hAnsi="Times New Roman"/>
        </w:rPr>
      </w:pPr>
      <w:r>
        <w:rPr>
          <w:rFonts w:ascii="Times New Roman" w:hAnsi="Times New Roman"/>
          <w:vertAlign w:val="superscript"/>
        </w:rPr>
        <w:t>4b</w:t>
      </w:r>
      <w:r>
        <w:rPr>
          <w:rFonts w:ascii="Times New Roman" w:hAnsi="Times New Roman"/>
        </w:rPr>
        <w:t>) Zákon Slovenskej národnej rady č. 401/1990 Zb. o meste Košice v znení neskorších predpisov.“.“.</w:t>
      </w:r>
    </w:p>
    <w:p w:rsidR="00871EBA" w:rsidP="00871EBA">
      <w:pPr>
        <w:tabs>
          <w:tab w:val="left" w:pos="1010"/>
        </w:tabs>
        <w:autoSpaceDE w:val="0"/>
        <w:autoSpaceDN w:val="0"/>
        <w:bidi w:val="0"/>
        <w:adjustRightInd w:val="0"/>
        <w:ind w:left="426"/>
        <w:jc w:val="both"/>
        <w:rPr>
          <w:rFonts w:ascii="Times New Roman" w:hAnsi="Times New Roman"/>
        </w:rPr>
      </w:pPr>
    </w:p>
    <w:p w:rsidR="00871EBA" w:rsidP="00871EBA">
      <w:pPr>
        <w:bidi w:val="0"/>
        <w:ind w:left="2835"/>
        <w:jc w:val="both"/>
        <w:rPr>
          <w:rFonts w:ascii="Times New Roman" w:hAnsi="Times New Roman"/>
          <w:color w:val="000000"/>
        </w:rPr>
      </w:pPr>
      <w:r>
        <w:rPr>
          <w:rFonts w:ascii="Times New Roman" w:hAnsi="Times New Roman"/>
          <w:color w:val="000000"/>
        </w:rPr>
        <w:t>Týmto pozmeňujúcim návrhom sa umožní zjednodušenie postupu vydania VZN o nemožnosti umiestnenia herní v budovách uvedených v § 38 ods. 4 na ich území zo strany dvoch najväčších miest v SR, a to mesta Bratislavy a mesta Košice (ktorých postavenie je okrem zákona o obecnom zriadení upravené aj osobitnými zákonmi), ak sa ich obyvatelia petíciou sťažujú, že sa v nich narúša verejný poriadok v súvislosti s hraním hazardných hier. V prípade týchto dvoch miest sa bude môcť osobitnými predpismi ustanoviť nižšie kvórum ich obyvateľov na podporu takejto celomestskej petície, pričom toto kvórum nesmie byť nižšie ako 20 %. Nižšie kvórum sa však bude môcť uplatniť, len ak pôsobnosť  v oblasti hazardných hier nie je štatútom mesta prenesená na mestské časti; prenesením pôsobnosti totiž mestské časti v tomto rozsahu nadobúdajú „ex lege“ postavenie obce, to znamená, že ak je pôsobnosť v oblasti hazardných hier prenesená na mestské časti, musí sa dodržať kvórum 30 %. Ak sa pôsobnosť v oblasti hazardných hier prenesie na mestské časti, nižšie kvórum sa nebude môcť uplatniť ani pri celomestskej petícii. Týmto sa má zároveň eliminovať možný súbeh celomestskej petície s petíciou mestskej časti. Všetky ostatné podmienky zostavenia petície zostávajú zachované tak, ako je to v platnom znení zákona o hazardných hrách.</w:t>
      </w:r>
    </w:p>
    <w:p w:rsidR="00871EBA" w:rsidP="00871EBA">
      <w:pPr>
        <w:pStyle w:val="ListParagraph"/>
        <w:bidi w:val="0"/>
        <w:spacing w:after="0" w:line="240" w:lineRule="auto"/>
        <w:ind w:left="0"/>
        <w:jc w:val="both"/>
        <w:rPr>
          <w:rStyle w:val="Emphasis"/>
          <w:i w:val="0"/>
          <w:sz w:val="24"/>
          <w:szCs w:val="24"/>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pStyle w:val="ListParagraph"/>
        <w:bidi w:val="0"/>
        <w:spacing w:after="0" w:line="240" w:lineRule="auto"/>
        <w:ind w:left="0"/>
        <w:jc w:val="both"/>
        <w:rPr>
          <w:rStyle w:val="Emphasis"/>
          <w:i w:val="0"/>
          <w:sz w:val="24"/>
          <w:szCs w:val="24"/>
        </w:rPr>
      </w:pPr>
    </w:p>
    <w:p w:rsidR="00871EBA" w:rsidP="00904DBB">
      <w:pPr>
        <w:numPr>
          <w:numId w:val="28"/>
        </w:numPr>
        <w:bidi w:val="0"/>
        <w:ind w:left="426" w:hanging="426"/>
        <w:jc w:val="both"/>
        <w:rPr>
          <w:rFonts w:ascii="Times New Roman" w:hAnsi="Times New Roman"/>
          <w:b/>
          <w:lang w:eastAsia="en-US"/>
        </w:rPr>
      </w:pPr>
      <w:r>
        <w:rPr>
          <w:rFonts w:ascii="Times New Roman" w:hAnsi="Times New Roman"/>
          <w:b/>
          <w:bCs/>
          <w:lang w:eastAsia="en-US"/>
        </w:rPr>
        <w:t>K čl. I (§ 10 ods. 6 posledná veta)</w:t>
      </w:r>
    </w:p>
    <w:p w:rsidR="00871EBA" w:rsidP="00871EBA">
      <w:pPr>
        <w:bidi w:val="0"/>
        <w:ind w:left="426"/>
        <w:jc w:val="both"/>
        <w:rPr>
          <w:rFonts w:ascii="Times New Roman" w:hAnsi="Times New Roman"/>
          <w:bCs/>
          <w:lang w:eastAsia="en-US"/>
        </w:rPr>
      </w:pPr>
      <w:r>
        <w:rPr>
          <w:rFonts w:ascii="Times New Roman" w:hAnsi="Times New Roman"/>
          <w:bCs/>
          <w:lang w:eastAsia="en-US"/>
        </w:rPr>
        <w:t>V čl. I sa za doterajší bod 21 vkladá nový bod 22, ktorý znie:</w:t>
      </w:r>
    </w:p>
    <w:p w:rsidR="00871EBA" w:rsidP="00871EBA">
      <w:pPr>
        <w:bidi w:val="0"/>
        <w:ind w:left="426"/>
        <w:jc w:val="both"/>
        <w:rPr>
          <w:rFonts w:ascii="Times New Roman" w:hAnsi="Times New Roman"/>
          <w:bCs/>
          <w:lang w:eastAsia="en-US"/>
        </w:rPr>
      </w:pPr>
      <w:r>
        <w:rPr>
          <w:rFonts w:ascii="Times New Roman" w:hAnsi="Times New Roman"/>
          <w:bCs/>
          <w:lang w:eastAsia="en-US"/>
        </w:rPr>
        <w:t>„22. V § 10 ods. 6 posledná veta znie: „Vyvesenie návrhu takéhoto všeobecne záväzného nariadenia na úradnej tabuli obec oznámi ministerstvu do troch dní odo dňa jeho vyvesenia a prijatie takéhoto všeobecne záväzného nariadenia obec oznámi ministerstvu do troch dní odo dňa jeho prijatia s uvedením dátumu jeho účinnosti.“.</w:t>
      </w:r>
    </w:p>
    <w:p w:rsidR="00871EBA" w:rsidP="00871EBA">
      <w:pPr>
        <w:bidi w:val="0"/>
        <w:jc w:val="both"/>
        <w:rPr>
          <w:rFonts w:ascii="Times New Roman" w:hAnsi="Times New Roman"/>
          <w:bCs/>
          <w:lang w:eastAsia="en-US"/>
        </w:rPr>
      </w:pPr>
      <w:r>
        <w:rPr>
          <w:rFonts w:ascii="Times New Roman" w:hAnsi="Times New Roman"/>
          <w:bCs/>
          <w:lang w:eastAsia="en-US"/>
        </w:rPr>
        <w:t xml:space="preserve">       </w:t>
      </w:r>
    </w:p>
    <w:p w:rsidR="00871EBA" w:rsidP="00871EBA">
      <w:pPr>
        <w:bidi w:val="0"/>
        <w:ind w:firstLine="426"/>
        <w:jc w:val="both"/>
        <w:rPr>
          <w:rFonts w:ascii="Times New Roman" w:hAnsi="Times New Roman"/>
          <w:bCs/>
          <w:lang w:eastAsia="en-US"/>
        </w:rPr>
      </w:pPr>
      <w:r>
        <w:rPr>
          <w:rFonts w:ascii="Times New Roman" w:hAnsi="Times New Roman"/>
          <w:bCs/>
          <w:lang w:eastAsia="en-US"/>
        </w:rPr>
        <w:t>Doterajšie body sa primerane prečíslujú.</w:t>
      </w:r>
    </w:p>
    <w:p w:rsidR="00871EBA" w:rsidP="00871EBA">
      <w:pPr>
        <w:bidi w:val="0"/>
        <w:jc w:val="both"/>
        <w:rPr>
          <w:rFonts w:ascii="Times New Roman" w:hAnsi="Times New Roman"/>
          <w:bCs/>
          <w:lang w:eastAsia="en-US"/>
        </w:rPr>
      </w:pPr>
      <w:r>
        <w:rPr>
          <w:rFonts w:ascii="Times New Roman" w:hAnsi="Times New Roman"/>
          <w:bCs/>
          <w:lang w:eastAsia="en-US"/>
        </w:rPr>
        <w:tab/>
      </w:r>
    </w:p>
    <w:p w:rsidR="00871EBA" w:rsidP="00871EBA">
      <w:pPr>
        <w:bidi w:val="0"/>
        <w:ind w:left="2835"/>
        <w:jc w:val="both"/>
        <w:rPr>
          <w:rFonts w:ascii="Times New Roman" w:hAnsi="Times New Roman"/>
          <w:bCs/>
          <w:lang w:eastAsia="en-US"/>
        </w:rPr>
      </w:pPr>
      <w:r>
        <w:rPr>
          <w:rFonts w:ascii="Times New Roman" w:hAnsi="Times New Roman"/>
          <w:bCs/>
          <w:lang w:eastAsia="en-US"/>
        </w:rPr>
        <w:t xml:space="preserve">Navrhovaným ustanovením sa navrhuje zaviesť povinnosť pre obce informovať ministerstvo o začatí konania o prijatí všeobecne záväzného nariadenia o obmedzení prevádzkovania hazardných hier. Táto informácia je pre  správny orgán potrebná pri určení </w:t>
      </w:r>
      <w:r w:rsidRPr="00721E5F">
        <w:rPr>
          <w:rFonts w:ascii="Times New Roman" w:hAnsi="Times New Roman"/>
          <w:bCs/>
          <w:lang w:eastAsia="en-US"/>
        </w:rPr>
        <w:t>podmienky začatia prevádzkovania hazardnej hry alebo ukončenia  prevádzkovania hazardnej hry v rozhodnutí o udelení/zmene individuálnej licencie, čím sa predíde možnému špekulatívnemu konaniu zo strany prevádzkovateľa, ktorý v snahe zaistiť si prevádzkovanie hazardnej hry v obci, ktorá začala konanie o obmedzení prevádzkovania hazardných hier požiada o vydanie takéhoto rozhodnutia. V prípade</w:t>
      </w:r>
      <w:r>
        <w:rPr>
          <w:rFonts w:ascii="Times New Roman" w:hAnsi="Times New Roman"/>
          <w:bCs/>
          <w:lang w:eastAsia="en-US"/>
        </w:rPr>
        <w:t xml:space="preserve">, ak obec tieto skutočnosti neoznámi správnemu orgánu v stanovenej lehote, dôsledky svojho nekonania bude znášať obec.  </w:t>
      </w:r>
    </w:p>
    <w:p w:rsidR="00871EBA" w:rsidP="00871EBA">
      <w:pPr>
        <w:pStyle w:val="ListParagraph"/>
        <w:bidi w:val="0"/>
        <w:spacing w:after="0" w:line="240" w:lineRule="auto"/>
        <w:ind w:left="0"/>
        <w:jc w:val="both"/>
        <w:rPr>
          <w:rStyle w:val="Emphasis"/>
          <w:i w:val="0"/>
          <w:sz w:val="24"/>
          <w:szCs w:val="24"/>
          <w:lang w:eastAsia="sk-SK"/>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pStyle w:val="ListParagraph"/>
        <w:bidi w:val="0"/>
        <w:spacing w:after="0" w:line="240" w:lineRule="auto"/>
        <w:ind w:left="0"/>
        <w:jc w:val="both"/>
        <w:rPr>
          <w:rStyle w:val="Emphasis"/>
          <w:i w:val="0"/>
          <w:sz w:val="24"/>
          <w:szCs w:val="24"/>
          <w:lang w:eastAsia="sk-SK"/>
        </w:rPr>
      </w:pPr>
    </w:p>
    <w:p w:rsidR="00D11087" w:rsidP="00871EBA">
      <w:pPr>
        <w:pStyle w:val="ListParagraph"/>
        <w:bidi w:val="0"/>
        <w:spacing w:after="0" w:line="240" w:lineRule="auto"/>
        <w:ind w:left="0"/>
        <w:jc w:val="both"/>
        <w:rPr>
          <w:rStyle w:val="Emphasis"/>
          <w:i w:val="0"/>
          <w:sz w:val="24"/>
          <w:szCs w:val="24"/>
          <w:lang w:eastAsia="sk-SK"/>
        </w:rPr>
      </w:pPr>
    </w:p>
    <w:p w:rsidR="00D11087" w:rsidP="00871EBA">
      <w:pPr>
        <w:pStyle w:val="ListParagraph"/>
        <w:bidi w:val="0"/>
        <w:spacing w:after="0" w:line="240" w:lineRule="auto"/>
        <w:ind w:left="0"/>
        <w:jc w:val="both"/>
        <w:rPr>
          <w:rStyle w:val="Emphasis"/>
          <w:i w:val="0"/>
          <w:sz w:val="24"/>
          <w:szCs w:val="24"/>
          <w:lang w:eastAsia="sk-SK"/>
        </w:rPr>
      </w:pPr>
    </w:p>
    <w:p w:rsidR="00FF2FCF" w:rsidRPr="00020EBA" w:rsidP="00FF2FCF">
      <w:pPr>
        <w:numPr>
          <w:numId w:val="28"/>
        </w:numPr>
        <w:bidi w:val="0"/>
        <w:ind w:left="426" w:hanging="426"/>
        <w:jc w:val="both"/>
        <w:rPr>
          <w:rFonts w:ascii="Times New Roman" w:hAnsi="Times New Roman"/>
          <w:b/>
        </w:rPr>
      </w:pPr>
      <w:r w:rsidRPr="00020EBA">
        <w:rPr>
          <w:rFonts w:ascii="Times New Roman" w:hAnsi="Times New Roman"/>
          <w:b/>
        </w:rPr>
        <w:t>K čl. I – k doterajšiemu bodu 22 (§ 10 ods. 7)</w:t>
      </w:r>
    </w:p>
    <w:p w:rsidR="00FF2FCF" w:rsidRPr="00020EBA" w:rsidP="00FF2FCF">
      <w:pPr>
        <w:bidi w:val="0"/>
        <w:ind w:left="426"/>
        <w:jc w:val="both"/>
        <w:rPr>
          <w:rFonts w:ascii="Times New Roman" w:hAnsi="Times New Roman"/>
        </w:rPr>
      </w:pPr>
      <w:r w:rsidRPr="00020EBA">
        <w:rPr>
          <w:rFonts w:ascii="Times New Roman" w:hAnsi="Times New Roman"/>
        </w:rPr>
        <w:t>V čl. I sa doterajší bod 22 vypúšťa.</w:t>
      </w:r>
    </w:p>
    <w:p w:rsidR="00FF2FCF" w:rsidRPr="00020EBA" w:rsidP="00FF2FCF">
      <w:pPr>
        <w:bidi w:val="0"/>
        <w:ind w:left="426"/>
        <w:jc w:val="both"/>
        <w:rPr>
          <w:rFonts w:ascii="Times New Roman" w:hAnsi="Times New Roman"/>
        </w:rPr>
      </w:pPr>
      <w:r w:rsidRPr="00020EBA">
        <w:rPr>
          <w:rFonts w:ascii="Times New Roman" w:hAnsi="Times New Roman"/>
        </w:rPr>
        <w:t>Doterajšie body sa primerane prečíslujú.</w:t>
      </w:r>
    </w:p>
    <w:p w:rsidR="00FF2FCF" w:rsidRPr="00020EBA" w:rsidP="00FF2FCF">
      <w:pPr>
        <w:bidi w:val="0"/>
        <w:jc w:val="both"/>
        <w:rPr>
          <w:rFonts w:ascii="Times New Roman" w:hAnsi="Times New Roman"/>
          <w:b/>
        </w:rPr>
      </w:pPr>
    </w:p>
    <w:p w:rsidR="00FF2FCF" w:rsidRPr="00020EBA" w:rsidP="00FF2FCF">
      <w:pPr>
        <w:bidi w:val="0"/>
        <w:ind w:left="2835"/>
        <w:jc w:val="both"/>
        <w:rPr>
          <w:rFonts w:ascii="Times New Roman" w:hAnsi="Times New Roman"/>
        </w:rPr>
      </w:pPr>
      <w:r w:rsidRPr="00020EBA">
        <w:rPr>
          <w:rFonts w:ascii="Times New Roman" w:hAnsi="Times New Roman"/>
        </w:rPr>
        <w:t>Vzhľadom na vypustenie súvisiaceho písmena g) v § 10 ods. 2 sa z legislatívno-technického dôvodu vypúšťa doplnenie § 10 o nový odsek 7, ktorý sa odvoláva na odsek 2 písm. g).</w:t>
      </w:r>
    </w:p>
    <w:p w:rsidR="00FF2FCF" w:rsidRPr="00020EBA" w:rsidP="00FF2FCF">
      <w:pPr>
        <w:bidi w:val="0"/>
        <w:ind w:left="2835"/>
        <w:jc w:val="both"/>
        <w:rPr>
          <w:rFonts w:ascii="Times New Roman" w:hAnsi="Times New Roman"/>
        </w:rPr>
      </w:pPr>
    </w:p>
    <w:p w:rsidR="00FF2FCF" w:rsidRPr="00020EBA" w:rsidP="00FF2FCF">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D83BC5" w:rsidRPr="00D83BC5" w:rsidP="00D83BC5">
      <w:pPr>
        <w:bidi w:val="0"/>
        <w:ind w:left="2124" w:firstLine="708"/>
        <w:rPr>
          <w:rFonts w:ascii="Times New Roman" w:hAnsi="Times New Roman"/>
          <w:b/>
        </w:rPr>
      </w:pPr>
      <w:r w:rsidRPr="00D83BC5">
        <w:rPr>
          <w:rFonts w:ascii="Times New Roman" w:hAnsi="Times New Roman"/>
          <w:b/>
        </w:rPr>
        <w:t>Gestorský výbor odporúča schváliť.</w:t>
      </w:r>
    </w:p>
    <w:p w:rsidR="00B45C72" w:rsidRPr="00FF2FCF" w:rsidP="00FF2FCF">
      <w:pPr>
        <w:bidi w:val="0"/>
        <w:ind w:left="2835"/>
        <w:jc w:val="both"/>
        <w:rPr>
          <w:rFonts w:ascii="Times New Roman" w:hAnsi="Times New Roman"/>
          <w:color w:val="000000"/>
        </w:rPr>
      </w:pPr>
    </w:p>
    <w:p w:rsidR="00871EBA" w:rsidRPr="00871EBA" w:rsidP="00904DBB">
      <w:pPr>
        <w:pStyle w:val="ListParagraph"/>
        <w:numPr>
          <w:numId w:val="28"/>
        </w:numPr>
        <w:bidi w:val="0"/>
        <w:spacing w:after="0" w:line="240" w:lineRule="auto"/>
        <w:ind w:left="714" w:hanging="357"/>
        <w:jc w:val="both"/>
        <w:rPr>
          <w:rFonts w:ascii="Times New Roman" w:hAnsi="Times New Roman"/>
          <w:b/>
          <w:sz w:val="24"/>
          <w:szCs w:val="24"/>
        </w:rPr>
      </w:pPr>
      <w:r w:rsidRPr="00871EBA">
        <w:rPr>
          <w:rFonts w:ascii="Times New Roman" w:hAnsi="Times New Roman"/>
          <w:b/>
          <w:sz w:val="24"/>
          <w:szCs w:val="24"/>
        </w:rPr>
        <w:t>K čl. I</w:t>
      </w:r>
      <w:r>
        <w:rPr>
          <w:rFonts w:ascii="Times New Roman" w:hAnsi="Times New Roman"/>
          <w:b/>
          <w:sz w:val="24"/>
          <w:szCs w:val="24"/>
        </w:rPr>
        <w:t xml:space="preserve"> (§ 15b ods. 10)</w:t>
      </w:r>
    </w:p>
    <w:p w:rsidR="00871EBA" w:rsidRPr="00871EBA" w:rsidP="00871EBA">
      <w:pPr>
        <w:bidi w:val="0"/>
        <w:ind w:left="709"/>
        <w:rPr>
          <w:rFonts w:ascii="Times New Roman" w:hAnsi="Times New Roman"/>
        </w:rPr>
      </w:pPr>
      <w:r w:rsidRPr="00871EBA">
        <w:rPr>
          <w:rFonts w:ascii="Times New Roman" w:hAnsi="Times New Roman"/>
        </w:rPr>
        <w:t>V čl. I bod 30 sa v § 15b ods. 10 prvej vete za slová „v písomnej forme“ vkladajú slová „v lehote 7 dní od podania žiadosti“.</w:t>
      </w:r>
    </w:p>
    <w:p w:rsidR="00871EBA" w:rsidRPr="00871EBA" w:rsidP="00871EBA">
      <w:pPr>
        <w:bidi w:val="0"/>
        <w:ind w:left="2835"/>
        <w:jc w:val="both"/>
        <w:rPr>
          <w:rFonts w:ascii="Times New Roman" w:hAnsi="Times New Roman"/>
        </w:rPr>
      </w:pPr>
      <w:r w:rsidRPr="00871EBA">
        <w:rPr>
          <w:rFonts w:ascii="Times New Roman" w:hAnsi="Times New Roman"/>
        </w:rPr>
        <w:t xml:space="preserve">Z dôvodu právne nejasného a nedostatočného vymedzenia mechanizmu vydávania príkazu súdom, najmä s ohľadom na absenciu dĺžky lehoty na vydanie príkazu, ktorým súd zaväzuje poskytovateľov elektronických komunikačných sietí a elektronických komunikačných služieb blokovať prístup k webovému sídlu, prostredníctvom ktorého sa poskytuje zakázaná ponuka,  resp.  poskytovateľov platobných služieb blokovať platobné operácie alebo iné platobné služby v prospech účtu, ktorý používa osoba poskytujúca zakázanú ponuku, je vhodné, aby zákonné znenie predmetného ustanovenia explicitne vymedzilo súdu lehotu na vydanie príkazu. </w:t>
      </w:r>
    </w:p>
    <w:p w:rsidR="00871EBA" w:rsidRPr="00871EBA" w:rsidP="00871EBA">
      <w:pPr>
        <w:bidi w:val="0"/>
        <w:ind w:left="2835"/>
        <w:jc w:val="both"/>
        <w:rPr>
          <w:rFonts w:ascii="Times New Roman" w:hAnsi="Times New Roman"/>
          <w:i/>
        </w:rPr>
      </w:pPr>
      <w:r w:rsidRPr="00871EBA">
        <w:rPr>
          <w:rFonts w:ascii="Times New Roman" w:hAnsi="Times New Roman"/>
        </w:rPr>
        <w:t>V súvislosti s navrhovaným znením poukazujeme, že len skutočne efektívny spôsob nastavenia mechanizmu blokovania zakázaných ponúk bude mať za následok pozitívne ekonomické dopady na štátny rozpočet a dosiahnutie cieľu sledovaného predmetným návrhom zákona. Zároveň v prípade príliš dlhého rozhodovania o žiadostiach zo strany súdu by navrhovaná blokácia mohla byť neefektívna aj z dôvodu, že nelegálni prevádzkovatelia hazardných hier budú meniť platobné účty či adresu webového sídla, a uvedené robiť opakovane, t.j. kým by súd rozhodol o podanej žiadosti, tak by blokovaný účet či webové sídlo nemuseli byť aktuálne</w:t>
      </w:r>
      <w:r w:rsidRPr="00871EBA">
        <w:rPr>
          <w:rFonts w:ascii="Times New Roman" w:hAnsi="Times New Roman"/>
          <w:i/>
        </w:rPr>
        <w:t>.</w:t>
      </w:r>
    </w:p>
    <w:p w:rsidR="00871EBA" w:rsidP="00871EBA">
      <w:pPr>
        <w:pStyle w:val="ListParagraph"/>
        <w:bidi w:val="0"/>
        <w:spacing w:after="0" w:line="240" w:lineRule="auto"/>
        <w:ind w:left="0"/>
        <w:jc w:val="both"/>
        <w:rPr>
          <w:rStyle w:val="Emphasis"/>
          <w:i w:val="0"/>
          <w:sz w:val="24"/>
          <w:szCs w:val="24"/>
          <w:lang w:eastAsia="sk-SK"/>
        </w:rPr>
      </w:pPr>
    </w:p>
    <w:p w:rsidR="00871EBA" w:rsidP="00871EBA">
      <w:pPr>
        <w:bidi w:val="0"/>
        <w:ind w:left="2124" w:firstLine="708"/>
        <w:jc w:val="both"/>
        <w:rPr>
          <w:rFonts w:ascii="Times New Roman" w:hAnsi="Times New Roman"/>
          <w:b/>
        </w:rPr>
      </w:pPr>
      <w:r w:rsidRPr="00A66A95">
        <w:rPr>
          <w:rFonts w:ascii="Times New Roman" w:hAnsi="Times New Roman"/>
          <w:b/>
        </w:rPr>
        <w:t>Ústavnoprávny výbor NR SR</w:t>
      </w:r>
    </w:p>
    <w:p w:rsidR="00D83BC5" w:rsidRPr="00D83BC5" w:rsidP="00D83BC5">
      <w:pPr>
        <w:bidi w:val="0"/>
        <w:ind w:left="2124" w:firstLine="708"/>
        <w:rPr>
          <w:rFonts w:ascii="Times New Roman" w:hAnsi="Times New Roman"/>
          <w:b/>
        </w:rPr>
      </w:pPr>
      <w:r w:rsidRPr="00D83BC5">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contextualSpacing/>
        <w:jc w:val="both"/>
        <w:rPr>
          <w:rFonts w:ascii="Times New Roman" w:hAnsi="Times New Roman"/>
          <w:b/>
          <w:lang w:eastAsia="en-US"/>
        </w:rPr>
      </w:pPr>
      <w:r>
        <w:rPr>
          <w:rFonts w:ascii="Times New Roman" w:hAnsi="Times New Roman"/>
          <w:b/>
          <w:bCs/>
          <w:lang w:eastAsia="en-US"/>
        </w:rPr>
        <w:t>K čl. I – k doterajšiemu bodu 36 (§ 20 ods. 2 písm. a) a b)) </w:t>
      </w:r>
    </w:p>
    <w:p w:rsidR="00871EBA" w:rsidP="00871EBA">
      <w:pPr>
        <w:bidi w:val="0"/>
        <w:ind w:left="426"/>
        <w:contextualSpacing/>
        <w:jc w:val="both"/>
        <w:rPr>
          <w:rFonts w:ascii="Times New Roman" w:hAnsi="Times New Roman"/>
          <w:bCs/>
          <w:lang w:eastAsia="en-US"/>
        </w:rPr>
      </w:pPr>
      <w:r>
        <w:rPr>
          <w:rFonts w:ascii="Times New Roman" w:hAnsi="Times New Roman"/>
          <w:bCs/>
          <w:lang w:eastAsia="en-US"/>
        </w:rPr>
        <w:t xml:space="preserve">V čl. I doterajší bod 36 znie: </w:t>
      </w:r>
    </w:p>
    <w:p w:rsidR="00871EBA" w:rsidP="00871EBA">
      <w:pPr>
        <w:bidi w:val="0"/>
        <w:ind w:left="426"/>
        <w:contextualSpacing/>
        <w:jc w:val="both"/>
        <w:rPr>
          <w:rFonts w:ascii="Times New Roman" w:hAnsi="Times New Roman"/>
          <w:bCs/>
          <w:lang w:eastAsia="en-US"/>
        </w:rPr>
      </w:pPr>
      <w:r>
        <w:rPr>
          <w:rFonts w:ascii="Times New Roman" w:hAnsi="Times New Roman"/>
          <w:bCs/>
          <w:lang w:eastAsia="en-US"/>
        </w:rPr>
        <w:t xml:space="preserve">„36. V § 20 ods. 2 písmená a) a b) znejú: </w:t>
      </w:r>
    </w:p>
    <w:p w:rsidR="00871EBA" w:rsidP="00871EBA">
      <w:pPr>
        <w:numPr>
          <w:numId w:val="20"/>
        </w:numPr>
        <w:tabs>
          <w:tab w:val="left" w:pos="426"/>
        </w:tabs>
        <w:bidi w:val="0"/>
        <w:ind w:left="426" w:firstLine="0"/>
        <w:contextualSpacing/>
        <w:jc w:val="both"/>
        <w:rPr>
          <w:rFonts w:ascii="Times New Roman" w:hAnsi="Times New Roman"/>
          <w:bCs/>
          <w:lang w:eastAsia="en-US"/>
        </w:rPr>
      </w:pPr>
      <w:r>
        <w:rPr>
          <w:rFonts w:ascii="Times New Roman" w:hAnsi="Times New Roman"/>
          <w:bCs/>
          <w:lang w:eastAsia="en-US"/>
        </w:rPr>
        <w:t>331 900 eur pri žrebových peňažných lotériách a žrebových peňažno-vecných lotériách,</w:t>
      </w:r>
    </w:p>
    <w:p w:rsidR="00871EBA" w:rsidP="00871EBA">
      <w:pPr>
        <w:numPr>
          <w:numId w:val="20"/>
        </w:numPr>
        <w:tabs>
          <w:tab w:val="left" w:pos="426"/>
        </w:tabs>
        <w:bidi w:val="0"/>
        <w:ind w:left="426" w:firstLine="0"/>
        <w:contextualSpacing/>
        <w:jc w:val="both"/>
        <w:rPr>
          <w:rFonts w:ascii="Times New Roman" w:hAnsi="Times New Roman"/>
          <w:bCs/>
          <w:lang w:eastAsia="en-US"/>
        </w:rPr>
      </w:pPr>
      <w:r>
        <w:rPr>
          <w:rFonts w:ascii="Times New Roman" w:hAnsi="Times New Roman"/>
          <w:bCs/>
          <w:lang w:eastAsia="en-US"/>
        </w:rPr>
        <w:t>331 900 eur pri okamžitých lotériách,“.“.</w:t>
      </w:r>
    </w:p>
    <w:p w:rsidR="00871EBA" w:rsidP="00871EBA">
      <w:pPr>
        <w:bidi w:val="0"/>
        <w:ind w:left="3402"/>
        <w:contextualSpacing/>
        <w:jc w:val="both"/>
        <w:rPr>
          <w:rFonts w:ascii="Times New Roman" w:hAnsi="Times New Roman"/>
          <w:bCs/>
          <w:u w:val="single"/>
          <w:lang w:eastAsia="en-US"/>
        </w:rPr>
      </w:pPr>
    </w:p>
    <w:p w:rsidR="00871EBA" w:rsidP="00871EBA">
      <w:pPr>
        <w:bidi w:val="0"/>
        <w:ind w:left="2835"/>
        <w:jc w:val="both"/>
        <w:rPr>
          <w:rFonts w:ascii="Times New Roman" w:hAnsi="Times New Roman"/>
          <w:b/>
          <w:bCs/>
          <w:lang w:eastAsia="en-US"/>
        </w:rPr>
      </w:pPr>
      <w:r>
        <w:rPr>
          <w:rFonts w:ascii="Times New Roman" w:hAnsi="Times New Roman"/>
          <w:bCs/>
          <w:color w:val="000000"/>
          <w:lang w:eastAsia="en-US"/>
        </w:rPr>
        <w:t xml:space="preserve">Navrhovanou úpravou znenia </w:t>
      </w:r>
      <w:r>
        <w:rPr>
          <w:rFonts w:ascii="Times New Roman" w:hAnsi="Times New Roman"/>
          <w:bCs/>
          <w:lang w:eastAsia="en-US"/>
        </w:rPr>
        <w:t xml:space="preserve">§ 20 ods. 2 písm. a) a b) </w:t>
      </w:r>
      <w:r>
        <w:rPr>
          <w:rFonts w:ascii="Times New Roman" w:hAnsi="Times New Roman"/>
          <w:bCs/>
          <w:color w:val="000000"/>
          <w:lang w:eastAsia="en-US"/>
        </w:rPr>
        <w:t xml:space="preserve">zákona o hazardných hrách sa oproti vládnemu návrhu dopĺňa, aby sa zvýšenie základného imania vzťahovalo aj na peňažno-vecnú lotériu za účelom zjednotenia podmienok s peňažnou lotériou. </w:t>
      </w: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jc w:val="both"/>
        <w:rPr>
          <w:rFonts w:ascii="Times New Roman" w:hAnsi="Times New Roman"/>
          <w:b/>
        </w:rPr>
      </w:pPr>
      <w:r>
        <w:rPr>
          <w:rFonts w:ascii="Times New Roman" w:hAnsi="Times New Roman"/>
          <w:b/>
        </w:rPr>
        <w:t>K čl. I bod 36</w:t>
      </w:r>
    </w:p>
    <w:p w:rsidR="00871EBA" w:rsidRPr="00721E5F" w:rsidP="00871EBA">
      <w:pPr>
        <w:bidi w:val="0"/>
        <w:jc w:val="both"/>
        <w:rPr>
          <w:rFonts w:ascii="Times New Roman" w:hAnsi="Times New Roman"/>
        </w:rPr>
      </w:pPr>
      <w:r>
        <w:rPr>
          <w:rFonts w:ascii="Times New Roman" w:hAnsi="Times New Roman"/>
        </w:rPr>
        <w:t xml:space="preserve">    </w:t>
        <w:tab/>
      </w:r>
      <w:r w:rsidRPr="00721E5F">
        <w:rPr>
          <w:rFonts w:ascii="Times New Roman" w:hAnsi="Times New Roman"/>
        </w:rPr>
        <w:t>V čl. I sa za bod 36 vkladá nový bod 37, ktorý znie:</w:t>
      </w:r>
    </w:p>
    <w:p w:rsidR="00871EBA" w:rsidRPr="00721E5F" w:rsidP="00871EBA">
      <w:pPr>
        <w:bidi w:val="0"/>
        <w:jc w:val="both"/>
        <w:rPr>
          <w:rFonts w:ascii="Times New Roman" w:hAnsi="Times New Roman"/>
        </w:rPr>
      </w:pPr>
      <w:r w:rsidRPr="00721E5F">
        <w:rPr>
          <w:rFonts w:ascii="Times New Roman" w:hAnsi="Times New Roman"/>
        </w:rPr>
        <w:t xml:space="preserve">     </w:t>
        <w:tab/>
        <w:t>„37. V § 20</w:t>
      </w:r>
      <w:r w:rsidR="00F3780E">
        <w:rPr>
          <w:rFonts w:ascii="Times New Roman" w:hAnsi="Times New Roman"/>
        </w:rPr>
        <w:t xml:space="preserve"> ods. 4 písm. f) sa vypúšťajú</w:t>
      </w:r>
      <w:r w:rsidRPr="00721E5F">
        <w:rPr>
          <w:rFonts w:ascii="Times New Roman" w:hAnsi="Times New Roman"/>
        </w:rPr>
        <w:t xml:space="preserve"> slová „ak je zriadená,“.</w:t>
      </w:r>
    </w:p>
    <w:p w:rsidR="00871EBA" w:rsidRPr="00721E5F" w:rsidP="00871EBA">
      <w:pPr>
        <w:bidi w:val="0"/>
        <w:jc w:val="both"/>
        <w:rPr>
          <w:rFonts w:ascii="Times New Roman" w:hAnsi="Times New Roman"/>
        </w:rPr>
      </w:pPr>
      <w:r w:rsidRPr="00721E5F">
        <w:rPr>
          <w:rFonts w:ascii="Times New Roman" w:hAnsi="Times New Roman"/>
        </w:rPr>
        <w:t xml:space="preserve">    </w:t>
        <w:tab/>
      </w:r>
    </w:p>
    <w:p w:rsidR="00871EBA" w:rsidRPr="00721E5F" w:rsidP="00871EBA">
      <w:pPr>
        <w:bidi w:val="0"/>
        <w:ind w:firstLine="708"/>
        <w:jc w:val="both"/>
        <w:rPr>
          <w:rFonts w:ascii="Times New Roman" w:hAnsi="Times New Roman"/>
        </w:rPr>
      </w:pPr>
      <w:r w:rsidRPr="00721E5F">
        <w:rPr>
          <w:rFonts w:ascii="Times New Roman" w:hAnsi="Times New Roman"/>
        </w:rPr>
        <w:t>Nasledujúce body prečíslovať.</w:t>
      </w:r>
    </w:p>
    <w:p w:rsidR="00871EBA" w:rsidRPr="00721E5F" w:rsidP="00871EBA">
      <w:pPr>
        <w:bidi w:val="0"/>
        <w:jc w:val="both"/>
        <w:rPr>
          <w:rFonts w:ascii="Times New Roman" w:hAnsi="Times New Roman"/>
        </w:rPr>
      </w:pPr>
      <w:r w:rsidRPr="00721E5F">
        <w:rPr>
          <w:rFonts w:ascii="Times New Roman" w:hAnsi="Times New Roman"/>
        </w:rPr>
        <w:t xml:space="preserve">  </w:t>
      </w:r>
    </w:p>
    <w:p w:rsidR="00871EBA" w:rsidP="00871EBA">
      <w:pPr>
        <w:bidi w:val="0"/>
        <w:ind w:left="2835"/>
        <w:jc w:val="both"/>
        <w:rPr>
          <w:rFonts w:ascii="Times New Roman" w:hAnsi="Times New Roman"/>
        </w:rPr>
      </w:pPr>
      <w:r w:rsidRPr="00721E5F">
        <w:rPr>
          <w:rFonts w:ascii="Times New Roman" w:hAnsi="Times New Roman"/>
        </w:rPr>
        <w:t>Navrhovaná úprava § 20 ods. 4 písm. f) súvisí s navrhovaným znením bodu 35 - § 20 ods. 1, podľa ktorého o individuálnu licenciu môže požiadať len spoločnosť s ručením obmedzeným,</w:t>
      </w:r>
      <w:r>
        <w:rPr>
          <w:rFonts w:ascii="Times New Roman" w:hAnsi="Times New Roman"/>
        </w:rPr>
        <w:t xml:space="preserve"> ktorá má zriadenú dozornú radu.</w:t>
      </w:r>
    </w:p>
    <w:p w:rsidR="00871EBA" w:rsidP="00871EBA">
      <w:pPr>
        <w:bidi w:val="0"/>
        <w:jc w:val="both"/>
        <w:rPr>
          <w:rFonts w:ascii="Times New Roman" w:hAnsi="Times New Roman"/>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jc w:val="both"/>
        <w:rPr>
          <w:rFonts w:ascii="Times New Roman" w:hAnsi="Times New Roman"/>
          <w:b/>
        </w:rPr>
      </w:pPr>
      <w:r w:rsidRPr="00A66A95">
        <w:rPr>
          <w:rFonts w:ascii="Times New Roman" w:hAnsi="Times New Roman"/>
          <w:b/>
        </w:rPr>
        <w:t>Ústavnoprávny výbor NR SR</w:t>
      </w:r>
    </w:p>
    <w:p w:rsidR="00871EBA" w:rsidRPr="00020EBA" w:rsidP="00871EBA">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871EBA" w:rsidP="00871EBA">
      <w:pPr>
        <w:bidi w:val="0"/>
        <w:ind w:left="2124" w:firstLine="708"/>
        <w:rPr>
          <w:rFonts w:ascii="Times New Roman" w:hAnsi="Times New Roman"/>
          <w:b/>
        </w:rPr>
      </w:pPr>
      <w:r w:rsidRPr="00D63CFE">
        <w:rPr>
          <w:rFonts w:ascii="Times New Roman" w:hAnsi="Times New Roman"/>
          <w:b/>
        </w:rPr>
        <w:t>Výbor</w:t>
      </w:r>
      <w:r>
        <w:rPr>
          <w:rFonts w:ascii="Times New Roman" w:hAnsi="Times New Roman"/>
        </w:rPr>
        <w:t xml:space="preserve"> </w:t>
      </w:r>
      <w:r w:rsidRPr="00D63CFE">
        <w:rPr>
          <w:rFonts w:ascii="Times New Roman" w:hAnsi="Times New Roman"/>
          <w:b/>
        </w:rPr>
        <w:t>NR SR</w:t>
      </w:r>
      <w:r>
        <w:rPr>
          <w:rFonts w:ascii="Times New Roman" w:hAnsi="Times New Roman"/>
        </w:rPr>
        <w:t xml:space="preserve"> </w:t>
      </w:r>
      <w:r w:rsidRPr="00D63CFE">
        <w:rPr>
          <w:rFonts w:ascii="Times New Roman" w:hAnsi="Times New Roman"/>
          <w:b/>
        </w:rPr>
        <w:t>pre zdravotníctvo</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rPr>
      </w:pPr>
      <w:r>
        <w:rPr>
          <w:rFonts w:ascii="Times New Roman" w:hAnsi="Times New Roman"/>
          <w:b/>
          <w:bCs/>
        </w:rPr>
        <w:t>K čl. I – k doterajšiemu bodu 38 (§ 20 ods. 6 písmeno j))</w:t>
      </w:r>
    </w:p>
    <w:p w:rsidR="00871EBA" w:rsidP="00871EBA">
      <w:pPr>
        <w:bidi w:val="0"/>
        <w:ind w:left="426"/>
        <w:contextualSpacing/>
        <w:jc w:val="both"/>
        <w:rPr>
          <w:rFonts w:ascii="Times New Roman" w:hAnsi="Times New Roman"/>
          <w:bCs/>
        </w:rPr>
      </w:pPr>
      <w:r>
        <w:rPr>
          <w:rFonts w:ascii="Times New Roman" w:hAnsi="Times New Roman"/>
          <w:bCs/>
        </w:rPr>
        <w:t>V čl. I doterajšom bode 38 v § 20 ods. 6  písm. j) s</w:t>
      </w:r>
      <w:r>
        <w:rPr>
          <w:rFonts w:ascii="Times New Roman" w:hAnsi="Times New Roman"/>
          <w:bCs/>
          <w:lang w:eastAsia="en-US"/>
        </w:rPr>
        <w:t xml:space="preserve">a vypúšťajú slová </w:t>
      </w:r>
      <w:r>
        <w:rPr>
          <w:rFonts w:ascii="Times New Roman" w:hAnsi="Times New Roman"/>
          <w:bCs/>
        </w:rPr>
        <w:t>„ak osobitný predpis</w:t>
      </w:r>
      <w:r>
        <w:rPr>
          <w:rFonts w:ascii="Times New Roman" w:hAnsi="Times New Roman"/>
          <w:bCs/>
          <w:vertAlign w:val="superscript"/>
        </w:rPr>
        <w:t>11a</w:t>
      </w:r>
      <w:r>
        <w:rPr>
          <w:rFonts w:ascii="Times New Roman" w:hAnsi="Times New Roman"/>
          <w:bCs/>
        </w:rPr>
        <w:t xml:space="preserve">) neustanovuje inak,“ a vypúšťa sa tento text:  </w:t>
      </w:r>
    </w:p>
    <w:p w:rsidR="00871EBA" w:rsidP="00871EBA">
      <w:pPr>
        <w:bidi w:val="0"/>
        <w:ind w:left="426"/>
        <w:jc w:val="both"/>
        <w:rPr>
          <w:rFonts w:ascii="Times New Roman" w:hAnsi="Times New Roman"/>
          <w:bCs/>
        </w:rPr>
      </w:pPr>
      <w:r>
        <w:rPr>
          <w:rFonts w:ascii="Times New Roman" w:hAnsi="Times New Roman"/>
          <w:bCs/>
        </w:rPr>
        <w:t>„Poznámka pod čiarou k odkazu 11a znie:</w:t>
      </w:r>
    </w:p>
    <w:p w:rsidR="00871EBA" w:rsidP="00871EBA">
      <w:pPr>
        <w:bidi w:val="0"/>
        <w:ind w:left="426"/>
        <w:jc w:val="both"/>
        <w:rPr>
          <w:rFonts w:ascii="Times New Roman" w:hAnsi="Times New Roman"/>
          <w:bCs/>
        </w:rPr>
      </w:pPr>
      <w:r>
        <w:rPr>
          <w:rFonts w:ascii="Times New Roman" w:hAnsi="Times New Roman"/>
          <w:bCs/>
        </w:rPr>
        <w:t>„</w:t>
      </w:r>
      <w:r>
        <w:rPr>
          <w:rFonts w:ascii="Times New Roman" w:hAnsi="Times New Roman"/>
          <w:bCs/>
          <w:vertAlign w:val="superscript"/>
        </w:rPr>
        <w:t>11a</w:t>
      </w:r>
      <w:r>
        <w:rPr>
          <w:rFonts w:ascii="Times New Roman" w:hAnsi="Times New Roman"/>
          <w:bCs/>
        </w:rPr>
        <w:t>) § 6 zákona č. 479/2009 Z. z. o orgánoch štátnej správy v oblasti daní a poplatkov a o zmene a doplnení niektorých zákonov v znení neskorších predpisov.“.“.</w:t>
      </w:r>
    </w:p>
    <w:p w:rsidR="00871EBA" w:rsidP="00871EBA">
      <w:pPr>
        <w:bidi w:val="0"/>
        <w:jc w:val="both"/>
        <w:rPr>
          <w:rFonts w:ascii="Times New Roman" w:hAnsi="Times New Roman"/>
          <w:b/>
          <w:bCs/>
        </w:rPr>
      </w:pPr>
    </w:p>
    <w:p w:rsidR="00871EBA" w:rsidRPr="00721E5F" w:rsidP="00871EBA">
      <w:pPr>
        <w:bidi w:val="0"/>
        <w:ind w:left="2835"/>
        <w:contextualSpacing/>
        <w:jc w:val="both"/>
        <w:rPr>
          <w:rFonts w:ascii="Times New Roman" w:hAnsi="Times New Roman"/>
          <w:bCs/>
        </w:rPr>
      </w:pPr>
      <w:r>
        <w:rPr>
          <w:rFonts w:ascii="Times New Roman" w:hAnsi="Times New Roman"/>
          <w:bCs/>
        </w:rPr>
        <w:t xml:space="preserve">Pozmeňujúcim návrhom sa navrhuje, aby žiadateľ o udelenie individuálnej licencie uložil finančnú zábezpeku na účet daňového úradu miestne príslušného podľa sídla žiadateľa a nie na účet daňového úradu pre vybrané daňové subjekty. Keďže daňový úrad miestne príslušný podľa sídla žiadateľa je správcom odvodov, tak v prípade, ak prevádzkovateľ nemá uhradené odvody sa </w:t>
      </w:r>
      <w:r w:rsidRPr="00721E5F">
        <w:rPr>
          <w:rFonts w:ascii="Times New Roman" w:hAnsi="Times New Roman"/>
          <w:bCs/>
        </w:rPr>
        <w:t>uvedeným návrhom zjednoduší administratívny postup pri uvoľnení finančnej zábezpeky zo strany tohto daňového úradu na účely úhrady odvodu.</w:t>
      </w:r>
    </w:p>
    <w:p w:rsidR="00871EBA" w:rsidRPr="00721E5F" w:rsidP="00871EBA">
      <w:pPr>
        <w:bidi w:val="0"/>
        <w:jc w:val="both"/>
        <w:rPr>
          <w:rFonts w:ascii="Times New Roman" w:hAnsi="Times New Roman"/>
          <w:b/>
          <w:bCs/>
        </w:rPr>
      </w:pPr>
    </w:p>
    <w:p w:rsidR="00871EBA" w:rsidRPr="00721E5F" w:rsidP="00871EBA">
      <w:pPr>
        <w:bidi w:val="0"/>
        <w:ind w:left="2124" w:firstLine="708"/>
        <w:jc w:val="both"/>
        <w:rPr>
          <w:rFonts w:ascii="Times New Roman" w:hAnsi="Times New Roman"/>
          <w:b/>
        </w:rPr>
      </w:pPr>
      <w:r w:rsidRPr="00721E5F">
        <w:rPr>
          <w:rFonts w:ascii="Times New Roman" w:hAnsi="Times New Roman"/>
          <w:b/>
        </w:rPr>
        <w:t>Výbor NR SR pre financie a rozpočet</w:t>
      </w:r>
    </w:p>
    <w:p w:rsidR="00871EBA" w:rsidRPr="00721E5F" w:rsidP="00871EBA">
      <w:pPr>
        <w:bidi w:val="0"/>
        <w:ind w:left="2124" w:firstLine="708"/>
        <w:rPr>
          <w:rFonts w:ascii="Times New Roman" w:hAnsi="Times New Roman"/>
          <w:b/>
        </w:rPr>
      </w:pPr>
      <w:r w:rsidRPr="00721E5F">
        <w:rPr>
          <w:rFonts w:ascii="Times New Roman" w:hAnsi="Times New Roman"/>
          <w:b/>
        </w:rPr>
        <w:t>Gestorský výbor odporúča schváliť.</w:t>
      </w:r>
    </w:p>
    <w:p w:rsidR="00871EBA" w:rsidRPr="00721E5F" w:rsidP="00871EBA">
      <w:pPr>
        <w:tabs>
          <w:tab w:val="left" w:pos="2280"/>
        </w:tabs>
        <w:bidi w:val="0"/>
        <w:jc w:val="both"/>
        <w:rPr>
          <w:rFonts w:ascii="Times New Roman" w:hAnsi="Times New Roman"/>
        </w:rPr>
      </w:pPr>
      <w:r w:rsidRPr="00721E5F">
        <w:rPr>
          <w:rFonts w:ascii="Times New Roman" w:hAnsi="Times New Roman"/>
        </w:rPr>
        <w:t xml:space="preserve"> </w:t>
      </w:r>
    </w:p>
    <w:p w:rsidR="00871EBA" w:rsidRPr="00721E5F" w:rsidP="00904DBB">
      <w:pPr>
        <w:numPr>
          <w:numId w:val="28"/>
        </w:numPr>
        <w:bidi w:val="0"/>
        <w:ind w:left="426" w:hanging="426"/>
        <w:jc w:val="both"/>
        <w:rPr>
          <w:rFonts w:ascii="Times New Roman" w:hAnsi="Times New Roman"/>
          <w:b/>
          <w:bCs/>
        </w:rPr>
      </w:pPr>
      <w:r w:rsidRPr="00721E5F">
        <w:rPr>
          <w:rFonts w:ascii="Times New Roman" w:hAnsi="Times New Roman"/>
          <w:b/>
          <w:bCs/>
        </w:rPr>
        <w:t>K čl. I – k doterajšiemu bodu 39 (§ 20 ods. 6 písmeno l))</w:t>
      </w:r>
    </w:p>
    <w:p w:rsidR="00871EBA" w:rsidRPr="00721E5F" w:rsidP="00871EBA">
      <w:pPr>
        <w:bidi w:val="0"/>
        <w:ind w:left="426"/>
        <w:contextualSpacing/>
        <w:jc w:val="both"/>
        <w:rPr>
          <w:rFonts w:ascii="Times New Roman" w:hAnsi="Times New Roman"/>
          <w:bCs/>
        </w:rPr>
      </w:pPr>
      <w:r w:rsidRPr="00721E5F">
        <w:rPr>
          <w:rFonts w:ascii="Times New Roman" w:hAnsi="Times New Roman"/>
          <w:bCs/>
        </w:rPr>
        <w:t>V čl. I doterajšom bode 39 sa dopĺňa text, ktorý znie:</w:t>
      </w:r>
    </w:p>
    <w:p w:rsidR="00871EBA" w:rsidRPr="00721E5F" w:rsidP="00871EBA">
      <w:pPr>
        <w:bidi w:val="0"/>
        <w:ind w:left="426"/>
        <w:jc w:val="both"/>
        <w:rPr>
          <w:rFonts w:ascii="Times New Roman" w:hAnsi="Times New Roman"/>
          <w:bCs/>
        </w:rPr>
      </w:pPr>
      <w:r w:rsidRPr="00721E5F">
        <w:rPr>
          <w:rFonts w:ascii="Times New Roman" w:hAnsi="Times New Roman"/>
          <w:bCs/>
        </w:rPr>
        <w:t>„Poznámka pod čiarou k odkazu 11a znie:</w:t>
      </w:r>
    </w:p>
    <w:p w:rsidR="00871EBA" w:rsidRPr="00721E5F" w:rsidP="00871EBA">
      <w:pPr>
        <w:bidi w:val="0"/>
        <w:ind w:left="426"/>
        <w:jc w:val="both"/>
        <w:rPr>
          <w:rFonts w:ascii="Times New Roman" w:hAnsi="Times New Roman"/>
          <w:bCs/>
        </w:rPr>
      </w:pPr>
      <w:r w:rsidRPr="00721E5F">
        <w:rPr>
          <w:rFonts w:ascii="Times New Roman" w:hAnsi="Times New Roman"/>
          <w:bCs/>
        </w:rPr>
        <w:t>„</w:t>
      </w:r>
      <w:r w:rsidRPr="00721E5F">
        <w:rPr>
          <w:rFonts w:ascii="Times New Roman" w:hAnsi="Times New Roman"/>
          <w:bCs/>
          <w:vertAlign w:val="superscript"/>
        </w:rPr>
        <w:t>11a</w:t>
      </w:r>
      <w:r w:rsidRPr="00721E5F">
        <w:rPr>
          <w:rFonts w:ascii="Times New Roman" w:hAnsi="Times New Roman"/>
          <w:bCs/>
        </w:rPr>
        <w:t>) § 6 zákona č. 479/2009 Z. z. o orgánoch štátnej správy v oblasti daní a poplatkov a o zmene a doplnení niektorých zákonov v znení neskorších predpisov.“.“.</w:t>
      </w:r>
    </w:p>
    <w:p w:rsidR="00871EBA" w:rsidRPr="00721E5F" w:rsidP="00871EBA">
      <w:pPr>
        <w:bidi w:val="0"/>
        <w:jc w:val="both"/>
        <w:rPr>
          <w:rFonts w:ascii="Times New Roman" w:hAnsi="Times New Roman"/>
          <w:bCs/>
        </w:rPr>
      </w:pPr>
    </w:p>
    <w:p w:rsidR="00871EBA" w:rsidP="00871EBA">
      <w:pPr>
        <w:bidi w:val="0"/>
        <w:ind w:left="2835"/>
        <w:contextualSpacing/>
        <w:jc w:val="both"/>
        <w:rPr>
          <w:rFonts w:ascii="Times New Roman" w:hAnsi="Times New Roman"/>
        </w:rPr>
      </w:pPr>
      <w:r w:rsidRPr="00721E5F">
        <w:rPr>
          <w:rFonts w:ascii="Times New Roman" w:hAnsi="Times New Roman"/>
          <w:bCs/>
        </w:rPr>
        <w:t>Pozmeňujúcim návrhom sa navrhuje, aby žiadateľ o udelenie individuálnej licencie, ktorý uložil finančnú zábezpeku na účet daňového úradu miestne príslušného podľa sídla žiadateľa predložil doklad o uložení finančnej zábezpeky z tohto daňového úradu a doklad o nedoplatkoch na daniach z daňového úradu pre vybrané daňové subjekty. Keďže daňový úrad miestne príslušný podľa sídla žiadateľa je správcom odvodov, tak v prípade, ak prevádzkovateľ nemá uhradené odvody sa uvedeným návrhom zjednoduší administratívny postup pri uvoľnení finančnej zábezpeky zo strany tohto daňového úradu na účely úhrady odvodu.</w:t>
      </w:r>
    </w:p>
    <w:p w:rsidR="00871EBA" w:rsidP="00871EBA">
      <w:pPr>
        <w:bidi w:val="0"/>
        <w:jc w:val="both"/>
        <w:rPr>
          <w:rFonts w:ascii="Times New Roman" w:hAnsi="Times New Roman"/>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rPr>
      </w:pPr>
      <w:r>
        <w:rPr>
          <w:rFonts w:ascii="Times New Roman" w:hAnsi="Times New Roman"/>
          <w:b/>
          <w:bCs/>
        </w:rPr>
        <w:t xml:space="preserve">K čl. I (§ 20 ods. 6 písm. m)) </w:t>
      </w:r>
    </w:p>
    <w:p w:rsidR="00871EBA" w:rsidP="00871EBA">
      <w:pPr>
        <w:bidi w:val="0"/>
        <w:ind w:firstLine="426"/>
        <w:jc w:val="both"/>
        <w:rPr>
          <w:rFonts w:ascii="Times New Roman" w:hAnsi="Times New Roman"/>
          <w:bCs/>
        </w:rPr>
      </w:pPr>
      <w:r>
        <w:rPr>
          <w:rFonts w:ascii="Times New Roman" w:hAnsi="Times New Roman"/>
          <w:bCs/>
        </w:rPr>
        <w:t>V čl. I sa za doterajší bod 39 vkladá nový bod 40, ktorý znie:</w:t>
      </w:r>
    </w:p>
    <w:p w:rsidR="00871EBA" w:rsidP="00871EBA">
      <w:pPr>
        <w:bidi w:val="0"/>
        <w:ind w:left="426"/>
        <w:jc w:val="both"/>
        <w:rPr>
          <w:rFonts w:ascii="Times New Roman" w:hAnsi="Times New Roman"/>
          <w:bCs/>
        </w:rPr>
      </w:pPr>
      <w:r>
        <w:rPr>
          <w:rFonts w:ascii="Times New Roman" w:hAnsi="Times New Roman"/>
          <w:bCs/>
        </w:rPr>
        <w:t xml:space="preserve">„40. V § 20 ods. 6 písm. m) sa za slová „nariadením obce“ vkladá čiarka a slová „podľa § 10 ods. 5 </w:t>
      </w:r>
      <w:r w:rsidRPr="00721E5F">
        <w:rPr>
          <w:rFonts w:ascii="Times New Roman" w:hAnsi="Times New Roman"/>
          <w:bCs/>
        </w:rPr>
        <w:t>písm. d)“ sa nahrádzajú slovami „na ktoré sa uplatňuje</w:t>
      </w:r>
      <w:r>
        <w:rPr>
          <w:rFonts w:ascii="Times New Roman" w:hAnsi="Times New Roman"/>
          <w:bCs/>
        </w:rPr>
        <w:t xml:space="preserve"> § 58m ods. 20“.“.</w:t>
      </w:r>
    </w:p>
    <w:p w:rsidR="00871EBA" w:rsidP="00871EBA">
      <w:pPr>
        <w:bidi w:val="0"/>
        <w:ind w:left="426"/>
        <w:jc w:val="both"/>
        <w:rPr>
          <w:rFonts w:ascii="Times New Roman" w:hAnsi="Times New Roman"/>
          <w:bCs/>
        </w:rPr>
      </w:pPr>
    </w:p>
    <w:p w:rsidR="00871EBA" w:rsidP="00871EBA">
      <w:pPr>
        <w:bidi w:val="0"/>
        <w:ind w:left="426" w:firstLine="282"/>
        <w:jc w:val="both"/>
        <w:rPr>
          <w:rFonts w:ascii="Times New Roman" w:hAnsi="Times New Roman"/>
          <w:bCs/>
        </w:rPr>
      </w:pPr>
      <w:r>
        <w:rPr>
          <w:rFonts w:ascii="Times New Roman" w:hAnsi="Times New Roman"/>
          <w:bCs/>
        </w:rPr>
        <w:t>Doterajšie body sa primerane prečíslujú.</w:t>
      </w:r>
    </w:p>
    <w:p w:rsidR="00871EBA" w:rsidP="00871EBA">
      <w:pPr>
        <w:bidi w:val="0"/>
        <w:ind w:left="3402"/>
        <w:jc w:val="both"/>
        <w:rPr>
          <w:rFonts w:ascii="Times New Roman" w:hAnsi="Times New Roman"/>
          <w:bCs/>
        </w:rPr>
      </w:pPr>
    </w:p>
    <w:p w:rsidR="00871EBA" w:rsidP="00871EBA">
      <w:pPr>
        <w:bidi w:val="0"/>
        <w:ind w:left="2835"/>
        <w:jc w:val="both"/>
        <w:rPr>
          <w:rFonts w:ascii="Times New Roman" w:hAnsi="Times New Roman"/>
          <w:bCs/>
        </w:rPr>
      </w:pPr>
      <w:r>
        <w:rPr>
          <w:rFonts w:ascii="Times New Roman" w:hAnsi="Times New Roman"/>
          <w:bCs/>
          <w:color w:val="000000"/>
        </w:rPr>
        <w:t>Vzhľadom na to, že VZN obcí prijaté podľa doterajších predpisov zostávajú v platnosti</w:t>
      </w:r>
      <w:r>
        <w:rPr>
          <w:rFonts w:ascii="Times New Roman" w:hAnsi="Times New Roman"/>
          <w:bCs/>
        </w:rPr>
        <w:t xml:space="preserve">, je potrebné náležite </w:t>
      </w:r>
      <w:r>
        <w:rPr>
          <w:rFonts w:ascii="Times New Roman" w:hAnsi="Times New Roman"/>
          <w:bCs/>
          <w:color w:val="000000"/>
        </w:rPr>
        <w:t xml:space="preserve">upraviť aj súčasné písmeno m) v § 20 ods. 6. </w:t>
      </w:r>
    </w:p>
    <w:p w:rsidR="00871EBA" w:rsidP="00871EBA">
      <w:pPr>
        <w:bidi w:val="0"/>
        <w:ind w:left="2124" w:firstLine="708"/>
        <w:jc w:val="both"/>
        <w:rPr>
          <w:rFonts w:ascii="Times New Roman" w:hAnsi="Times New Roman"/>
          <w:b/>
        </w:rPr>
      </w:pPr>
    </w:p>
    <w:p w:rsidR="00871EBA" w:rsidP="00871EBA">
      <w:pPr>
        <w:bidi w:val="0"/>
        <w:ind w:left="2124" w:firstLine="708"/>
        <w:jc w:val="both"/>
        <w:rPr>
          <w:rFonts w:ascii="Times New Roman" w:hAnsi="Times New Roman"/>
          <w:b/>
        </w:rPr>
      </w:pPr>
      <w:r>
        <w:rPr>
          <w:rFonts w:ascii="Times New Roman" w:hAnsi="Times New Roman"/>
          <w:b/>
        </w:rPr>
        <w:t>V</w:t>
      </w:r>
      <w:r w:rsidRPr="00BF14E2">
        <w:rPr>
          <w:rFonts w:ascii="Times New Roman" w:hAnsi="Times New Roman"/>
          <w:b/>
        </w:rPr>
        <w:t xml:space="preserve">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bCs/>
        </w:rPr>
      </w:pPr>
      <w:r>
        <w:rPr>
          <w:rFonts w:ascii="Times New Roman" w:hAnsi="Times New Roman"/>
          <w:b/>
          <w:bCs/>
        </w:rPr>
        <w:t xml:space="preserve">K čl. I – k doterajšiemu bodu 40 (§ 20 ods. 6 písm. n))   </w:t>
      </w:r>
    </w:p>
    <w:p w:rsidR="00871EBA" w:rsidP="00871EBA">
      <w:pPr>
        <w:bidi w:val="0"/>
        <w:ind w:firstLine="426"/>
        <w:jc w:val="both"/>
        <w:rPr>
          <w:rFonts w:ascii="Times New Roman" w:hAnsi="Times New Roman"/>
          <w:bCs/>
        </w:rPr>
      </w:pPr>
      <w:r>
        <w:rPr>
          <w:rFonts w:ascii="Times New Roman" w:hAnsi="Times New Roman"/>
          <w:bCs/>
        </w:rPr>
        <w:t>V čl. I doterajší bod 40 znie:</w:t>
      </w:r>
    </w:p>
    <w:p w:rsidR="00871EBA" w:rsidP="00871EBA">
      <w:pPr>
        <w:bidi w:val="0"/>
        <w:ind w:firstLine="426"/>
        <w:jc w:val="both"/>
        <w:rPr>
          <w:rFonts w:ascii="Times New Roman" w:hAnsi="Times New Roman"/>
          <w:bCs/>
        </w:rPr>
      </w:pPr>
      <w:r>
        <w:rPr>
          <w:rFonts w:ascii="Times New Roman" w:hAnsi="Times New Roman"/>
          <w:bCs/>
        </w:rPr>
        <w:t>„V § 20 sa odsek 6 dopĺňa písmenami n) a o), ktoré znejú:</w:t>
      </w:r>
    </w:p>
    <w:p w:rsidR="00871EBA" w:rsidP="00871EBA">
      <w:pPr>
        <w:bidi w:val="0"/>
        <w:ind w:left="426"/>
        <w:jc w:val="both"/>
        <w:rPr>
          <w:rFonts w:ascii="Times New Roman" w:hAnsi="Times New Roman"/>
          <w:bCs/>
        </w:rPr>
      </w:pPr>
      <w:r>
        <w:rPr>
          <w:rFonts w:ascii="Times New Roman" w:hAnsi="Times New Roman"/>
          <w:bCs/>
        </w:rPr>
        <w:t xml:space="preserve">„n) písomné vyhlásenie žiadateľa, že na území obce, na ktorom chce umiestniť herňu v budove uvedenej v § 38 ods. 4, nie je ku dňu podania žiadosti o udelenie individuálnej licencie obmedzené jej umiestnenie v takejto budove všeobecne záväzným nariadením obce podľa § 10 ods. 5 písm. d) a že umiestnenie herne spĺňa požiadavky podľa § 38 ods. 4,                       </w:t>
      </w:r>
    </w:p>
    <w:p w:rsidR="00871EBA" w:rsidP="00871EBA">
      <w:pPr>
        <w:bidi w:val="0"/>
        <w:ind w:left="426"/>
        <w:jc w:val="both"/>
        <w:rPr>
          <w:rFonts w:ascii="Times New Roman" w:hAnsi="Times New Roman"/>
          <w:bCs/>
        </w:rPr>
      </w:pPr>
      <w:r>
        <w:rPr>
          <w:rFonts w:ascii="Times New Roman" w:hAnsi="Times New Roman"/>
          <w:bCs/>
        </w:rPr>
        <w:t>o) výpis z účtu v banke alebo pobočke zahraničnej banky, ktorým žiadateľ preukáže, že splatil sumu zodpovedajúcu výške základného imania podľa odsekov 2 a 3; to neplatí, ak ide o žiadosť o udelenie individuálnej licencie na prevádzkovanie štátnej lotérie, ktorou sa povoľuje prevádzkovanie lotérie pokladničných dokladov.“.“.</w:t>
      </w:r>
    </w:p>
    <w:p w:rsidR="00871EBA" w:rsidP="00871EBA">
      <w:pPr>
        <w:bidi w:val="0"/>
        <w:ind w:left="3402"/>
        <w:jc w:val="both"/>
        <w:rPr>
          <w:rFonts w:ascii="Times New Roman" w:hAnsi="Times New Roman"/>
          <w:bCs/>
          <w:color w:val="000000"/>
          <w:u w:val="single"/>
        </w:rPr>
      </w:pPr>
    </w:p>
    <w:p w:rsidR="00871EBA" w:rsidP="00871EBA">
      <w:pPr>
        <w:bidi w:val="0"/>
        <w:ind w:left="2835"/>
        <w:jc w:val="both"/>
        <w:rPr>
          <w:rFonts w:ascii="Times New Roman" w:hAnsi="Times New Roman"/>
          <w:bCs/>
          <w:color w:val="000000"/>
        </w:rPr>
      </w:pPr>
      <w:r>
        <w:rPr>
          <w:rFonts w:ascii="Times New Roman" w:hAnsi="Times New Roman"/>
          <w:bCs/>
          <w:color w:val="000000"/>
        </w:rPr>
        <w:t xml:space="preserve">Z dôvodu navrhovanej zmeny rozsahu pôsobnosti VZN obce podľa § 10 ods. 5 písm. d) zákona o hazardných hrách je potrebné doplniť náležitosti žiadosti o udelenie licencie (§ 20 ods. 6 písm. n)) o písomné vyhlásenie žiadateľa, </w:t>
      </w:r>
      <w:r>
        <w:rPr>
          <w:rFonts w:ascii="Times New Roman" w:hAnsi="Times New Roman"/>
          <w:bCs/>
        </w:rPr>
        <w:t>že na území obce, na ktorom chce umiestniť herňu v budove uvedenej v § 38 ods. 4, nie je ku dňu podania žiadosti o udelenie licencie obmedzené umiestnenie herne v takejto budove VZN obce a že umiestnenie herne spĺňa požiadavky na jej umiestenie podľa § 38 ods. 4.</w:t>
      </w:r>
      <w:r>
        <w:rPr>
          <w:rFonts w:ascii="Times New Roman" w:hAnsi="Times New Roman"/>
          <w:bCs/>
          <w:color w:val="000000"/>
        </w:rPr>
        <w:t xml:space="preserve"> </w:t>
      </w:r>
    </w:p>
    <w:p w:rsidR="00871EBA" w:rsidP="00871EBA">
      <w:pPr>
        <w:bidi w:val="0"/>
        <w:ind w:left="2835"/>
        <w:jc w:val="both"/>
        <w:rPr>
          <w:rFonts w:ascii="Times New Roman" w:hAnsi="Times New Roman"/>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bCs/>
        </w:rPr>
      </w:pPr>
      <w:r>
        <w:rPr>
          <w:rFonts w:ascii="Times New Roman" w:hAnsi="Times New Roman"/>
          <w:b/>
          <w:bCs/>
        </w:rPr>
        <w:t>K čl. I – k doterajšiemu bodu 41 (§ 20a ods. 4 písmeno b))</w:t>
      </w:r>
    </w:p>
    <w:p w:rsidR="00871EBA" w:rsidP="00871EBA">
      <w:pPr>
        <w:bidi w:val="0"/>
        <w:ind w:left="426"/>
        <w:contextualSpacing/>
        <w:jc w:val="both"/>
        <w:rPr>
          <w:rFonts w:ascii="Times New Roman" w:hAnsi="Times New Roman"/>
          <w:b/>
          <w:bCs/>
          <w:lang w:eastAsia="en-US"/>
        </w:rPr>
      </w:pPr>
      <w:r>
        <w:rPr>
          <w:rFonts w:ascii="Times New Roman" w:hAnsi="Times New Roman"/>
          <w:bCs/>
        </w:rPr>
        <w:t>V čl. I doterajšom bode 41 v § 20a ods. 4  písm. b) sa vypúšťajú slová „ak osobitný predpis</w:t>
      </w:r>
      <w:r>
        <w:rPr>
          <w:rFonts w:ascii="Times New Roman" w:hAnsi="Times New Roman"/>
          <w:bCs/>
          <w:vertAlign w:val="superscript"/>
        </w:rPr>
        <w:t>11a</w:t>
      </w:r>
      <w:r>
        <w:rPr>
          <w:rFonts w:ascii="Times New Roman" w:hAnsi="Times New Roman"/>
          <w:bCs/>
        </w:rPr>
        <w:t>) neustanovuje inak,”.</w:t>
      </w:r>
    </w:p>
    <w:p w:rsidR="00871EBA" w:rsidP="00871EBA">
      <w:pPr>
        <w:bidi w:val="0"/>
        <w:jc w:val="both"/>
        <w:rPr>
          <w:rFonts w:ascii="Times New Roman" w:hAnsi="Times New Roman"/>
          <w:b/>
          <w:bCs/>
        </w:rPr>
      </w:pPr>
    </w:p>
    <w:p w:rsidR="00871EBA" w:rsidP="00871EBA">
      <w:pPr>
        <w:bidi w:val="0"/>
        <w:ind w:left="2835"/>
        <w:contextualSpacing/>
        <w:jc w:val="both"/>
        <w:rPr>
          <w:rFonts w:ascii="Times New Roman" w:hAnsi="Times New Roman"/>
          <w:bCs/>
        </w:rPr>
      </w:pPr>
      <w:r>
        <w:rPr>
          <w:rFonts w:ascii="Times New Roman" w:hAnsi="Times New Roman"/>
          <w:bCs/>
        </w:rPr>
        <w:t xml:space="preserve">Pozmeňujúcim návrhom sa navrhuje, aby žiadateľ o udelenie individuálnej licencie uložil finančnú zábezpeku na účet daňového úradu miestne príslušného podľa sídla žiadateľa a nie na účet daňového úradu pre vybrané daňové subjekty. Keďže daňový úrad miestne </w:t>
      </w:r>
      <w:r w:rsidRPr="00721E5F">
        <w:rPr>
          <w:rFonts w:ascii="Times New Roman" w:hAnsi="Times New Roman"/>
          <w:bCs/>
        </w:rPr>
        <w:t>príslušný podľa sídla žiadateľa je správcom odvodov, tak v prípade, ak prevádzkovateľ nemá uhradené odvody sa uvedeným návrhom zjednoduší administratívny postup pri uvoľnení finančnej zábezpeky zo</w:t>
      </w:r>
      <w:r>
        <w:rPr>
          <w:rFonts w:ascii="Times New Roman" w:hAnsi="Times New Roman"/>
          <w:bCs/>
        </w:rPr>
        <w:t xml:space="preserve"> strany tohto daňového úradu na účely úhrady odvodu.</w:t>
      </w:r>
    </w:p>
    <w:p w:rsidR="00871EBA" w:rsidP="00871EBA">
      <w:pPr>
        <w:bidi w:val="0"/>
        <w:jc w:val="both"/>
        <w:rPr>
          <w:rFonts w:ascii="Times New Roman" w:hAnsi="Times New Roman"/>
          <w:b/>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bCs/>
        </w:rPr>
      </w:pPr>
      <w:r>
        <w:rPr>
          <w:rFonts w:ascii="Times New Roman" w:hAnsi="Times New Roman"/>
          <w:b/>
          <w:bCs/>
        </w:rPr>
        <w:t>K čl. I – k doterajšiemu bodu 43 (§ 20b ods. 3 písmeno b))</w:t>
      </w:r>
    </w:p>
    <w:p w:rsidR="00871EBA" w:rsidP="00871EBA">
      <w:pPr>
        <w:bidi w:val="0"/>
        <w:ind w:left="426"/>
        <w:contextualSpacing/>
        <w:jc w:val="both"/>
        <w:rPr>
          <w:rFonts w:ascii="Times New Roman" w:hAnsi="Times New Roman"/>
          <w:bCs/>
        </w:rPr>
      </w:pPr>
      <w:r>
        <w:rPr>
          <w:rFonts w:ascii="Times New Roman" w:hAnsi="Times New Roman"/>
          <w:bCs/>
        </w:rPr>
        <w:t>V čl. I doterajšom bode 43 v § 20b ods. 3 písm. b) sa vypúšťajú slová „ak osobitný predpis</w:t>
      </w:r>
      <w:r>
        <w:rPr>
          <w:rFonts w:ascii="Times New Roman" w:hAnsi="Times New Roman"/>
          <w:bCs/>
          <w:vertAlign w:val="superscript"/>
        </w:rPr>
        <w:t>11a</w:t>
      </w:r>
      <w:r>
        <w:rPr>
          <w:rFonts w:ascii="Times New Roman" w:hAnsi="Times New Roman"/>
          <w:bCs/>
        </w:rPr>
        <w:t>) neustanovuje inak,”.</w:t>
      </w:r>
    </w:p>
    <w:p w:rsidR="00871EBA" w:rsidP="00871EBA">
      <w:pPr>
        <w:bidi w:val="0"/>
        <w:jc w:val="both"/>
        <w:rPr>
          <w:rFonts w:ascii="Times New Roman" w:hAnsi="Times New Roman"/>
          <w:bCs/>
        </w:rPr>
      </w:pPr>
    </w:p>
    <w:p w:rsidR="00871EBA" w:rsidP="00871EBA">
      <w:pPr>
        <w:bidi w:val="0"/>
        <w:ind w:left="2835"/>
        <w:contextualSpacing/>
        <w:jc w:val="both"/>
        <w:rPr>
          <w:rFonts w:ascii="Times New Roman" w:hAnsi="Times New Roman"/>
        </w:rPr>
      </w:pPr>
      <w:r>
        <w:rPr>
          <w:rFonts w:ascii="Times New Roman" w:hAnsi="Times New Roman"/>
          <w:bCs/>
        </w:rPr>
        <w:t xml:space="preserve">Pozmeňujúcim návrhom sa navrhuje, aby žiadateľ o udelenie individuálnej licencie uložil finančnú zábezpeku na účet daňového úradu miestne </w:t>
      </w:r>
      <w:r w:rsidRPr="00721E5F">
        <w:rPr>
          <w:rFonts w:ascii="Times New Roman" w:hAnsi="Times New Roman"/>
          <w:bCs/>
        </w:rPr>
        <w:t>príslušného podľa sídla žiadateľa a nie na účet daňového úradu pre vybrané daňové subjekty. Keďže daňový úrad miestne príslušný podľa sídla žiadateľa je správcom odvodov, tak v prípade, ak prevádzkovateľ nemá uhradené odvody sa uvedeným návrhom zjednoduší administratívny postup pri uvoľnení finančnej zábezpeky zo strany tohto daňového úradu na účely úhrady odvodu.</w:t>
      </w:r>
    </w:p>
    <w:p w:rsidR="00871EBA" w:rsidP="00871EBA">
      <w:pPr>
        <w:bidi w:val="0"/>
        <w:ind w:left="2835"/>
        <w:jc w:val="both"/>
        <w:rPr>
          <w:rFonts w:ascii="Times New Roman" w:hAnsi="Times New Roman"/>
          <w:bCs/>
          <w:color w:val="000000"/>
        </w:rPr>
      </w:pPr>
      <w:r>
        <w:rPr>
          <w:rFonts w:ascii="Times New Roman" w:hAnsi="Times New Roman"/>
          <w:bCs/>
          <w:color w:val="000000"/>
        </w:rPr>
        <w:t xml:space="preserve"> </w:t>
      </w: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rPr>
      </w:pPr>
      <w:r>
        <w:rPr>
          <w:rFonts w:ascii="Times New Roman" w:hAnsi="Times New Roman"/>
          <w:b/>
        </w:rPr>
        <w:t xml:space="preserve">K čl. I </w:t>
      </w:r>
      <w:r>
        <w:rPr>
          <w:rFonts w:ascii="Times New Roman" w:hAnsi="Times New Roman"/>
          <w:b/>
          <w:bCs/>
        </w:rPr>
        <w:t>– k doterajšiemu bodu 47 (§ 21 ods. 15)</w:t>
      </w:r>
    </w:p>
    <w:p w:rsidR="00871EBA" w:rsidP="00871EBA">
      <w:pPr>
        <w:bidi w:val="0"/>
        <w:ind w:left="426"/>
        <w:jc w:val="both"/>
        <w:rPr>
          <w:rFonts w:ascii="Times New Roman" w:hAnsi="Times New Roman"/>
          <w:b/>
        </w:rPr>
      </w:pPr>
      <w:r>
        <w:rPr>
          <w:rFonts w:ascii="Times New Roman" w:hAnsi="Times New Roman"/>
          <w:bCs/>
        </w:rPr>
        <w:t>V čl. I sa doterajší bod 47 vypúšťa.</w:t>
      </w:r>
    </w:p>
    <w:p w:rsidR="00871EBA" w:rsidP="00871EBA">
      <w:pPr>
        <w:bidi w:val="0"/>
        <w:rPr>
          <w:rFonts w:ascii="Times New Roman" w:hAnsi="Times New Roman"/>
          <w:lang w:eastAsia="en-US"/>
        </w:rPr>
      </w:pPr>
    </w:p>
    <w:p w:rsidR="00871EBA" w:rsidP="00871EBA">
      <w:pPr>
        <w:bidi w:val="0"/>
        <w:ind w:firstLine="426"/>
        <w:rPr>
          <w:rFonts w:ascii="Times New Roman" w:hAnsi="Times New Roman"/>
          <w:bCs/>
          <w:lang w:eastAsia="en-US"/>
        </w:rPr>
      </w:pPr>
      <w:r>
        <w:rPr>
          <w:rFonts w:ascii="Times New Roman" w:hAnsi="Times New Roman"/>
          <w:bCs/>
          <w:lang w:eastAsia="en-US"/>
        </w:rPr>
        <w:t>Doterajšie body sa primerane prečíslujú.</w:t>
      </w:r>
    </w:p>
    <w:p w:rsidR="00871EBA" w:rsidP="00871EBA">
      <w:pPr>
        <w:bidi w:val="0"/>
        <w:ind w:left="3402" w:hanging="6"/>
        <w:jc w:val="both"/>
        <w:rPr>
          <w:rFonts w:ascii="Times New Roman" w:hAnsi="Times New Roman"/>
          <w:bCs/>
          <w:u w:val="single"/>
          <w:lang w:eastAsia="en-US"/>
        </w:rPr>
      </w:pPr>
    </w:p>
    <w:p w:rsidR="00871EBA" w:rsidP="00871EBA">
      <w:pPr>
        <w:bidi w:val="0"/>
        <w:ind w:left="2835" w:hanging="6"/>
        <w:jc w:val="both"/>
        <w:rPr>
          <w:rFonts w:ascii="Times New Roman" w:hAnsi="Times New Roman"/>
          <w:bCs/>
          <w:u w:val="single"/>
          <w:lang w:eastAsia="en-US"/>
        </w:rPr>
      </w:pPr>
      <w:r>
        <w:rPr>
          <w:rFonts w:ascii="Times New Roman" w:hAnsi="Times New Roman"/>
          <w:bCs/>
          <w:lang w:eastAsia="en-US"/>
        </w:rPr>
        <w:t xml:space="preserve">Navrhuje sa ponechať doterajšiu jednoročnú platnosť vyjadrení obce k umiestneniu kasína a technických zariadení obsluhovaných priamo hráčmi alebo terminálov videohier na ich území.  </w:t>
      </w:r>
    </w:p>
    <w:p w:rsidR="00871EBA" w:rsidP="00871EBA">
      <w:pPr>
        <w:bidi w:val="0"/>
        <w:jc w:val="both"/>
        <w:rPr>
          <w:rFonts w:ascii="Times New Roman" w:hAnsi="Times New Roman"/>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FF2FCF" w:rsidP="00020EBA">
      <w:pPr>
        <w:bidi w:val="0"/>
        <w:ind w:left="2124" w:firstLine="708"/>
        <w:rPr>
          <w:rFonts w:ascii="Times New Roman" w:hAnsi="Times New Roman"/>
          <w:b/>
        </w:rPr>
      </w:pPr>
      <w:r w:rsidRPr="00BF14E2" w:rsidR="00871EBA">
        <w:rPr>
          <w:rFonts w:ascii="Times New Roman" w:hAnsi="Times New Roman"/>
          <w:b/>
        </w:rPr>
        <w:t>Gestorský výbor odporúča schváliť.</w:t>
      </w:r>
    </w:p>
    <w:p w:rsidR="00020EBA" w:rsidP="00020EBA">
      <w:pPr>
        <w:bidi w:val="0"/>
        <w:ind w:left="2124" w:firstLine="708"/>
        <w:rPr>
          <w:rFonts w:ascii="Times New Roman" w:hAnsi="Times New Roman"/>
          <w:b/>
        </w:rPr>
      </w:pPr>
    </w:p>
    <w:p w:rsidR="00FF2FCF" w:rsidRPr="00020EBA" w:rsidP="00FF2FCF">
      <w:pPr>
        <w:numPr>
          <w:numId w:val="28"/>
        </w:numPr>
        <w:bidi w:val="0"/>
        <w:ind w:left="426" w:hanging="426"/>
        <w:jc w:val="both"/>
        <w:rPr>
          <w:rFonts w:ascii="Times New Roman" w:hAnsi="Times New Roman"/>
          <w:b/>
        </w:rPr>
      </w:pPr>
      <w:r w:rsidRPr="00020EBA">
        <w:rPr>
          <w:rFonts w:ascii="Times New Roman" w:hAnsi="Times New Roman"/>
          <w:b/>
        </w:rPr>
        <w:t>K čl. I – k doterajšiemu bodu 48 (§ 22 ods. 3 posledná veta)</w:t>
      </w:r>
    </w:p>
    <w:p w:rsidR="00FF2FCF" w:rsidRPr="00020EBA" w:rsidP="00FF2FCF">
      <w:pPr>
        <w:bidi w:val="0"/>
        <w:ind w:left="426"/>
        <w:jc w:val="both"/>
        <w:rPr>
          <w:rFonts w:ascii="Times New Roman" w:hAnsi="Times New Roman"/>
        </w:rPr>
      </w:pPr>
      <w:r w:rsidRPr="00020EBA">
        <w:rPr>
          <w:rFonts w:ascii="Times New Roman" w:hAnsi="Times New Roman"/>
        </w:rPr>
        <w:t>V čl. I doterajšom bode 48 sa v § 22 ods. 3 vypúšťa posledná veta.</w:t>
      </w:r>
    </w:p>
    <w:p w:rsidR="00FF2FCF" w:rsidRPr="00020EBA" w:rsidP="00FF2FCF">
      <w:pPr>
        <w:bidi w:val="0"/>
        <w:ind w:left="426"/>
        <w:jc w:val="both"/>
        <w:rPr>
          <w:rFonts w:ascii="Times New Roman" w:hAnsi="Times New Roman"/>
        </w:rPr>
      </w:pPr>
      <w:r w:rsidRPr="00020EBA">
        <w:rPr>
          <w:rFonts w:ascii="Times New Roman" w:hAnsi="Times New Roman"/>
        </w:rPr>
        <w:t xml:space="preserve"> </w:t>
      </w:r>
    </w:p>
    <w:p w:rsidR="00FF2FCF" w:rsidP="00FF2FCF">
      <w:pPr>
        <w:bidi w:val="0"/>
        <w:ind w:left="2835"/>
        <w:jc w:val="both"/>
        <w:rPr>
          <w:rFonts w:ascii="Times New Roman" w:hAnsi="Times New Roman"/>
        </w:rPr>
      </w:pPr>
      <w:r w:rsidRPr="00020EBA">
        <w:rPr>
          <w:rFonts w:ascii="Times New Roman" w:hAnsi="Times New Roman"/>
        </w:rPr>
        <w:t>Legislatívno-technická úprava z dôvodu vypustenia písmena g) v § 10 ods. 2 zákona o hazardných hrách.</w:t>
      </w:r>
    </w:p>
    <w:p w:rsidR="002D1CAA" w:rsidRPr="00020EBA" w:rsidP="00FF2FCF">
      <w:pPr>
        <w:bidi w:val="0"/>
        <w:ind w:left="2835"/>
        <w:jc w:val="both"/>
        <w:rPr>
          <w:rFonts w:ascii="Times New Roman" w:hAnsi="Times New Roman"/>
        </w:rPr>
      </w:pPr>
    </w:p>
    <w:p w:rsidR="00FF2FCF" w:rsidRPr="00020EBA" w:rsidP="00FF2FCF">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FF2FCF" w:rsidRPr="00D83BC5" w:rsidP="00FF2FCF">
      <w:pPr>
        <w:bidi w:val="0"/>
        <w:ind w:left="2124" w:firstLine="708"/>
        <w:rPr>
          <w:rFonts w:ascii="Times New Roman" w:hAnsi="Times New Roman"/>
          <w:b/>
        </w:rPr>
      </w:pPr>
      <w:r w:rsidRPr="00D83BC5">
        <w:rPr>
          <w:rFonts w:ascii="Times New Roman" w:hAnsi="Times New Roman"/>
          <w:b/>
        </w:rPr>
        <w:t>Gestorský výbor odporúča schváliť.</w:t>
      </w:r>
    </w:p>
    <w:p w:rsidR="00871EBA" w:rsidRPr="00871EBA" w:rsidP="00904DBB">
      <w:pPr>
        <w:pStyle w:val="ListParagraph"/>
        <w:numPr>
          <w:numId w:val="28"/>
        </w:numPr>
        <w:tabs>
          <w:tab w:val="left" w:pos="2280"/>
        </w:tabs>
        <w:bidi w:val="0"/>
        <w:spacing w:after="0" w:line="240" w:lineRule="auto"/>
        <w:ind w:left="426" w:hanging="426"/>
        <w:jc w:val="both"/>
        <w:rPr>
          <w:rFonts w:ascii="Times New Roman" w:hAnsi="Times New Roman"/>
          <w:b/>
          <w:sz w:val="24"/>
          <w:szCs w:val="24"/>
        </w:rPr>
      </w:pPr>
      <w:r w:rsidRPr="00871EBA">
        <w:rPr>
          <w:rFonts w:ascii="Times New Roman" w:hAnsi="Times New Roman"/>
          <w:b/>
          <w:bCs/>
          <w:sz w:val="24"/>
          <w:szCs w:val="24"/>
        </w:rPr>
        <w:t>K čl. I – k doterajšiemu bodu 49 (§ 23 ods. 2)</w:t>
      </w:r>
    </w:p>
    <w:p w:rsidR="00871EBA" w:rsidRPr="00871EBA" w:rsidP="00871EBA">
      <w:pPr>
        <w:bidi w:val="0"/>
        <w:ind w:left="426"/>
        <w:contextualSpacing/>
        <w:jc w:val="both"/>
        <w:rPr>
          <w:rFonts w:ascii="Times New Roman" w:hAnsi="Times New Roman"/>
          <w:bCs/>
          <w:lang w:eastAsia="en-US"/>
        </w:rPr>
      </w:pPr>
      <w:r w:rsidRPr="00871EBA">
        <w:rPr>
          <w:rFonts w:ascii="Times New Roman" w:hAnsi="Times New Roman"/>
          <w:bCs/>
          <w:lang w:eastAsia="en-US"/>
        </w:rPr>
        <w:t>V čl. I doterajší bod 49 znie:</w:t>
      </w:r>
    </w:p>
    <w:p w:rsidR="00871EBA" w:rsidP="00871EBA">
      <w:pPr>
        <w:tabs>
          <w:tab w:val="left" w:pos="426"/>
        </w:tabs>
        <w:bidi w:val="0"/>
        <w:ind w:left="426"/>
        <w:contextualSpacing/>
        <w:jc w:val="both"/>
        <w:rPr>
          <w:rFonts w:ascii="Times New Roman" w:hAnsi="Times New Roman"/>
          <w:bCs/>
          <w:lang w:eastAsia="en-US"/>
        </w:rPr>
      </w:pPr>
      <w:r>
        <w:rPr>
          <w:rFonts w:ascii="Times New Roman" w:hAnsi="Times New Roman"/>
          <w:bCs/>
          <w:lang w:eastAsia="en-US"/>
        </w:rPr>
        <w:t xml:space="preserve">„49. V § 23 ods. 2 sa za slová „podľa § 37“ vkladá čiarka a slová „výrobné čísla zariadení využívaných pri prevádzkovaní výherných prístrojov, technických zariadení obsluhovaných priamo hráčmi a videohier, podmienky začatia prevádzkovania hazardnej hry alebo ukončenia prevádzkovania hazardnej hry  v obci, ak je v tejto obci v čase konania o udelení individuálnej licencie vyvesený na úradnej tabuli návrh </w:t>
      </w:r>
      <w:r>
        <w:rPr>
          <w:rFonts w:ascii="Times New Roman" w:hAnsi="Times New Roman"/>
          <w:bCs/>
          <w:color w:val="000000"/>
          <w:lang w:eastAsia="en-US"/>
        </w:rPr>
        <w:t>všeobecne záväzného nariadenia podľa § 10 ods. 5 písm. d)</w:t>
      </w:r>
      <w:r>
        <w:rPr>
          <w:rFonts w:ascii="Times New Roman" w:hAnsi="Times New Roman"/>
          <w:bCs/>
          <w:lang w:eastAsia="en-US"/>
        </w:rPr>
        <w:t xml:space="preserve">“ a na konci sa pripája táto veta: „V rozhodnutí o udelení licencie na prevádzkovanie hazardnej hry, pri ktorom sa využíva internetová sieť na prenos a zber údajov, ministerstvo prevádzkovateľovi hazardných hier uloží, aby </w:t>
      </w:r>
    </w:p>
    <w:p w:rsidR="00871EBA" w:rsidP="00871EBA">
      <w:pPr>
        <w:tabs>
          <w:tab w:val="left" w:pos="426"/>
        </w:tabs>
        <w:autoSpaceDE w:val="0"/>
        <w:autoSpaceDN w:val="0"/>
        <w:bidi w:val="0"/>
        <w:adjustRightInd w:val="0"/>
        <w:ind w:left="426"/>
        <w:jc w:val="both"/>
        <w:rPr>
          <w:rFonts w:ascii="Times New Roman" w:hAnsi="Times New Roman"/>
          <w:bCs/>
          <w:lang w:eastAsia="en-US"/>
        </w:rPr>
      </w:pPr>
      <w:r>
        <w:rPr>
          <w:rFonts w:ascii="Times New Roman" w:hAnsi="Times New Roman"/>
          <w:bCs/>
          <w:lang w:eastAsia="en-US"/>
        </w:rPr>
        <w:t>a) zabezpečil prístupom na viditeľnom mieste počas celej hry informáciu v tomto znení: „Zákaz hrania hazardných hier osobám mladším ako 18 rokov.“,</w:t>
      </w:r>
    </w:p>
    <w:p w:rsidR="00871EBA" w:rsidP="00871EBA">
      <w:pPr>
        <w:tabs>
          <w:tab w:val="left" w:pos="426"/>
        </w:tabs>
        <w:autoSpaceDE w:val="0"/>
        <w:autoSpaceDN w:val="0"/>
        <w:bidi w:val="0"/>
        <w:adjustRightInd w:val="0"/>
        <w:ind w:left="426"/>
        <w:jc w:val="both"/>
        <w:rPr>
          <w:rFonts w:ascii="Times New Roman" w:hAnsi="Times New Roman"/>
          <w:bCs/>
          <w:lang w:eastAsia="en-US"/>
        </w:rPr>
      </w:pPr>
      <w:r>
        <w:rPr>
          <w:rFonts w:ascii="Times New Roman" w:hAnsi="Times New Roman"/>
          <w:bCs/>
          <w:lang w:eastAsia="en-US"/>
        </w:rPr>
        <w:t>b) zabezpečil prístupom na viditeľnom mieste počas celej hry informáciu o zdravotných rizikách, ktoré prináša nadmerné hranie,</w:t>
      </w:r>
    </w:p>
    <w:p w:rsidR="00871EBA" w:rsidP="00871EBA">
      <w:pPr>
        <w:tabs>
          <w:tab w:val="left" w:pos="426"/>
        </w:tabs>
        <w:autoSpaceDE w:val="0"/>
        <w:autoSpaceDN w:val="0"/>
        <w:bidi w:val="0"/>
        <w:adjustRightInd w:val="0"/>
        <w:ind w:left="426"/>
        <w:jc w:val="both"/>
        <w:rPr>
          <w:rFonts w:ascii="Times New Roman" w:hAnsi="Times New Roman"/>
          <w:bCs/>
          <w:lang w:eastAsia="en-US"/>
        </w:rPr>
      </w:pPr>
      <w:r>
        <w:rPr>
          <w:rFonts w:ascii="Times New Roman" w:hAnsi="Times New Roman"/>
          <w:bCs/>
          <w:lang w:eastAsia="en-US"/>
        </w:rPr>
        <w:t>c) zabezpečil prístupom na viditeľnom mieste počas celej hry varovanie v tomto znení „Hazardné hry predstavujú riziko vysokých finančných strát.“,</w:t>
      </w:r>
    </w:p>
    <w:p w:rsidR="00871EBA" w:rsidP="00871EBA">
      <w:pPr>
        <w:tabs>
          <w:tab w:val="left" w:pos="426"/>
        </w:tabs>
        <w:autoSpaceDE w:val="0"/>
        <w:autoSpaceDN w:val="0"/>
        <w:bidi w:val="0"/>
        <w:adjustRightInd w:val="0"/>
        <w:ind w:left="426"/>
        <w:jc w:val="both"/>
        <w:rPr>
          <w:rFonts w:ascii="Times New Roman" w:hAnsi="Times New Roman"/>
          <w:bCs/>
          <w:lang w:eastAsia="en-US"/>
        </w:rPr>
      </w:pPr>
      <w:r>
        <w:rPr>
          <w:rFonts w:ascii="Times New Roman" w:hAnsi="Times New Roman"/>
          <w:bCs/>
          <w:lang w:eastAsia="en-US"/>
        </w:rPr>
        <w:t>d) zabezpečil prístupom na viditeľnom mieste počas celej hry hráča informáciu o dĺžke času jeho hrania,</w:t>
      </w:r>
    </w:p>
    <w:p w:rsidR="00871EBA" w:rsidP="00871EBA">
      <w:pPr>
        <w:tabs>
          <w:tab w:val="left" w:pos="426"/>
        </w:tabs>
        <w:autoSpaceDE w:val="0"/>
        <w:autoSpaceDN w:val="0"/>
        <w:bidi w:val="0"/>
        <w:adjustRightInd w:val="0"/>
        <w:ind w:left="426"/>
        <w:jc w:val="both"/>
        <w:rPr>
          <w:rFonts w:ascii="Times New Roman" w:hAnsi="Times New Roman"/>
          <w:bCs/>
          <w:lang w:eastAsia="en-US"/>
        </w:rPr>
      </w:pPr>
      <w:r>
        <w:rPr>
          <w:rFonts w:ascii="Times New Roman" w:hAnsi="Times New Roman"/>
          <w:bCs/>
          <w:lang w:eastAsia="en-US"/>
        </w:rPr>
        <w:t xml:space="preserve">e) sa zdržal ponuky akejkoľvek pôžičky alebo úveru pre hráča pred začatím hry alebo v jej priebehu.“.“. </w:t>
      </w:r>
    </w:p>
    <w:p w:rsidR="00871EBA" w:rsidP="00871EBA">
      <w:pPr>
        <w:bidi w:val="0"/>
        <w:ind w:left="709"/>
        <w:jc w:val="both"/>
        <w:rPr>
          <w:rFonts w:ascii="Times New Roman" w:hAnsi="Times New Roman"/>
          <w:bCs/>
          <w:u w:val="single"/>
          <w:lang w:eastAsia="en-US"/>
        </w:rPr>
      </w:pPr>
    </w:p>
    <w:p w:rsidR="00871EBA" w:rsidP="00871EBA">
      <w:pPr>
        <w:bidi w:val="0"/>
        <w:ind w:left="2835"/>
        <w:jc w:val="both"/>
        <w:rPr>
          <w:rFonts w:ascii="Times New Roman" w:hAnsi="Times New Roman"/>
          <w:bCs/>
          <w:lang w:eastAsia="en-US"/>
        </w:rPr>
      </w:pPr>
      <w:r>
        <w:rPr>
          <w:rFonts w:ascii="Times New Roman" w:hAnsi="Times New Roman"/>
          <w:bCs/>
          <w:color w:val="000000"/>
          <w:lang w:eastAsia="en-US"/>
        </w:rPr>
        <w:t xml:space="preserve">Navrhovanou úpravou sa oproti vládnemu návrhu zákona dopĺňa ustanovenie tak, aby správny orgán mohol v rozhodnutí uviesť podmienku </w:t>
      </w:r>
      <w:r>
        <w:rPr>
          <w:rFonts w:ascii="Times New Roman" w:hAnsi="Times New Roman"/>
          <w:bCs/>
          <w:lang w:eastAsia="en-US"/>
        </w:rPr>
        <w:t xml:space="preserve">začatia prevádzkovania hazardnej hry alebo podmienku ukončenia  prevádzkovania hazardnej hry  v obci, ak je v tejto obci v čase konania o udelení individuálnej licencie vyvesený na úradnej tabuli </w:t>
      </w:r>
      <w:r w:rsidRPr="00721E5F">
        <w:rPr>
          <w:rFonts w:ascii="Times New Roman" w:hAnsi="Times New Roman"/>
          <w:bCs/>
          <w:lang w:eastAsia="en-US"/>
        </w:rPr>
        <w:t xml:space="preserve">návrh </w:t>
      </w:r>
      <w:r w:rsidRPr="00721E5F">
        <w:rPr>
          <w:rFonts w:ascii="Times New Roman" w:hAnsi="Times New Roman"/>
          <w:bCs/>
          <w:color w:val="000000"/>
          <w:lang w:eastAsia="en-US"/>
        </w:rPr>
        <w:t xml:space="preserve">všeobecne záväzného nariadenia o obmedzení umiestnenia herne v obci. Týmto ustanovením sa posilní právomoc správneho orgánu pri vydávaní rozhodnutí o udelení/zmene licencií  v čase, kedy obec začne konanie vo veci prijatia takéhoto nariadenia. </w:t>
      </w:r>
      <w:r w:rsidRPr="00721E5F">
        <w:rPr>
          <w:rFonts w:ascii="Times New Roman" w:hAnsi="Times New Roman"/>
          <w:bCs/>
          <w:lang w:eastAsia="en-US"/>
        </w:rPr>
        <w:t>Návrhom úpravy znenia sa reaguje aj na potrebu odstránenia možných interpretačných pochybností a zavedenia jednoznačnej</w:t>
      </w:r>
      <w:r>
        <w:rPr>
          <w:rFonts w:ascii="Times New Roman" w:hAnsi="Times New Roman"/>
          <w:bCs/>
          <w:lang w:eastAsia="en-US"/>
        </w:rPr>
        <w:t xml:space="preserve"> a výkladovo nespornej povinnosti danej prevádzkovateľom, ktorí prevádzkujú hazardné hry, pri ktorých sa internetová sieť využíva na prenos a zber údajov a hazardné hry prostredníctvom internetu. Hráč tak bude mať počas celej hry na viditeľnom mieste prístup, ktorý mu zabezpečí informácie, napr. o zdravotných rizikách, ktoré prináša nadmerné hranie, riziku vysokých finančných strát atď.</w:t>
      </w:r>
    </w:p>
    <w:p w:rsidR="00871EBA" w:rsidP="00871EBA">
      <w:pPr>
        <w:bidi w:val="0"/>
        <w:jc w:val="both"/>
        <w:rPr>
          <w:rFonts w:ascii="Times New Roman" w:hAnsi="Times New Roman"/>
          <w:bCs/>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rPr>
      </w:pPr>
      <w:r>
        <w:rPr>
          <w:rFonts w:ascii="Times New Roman" w:hAnsi="Times New Roman"/>
          <w:b/>
        </w:rPr>
        <w:t>K čl. I  49. bodu § 23 ods. 2 písm. e)</w:t>
      </w:r>
    </w:p>
    <w:p w:rsidR="00871EBA" w:rsidP="00871EBA">
      <w:pPr>
        <w:bidi w:val="0"/>
        <w:ind w:left="426"/>
        <w:jc w:val="both"/>
        <w:rPr>
          <w:rFonts w:ascii="Times New Roman" w:hAnsi="Times New Roman"/>
        </w:rPr>
      </w:pPr>
      <w:r>
        <w:rPr>
          <w:rFonts w:ascii="Times New Roman" w:hAnsi="Times New Roman"/>
        </w:rPr>
        <w:t xml:space="preserve">V čl. I 49. bode § 23 ods. 2 písm. e) sa za slovo „ponuky“ vkladajú slová „a poskytnutia“. </w:t>
      </w:r>
    </w:p>
    <w:p w:rsidR="00871EBA" w:rsidP="00871EBA">
      <w:pPr>
        <w:bidi w:val="0"/>
        <w:jc w:val="both"/>
        <w:rPr>
          <w:rFonts w:ascii="Times New Roman" w:hAnsi="Times New Roman"/>
        </w:rPr>
      </w:pPr>
    </w:p>
    <w:p w:rsidR="00871EBA" w:rsidP="00871EBA">
      <w:pPr>
        <w:bidi w:val="0"/>
        <w:ind w:left="2835"/>
        <w:jc w:val="both"/>
        <w:rPr>
          <w:rFonts w:ascii="Times New Roman" w:hAnsi="Times New Roman"/>
        </w:rPr>
      </w:pPr>
      <w:r>
        <w:rPr>
          <w:rFonts w:ascii="Times New Roman" w:hAnsi="Times New Roman"/>
        </w:rPr>
        <w:t>Ide o významové precizovanie navrhovaného znenia § 23 ods. 2 písm. e).</w:t>
      </w:r>
    </w:p>
    <w:p w:rsidR="00871EBA" w:rsidP="00871EBA">
      <w:pPr>
        <w:bidi w:val="0"/>
        <w:jc w:val="both"/>
        <w:rPr>
          <w:rFonts w:ascii="Times New Roman" w:hAnsi="Times New Roman"/>
        </w:rPr>
      </w:pPr>
    </w:p>
    <w:p w:rsidR="00D83BC5" w:rsidP="00871EBA">
      <w:pPr>
        <w:bidi w:val="0"/>
        <w:jc w:val="both"/>
        <w:rPr>
          <w:rFonts w:ascii="Times New Roman" w:hAnsi="Times New Roman"/>
        </w:rPr>
      </w:pPr>
    </w:p>
    <w:p w:rsidR="00871EBA" w:rsidP="00871EBA">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871EBA">
      <w:pPr>
        <w:bidi w:val="0"/>
        <w:ind w:left="2124" w:firstLine="708"/>
        <w:jc w:val="both"/>
        <w:rPr>
          <w:rFonts w:ascii="Times New Roman" w:hAnsi="Times New Roman"/>
          <w:b/>
        </w:rPr>
      </w:pPr>
      <w:r w:rsidRPr="00A66A95">
        <w:rPr>
          <w:rFonts w:ascii="Times New Roman" w:hAnsi="Times New Roman"/>
          <w:b/>
        </w:rPr>
        <w:t>Ústavnoprávny výbor NR SR</w:t>
      </w:r>
    </w:p>
    <w:p w:rsidR="00871EBA" w:rsidRPr="00020EBA" w:rsidP="00871EBA">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871EBA" w:rsidRPr="00020EBA" w:rsidP="00871EBA">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zdravotníctvo</w:t>
      </w:r>
    </w:p>
    <w:p w:rsidR="00871EBA" w:rsidP="00871EBA">
      <w:pPr>
        <w:bidi w:val="0"/>
        <w:ind w:left="2124"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lang w:eastAsia="en-US"/>
        </w:rPr>
      </w:pPr>
      <w:r>
        <w:rPr>
          <w:rFonts w:ascii="Times New Roman" w:hAnsi="Times New Roman"/>
          <w:b/>
          <w:bCs/>
          <w:lang w:eastAsia="en-US"/>
        </w:rPr>
        <w:t>K čl. I (§ 26 ods. 4)</w:t>
      </w:r>
    </w:p>
    <w:p w:rsidR="00871EBA" w:rsidP="00871EBA">
      <w:pPr>
        <w:bidi w:val="0"/>
        <w:ind w:left="426"/>
        <w:contextualSpacing/>
        <w:jc w:val="both"/>
        <w:rPr>
          <w:rFonts w:ascii="Times New Roman" w:hAnsi="Times New Roman"/>
          <w:bCs/>
          <w:lang w:eastAsia="en-US"/>
        </w:rPr>
      </w:pPr>
      <w:r>
        <w:rPr>
          <w:rFonts w:ascii="Times New Roman" w:hAnsi="Times New Roman"/>
          <w:bCs/>
          <w:lang w:eastAsia="en-US"/>
        </w:rPr>
        <w:t>V čl. I sa za doterajší bod 52 vkladá nový bod 53, ktorý znie:</w:t>
      </w:r>
    </w:p>
    <w:p w:rsidR="00871EBA" w:rsidP="00871EBA">
      <w:pPr>
        <w:bidi w:val="0"/>
        <w:ind w:left="426"/>
        <w:jc w:val="both"/>
        <w:rPr>
          <w:rFonts w:ascii="Times New Roman" w:hAnsi="Times New Roman"/>
          <w:bCs/>
          <w:color w:val="000000"/>
          <w:lang w:eastAsia="en-US"/>
        </w:rPr>
      </w:pPr>
      <w:r>
        <w:rPr>
          <w:rFonts w:ascii="Times New Roman" w:hAnsi="Times New Roman"/>
          <w:bCs/>
          <w:lang w:eastAsia="en-US"/>
        </w:rPr>
        <w:t xml:space="preserve">„53. V § 26 ods. 4 sa za slovo „udeľuje“ vkladá čiarka a slová „výrobné čísla zariadení využívaných pri prevádzkovaní výherných prístrojov, technických zariadení obsluhovaných priamo hráčmi a videohier, podmienky začatia prevádzkovania hazardných hier v kasíne alebo ukončenia prevádzkovania hazardných hier v kasíne v obci, ak je v tejto obci v čase konania o udelení tejto licencie vyvesený na úradnej tabuli návrh </w:t>
      </w:r>
      <w:r>
        <w:rPr>
          <w:rFonts w:ascii="Times New Roman" w:hAnsi="Times New Roman"/>
          <w:bCs/>
          <w:color w:val="000000"/>
          <w:lang w:eastAsia="en-US"/>
        </w:rPr>
        <w:t>všeobecne záväzného nariadenia podľa § 10 ods. 5 písm. d)</w:t>
      </w:r>
      <w:r>
        <w:rPr>
          <w:rFonts w:ascii="Times New Roman" w:hAnsi="Times New Roman"/>
          <w:bCs/>
          <w:lang w:eastAsia="en-US"/>
        </w:rPr>
        <w:t>“.“.</w:t>
      </w:r>
    </w:p>
    <w:p w:rsidR="00871EBA" w:rsidP="00871EBA">
      <w:pPr>
        <w:bidi w:val="0"/>
        <w:ind w:left="2835" w:hanging="2409"/>
        <w:rPr>
          <w:rFonts w:ascii="Times New Roman" w:hAnsi="Times New Roman"/>
          <w:bCs/>
          <w:color w:val="000000"/>
          <w:lang w:eastAsia="en-US"/>
        </w:rPr>
      </w:pPr>
      <w:r w:rsidR="00D11087">
        <w:rPr>
          <w:rFonts w:ascii="Times New Roman" w:hAnsi="Times New Roman"/>
          <w:bCs/>
          <w:color w:val="000000"/>
          <w:lang w:eastAsia="en-US"/>
        </w:rPr>
        <w:t>D</w:t>
      </w:r>
      <w:r>
        <w:rPr>
          <w:rFonts w:ascii="Times New Roman" w:hAnsi="Times New Roman"/>
          <w:bCs/>
          <w:color w:val="000000"/>
          <w:lang w:eastAsia="en-US"/>
        </w:rPr>
        <w:t>oterajšie body sa primerane prečíslujú.</w:t>
      </w:r>
    </w:p>
    <w:p w:rsidR="00871EBA" w:rsidP="00871EBA">
      <w:pPr>
        <w:bidi w:val="0"/>
        <w:ind w:left="2835"/>
        <w:jc w:val="both"/>
        <w:rPr>
          <w:rFonts w:ascii="Times New Roman" w:hAnsi="Times New Roman"/>
          <w:bCs/>
          <w:u w:val="single"/>
          <w:lang w:eastAsia="en-US"/>
        </w:rPr>
      </w:pPr>
    </w:p>
    <w:p w:rsidR="00871EBA" w:rsidP="00871EBA">
      <w:pPr>
        <w:bidi w:val="0"/>
        <w:ind w:left="2977"/>
        <w:jc w:val="both"/>
        <w:rPr>
          <w:rFonts w:ascii="Times New Roman" w:hAnsi="Times New Roman"/>
          <w:bCs/>
          <w:color w:val="000000"/>
          <w:lang w:eastAsia="en-US"/>
        </w:rPr>
      </w:pPr>
      <w:r>
        <w:rPr>
          <w:rFonts w:ascii="Times New Roman" w:hAnsi="Times New Roman"/>
          <w:bCs/>
          <w:color w:val="000000"/>
          <w:lang w:eastAsia="en-US"/>
        </w:rPr>
        <w:t xml:space="preserve">Navrhovanou úpravou sa oproti vládnemu návrhu zákona dopĺňa ustanovenie tak, aby správny orgán mohol v rozhodnutí o udelení licencie na prevádzkovanie hazardných hier v kasíne </w:t>
      </w:r>
      <w:r w:rsidRPr="00721E5F">
        <w:rPr>
          <w:rFonts w:ascii="Times New Roman" w:hAnsi="Times New Roman"/>
          <w:bCs/>
          <w:color w:val="000000"/>
          <w:lang w:eastAsia="en-US"/>
        </w:rPr>
        <w:t xml:space="preserve">uviesť podmienku </w:t>
      </w:r>
      <w:r w:rsidRPr="00721E5F">
        <w:rPr>
          <w:rFonts w:ascii="Times New Roman" w:hAnsi="Times New Roman"/>
          <w:bCs/>
          <w:lang w:eastAsia="en-US"/>
        </w:rPr>
        <w:t>začatia prevádzkovania hazardných hier v kasíne alebo podmienku ukončenia prevádzkovania hazardnej hry v kasíne v obci, ak je v tejto obci v čase konania o udelení licencie vyvesený na úradnej</w:t>
      </w:r>
      <w:r>
        <w:rPr>
          <w:rFonts w:ascii="Times New Roman" w:hAnsi="Times New Roman"/>
          <w:bCs/>
          <w:lang w:eastAsia="en-US"/>
        </w:rPr>
        <w:t xml:space="preserve"> tabuli návrh </w:t>
      </w:r>
      <w:r>
        <w:rPr>
          <w:rFonts w:ascii="Times New Roman" w:hAnsi="Times New Roman"/>
          <w:bCs/>
          <w:color w:val="000000"/>
          <w:lang w:eastAsia="en-US"/>
        </w:rPr>
        <w:t xml:space="preserve">všeobecne záväzného nariadenia o obmedzení umiestnenia kasína na území obce. Týmto ustanovením sa posilnia právomoci správneho orgánu pri vydávaní rozhodnutí o udelení/zmene licencie v čase, kedy obec začne konanie vo veci prijatia takéhoto nariadenia. </w:t>
      </w:r>
    </w:p>
    <w:p w:rsidR="00871EBA" w:rsidP="00871EBA">
      <w:pPr>
        <w:bidi w:val="0"/>
        <w:jc w:val="both"/>
        <w:rPr>
          <w:rFonts w:ascii="Times New Roman" w:hAnsi="Times New Roman"/>
          <w:bCs/>
        </w:rPr>
      </w:pPr>
    </w:p>
    <w:p w:rsidR="00871EBA" w:rsidP="00C02576">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C02576">
      <w:pPr>
        <w:bidi w:val="0"/>
        <w:ind w:left="2269"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lang w:eastAsia="en-US"/>
        </w:rPr>
      </w:pPr>
      <w:r>
        <w:rPr>
          <w:rFonts w:ascii="Times New Roman" w:hAnsi="Times New Roman"/>
          <w:b/>
          <w:bCs/>
          <w:lang w:eastAsia="en-US"/>
        </w:rPr>
        <w:t>K čl. I – k doterajšiemu bodu 54 (§ 29 ods. 2 písm. a) až d))</w:t>
      </w:r>
    </w:p>
    <w:p w:rsidR="00871EBA" w:rsidP="00871EBA">
      <w:pPr>
        <w:bidi w:val="0"/>
        <w:ind w:left="426"/>
        <w:contextualSpacing/>
        <w:jc w:val="both"/>
        <w:rPr>
          <w:rFonts w:ascii="Times New Roman" w:hAnsi="Times New Roman"/>
          <w:bCs/>
          <w:lang w:eastAsia="en-US"/>
        </w:rPr>
      </w:pPr>
      <w:r>
        <w:rPr>
          <w:rFonts w:ascii="Times New Roman" w:hAnsi="Times New Roman"/>
          <w:bCs/>
          <w:lang w:eastAsia="en-US"/>
        </w:rPr>
        <w:t xml:space="preserve">V čl. I doterajšom bode 54 v § 29 ods. 2 písm. a) až d) sa za slovo „zabezpečil“ vkladá slovo „prístupom“. </w:t>
      </w:r>
    </w:p>
    <w:p w:rsidR="00871EBA" w:rsidP="00871EBA">
      <w:pPr>
        <w:bidi w:val="0"/>
        <w:jc w:val="both"/>
        <w:rPr>
          <w:rFonts w:ascii="Times New Roman" w:hAnsi="Times New Roman"/>
          <w:bCs/>
          <w:lang w:eastAsia="en-US"/>
        </w:rPr>
      </w:pPr>
    </w:p>
    <w:p w:rsidR="00871EBA" w:rsidP="00871EBA">
      <w:pPr>
        <w:bidi w:val="0"/>
        <w:ind w:left="2977"/>
        <w:jc w:val="both"/>
        <w:rPr>
          <w:rFonts w:ascii="Times New Roman" w:hAnsi="Times New Roman"/>
          <w:bCs/>
          <w:lang w:eastAsia="en-US"/>
        </w:rPr>
      </w:pPr>
      <w:r>
        <w:rPr>
          <w:rFonts w:ascii="Times New Roman" w:hAnsi="Times New Roman"/>
          <w:bCs/>
          <w:lang w:eastAsia="en-US"/>
        </w:rPr>
        <w:t>Návrhom úpravy znenia sa reaguje na potrebu odstránenia možných interpretačných pochybností a zavedenia jednoznačnej a výkladovo nespornej povinnosti danej prevádzkovateľovi hazardných hier, pri ktorých sa internetová sieť využíva na prenos a zber údajov a hazardné hry prostredníctvom internetu. Hráč tak bude mať počas celej hry na viditeľnom mieste prístup, ktorý mu zabezpečí informácie, napr. o zdravotných rizikách, ktoré prináša nadmerné hranie, riziku vysokých finančných strát atď.</w:t>
      </w:r>
    </w:p>
    <w:p w:rsidR="00871EBA" w:rsidP="00871EBA">
      <w:pPr>
        <w:bidi w:val="0"/>
        <w:jc w:val="both"/>
        <w:rPr>
          <w:rFonts w:ascii="Times New Roman" w:hAnsi="Times New Roman"/>
          <w:bCs/>
        </w:rPr>
      </w:pPr>
    </w:p>
    <w:p w:rsidR="00871EBA" w:rsidP="00C02576">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C02576">
      <w:pPr>
        <w:bidi w:val="0"/>
        <w:ind w:left="2269"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2D1CAA" w:rsidP="00871EBA">
      <w:pPr>
        <w:tabs>
          <w:tab w:val="left" w:pos="2280"/>
        </w:tabs>
        <w:bidi w:val="0"/>
        <w:jc w:val="both"/>
        <w:rPr>
          <w:rFonts w:ascii="Times New Roman" w:hAnsi="Times New Roman"/>
        </w:rPr>
      </w:pPr>
    </w:p>
    <w:p w:rsidR="002D1CAA" w:rsidP="00871EBA">
      <w:pPr>
        <w:tabs>
          <w:tab w:val="left" w:pos="2280"/>
        </w:tabs>
        <w:bidi w:val="0"/>
        <w:jc w:val="both"/>
        <w:rPr>
          <w:rFonts w:ascii="Times New Roman" w:hAnsi="Times New Roman"/>
        </w:rPr>
      </w:pPr>
    </w:p>
    <w:p w:rsidR="002D1CAA" w:rsidP="00871EBA">
      <w:pPr>
        <w:tabs>
          <w:tab w:val="left" w:pos="2280"/>
        </w:tabs>
        <w:bidi w:val="0"/>
        <w:jc w:val="both"/>
        <w:rPr>
          <w:rFonts w:ascii="Times New Roman" w:hAnsi="Times New Roman"/>
          <w:bCs/>
        </w:rPr>
      </w:pPr>
    </w:p>
    <w:p w:rsidR="00871EBA" w:rsidP="00904DBB">
      <w:pPr>
        <w:numPr>
          <w:numId w:val="28"/>
        </w:numPr>
        <w:tabs>
          <w:tab w:val="left" w:pos="426"/>
        </w:tabs>
        <w:bidi w:val="0"/>
        <w:ind w:left="0" w:firstLine="0"/>
        <w:jc w:val="both"/>
        <w:rPr>
          <w:rFonts w:ascii="Times New Roman" w:hAnsi="Times New Roman"/>
          <w:b/>
        </w:rPr>
      </w:pPr>
      <w:r>
        <w:rPr>
          <w:rFonts w:ascii="Times New Roman" w:hAnsi="Times New Roman"/>
          <w:b/>
        </w:rPr>
        <w:t>K čl. I 54. bodu § 29 ods. 2 písm. e)</w:t>
      </w:r>
    </w:p>
    <w:p w:rsidR="00871EBA" w:rsidP="00871EBA">
      <w:pPr>
        <w:bidi w:val="0"/>
        <w:jc w:val="both"/>
        <w:rPr>
          <w:rFonts w:ascii="Times New Roman" w:hAnsi="Times New Roman"/>
        </w:rPr>
      </w:pPr>
      <w:r>
        <w:rPr>
          <w:rFonts w:ascii="Times New Roman" w:hAnsi="Times New Roman"/>
        </w:rPr>
        <w:t xml:space="preserve">        V čl. I 54. bode § 29 ods. 2 písm. e) sa za slovo „ponuky“ vkladajú slová „a poskytnutia“.</w:t>
      </w:r>
    </w:p>
    <w:p w:rsidR="00871EBA" w:rsidP="00871EBA">
      <w:pPr>
        <w:bidi w:val="0"/>
        <w:jc w:val="both"/>
        <w:rPr>
          <w:rFonts w:ascii="Times New Roman" w:hAnsi="Times New Roman"/>
        </w:rPr>
      </w:pPr>
    </w:p>
    <w:p w:rsidR="00871EBA" w:rsidP="00871EBA">
      <w:pPr>
        <w:bidi w:val="0"/>
        <w:ind w:left="2977"/>
        <w:jc w:val="both"/>
        <w:rPr>
          <w:rFonts w:ascii="Times New Roman" w:hAnsi="Times New Roman"/>
        </w:rPr>
      </w:pPr>
      <w:r>
        <w:rPr>
          <w:rFonts w:ascii="Times New Roman" w:hAnsi="Times New Roman"/>
        </w:rPr>
        <w:t>Ide o významové precizovanie navrhovaného znenia § 29 ods. 2 písm. e).</w:t>
      </w:r>
    </w:p>
    <w:p w:rsidR="00871EBA" w:rsidP="00871EBA">
      <w:pPr>
        <w:bidi w:val="0"/>
        <w:jc w:val="both"/>
        <w:rPr>
          <w:rFonts w:ascii="Times New Roman" w:hAnsi="Times New Roman"/>
        </w:rPr>
      </w:pPr>
    </w:p>
    <w:p w:rsidR="00871EBA" w:rsidP="00C02576">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C02576">
      <w:pPr>
        <w:bidi w:val="0"/>
        <w:ind w:left="2269" w:firstLine="708"/>
        <w:jc w:val="both"/>
        <w:rPr>
          <w:rFonts w:ascii="Times New Roman" w:hAnsi="Times New Roman"/>
          <w:b/>
        </w:rPr>
      </w:pPr>
      <w:r w:rsidRPr="00A66A95">
        <w:rPr>
          <w:rFonts w:ascii="Times New Roman" w:hAnsi="Times New Roman"/>
          <w:b/>
        </w:rPr>
        <w:t>Ústavnoprávny výbor NR SR</w:t>
      </w:r>
    </w:p>
    <w:p w:rsidR="00871EBA" w:rsidRPr="00020EBA" w:rsidP="00C02576">
      <w:pPr>
        <w:bidi w:val="0"/>
        <w:ind w:left="2269"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871EBA" w:rsidP="00C02576">
      <w:pPr>
        <w:bidi w:val="0"/>
        <w:ind w:left="2269" w:firstLine="708"/>
        <w:rPr>
          <w:rFonts w:ascii="Times New Roman" w:hAnsi="Times New Roman"/>
          <w:b/>
        </w:rPr>
      </w:pPr>
      <w:r w:rsidRPr="00D63CFE">
        <w:rPr>
          <w:rFonts w:ascii="Times New Roman" w:hAnsi="Times New Roman"/>
          <w:b/>
        </w:rPr>
        <w:t>Výbor</w:t>
      </w:r>
      <w:r>
        <w:rPr>
          <w:rFonts w:ascii="Times New Roman" w:hAnsi="Times New Roman"/>
        </w:rPr>
        <w:t xml:space="preserve"> </w:t>
      </w:r>
      <w:r w:rsidRPr="00D63CFE">
        <w:rPr>
          <w:rFonts w:ascii="Times New Roman" w:hAnsi="Times New Roman"/>
          <w:b/>
        </w:rPr>
        <w:t>NR SR</w:t>
      </w:r>
      <w:r>
        <w:rPr>
          <w:rFonts w:ascii="Times New Roman" w:hAnsi="Times New Roman"/>
        </w:rPr>
        <w:t xml:space="preserve"> </w:t>
      </w:r>
      <w:r w:rsidRPr="00D63CFE">
        <w:rPr>
          <w:rFonts w:ascii="Times New Roman" w:hAnsi="Times New Roman"/>
          <w:b/>
        </w:rPr>
        <w:t>pre zdravotníctvo</w:t>
      </w:r>
    </w:p>
    <w:p w:rsidR="00871EBA" w:rsidP="00C02576">
      <w:pPr>
        <w:bidi w:val="0"/>
        <w:ind w:left="2269"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contextualSpacing/>
        <w:jc w:val="both"/>
        <w:rPr>
          <w:rFonts w:ascii="Times New Roman" w:hAnsi="Times New Roman"/>
          <w:b/>
        </w:rPr>
      </w:pPr>
      <w:r>
        <w:rPr>
          <w:rFonts w:ascii="Times New Roman" w:hAnsi="Times New Roman"/>
          <w:b/>
          <w:bCs/>
        </w:rPr>
        <w:t>K čl. I – k doterajšiemu bodu 65 (§ 35 ods. 18)</w:t>
      </w:r>
    </w:p>
    <w:p w:rsidR="00871EBA" w:rsidP="00871EBA">
      <w:pPr>
        <w:bidi w:val="0"/>
        <w:ind w:left="426"/>
        <w:contextualSpacing/>
        <w:jc w:val="both"/>
        <w:rPr>
          <w:rFonts w:ascii="Times New Roman" w:hAnsi="Times New Roman"/>
          <w:bCs/>
        </w:rPr>
      </w:pPr>
      <w:r>
        <w:rPr>
          <w:rFonts w:ascii="Times New Roman" w:hAnsi="Times New Roman"/>
          <w:bCs/>
        </w:rPr>
        <w:t>V čl. I doterajšom bode 65 v § 35 ods. 18 sa slovo „elektronicky“ nahrádza slovami „elektronickou zásielkou“.</w:t>
      </w:r>
    </w:p>
    <w:p w:rsidR="00871EBA" w:rsidP="00871EBA">
      <w:pPr>
        <w:bidi w:val="0"/>
        <w:ind w:left="426"/>
        <w:contextualSpacing/>
        <w:jc w:val="both"/>
        <w:rPr>
          <w:rFonts w:ascii="Times New Roman" w:hAnsi="Times New Roman"/>
          <w:bCs/>
        </w:rPr>
      </w:pPr>
    </w:p>
    <w:p w:rsidR="00871EBA" w:rsidP="00871EBA">
      <w:pPr>
        <w:bidi w:val="0"/>
        <w:ind w:left="2977"/>
        <w:contextualSpacing/>
        <w:jc w:val="both"/>
        <w:rPr>
          <w:rFonts w:ascii="Times New Roman" w:hAnsi="Times New Roman"/>
          <w:bCs/>
        </w:rPr>
      </w:pPr>
      <w:r>
        <w:rPr>
          <w:rFonts w:ascii="Times New Roman" w:hAnsi="Times New Roman"/>
          <w:bCs/>
        </w:rPr>
        <w:t>Týmto pozmeňujúcim návrhom sa precizuje možnosť Finančného riaditeľstva Slovenskej republiky určiť spôsob prijímania údajov prostredníctvom elektronickej zásielky. Navrhovaná úprava umožňuje prevádzkovateľom doručovať Finančnému riaditeľstvu Slovenskej republiky ustanovené údaje prostredníctvom elektronickej schránky, elektronickej podateľne, elektronickej pošty alebo elektronických služieb.</w:t>
      </w:r>
    </w:p>
    <w:p w:rsidR="00871EBA" w:rsidP="00871EBA">
      <w:pPr>
        <w:bidi w:val="0"/>
        <w:jc w:val="both"/>
        <w:rPr>
          <w:rFonts w:ascii="Times New Roman" w:hAnsi="Times New Roman"/>
          <w:bCs/>
        </w:rPr>
      </w:pPr>
    </w:p>
    <w:p w:rsidR="00871EBA" w:rsidP="007B3260">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7B3260">
      <w:pPr>
        <w:bidi w:val="0"/>
        <w:ind w:left="2269"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bCs/>
        </w:rPr>
      </w:pPr>
      <w:r>
        <w:rPr>
          <w:rFonts w:ascii="Times New Roman" w:hAnsi="Times New Roman"/>
        </w:rPr>
        <w:t xml:space="preserve"> </w:t>
      </w:r>
    </w:p>
    <w:p w:rsidR="00871EBA" w:rsidP="00904DBB">
      <w:pPr>
        <w:numPr>
          <w:numId w:val="28"/>
        </w:numPr>
        <w:bidi w:val="0"/>
        <w:ind w:left="426" w:hanging="426"/>
        <w:jc w:val="both"/>
        <w:rPr>
          <w:rFonts w:ascii="Times New Roman" w:hAnsi="Times New Roman"/>
          <w:b/>
          <w:lang w:eastAsia="en-US"/>
        </w:rPr>
      </w:pPr>
      <w:r>
        <w:rPr>
          <w:rFonts w:ascii="Times New Roman" w:hAnsi="Times New Roman"/>
          <w:b/>
          <w:bCs/>
          <w:lang w:eastAsia="en-US"/>
        </w:rPr>
        <w:t>K čl. I – k doterajšiemu bodu 66 (§ 35 ods. 20)</w:t>
      </w:r>
    </w:p>
    <w:p w:rsidR="00871EBA" w:rsidP="00871EBA">
      <w:pPr>
        <w:bidi w:val="0"/>
        <w:ind w:left="426"/>
        <w:jc w:val="both"/>
        <w:rPr>
          <w:rFonts w:ascii="Times New Roman" w:hAnsi="Times New Roman"/>
          <w:bCs/>
          <w:lang w:eastAsia="en-US"/>
        </w:rPr>
      </w:pPr>
      <w:r>
        <w:rPr>
          <w:rFonts w:ascii="Times New Roman" w:hAnsi="Times New Roman"/>
          <w:bCs/>
          <w:lang w:eastAsia="en-US"/>
        </w:rPr>
        <w:t>V čl. I doterajšom bode 66 v § 35 ods. 20 sa na konci bodka nahrádza čiarkou a pripájajú sa tieto slová „ak § 9a neustanovuje inak.“.</w:t>
      </w:r>
    </w:p>
    <w:p w:rsidR="00871EBA" w:rsidP="00871EBA">
      <w:pPr>
        <w:bidi w:val="0"/>
        <w:ind w:left="284"/>
        <w:jc w:val="both"/>
        <w:rPr>
          <w:rFonts w:ascii="Times New Roman" w:hAnsi="Times New Roman"/>
          <w:bCs/>
          <w:lang w:eastAsia="en-US"/>
        </w:rPr>
      </w:pPr>
    </w:p>
    <w:p w:rsidR="00871EBA" w:rsidP="00871EBA">
      <w:pPr>
        <w:bidi w:val="0"/>
        <w:ind w:left="2977"/>
        <w:jc w:val="both"/>
        <w:rPr>
          <w:rFonts w:ascii="Times New Roman" w:hAnsi="Times New Roman"/>
          <w:bCs/>
          <w:lang w:eastAsia="en-US"/>
        </w:rPr>
      </w:pPr>
      <w:r>
        <w:rPr>
          <w:rFonts w:ascii="Times New Roman" w:hAnsi="Times New Roman"/>
          <w:bCs/>
          <w:lang w:eastAsia="en-US"/>
        </w:rPr>
        <w:t xml:space="preserve">Predmetné ustanovenie je potrebné upraviť vo väzbe na charitatívnu lotériu (§ 9a), ktorá sa môže podobať číselnej lotérii patriacej do štátnej lotérie. </w:t>
      </w:r>
    </w:p>
    <w:p w:rsidR="00871EBA" w:rsidP="00871EBA">
      <w:pPr>
        <w:bidi w:val="0"/>
        <w:jc w:val="both"/>
        <w:rPr>
          <w:rFonts w:ascii="Times New Roman" w:hAnsi="Times New Roman"/>
          <w:bCs/>
        </w:rPr>
      </w:pPr>
    </w:p>
    <w:p w:rsidR="00871EBA" w:rsidP="007B3260">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7B3260">
      <w:pPr>
        <w:bidi w:val="0"/>
        <w:ind w:left="2269" w:firstLine="708"/>
        <w:rPr>
          <w:rFonts w:ascii="Times New Roman" w:hAnsi="Times New Roman"/>
          <w:b/>
        </w:rPr>
      </w:pPr>
      <w:r w:rsidRPr="00BF14E2">
        <w:rPr>
          <w:rFonts w:ascii="Times New Roman" w:hAnsi="Times New Roman"/>
          <w:b/>
        </w:rPr>
        <w:t>Gestorský výbor odporúča schváliť.</w:t>
      </w:r>
    </w:p>
    <w:p w:rsidR="00871EBA" w:rsidP="00871EBA">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contextualSpacing/>
        <w:jc w:val="both"/>
        <w:rPr>
          <w:rFonts w:ascii="Times New Roman" w:hAnsi="Times New Roman"/>
          <w:b/>
          <w:lang w:eastAsia="en-US"/>
        </w:rPr>
      </w:pPr>
      <w:r>
        <w:rPr>
          <w:rFonts w:ascii="Times New Roman" w:hAnsi="Times New Roman"/>
          <w:b/>
          <w:bCs/>
          <w:lang w:eastAsia="en-US"/>
        </w:rPr>
        <w:t>K čl. I – k doterajšiemu bodu 68 (§ 35a ods. 1)</w:t>
      </w:r>
    </w:p>
    <w:p w:rsidR="00871EBA" w:rsidP="00871EBA">
      <w:pPr>
        <w:bidi w:val="0"/>
        <w:ind w:left="426"/>
        <w:jc w:val="both"/>
        <w:rPr>
          <w:rFonts w:ascii="Times New Roman" w:hAnsi="Times New Roman"/>
          <w:b/>
          <w:bCs/>
          <w:lang w:eastAsia="en-US"/>
        </w:rPr>
      </w:pPr>
      <w:r>
        <w:rPr>
          <w:rFonts w:ascii="Times New Roman" w:hAnsi="Times New Roman"/>
          <w:bCs/>
        </w:rPr>
        <w:t>V čl. I doterajšom bode 68 v § 35a ods. 1 sa slová „podľa § 3 ods. 2 písm. b) a d) až g) a § 4 ods. 3 písm. d)“ nahrádzajú slovami „uvedených v § 35 ods. 7 prvej vete“.</w:t>
      </w:r>
    </w:p>
    <w:p w:rsidR="00871EBA" w:rsidP="00871EBA">
      <w:pPr>
        <w:bidi w:val="0"/>
        <w:ind w:left="2977"/>
        <w:jc w:val="both"/>
        <w:rPr>
          <w:rFonts w:ascii="Times New Roman" w:hAnsi="Times New Roman"/>
          <w:bCs/>
          <w:lang w:eastAsia="en-US"/>
        </w:rPr>
      </w:pPr>
      <w:r>
        <w:rPr>
          <w:rFonts w:ascii="Times New Roman" w:hAnsi="Times New Roman"/>
          <w:bCs/>
          <w:lang w:eastAsia="en-US"/>
        </w:rPr>
        <w:t>Navrhovanou úpravou sa má vecne zosúladiť text ustanovenia § 35a ods. 1 s ustanovením § 35 ods. 7 tak, aby sa jednoznačne zadefinoval druh hazardných hier, ktorých sa nemôže zúčastniť fyzická osoba evidovaná v registri vylúčených osôb.</w:t>
      </w:r>
    </w:p>
    <w:p w:rsidR="00871EBA" w:rsidP="00871EBA">
      <w:pPr>
        <w:bidi w:val="0"/>
        <w:jc w:val="both"/>
        <w:rPr>
          <w:rFonts w:ascii="Times New Roman" w:hAnsi="Times New Roman"/>
          <w:bCs/>
        </w:rPr>
      </w:pPr>
    </w:p>
    <w:p w:rsidR="00871EBA" w:rsidP="007B3260">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871EBA" w:rsidP="00020EBA">
      <w:pPr>
        <w:bidi w:val="0"/>
        <w:ind w:left="2269" w:firstLine="708"/>
        <w:rPr>
          <w:rFonts w:ascii="Times New Roman" w:hAnsi="Times New Roman"/>
        </w:rPr>
      </w:pPr>
      <w:r w:rsidRPr="00BF14E2">
        <w:rPr>
          <w:rFonts w:ascii="Times New Roman" w:hAnsi="Times New Roman"/>
          <w:b/>
        </w:rPr>
        <w:t>Gestorský výbor odporúča schváliť.</w:t>
      </w:r>
      <w:r>
        <w:rPr>
          <w:rFonts w:ascii="Times New Roman" w:hAnsi="Times New Roman"/>
        </w:rPr>
        <w:t xml:space="preserve"> </w:t>
      </w:r>
    </w:p>
    <w:p w:rsidR="002D1CAA" w:rsidP="00020EBA">
      <w:pPr>
        <w:bidi w:val="0"/>
        <w:ind w:left="2269" w:firstLine="708"/>
        <w:rPr>
          <w:rFonts w:ascii="Times New Roman" w:hAnsi="Times New Roman"/>
        </w:rPr>
      </w:pPr>
    </w:p>
    <w:p w:rsidR="002D1CAA" w:rsidP="00020EBA">
      <w:pPr>
        <w:bidi w:val="0"/>
        <w:ind w:left="2269" w:firstLine="708"/>
        <w:rPr>
          <w:rFonts w:ascii="Times New Roman" w:hAnsi="Times New Roman"/>
        </w:rPr>
      </w:pPr>
    </w:p>
    <w:p w:rsidR="002D1CAA" w:rsidP="00020EBA">
      <w:pPr>
        <w:bidi w:val="0"/>
        <w:ind w:left="2269" w:firstLine="708"/>
        <w:rPr>
          <w:rFonts w:ascii="Times New Roman" w:hAnsi="Times New Roman"/>
          <w:bCs/>
        </w:rPr>
      </w:pPr>
    </w:p>
    <w:p w:rsidR="00871EBA" w:rsidP="00904DBB">
      <w:pPr>
        <w:numPr>
          <w:numId w:val="28"/>
        </w:numPr>
        <w:bidi w:val="0"/>
        <w:ind w:left="426" w:hanging="426"/>
        <w:contextualSpacing/>
        <w:jc w:val="both"/>
        <w:rPr>
          <w:rFonts w:ascii="Times New Roman" w:hAnsi="Times New Roman"/>
          <w:b/>
          <w:lang w:eastAsia="en-US"/>
        </w:rPr>
      </w:pPr>
      <w:r>
        <w:rPr>
          <w:rFonts w:ascii="Times New Roman" w:hAnsi="Times New Roman"/>
          <w:b/>
          <w:bCs/>
          <w:lang w:eastAsia="en-US"/>
        </w:rPr>
        <w:t>K čl. I – k doterajšiemu bodu 68 (§ 35a ods. 2)</w:t>
      </w:r>
    </w:p>
    <w:p w:rsidR="00871EBA" w:rsidP="00871EBA">
      <w:pPr>
        <w:bidi w:val="0"/>
        <w:ind w:left="426"/>
        <w:contextualSpacing/>
        <w:jc w:val="both"/>
        <w:rPr>
          <w:rFonts w:ascii="Times New Roman" w:hAnsi="Times New Roman"/>
          <w:bCs/>
        </w:rPr>
      </w:pPr>
      <w:r>
        <w:rPr>
          <w:rFonts w:ascii="Times New Roman" w:hAnsi="Times New Roman"/>
          <w:bCs/>
        </w:rPr>
        <w:t>V čl. I doterajšom bode 68 v § 35a ods. 2 úvodnej vete sa na konci pripájajú tieto slová: „ktoré dovŕšili 18 rokov veku a“.</w:t>
      </w:r>
    </w:p>
    <w:p w:rsidR="00871EBA" w:rsidP="00871EBA">
      <w:pPr>
        <w:bidi w:val="0"/>
        <w:jc w:val="both"/>
        <w:rPr>
          <w:rFonts w:ascii="Times New Roman" w:hAnsi="Times New Roman"/>
          <w:bCs/>
        </w:rPr>
      </w:pPr>
    </w:p>
    <w:p w:rsidR="00871EBA" w:rsidP="00871EBA">
      <w:pPr>
        <w:bidi w:val="0"/>
        <w:ind w:left="2977"/>
        <w:jc w:val="both"/>
        <w:rPr>
          <w:rFonts w:ascii="Times New Roman" w:hAnsi="Times New Roman"/>
          <w:lang w:eastAsia="en-US"/>
        </w:rPr>
      </w:pPr>
      <w:r>
        <w:rPr>
          <w:rFonts w:ascii="Times New Roman" w:hAnsi="Times New Roman"/>
          <w:bCs/>
          <w:lang w:eastAsia="en-US"/>
        </w:rPr>
        <w:t>So zámerom zabezpečiť cieľ sledovaný zavedením inštitútu vylúčených osôb sa navrhuje rozšíriť okruh osôb vylúčených z účasti na hazardných hrách aj o osoby, ktoré sa podľa zákona č. 417/2013 Z. z. o pomoci v hmotnej núdzi a o zmene a doplnení niektorých zákonov s príjemcom pomoci v hmotnej núdzi spoločne posudzujú a sú zohľadnené aj pri posudzovaní nároku na pomoc v hmotnej núdzi a určení výšky pomoci v hmotnej núdzi. Zároveň nie je potrebné do registra vylúčených osôb evidovať fyzické osoby, mladšie ako 18 rokov veku, keďže tieto majú zakázanú účasť na hazardných hrách už podľa platného znenia zákona.</w:t>
      </w:r>
    </w:p>
    <w:p w:rsidR="00871EBA" w:rsidP="00871EBA">
      <w:pPr>
        <w:bidi w:val="0"/>
        <w:jc w:val="both"/>
        <w:rPr>
          <w:rFonts w:ascii="Times New Roman" w:hAnsi="Times New Roman"/>
          <w:bCs/>
        </w:rPr>
      </w:pPr>
    </w:p>
    <w:p w:rsidR="00197BC8" w:rsidP="007B3260">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7B3260">
      <w:pPr>
        <w:bidi w:val="0"/>
        <w:ind w:left="2269" w:firstLine="708"/>
        <w:rPr>
          <w:rFonts w:ascii="Times New Roman" w:hAnsi="Times New Roman"/>
          <w:b/>
        </w:rPr>
      </w:pPr>
      <w:r w:rsidRPr="00BF14E2">
        <w:rPr>
          <w:rFonts w:ascii="Times New Roman" w:hAnsi="Times New Roman"/>
          <w:b/>
        </w:rPr>
        <w:t>Gestorský výbor odporúča schváliť.</w:t>
      </w:r>
    </w:p>
    <w:p w:rsidR="00020EBA" w:rsidP="007B3260">
      <w:pPr>
        <w:bidi w:val="0"/>
        <w:ind w:left="2269" w:firstLine="708"/>
        <w:rPr>
          <w:rFonts w:ascii="Times New Roman" w:hAnsi="Times New Roman"/>
          <w:b/>
        </w:rPr>
      </w:pPr>
    </w:p>
    <w:p w:rsidR="00871EBA" w:rsidRPr="00DC5A6E" w:rsidP="00DC5A6E">
      <w:pPr>
        <w:pStyle w:val="ListParagraph"/>
        <w:numPr>
          <w:numId w:val="28"/>
        </w:numPr>
        <w:tabs>
          <w:tab w:val="left" w:pos="2280"/>
        </w:tabs>
        <w:bidi w:val="0"/>
        <w:spacing w:after="0" w:line="240" w:lineRule="auto"/>
        <w:ind w:left="426" w:hanging="426"/>
        <w:jc w:val="both"/>
        <w:rPr>
          <w:rFonts w:ascii="Times New Roman" w:hAnsi="Times New Roman"/>
          <w:b/>
          <w:sz w:val="24"/>
          <w:szCs w:val="24"/>
        </w:rPr>
      </w:pPr>
      <w:r w:rsidRPr="00DC5A6E">
        <w:rPr>
          <w:rFonts w:ascii="Times New Roman" w:hAnsi="Times New Roman"/>
          <w:b/>
          <w:bCs/>
          <w:sz w:val="24"/>
          <w:szCs w:val="24"/>
        </w:rPr>
        <w:t>K čl. I – k doterajšiemu bodu 68 (§ 35a ods. 2)</w:t>
      </w:r>
    </w:p>
    <w:p w:rsidR="00871EBA" w:rsidP="00871EBA">
      <w:pPr>
        <w:bidi w:val="0"/>
        <w:ind w:left="426"/>
        <w:contextualSpacing/>
        <w:jc w:val="both"/>
        <w:rPr>
          <w:rFonts w:ascii="Times New Roman" w:hAnsi="Times New Roman"/>
          <w:bCs/>
        </w:rPr>
      </w:pPr>
      <w:r>
        <w:rPr>
          <w:rFonts w:ascii="Times New Roman" w:hAnsi="Times New Roman"/>
          <w:bCs/>
        </w:rPr>
        <w:t xml:space="preserve">V čl. I doterajšom bode 68 v § 35a ods. 2 písmeno a) znie:     </w:t>
      </w:r>
    </w:p>
    <w:p w:rsidR="00871EBA" w:rsidP="00871EBA">
      <w:pPr>
        <w:bidi w:val="0"/>
        <w:ind w:left="426"/>
        <w:contextualSpacing/>
        <w:jc w:val="both"/>
        <w:rPr>
          <w:rFonts w:ascii="Times New Roman" w:hAnsi="Times New Roman"/>
          <w:bCs/>
        </w:rPr>
      </w:pPr>
      <w:r>
        <w:rPr>
          <w:rFonts w:ascii="Times New Roman" w:hAnsi="Times New Roman"/>
          <w:bCs/>
        </w:rPr>
        <w:t>„a) ktoré na účely poskytovanej pomoci v hmotnej núdzi tvoria domácnosť,</w:t>
      </w:r>
      <w:r>
        <w:rPr>
          <w:rFonts w:ascii="Times New Roman" w:hAnsi="Times New Roman"/>
          <w:bCs/>
          <w:vertAlign w:val="superscript"/>
        </w:rPr>
        <w:t>18aa)</w:t>
      </w:r>
      <w:r>
        <w:rPr>
          <w:rFonts w:ascii="Times New Roman" w:hAnsi="Times New Roman"/>
          <w:bCs/>
        </w:rPr>
        <w:t xml:space="preserve"> “.</w:t>
      </w:r>
    </w:p>
    <w:p w:rsidR="00871EBA" w:rsidP="00871EBA">
      <w:pPr>
        <w:bidi w:val="0"/>
        <w:jc w:val="both"/>
        <w:rPr>
          <w:rFonts w:ascii="Times New Roman" w:hAnsi="Times New Roman"/>
          <w:bCs/>
        </w:rPr>
      </w:pPr>
    </w:p>
    <w:p w:rsidR="00871EBA" w:rsidP="00871EBA">
      <w:pPr>
        <w:bidi w:val="0"/>
        <w:ind w:left="2977"/>
        <w:jc w:val="both"/>
        <w:rPr>
          <w:rFonts w:ascii="Times New Roman" w:hAnsi="Times New Roman"/>
          <w:lang w:eastAsia="en-US"/>
        </w:rPr>
      </w:pPr>
      <w:r>
        <w:rPr>
          <w:rFonts w:ascii="Times New Roman" w:hAnsi="Times New Roman"/>
          <w:bCs/>
          <w:lang w:eastAsia="en-US"/>
        </w:rPr>
        <w:t>So zámerom zabezpečiť cieľ sledovaný zavedením inštitútu vylúčených osôb sa navrhuje rozšíriť okruh osôb vylúčených z účasti na hazardných hrách aj o osoby, ktoré sa podľa zákona č. 417/2013 Z. z. o pomoci v hmotnej núdzi a o zmene a doplnení niektorých zákonov s príjemcom pomoci v hmotnej núdzi spoločne posudzujú a sú zohľadnené aj pri posudzovaní nároku na pomoc v hmotnej núdzi a určení výšky pomoci v hmotnej núdzi. Zároveň nie je potrebné do registra vylúčených osôb evidovať fyzické osoby, mladšie ako 18 rokov veku, keďže tieto majú zakázanú účasť na hazardných hrách už podľa platného znenia zákona.</w:t>
      </w:r>
    </w:p>
    <w:p w:rsidR="00871EBA" w:rsidP="00871EBA">
      <w:pPr>
        <w:bidi w:val="0"/>
        <w:jc w:val="both"/>
        <w:rPr>
          <w:rFonts w:ascii="Times New Roman" w:hAnsi="Times New Roman"/>
          <w:bCs/>
        </w:rPr>
      </w:pPr>
    </w:p>
    <w:p w:rsidR="00197BC8" w:rsidP="000F6B94">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0F6B94">
      <w:pPr>
        <w:bidi w:val="0"/>
        <w:ind w:left="2269" w:firstLine="708"/>
        <w:rPr>
          <w:rFonts w:ascii="Times New Roman" w:hAnsi="Times New Roman"/>
          <w:b/>
        </w:rPr>
      </w:pPr>
      <w:r w:rsidRPr="00BF14E2">
        <w:rPr>
          <w:rFonts w:ascii="Times New Roman" w:hAnsi="Times New Roman"/>
          <w:b/>
        </w:rPr>
        <w:t>Gestorský výbor odporúča schváliť.</w:t>
      </w:r>
    </w:p>
    <w:p w:rsidR="00197BC8" w:rsidP="00197BC8">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ind w:left="426" w:hanging="426"/>
        <w:contextualSpacing/>
        <w:jc w:val="both"/>
        <w:rPr>
          <w:rFonts w:ascii="Times New Roman" w:hAnsi="Times New Roman"/>
          <w:b/>
          <w:lang w:eastAsia="en-US"/>
        </w:rPr>
      </w:pPr>
      <w:r>
        <w:rPr>
          <w:rFonts w:ascii="Times New Roman" w:hAnsi="Times New Roman"/>
          <w:b/>
          <w:bCs/>
          <w:lang w:eastAsia="en-US"/>
        </w:rPr>
        <w:t>K čl. I – k doterajšiemu bodu 68 (§ 35a ods. 2)</w:t>
      </w:r>
    </w:p>
    <w:p w:rsidR="00871EBA" w:rsidP="00871EBA">
      <w:pPr>
        <w:bidi w:val="0"/>
        <w:ind w:left="426"/>
        <w:contextualSpacing/>
        <w:jc w:val="both"/>
        <w:rPr>
          <w:rFonts w:ascii="Times New Roman" w:hAnsi="Times New Roman"/>
          <w:b/>
          <w:bCs/>
          <w:lang w:eastAsia="en-US"/>
        </w:rPr>
      </w:pPr>
      <w:r>
        <w:rPr>
          <w:rFonts w:ascii="Times New Roman" w:hAnsi="Times New Roman"/>
          <w:bCs/>
        </w:rPr>
        <w:t>V čl. I doterajšom bode 68 sa text poznámky pod čiarou k odkazu 18aa nahrádza týmto textom:</w:t>
      </w:r>
    </w:p>
    <w:p w:rsidR="00871EBA" w:rsidP="00871EBA">
      <w:pPr>
        <w:bidi w:val="0"/>
        <w:ind w:left="426"/>
        <w:jc w:val="both"/>
        <w:rPr>
          <w:rFonts w:ascii="Times New Roman" w:hAnsi="Times New Roman"/>
          <w:bCs/>
        </w:rPr>
      </w:pPr>
      <w:r>
        <w:rPr>
          <w:rFonts w:ascii="Times New Roman" w:hAnsi="Times New Roman"/>
          <w:bCs/>
        </w:rPr>
        <w:t>„</w:t>
      </w:r>
      <w:r>
        <w:rPr>
          <w:rFonts w:ascii="Times New Roman" w:hAnsi="Times New Roman"/>
          <w:bCs/>
          <w:vertAlign w:val="superscript"/>
        </w:rPr>
        <w:t>18aa</w:t>
      </w:r>
      <w:r>
        <w:rPr>
          <w:rFonts w:ascii="Times New Roman" w:hAnsi="Times New Roman"/>
          <w:bCs/>
        </w:rPr>
        <w:t>) § 3 zákona č. 417/2013 Z. z. o pomoci v hmotnej núdzi a o zmene a doplnení niektorých zákonov.“.</w:t>
      </w:r>
    </w:p>
    <w:p w:rsidR="00871EBA" w:rsidP="00871EBA">
      <w:pPr>
        <w:shd w:val="clear" w:color="auto" w:fill="FFFFFF"/>
        <w:bidi w:val="0"/>
        <w:ind w:left="284" w:hanging="284"/>
        <w:jc w:val="both"/>
        <w:rPr>
          <w:rFonts w:ascii="Times New Roman" w:hAnsi="Times New Roman"/>
          <w:bCs/>
          <w:lang w:eastAsia="en-US"/>
        </w:rPr>
      </w:pPr>
    </w:p>
    <w:p w:rsidR="00871EBA" w:rsidP="00871EBA">
      <w:pPr>
        <w:bidi w:val="0"/>
        <w:ind w:left="2977"/>
        <w:jc w:val="both"/>
        <w:rPr>
          <w:rFonts w:ascii="Times New Roman" w:hAnsi="Times New Roman"/>
          <w:bCs/>
          <w:lang w:eastAsia="en-US"/>
        </w:rPr>
      </w:pPr>
      <w:r>
        <w:rPr>
          <w:rFonts w:ascii="Times New Roman" w:hAnsi="Times New Roman"/>
          <w:bCs/>
          <w:lang w:eastAsia="en-US"/>
        </w:rPr>
        <w:t>So zámerom zabezpečiť cieľ sledovaný zavedením inštitútu vylúčených osôb sa navrhuje rozšíriť okruh osôb vylúčených z účasti na hazardných hrách aj o osoby, ktoré sa podľa zákona č. 417/2013 Z. z. o pomoci v hmotnej núdzi a o zmene a doplnení niektorých zákonov s príjemcom pomoci v hmotnej núdzi spoločne posudzujú a sú zohľadnené aj pri posudzovaní nároku na pomoc v hmotnej núdzi a určení výšky pomoci v hmotnej núdzi. Zároveň nie je potrebné do registra vylúčených osôb evidovať fyzické osoby, mladšie ako 18 rokov veku, keďže tieto majú zakázanú účasť na hazardných hrách už podľa platného znenia zákona.</w:t>
      </w:r>
    </w:p>
    <w:p w:rsidR="002D1CAA" w:rsidP="00871EBA">
      <w:pPr>
        <w:bidi w:val="0"/>
        <w:ind w:left="2977"/>
        <w:jc w:val="both"/>
        <w:rPr>
          <w:rFonts w:ascii="Times New Roman" w:hAnsi="Times New Roman"/>
          <w:bCs/>
          <w:lang w:eastAsia="en-US"/>
        </w:rPr>
      </w:pPr>
    </w:p>
    <w:p w:rsidR="00197BC8" w:rsidP="000F6B94">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0F6B94">
      <w:pPr>
        <w:bidi w:val="0"/>
        <w:ind w:left="2269" w:firstLine="708"/>
        <w:rPr>
          <w:rFonts w:ascii="Times New Roman" w:hAnsi="Times New Roman"/>
          <w:b/>
        </w:rPr>
      </w:pPr>
      <w:r w:rsidRPr="00BF14E2">
        <w:rPr>
          <w:rFonts w:ascii="Times New Roman" w:hAnsi="Times New Roman"/>
          <w:b/>
        </w:rPr>
        <w:t>Gestorský výbor odporúča schváliť.</w:t>
      </w:r>
    </w:p>
    <w:p w:rsidR="00197BC8" w:rsidP="00197BC8">
      <w:pPr>
        <w:tabs>
          <w:tab w:val="left" w:pos="2280"/>
        </w:tabs>
        <w:bidi w:val="0"/>
        <w:jc w:val="both"/>
        <w:rPr>
          <w:rFonts w:ascii="Times New Roman" w:hAnsi="Times New Roman"/>
        </w:rPr>
      </w:pPr>
      <w:r>
        <w:rPr>
          <w:rFonts w:ascii="Times New Roman" w:hAnsi="Times New Roman"/>
        </w:rPr>
        <w:t xml:space="preserve"> </w:t>
      </w:r>
    </w:p>
    <w:p w:rsidR="00871EBA" w:rsidP="00904DBB">
      <w:pPr>
        <w:numPr>
          <w:numId w:val="28"/>
        </w:numPr>
        <w:bidi w:val="0"/>
        <w:jc w:val="both"/>
        <w:rPr>
          <w:rFonts w:ascii="Times New Roman" w:hAnsi="Times New Roman"/>
          <w:b/>
        </w:rPr>
      </w:pPr>
      <w:r>
        <w:rPr>
          <w:rFonts w:ascii="Times New Roman" w:hAnsi="Times New Roman"/>
          <w:b/>
        </w:rPr>
        <w:t>K čl. I 68. bodu § 35a ods. 2 písm. c)</w:t>
      </w:r>
    </w:p>
    <w:p w:rsidR="00871EBA" w:rsidP="00871EBA">
      <w:pPr>
        <w:bidi w:val="0"/>
        <w:jc w:val="both"/>
        <w:rPr>
          <w:rFonts w:ascii="Times New Roman" w:hAnsi="Times New Roman"/>
        </w:rPr>
      </w:pPr>
      <w:r>
        <w:rPr>
          <w:rFonts w:ascii="Times New Roman" w:hAnsi="Times New Roman"/>
        </w:rPr>
        <w:t xml:space="preserve">    </w:t>
        <w:tab/>
        <w:t>V čl. I 68. bode § 35a ods. 2 písmeno c) znie:</w:t>
      </w:r>
    </w:p>
    <w:p w:rsidR="00871EBA" w:rsidP="00871EBA">
      <w:pPr>
        <w:bidi w:val="0"/>
        <w:ind w:left="705"/>
        <w:jc w:val="both"/>
        <w:rPr>
          <w:rFonts w:ascii="Times New Roman" w:hAnsi="Times New Roman"/>
        </w:rPr>
      </w:pPr>
      <w:r>
        <w:rPr>
          <w:rFonts w:ascii="Times New Roman" w:hAnsi="Times New Roman"/>
        </w:rPr>
        <w:t>„c) ktorým bola diagnostikovaná choroba patologického</w:t>
      </w:r>
      <w:r w:rsidR="00DC5A6E">
        <w:rPr>
          <w:rFonts w:ascii="Times New Roman" w:hAnsi="Times New Roman"/>
        </w:rPr>
        <w:t xml:space="preserve"> hráčstva podľa medzinárodnej</w:t>
      </w:r>
      <w:r>
        <w:rPr>
          <w:rFonts w:ascii="Times New Roman" w:hAnsi="Times New Roman"/>
        </w:rPr>
        <w:t xml:space="preserve"> klasifikácie chorôb.</w:t>
      </w:r>
      <w:r>
        <w:rPr>
          <w:rFonts w:ascii="Times New Roman" w:hAnsi="Times New Roman"/>
          <w:vertAlign w:val="superscript"/>
        </w:rPr>
        <w:t>18ab)</w:t>
      </w:r>
      <w:r>
        <w:rPr>
          <w:rFonts w:ascii="Times New Roman" w:hAnsi="Times New Roman"/>
        </w:rPr>
        <w:t>“.</w:t>
      </w:r>
    </w:p>
    <w:p w:rsidR="00871EBA" w:rsidP="00871EBA">
      <w:pPr>
        <w:bidi w:val="0"/>
        <w:ind w:left="284" w:hanging="284"/>
        <w:jc w:val="both"/>
        <w:rPr>
          <w:rFonts w:ascii="Times New Roman" w:hAnsi="Times New Roman"/>
        </w:rPr>
      </w:pPr>
    </w:p>
    <w:p w:rsidR="00871EBA" w:rsidP="00871EBA">
      <w:pPr>
        <w:bidi w:val="0"/>
        <w:jc w:val="both"/>
        <w:rPr>
          <w:rFonts w:ascii="Times New Roman" w:hAnsi="Times New Roman"/>
        </w:rPr>
      </w:pPr>
      <w:r>
        <w:rPr>
          <w:rFonts w:ascii="Times New Roman" w:hAnsi="Times New Roman"/>
        </w:rPr>
        <w:t xml:space="preserve">    </w:t>
        <w:tab/>
        <w:t>Poznámka pod čiarou k odkazu 18ab znie:</w:t>
      </w:r>
    </w:p>
    <w:p w:rsidR="00871EBA" w:rsidP="00871EBA">
      <w:pPr>
        <w:bidi w:val="0"/>
        <w:ind w:left="708" w:firstLine="120"/>
        <w:jc w:val="both"/>
        <w:rPr>
          <w:rFonts w:ascii="Times New Roman" w:hAnsi="Times New Roman"/>
        </w:rPr>
      </w:pPr>
      <w:r>
        <w:rPr>
          <w:rFonts w:ascii="Times New Roman" w:hAnsi="Times New Roman"/>
        </w:rPr>
        <w:t xml:space="preserve">„18ab)§ 3 ods. 1 zákona č. 576/2004 Z. z. o zdravotnej starostlivosti, službách súvisiacich   s poskytovaním zdravotnej starostlivosti a o zmene a doplnení niektorých </w:t>
      </w:r>
      <w:r w:rsidRPr="00721E5F">
        <w:rPr>
          <w:rFonts w:ascii="Times New Roman" w:hAnsi="Times New Roman"/>
        </w:rPr>
        <w:t>zákonov v znení neskorších predpisov.“.</w:t>
      </w:r>
    </w:p>
    <w:p w:rsidR="00871EBA" w:rsidP="00871EBA">
      <w:pPr>
        <w:bidi w:val="0"/>
        <w:jc w:val="both"/>
        <w:rPr>
          <w:rFonts w:ascii="Times New Roman" w:hAnsi="Times New Roman"/>
        </w:rPr>
      </w:pPr>
    </w:p>
    <w:p w:rsidR="00871EBA" w:rsidP="00871EBA">
      <w:pPr>
        <w:bidi w:val="0"/>
        <w:ind w:left="2835"/>
        <w:jc w:val="both"/>
        <w:rPr>
          <w:rFonts w:ascii="Times New Roman" w:hAnsi="Times New Roman"/>
        </w:rPr>
      </w:pPr>
      <w:r>
        <w:rPr>
          <w:rFonts w:ascii="Times New Roman" w:hAnsi="Times New Roman"/>
        </w:rPr>
        <w:t>Pri úprave registra vylúčených osôb v § 35a  sa  pri vymedzení fyzických   osôb  vylúčených   z  účasti    na hazardných   hrách    z   dôvodu,   že  im bola diagnostikovaná choroba patologického hráčstva  odkazuje  na prílohu č. 1 (Kód F63.0) zákona č. 576/2004 Z. z.  o   zdravotnej   starostlivosti, službách súvisiacich s poskytovaním zdravotnej starostlivosti,  ktorá  bola zákonom č. 428/2014 Z. z. vypustená a nahradila ju medzinárodná klasifikácia chorôb, ktorú podľa § 3 ods. 1 cit. zákona uverejňuje Ministerstvo zdravotníctva SR na svojom webovom sídle.</w:t>
      </w:r>
    </w:p>
    <w:p w:rsidR="00871EBA" w:rsidP="00871EBA">
      <w:pPr>
        <w:bidi w:val="0"/>
        <w:jc w:val="both"/>
        <w:rPr>
          <w:rFonts w:ascii="Times New Roman" w:hAnsi="Times New Roman"/>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jc w:val="both"/>
        <w:rPr>
          <w:rFonts w:ascii="Times New Roman" w:hAnsi="Times New Roman"/>
          <w:b/>
        </w:rPr>
      </w:pPr>
      <w:r w:rsidRPr="00A66A95">
        <w:rPr>
          <w:rFonts w:ascii="Times New Roman" w:hAnsi="Times New Roman"/>
          <w:b/>
        </w:rPr>
        <w:t>Ústavnoprávny výbor NR SR</w:t>
      </w:r>
    </w:p>
    <w:p w:rsidR="00197BC8" w:rsidRPr="00020EBA" w:rsidP="00197BC8">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197BC8" w:rsidP="00197BC8">
      <w:pPr>
        <w:bidi w:val="0"/>
        <w:ind w:left="2124" w:firstLine="708"/>
        <w:rPr>
          <w:rFonts w:ascii="Times New Roman" w:hAnsi="Times New Roman"/>
          <w:b/>
        </w:rPr>
      </w:pPr>
      <w:r w:rsidRPr="00D63CFE">
        <w:rPr>
          <w:rFonts w:ascii="Times New Roman" w:hAnsi="Times New Roman"/>
          <w:b/>
        </w:rPr>
        <w:t>Výbor</w:t>
      </w:r>
      <w:r>
        <w:rPr>
          <w:rFonts w:ascii="Times New Roman" w:hAnsi="Times New Roman"/>
        </w:rPr>
        <w:t xml:space="preserve"> </w:t>
      </w:r>
      <w:r w:rsidRPr="00D63CFE">
        <w:rPr>
          <w:rFonts w:ascii="Times New Roman" w:hAnsi="Times New Roman"/>
          <w:b/>
        </w:rPr>
        <w:t>NR SR</w:t>
      </w:r>
      <w:r>
        <w:rPr>
          <w:rFonts w:ascii="Times New Roman" w:hAnsi="Times New Roman"/>
        </w:rPr>
        <w:t xml:space="preserve"> </w:t>
      </w:r>
      <w:r w:rsidRPr="00D63CFE">
        <w:rPr>
          <w:rFonts w:ascii="Times New Roman" w:hAnsi="Times New Roman"/>
          <w:b/>
        </w:rPr>
        <w:t>pre zdravotníctvo</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RPr="00FF2FCF" w:rsidP="00FF2FCF">
      <w:pPr>
        <w:tabs>
          <w:tab w:val="left" w:pos="2280"/>
        </w:tabs>
        <w:bidi w:val="0"/>
        <w:jc w:val="both"/>
        <w:rPr>
          <w:rFonts w:ascii="Times New Roman" w:hAnsi="Times New Roman"/>
        </w:rPr>
      </w:pPr>
      <w:r>
        <w:rPr>
          <w:rFonts w:ascii="Times New Roman" w:hAnsi="Times New Roman"/>
        </w:rPr>
        <w:t xml:space="preserve"> </w:t>
      </w:r>
    </w:p>
    <w:p w:rsidR="00FF2FCF" w:rsidRPr="00020EBA" w:rsidP="00FF2FCF">
      <w:pPr>
        <w:pStyle w:val="BodyText"/>
        <w:numPr>
          <w:numId w:val="28"/>
        </w:numPr>
        <w:bidi w:val="0"/>
        <w:ind w:left="426" w:hanging="426"/>
        <w:jc w:val="left"/>
        <w:rPr>
          <w:rFonts w:ascii="Times New Roman" w:hAnsi="Times New Roman"/>
          <w:b/>
        </w:rPr>
      </w:pPr>
      <w:r w:rsidRPr="00020EBA">
        <w:rPr>
          <w:rFonts w:ascii="Times New Roman" w:hAnsi="Times New Roman"/>
          <w:b/>
          <w:bCs/>
        </w:rPr>
        <w:t xml:space="preserve">K čl. I </w:t>
      </w:r>
      <w:r w:rsidRPr="00020EBA">
        <w:rPr>
          <w:rFonts w:ascii="Times New Roman" w:hAnsi="Times New Roman"/>
          <w:b/>
        </w:rPr>
        <w:t>– k doterajšiemu bodu 68 (§ 35a ods. 2)</w:t>
      </w:r>
    </w:p>
    <w:p w:rsidR="00FF2FCF" w:rsidRPr="00020EBA" w:rsidP="00FF2FCF">
      <w:pPr>
        <w:pStyle w:val="ListParagraph"/>
        <w:autoSpaceDE w:val="0"/>
        <w:autoSpaceDN w:val="0"/>
        <w:bidi w:val="0"/>
        <w:adjustRightInd w:val="0"/>
        <w:spacing w:after="0" w:line="240" w:lineRule="auto"/>
        <w:ind w:left="426"/>
        <w:rPr>
          <w:rFonts w:ascii="Times New Roman" w:hAnsi="Times New Roman"/>
          <w:sz w:val="24"/>
          <w:szCs w:val="24"/>
        </w:rPr>
      </w:pPr>
      <w:r w:rsidRPr="00020EBA">
        <w:rPr>
          <w:rFonts w:ascii="Times New Roman" w:hAnsi="Times New Roman"/>
          <w:sz w:val="24"/>
          <w:szCs w:val="24"/>
        </w:rPr>
        <w:t xml:space="preserve">V čl. I doterajšom bode 68 v § 35a sa odsek 2 dopĺňa písmenom d), ktoré znie: </w:t>
      </w:r>
    </w:p>
    <w:p w:rsidR="00FF2FCF" w:rsidRPr="00020EBA" w:rsidP="00FF2FCF">
      <w:pPr>
        <w:pStyle w:val="ListParagraph"/>
        <w:autoSpaceDE w:val="0"/>
        <w:autoSpaceDN w:val="0"/>
        <w:bidi w:val="0"/>
        <w:adjustRightInd w:val="0"/>
        <w:spacing w:after="0" w:line="240" w:lineRule="auto"/>
        <w:ind w:left="426"/>
        <w:jc w:val="both"/>
        <w:rPr>
          <w:rFonts w:ascii="Times New Roman" w:hAnsi="Times New Roman"/>
          <w:sz w:val="24"/>
          <w:szCs w:val="24"/>
        </w:rPr>
      </w:pPr>
      <w:r w:rsidRPr="00020EBA">
        <w:rPr>
          <w:rFonts w:ascii="Times New Roman" w:hAnsi="Times New Roman"/>
          <w:sz w:val="24"/>
          <w:szCs w:val="24"/>
        </w:rPr>
        <w:t>„d)</w:t>
      </w:r>
      <w:r w:rsidRPr="00020EBA">
        <w:rPr>
          <w:rFonts w:ascii="Times New Roman" w:hAnsi="Times New Roman"/>
          <w:i/>
          <w:sz w:val="24"/>
          <w:szCs w:val="24"/>
        </w:rPr>
        <w:t xml:space="preserve"> </w:t>
      </w:r>
      <w:r w:rsidRPr="00020EBA">
        <w:rPr>
          <w:rFonts w:ascii="Times New Roman" w:hAnsi="Times New Roman"/>
          <w:sz w:val="24"/>
          <w:szCs w:val="24"/>
        </w:rPr>
        <w:t>ktoré študujú na verejnej vysokej škole, súkromnej vysokej škole alebo štátnej vysokej škole v dennej forme štúdia, v študijnom programe prvého stupňa, v študijnom programe druhého stupňa alebo v študijných programoch spojeného prvého a druhého stupňa a zároveň im bolo priznané sociálne štipendium.“.</w:t>
      </w:r>
    </w:p>
    <w:p w:rsidR="00FF2FCF" w:rsidRPr="00020EBA" w:rsidP="00FF2FCF">
      <w:pPr>
        <w:pStyle w:val="ListParagraph"/>
        <w:tabs>
          <w:tab w:val="left" w:pos="397"/>
        </w:tabs>
        <w:autoSpaceDE w:val="0"/>
        <w:autoSpaceDN w:val="0"/>
        <w:bidi w:val="0"/>
        <w:adjustRightInd w:val="0"/>
        <w:spacing w:after="0" w:line="240" w:lineRule="auto"/>
        <w:jc w:val="both"/>
        <w:rPr>
          <w:rFonts w:ascii="Times New Roman" w:hAnsi="Times New Roman"/>
          <w:sz w:val="24"/>
          <w:szCs w:val="24"/>
        </w:rPr>
      </w:pPr>
      <w:r w:rsidRPr="00020EBA">
        <w:rPr>
          <w:rFonts w:ascii="Times New Roman" w:hAnsi="Times New Roman"/>
          <w:sz w:val="24"/>
          <w:szCs w:val="24"/>
        </w:rPr>
        <w:tab/>
        <w:tab/>
        <w:tab/>
        <w:tab/>
        <w:tab/>
        <w:tab/>
      </w:r>
    </w:p>
    <w:p w:rsidR="00FF2FCF" w:rsidRPr="00020EBA" w:rsidP="00FF2FCF">
      <w:pPr>
        <w:pStyle w:val="ListParagraph"/>
        <w:tabs>
          <w:tab w:val="left" w:pos="397"/>
        </w:tabs>
        <w:autoSpaceDE w:val="0"/>
        <w:autoSpaceDN w:val="0"/>
        <w:bidi w:val="0"/>
        <w:adjustRightInd w:val="0"/>
        <w:spacing w:after="0" w:line="240" w:lineRule="auto"/>
        <w:ind w:left="2835"/>
        <w:jc w:val="both"/>
        <w:rPr>
          <w:rFonts w:ascii="Times New Roman" w:hAnsi="Times New Roman"/>
          <w:sz w:val="24"/>
          <w:szCs w:val="24"/>
        </w:rPr>
      </w:pPr>
      <w:r w:rsidRPr="00020EBA">
        <w:rPr>
          <w:rFonts w:ascii="Times New Roman" w:hAnsi="Times New Roman"/>
          <w:sz w:val="24"/>
          <w:szCs w:val="24"/>
        </w:rPr>
        <w:t>Sociálne štipendium je určené pre študentov vysokých škôl, ktorí pochádzajú z ekonomicky slabších sociálnych pomerov. Do skupiny najviac ohrozených skupín ľudí, ktorých chce novela zákona o hazarde cez register vylúčených osôb ochrániť by preto mali patriť aj študenti vysokých škôl, ktorým bolo priznané sociálne štipendium, pretože primárnym účelom poskytnutia tohto druhu príspevku je pokrytie nákladov spojených so štúdiom na vysokej škole.</w:t>
      </w:r>
    </w:p>
    <w:p w:rsidR="00FF2FCF" w:rsidRPr="00020EBA" w:rsidP="00197BC8">
      <w:pPr>
        <w:tabs>
          <w:tab w:val="left" w:pos="2280"/>
        </w:tabs>
        <w:bidi w:val="0"/>
        <w:jc w:val="both"/>
        <w:rPr>
          <w:rFonts w:ascii="Times New Roman" w:hAnsi="Times New Roman"/>
        </w:rPr>
      </w:pPr>
    </w:p>
    <w:p w:rsidR="00FF2FCF" w:rsidRPr="00020EBA" w:rsidP="00FF2FCF">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FF2FCF" w:rsidRPr="00D83BC5" w:rsidP="00FF2FCF">
      <w:pPr>
        <w:bidi w:val="0"/>
        <w:ind w:left="2124" w:firstLine="708"/>
        <w:rPr>
          <w:rFonts w:ascii="Times New Roman" w:hAnsi="Times New Roman"/>
          <w:b/>
        </w:rPr>
      </w:pPr>
      <w:r w:rsidRPr="00D83BC5">
        <w:rPr>
          <w:rFonts w:ascii="Times New Roman" w:hAnsi="Times New Roman"/>
          <w:b/>
        </w:rPr>
        <w:t>Gestorský výbor odporúča schváliť.</w:t>
      </w:r>
    </w:p>
    <w:p w:rsidR="00FF2FCF" w:rsidRPr="00020EBA" w:rsidP="00FF2FCF">
      <w:pPr>
        <w:pStyle w:val="BodyText"/>
        <w:numPr>
          <w:numId w:val="28"/>
        </w:numPr>
        <w:bidi w:val="0"/>
        <w:ind w:left="426" w:hanging="426"/>
        <w:jc w:val="left"/>
        <w:rPr>
          <w:rFonts w:ascii="Times New Roman" w:hAnsi="Times New Roman"/>
          <w:b/>
        </w:rPr>
      </w:pPr>
      <w:r w:rsidRPr="00020EBA">
        <w:rPr>
          <w:rFonts w:ascii="Times New Roman" w:hAnsi="Times New Roman"/>
          <w:b/>
        </w:rPr>
        <w:t>K čl. I – k doterajšiemu bodu 68 (§ 35a ods. 5)</w:t>
      </w:r>
    </w:p>
    <w:p w:rsidR="00FF2FCF" w:rsidRPr="00020EBA" w:rsidP="00FF2FCF">
      <w:pPr>
        <w:pStyle w:val="ListParagraph"/>
        <w:autoSpaceDE w:val="0"/>
        <w:autoSpaceDN w:val="0"/>
        <w:bidi w:val="0"/>
        <w:adjustRightInd w:val="0"/>
        <w:spacing w:after="0" w:line="240" w:lineRule="auto"/>
        <w:ind w:left="426"/>
        <w:jc w:val="both"/>
        <w:rPr>
          <w:rFonts w:ascii="Times New Roman" w:hAnsi="Times New Roman"/>
          <w:sz w:val="24"/>
          <w:szCs w:val="24"/>
        </w:rPr>
      </w:pPr>
      <w:r w:rsidRPr="00020EBA">
        <w:rPr>
          <w:rFonts w:ascii="Times New Roman" w:hAnsi="Times New Roman"/>
          <w:sz w:val="24"/>
          <w:szCs w:val="24"/>
        </w:rPr>
        <w:t>V čl. I doterajšom bode 68 sa v § 35a ods. 5 na konci pripája táto veta: „Údaje do registra vylúčených osôb podľa odseku 4 písm. a) a b) o fyzických osobách, ktoré študujú na verejnej vysokej škole, súkromnej vysokej škole alebo štátnej vysokej škole v dennej forme štúdia, v študijnom programe prvého stupňa, v študijnom programe druhého stupňa alebo v študijných programoch</w:t>
      </w:r>
      <w:r w:rsidRPr="00020EBA">
        <w:rPr>
          <w:rFonts w:ascii="Times New Roman" w:hAnsi="Times New Roman"/>
          <w:i/>
          <w:sz w:val="24"/>
          <w:szCs w:val="24"/>
        </w:rPr>
        <w:t xml:space="preserve"> </w:t>
      </w:r>
      <w:r w:rsidRPr="00020EBA">
        <w:rPr>
          <w:rFonts w:ascii="Times New Roman" w:hAnsi="Times New Roman"/>
          <w:sz w:val="24"/>
          <w:szCs w:val="24"/>
        </w:rPr>
        <w:t>spojeného prvého a druhého stupňa</w:t>
      </w:r>
      <w:r w:rsidRPr="00020EBA">
        <w:rPr>
          <w:rFonts w:ascii="Times New Roman" w:hAnsi="Times New Roman"/>
          <w:i/>
          <w:sz w:val="24"/>
          <w:szCs w:val="24"/>
        </w:rPr>
        <w:t xml:space="preserve"> </w:t>
      </w:r>
      <w:r w:rsidRPr="00020EBA">
        <w:rPr>
          <w:rFonts w:ascii="Times New Roman" w:hAnsi="Times New Roman"/>
          <w:sz w:val="24"/>
          <w:szCs w:val="24"/>
        </w:rPr>
        <w:t>a zároveň im bolo priznané sociálne štipendium, poskytuje Ministerstvo školstva, vedy, výskumu a športu Slovenskej republiky do 20. dňa kalendárneho mesiaca.“.</w:t>
      </w:r>
    </w:p>
    <w:p w:rsidR="00FF2FCF" w:rsidRPr="00020EBA" w:rsidP="00FF2FCF">
      <w:pPr>
        <w:pStyle w:val="ListParagraph"/>
        <w:autoSpaceDE w:val="0"/>
        <w:autoSpaceDN w:val="0"/>
        <w:bidi w:val="0"/>
        <w:adjustRightInd w:val="0"/>
        <w:spacing w:after="0" w:line="240" w:lineRule="auto"/>
        <w:ind w:left="426"/>
        <w:jc w:val="both"/>
        <w:rPr>
          <w:rFonts w:ascii="Times New Roman" w:hAnsi="Times New Roman"/>
          <w:sz w:val="24"/>
          <w:szCs w:val="24"/>
        </w:rPr>
      </w:pPr>
    </w:p>
    <w:p w:rsidR="00FF2FCF" w:rsidRPr="00020EBA" w:rsidP="00FF2FCF">
      <w:pPr>
        <w:tabs>
          <w:tab w:val="left" w:pos="2280"/>
        </w:tabs>
        <w:bidi w:val="0"/>
        <w:ind w:left="2977"/>
        <w:jc w:val="both"/>
        <w:rPr>
          <w:rFonts w:ascii="Times New Roman" w:hAnsi="Times New Roman"/>
        </w:rPr>
      </w:pPr>
      <w:r w:rsidRPr="00020EBA">
        <w:rPr>
          <w:rFonts w:ascii="Times New Roman" w:hAnsi="Times New Roman"/>
        </w:rPr>
        <w:t>Ministerstvo školstva, vedy, výskumu a športu Slovenskej republiky vytvára databázu študentov vysokých škôl, ktorí poberajú sociálne štipendium, ktorou je Centrálny register študentov. Preto sa navrhuje, aby údaje z tejto databázy  poskytovalo ministerstvo do registra vylúčených osôb, a to do  20. dňa kalendárneho mesiaca.</w:t>
      </w:r>
    </w:p>
    <w:p w:rsidR="00FF2FCF" w:rsidRPr="00020EBA" w:rsidP="00FF2FCF">
      <w:pPr>
        <w:tabs>
          <w:tab w:val="left" w:pos="2280"/>
        </w:tabs>
        <w:bidi w:val="0"/>
        <w:ind w:left="2977"/>
        <w:jc w:val="both"/>
        <w:rPr>
          <w:rFonts w:ascii="Times New Roman" w:hAnsi="Times New Roman"/>
        </w:rPr>
      </w:pPr>
    </w:p>
    <w:p w:rsidR="00FF2FCF" w:rsidRPr="00020EBA" w:rsidP="00FF2FCF">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D83BC5" w:rsidRPr="00D83BC5" w:rsidP="00D83BC5">
      <w:pPr>
        <w:bidi w:val="0"/>
        <w:ind w:left="2124" w:firstLine="708"/>
        <w:rPr>
          <w:rFonts w:ascii="Times New Roman" w:hAnsi="Times New Roman"/>
          <w:b/>
        </w:rPr>
      </w:pPr>
      <w:r w:rsidRPr="00D83BC5">
        <w:rPr>
          <w:rFonts w:ascii="Times New Roman" w:hAnsi="Times New Roman"/>
          <w:b/>
        </w:rPr>
        <w:t>Gestorský výbor odporúča schváliť.</w:t>
      </w:r>
    </w:p>
    <w:p w:rsidR="00020EBA" w:rsidRPr="00FF2FCF" w:rsidP="00FF2FCF">
      <w:pPr>
        <w:bidi w:val="0"/>
        <w:ind w:left="2124" w:firstLine="708"/>
        <w:rPr>
          <w:rFonts w:ascii="Times New Roman" w:hAnsi="Times New Roman"/>
          <w:b/>
          <w:color w:val="FF0000"/>
        </w:rPr>
      </w:pPr>
    </w:p>
    <w:p w:rsidR="00871EBA" w:rsidP="00904DBB">
      <w:pPr>
        <w:numPr>
          <w:numId w:val="28"/>
        </w:numPr>
        <w:bidi w:val="0"/>
        <w:ind w:left="426" w:hanging="426"/>
        <w:contextualSpacing/>
        <w:jc w:val="both"/>
        <w:rPr>
          <w:rFonts w:ascii="Times New Roman" w:hAnsi="Times New Roman"/>
          <w:b/>
          <w:lang w:eastAsia="en-US"/>
        </w:rPr>
      </w:pPr>
      <w:r>
        <w:rPr>
          <w:rFonts w:ascii="Times New Roman" w:hAnsi="Times New Roman"/>
          <w:b/>
          <w:bCs/>
          <w:lang w:eastAsia="en-US"/>
        </w:rPr>
        <w:t>K čl. I – k doterajšiemu bodu 68 (§ 35a ods. 7)</w:t>
      </w:r>
    </w:p>
    <w:p w:rsidR="00871EBA" w:rsidP="00871EBA">
      <w:pPr>
        <w:bidi w:val="0"/>
        <w:ind w:left="426"/>
        <w:contextualSpacing/>
        <w:jc w:val="both"/>
        <w:rPr>
          <w:rFonts w:ascii="Times New Roman" w:hAnsi="Times New Roman"/>
          <w:b/>
          <w:bCs/>
          <w:lang w:eastAsia="en-US"/>
        </w:rPr>
      </w:pPr>
      <w:r>
        <w:rPr>
          <w:rFonts w:ascii="Times New Roman" w:hAnsi="Times New Roman"/>
          <w:bCs/>
        </w:rPr>
        <w:t>V čl. I doterajšom bode 68 v § 35a ods. 7 prvej vete sa slovo „pominú“ nahrádza slovami „zistí, že pominuli“.</w:t>
      </w:r>
    </w:p>
    <w:p w:rsidR="00871EBA" w:rsidP="00871EBA">
      <w:pPr>
        <w:shd w:val="clear" w:color="auto" w:fill="FFFFFF"/>
        <w:autoSpaceDE w:val="0"/>
        <w:autoSpaceDN w:val="0"/>
        <w:bidi w:val="0"/>
        <w:adjustRightInd w:val="0"/>
        <w:ind w:left="2832"/>
        <w:jc w:val="both"/>
        <w:rPr>
          <w:rFonts w:ascii="Times New Roman" w:hAnsi="Times New Roman"/>
          <w:bCs/>
          <w:u w:val="single"/>
          <w:lang w:eastAsia="en-US"/>
        </w:rPr>
      </w:pPr>
    </w:p>
    <w:p w:rsidR="00871EBA" w:rsidP="00871EBA">
      <w:pPr>
        <w:bidi w:val="0"/>
        <w:ind w:left="2835" w:firstLine="3"/>
        <w:jc w:val="both"/>
        <w:rPr>
          <w:rFonts w:ascii="Times New Roman" w:hAnsi="Times New Roman"/>
          <w:bCs/>
          <w:lang w:eastAsia="en-US"/>
        </w:rPr>
      </w:pPr>
      <w:r>
        <w:rPr>
          <w:rFonts w:ascii="Times New Roman" w:hAnsi="Times New Roman"/>
          <w:bCs/>
          <w:lang w:eastAsia="en-US"/>
        </w:rPr>
        <w:t>Návrhom sa spresňuje znenie tak, že správca registra vykoná výmaz fyzickej osoby z registra vylúčených osôb bezodkladne potom, keď zistí, že pominuli dôvody pre zápis tejto osoby do registra. Tzn. skutočnosť, že pominú dôvody pre zápis fyzickej osoby do registra musí jeho správca najprv zistiť, a až následne môže aktualizovať údaje v registri.</w:t>
      </w:r>
    </w:p>
    <w:p w:rsidR="00871EBA" w:rsidP="00871EBA">
      <w:pPr>
        <w:bidi w:val="0"/>
        <w:jc w:val="both"/>
        <w:rPr>
          <w:rFonts w:ascii="Times New Roman" w:hAnsi="Times New Roman"/>
          <w:bCs/>
          <w:lang w:eastAsia="en-U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bCs/>
          <w:lang w:eastAsia="en-US"/>
        </w:rPr>
      </w:pPr>
    </w:p>
    <w:p w:rsidR="008C3779" w:rsidRPr="00020EBA" w:rsidP="00904DBB">
      <w:pPr>
        <w:pStyle w:val="ListParagraph"/>
        <w:numPr>
          <w:numId w:val="28"/>
        </w:numPr>
        <w:bidi w:val="0"/>
        <w:spacing w:after="0" w:line="240" w:lineRule="auto"/>
        <w:ind w:left="426" w:hanging="426"/>
        <w:jc w:val="both"/>
        <w:rPr>
          <w:rFonts w:ascii="Times New Roman" w:hAnsi="Times New Roman"/>
          <w:b/>
          <w:sz w:val="24"/>
          <w:szCs w:val="24"/>
        </w:rPr>
      </w:pPr>
      <w:r w:rsidRPr="00020EBA">
        <w:rPr>
          <w:rFonts w:ascii="Times New Roman" w:hAnsi="Times New Roman"/>
          <w:b/>
          <w:sz w:val="24"/>
          <w:szCs w:val="24"/>
        </w:rPr>
        <w:t>K čl. I – k doterajšiemu bodu 68 (§ 35a ods. 9)</w:t>
      </w:r>
    </w:p>
    <w:p w:rsidR="008C3779" w:rsidRPr="00020EBA" w:rsidP="008C3779">
      <w:pPr>
        <w:pStyle w:val="ListParagraph"/>
        <w:tabs>
          <w:tab w:val="left" w:pos="0"/>
        </w:tabs>
        <w:autoSpaceDE w:val="0"/>
        <w:autoSpaceDN w:val="0"/>
        <w:bidi w:val="0"/>
        <w:adjustRightInd w:val="0"/>
        <w:spacing w:after="0" w:line="240" w:lineRule="auto"/>
        <w:ind w:left="426"/>
        <w:jc w:val="both"/>
        <w:rPr>
          <w:rFonts w:ascii="Times New Roman" w:hAnsi="Times New Roman"/>
          <w:sz w:val="24"/>
          <w:szCs w:val="24"/>
        </w:rPr>
      </w:pPr>
      <w:r w:rsidRPr="00020EBA">
        <w:rPr>
          <w:rFonts w:ascii="Times New Roman" w:hAnsi="Times New Roman"/>
          <w:sz w:val="24"/>
          <w:szCs w:val="24"/>
        </w:rPr>
        <w:t>V čl. I doterajšom bode 68 v § 35a odsek 9 znie:</w:t>
      </w:r>
    </w:p>
    <w:p w:rsidR="008C3779" w:rsidRPr="00020EBA" w:rsidP="008C3779">
      <w:pPr>
        <w:pStyle w:val="ListParagraph"/>
        <w:tabs>
          <w:tab w:val="left" w:pos="0"/>
        </w:tabs>
        <w:autoSpaceDE w:val="0"/>
        <w:autoSpaceDN w:val="0"/>
        <w:bidi w:val="0"/>
        <w:adjustRightInd w:val="0"/>
        <w:spacing w:after="0" w:line="240" w:lineRule="auto"/>
        <w:ind w:left="426" w:hanging="142"/>
        <w:jc w:val="both"/>
        <w:rPr>
          <w:rFonts w:ascii="Times New Roman" w:hAnsi="Times New Roman"/>
          <w:sz w:val="24"/>
          <w:szCs w:val="24"/>
        </w:rPr>
      </w:pPr>
      <w:r w:rsidRPr="00020EBA">
        <w:rPr>
          <w:rFonts w:ascii="Times New Roman" w:hAnsi="Times New Roman"/>
          <w:sz w:val="24"/>
          <w:szCs w:val="24"/>
        </w:rPr>
        <w:t>„(9) Správca registra je povinný umožniť prevádzkovateľom hazardných hier na účely porovnania totožnosti fyzickej osoby nepretržitý prístup do registra vylúčených osôb, a to len k údajom o tom, či konkrétna fyzická osoba je zapísaná v registri vylúčených osôb. Ak správca registra nemôže umožniť nepretržitý prístup prevádzkovateľom hazardných hier do registra vylúčených osôb, oznam s uvedením dôvodu tejto skutočnosti zverejní na svojom webovom sídle, pričom prevádzkovateľ hazardnej hry v čase od zverejnenia takéhoto oznamu až do zverejnenia oznamu na tomto webovom sídle o obnovení nepretržitého prístupu do registra vylúčených osôb nie je povinný využívať register vylúčených osôb. Ak prevádzkovateľ hazardnej hry nemôže využívať register vylúčených osôb z dôvodov na svojej strane, splnenie jeho povinností podľa § 35 ods. 7 a 8 tým nie je dotknuté. Prístup do registra vylúčených osôb má prevádzkovateľ hazardnej hry výlučne po dobu platnosti individuálnej licencie.“.</w:t>
      </w:r>
    </w:p>
    <w:p w:rsidR="008C3779" w:rsidRPr="00020EBA" w:rsidP="008C3779">
      <w:pPr>
        <w:pStyle w:val="ListParagraph"/>
        <w:tabs>
          <w:tab w:val="left" w:pos="0"/>
        </w:tabs>
        <w:autoSpaceDE w:val="0"/>
        <w:autoSpaceDN w:val="0"/>
        <w:bidi w:val="0"/>
        <w:adjustRightInd w:val="0"/>
        <w:spacing w:after="0" w:line="240" w:lineRule="auto"/>
        <w:jc w:val="both"/>
        <w:rPr>
          <w:rFonts w:ascii="Times New Roman" w:hAnsi="Times New Roman"/>
          <w:sz w:val="24"/>
          <w:szCs w:val="24"/>
        </w:rPr>
      </w:pPr>
    </w:p>
    <w:p w:rsidR="008C3779" w:rsidRPr="00020EBA" w:rsidP="008C3779">
      <w:pPr>
        <w:pStyle w:val="ListParagraph"/>
        <w:bidi w:val="0"/>
        <w:spacing w:after="0" w:line="240" w:lineRule="auto"/>
        <w:ind w:left="2977"/>
        <w:jc w:val="both"/>
        <w:rPr>
          <w:rFonts w:ascii="Times New Roman" w:hAnsi="Times New Roman"/>
          <w:sz w:val="24"/>
          <w:szCs w:val="24"/>
        </w:rPr>
      </w:pPr>
      <w:r w:rsidRPr="00020EBA">
        <w:rPr>
          <w:rFonts w:ascii="Times New Roman" w:hAnsi="Times New Roman"/>
          <w:sz w:val="24"/>
          <w:szCs w:val="24"/>
        </w:rPr>
        <w:t xml:space="preserve">Dôvodom návrhu na úpravu ustanovenia § 35a odseku 9 je precíznejšie zadefinovanie povinnosti správcu registra voči prevádzkovateľovi hazardnej hry umožniť prístup do registra vylúčených osôb vo význame zabezpečiť prevádzkovateľovi hazardných hier komunikačné rozhranie k registru a funkčnosť registra.  Na druhej strane je však nevyhnutné tretiu vetu v tomto odseku 9 upraviť v tom zmysle, že ak prevádzkovateľ hazardnej hry nemôže využívať register vylúčených osôb z dôvodov na svojej strane, nemôže sa zbaviť povinnosti zamedziť vstup do herne, resp. účasť na hazardných hrách osobám zapísaným v tomto registri, preto v čase do obnovenia svojho prístupu do registra nesmie pripustiť účasť na hazardných hrách žiadnym osobám, ktoré nedokáže preveriť. Pozmeňujúci návrh nadväzuje na pripomienku Kancelárie NR SR odboru legislatívy a aproximácie práva.    </w:t>
      </w:r>
    </w:p>
    <w:p w:rsidR="008C3779" w:rsidRPr="00020EBA" w:rsidP="008C3779">
      <w:pPr>
        <w:pStyle w:val="ListParagraph"/>
        <w:bidi w:val="0"/>
        <w:spacing w:after="0" w:line="240" w:lineRule="auto"/>
        <w:ind w:left="2977"/>
        <w:jc w:val="both"/>
        <w:rPr>
          <w:rFonts w:ascii="Times New Roman" w:hAnsi="Times New Roman"/>
          <w:sz w:val="24"/>
          <w:szCs w:val="24"/>
        </w:rPr>
      </w:pPr>
    </w:p>
    <w:p w:rsidR="008C3779" w:rsidRPr="00020EBA" w:rsidP="008C3779">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D83BC5" w:rsidRPr="00D83BC5" w:rsidP="00D83BC5">
      <w:pPr>
        <w:bidi w:val="0"/>
        <w:ind w:left="2124" w:firstLine="708"/>
        <w:rPr>
          <w:rFonts w:ascii="Times New Roman" w:hAnsi="Times New Roman"/>
          <w:b/>
        </w:rPr>
      </w:pPr>
      <w:r w:rsidRPr="00D83BC5">
        <w:rPr>
          <w:rFonts w:ascii="Times New Roman" w:hAnsi="Times New Roman"/>
          <w:b/>
        </w:rPr>
        <w:t>Gestorský výbor odporúča schváliť.</w:t>
      </w:r>
    </w:p>
    <w:p w:rsidR="008C3779" w:rsidRPr="008C3779" w:rsidP="008C3779">
      <w:pPr>
        <w:pStyle w:val="ListParagraph"/>
        <w:bidi w:val="0"/>
        <w:spacing w:after="0" w:line="240" w:lineRule="auto"/>
        <w:ind w:left="2977"/>
        <w:jc w:val="both"/>
        <w:rPr>
          <w:rFonts w:ascii="Times New Roman" w:hAnsi="Times New Roman"/>
          <w:color w:val="FF0000"/>
          <w:sz w:val="24"/>
          <w:szCs w:val="24"/>
        </w:rPr>
      </w:pPr>
    </w:p>
    <w:p w:rsidR="00871EBA" w:rsidP="00904DBB">
      <w:pPr>
        <w:numPr>
          <w:numId w:val="28"/>
        </w:numPr>
        <w:bidi w:val="0"/>
        <w:ind w:left="426" w:hanging="426"/>
        <w:jc w:val="both"/>
        <w:rPr>
          <w:rFonts w:ascii="Times New Roman" w:hAnsi="Times New Roman"/>
          <w:b/>
          <w:bCs/>
        </w:rPr>
      </w:pPr>
      <w:r>
        <w:rPr>
          <w:rFonts w:ascii="Times New Roman" w:hAnsi="Times New Roman"/>
          <w:b/>
          <w:bCs/>
        </w:rPr>
        <w:t>K čl. I – k doterajšiemu bodu 70 (§ 36 ods. 2)</w:t>
      </w:r>
    </w:p>
    <w:p w:rsidR="00871EBA" w:rsidP="00871EBA">
      <w:pPr>
        <w:bidi w:val="0"/>
        <w:ind w:left="426"/>
        <w:contextualSpacing/>
        <w:jc w:val="both"/>
        <w:rPr>
          <w:rFonts w:ascii="Times New Roman" w:hAnsi="Times New Roman"/>
          <w:b/>
          <w:bCs/>
          <w:lang w:eastAsia="en-US"/>
        </w:rPr>
      </w:pPr>
      <w:r>
        <w:rPr>
          <w:rFonts w:ascii="Times New Roman" w:hAnsi="Times New Roman"/>
          <w:bCs/>
        </w:rPr>
        <w:t>V čl. I doterajšom bode 70 v § 36 ods. 2 prvej vete sa vypúšťa čiarka a slová „ak osobitný predpis</w:t>
      </w:r>
      <w:r>
        <w:rPr>
          <w:rFonts w:ascii="Times New Roman" w:hAnsi="Times New Roman"/>
          <w:bCs/>
          <w:vertAlign w:val="superscript"/>
        </w:rPr>
        <w:t>11a</w:t>
      </w:r>
      <w:r>
        <w:rPr>
          <w:rFonts w:ascii="Times New Roman" w:hAnsi="Times New Roman"/>
          <w:bCs/>
        </w:rPr>
        <w:t>) neustanovuje inak”.</w:t>
      </w:r>
    </w:p>
    <w:p w:rsidR="00871EBA" w:rsidP="00871EBA">
      <w:pPr>
        <w:bidi w:val="0"/>
        <w:jc w:val="both"/>
        <w:rPr>
          <w:rFonts w:ascii="Times New Roman" w:hAnsi="Times New Roman"/>
          <w:b/>
          <w:bCs/>
        </w:rPr>
      </w:pPr>
    </w:p>
    <w:p w:rsidR="00871EBA" w:rsidP="00871EBA">
      <w:pPr>
        <w:bidi w:val="0"/>
        <w:ind w:left="2835"/>
        <w:contextualSpacing/>
        <w:jc w:val="both"/>
        <w:rPr>
          <w:rFonts w:ascii="Times New Roman" w:hAnsi="Times New Roman"/>
          <w:bCs/>
        </w:rPr>
      </w:pPr>
      <w:r>
        <w:rPr>
          <w:rFonts w:ascii="Times New Roman" w:hAnsi="Times New Roman"/>
          <w:bCs/>
        </w:rPr>
        <w:t>Pozmeňujúcim návrhom sa zavádza, aby žiadateľ o udelenie individuálnej licencie uložil finančnú zábezpeku na účet daňového úradu miestne príslušného podľa sídla žiadateľa a nie na účet daňového úradu pre vybrané daňové subjekty. Keďže daňový úrad miestne príslušný podľa sídla žiadateľa je správcom odvodov, tak v prípade, ak prevádzkovateľ nemá uhradené odvody sa uvedenými návrhmi zjednoduší administratívny postup pri uvoľnení finančnej zábezpeky zo strany tohto daňového úradu na účely úhrady odvodu.</w:t>
      </w:r>
    </w:p>
    <w:p w:rsidR="00871EBA" w:rsidP="00871EBA">
      <w:pPr>
        <w:bidi w:val="0"/>
        <w:jc w:val="both"/>
        <w:rPr>
          <w:rFonts w:ascii="Times New Roman" w:hAnsi="Times New Roman"/>
          <w:bC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bCs/>
        </w:rPr>
      </w:pPr>
    </w:p>
    <w:p w:rsidR="00871EBA" w:rsidP="00904DBB">
      <w:pPr>
        <w:numPr>
          <w:numId w:val="28"/>
        </w:numPr>
        <w:bidi w:val="0"/>
        <w:ind w:left="426" w:hanging="426"/>
        <w:jc w:val="both"/>
        <w:rPr>
          <w:rFonts w:ascii="Times New Roman" w:hAnsi="Times New Roman"/>
          <w:b/>
        </w:rPr>
      </w:pPr>
      <w:r>
        <w:rPr>
          <w:rFonts w:ascii="Times New Roman" w:hAnsi="Times New Roman"/>
          <w:b/>
          <w:bCs/>
        </w:rPr>
        <w:t>K čl. I – k doterajšiemu bodu 85 (§ 38)</w:t>
      </w:r>
    </w:p>
    <w:p w:rsidR="00871EBA" w:rsidP="00871EBA">
      <w:pPr>
        <w:bidi w:val="0"/>
        <w:ind w:left="426"/>
        <w:contextualSpacing/>
        <w:jc w:val="both"/>
        <w:rPr>
          <w:rFonts w:ascii="Times New Roman" w:hAnsi="Times New Roman"/>
          <w:bCs/>
        </w:rPr>
      </w:pPr>
      <w:r>
        <w:rPr>
          <w:rFonts w:ascii="Times New Roman" w:hAnsi="Times New Roman"/>
          <w:bCs/>
        </w:rPr>
        <w:t>V čl. I doterajšom bode 85 sa § 38 dopĺňa odsekom 4, ktorý znie:</w:t>
      </w:r>
    </w:p>
    <w:p w:rsidR="00871EBA" w:rsidP="00871EBA">
      <w:pPr>
        <w:bidi w:val="0"/>
        <w:ind w:left="426"/>
        <w:contextualSpacing/>
        <w:jc w:val="both"/>
        <w:rPr>
          <w:rFonts w:ascii="Times New Roman" w:hAnsi="Times New Roman"/>
          <w:bCs/>
        </w:rPr>
      </w:pPr>
      <w:r>
        <w:rPr>
          <w:rFonts w:ascii="Times New Roman" w:hAnsi="Times New Roman"/>
          <w:bCs/>
        </w:rPr>
        <w:t>„(4) Herňu možno umiestniť len v</w:t>
      </w:r>
    </w:p>
    <w:p w:rsidR="00871EBA" w:rsidP="00871EBA">
      <w:pPr>
        <w:numPr>
          <w:numId w:val="21"/>
        </w:numPr>
        <w:bidi w:val="0"/>
        <w:ind w:left="709" w:hanging="283"/>
        <w:contextualSpacing/>
        <w:jc w:val="both"/>
        <w:rPr>
          <w:rFonts w:ascii="Times New Roman" w:hAnsi="Times New Roman"/>
          <w:bCs/>
        </w:rPr>
      </w:pPr>
      <w:r>
        <w:rPr>
          <w:rFonts w:ascii="Times New Roman" w:hAnsi="Times New Roman"/>
          <w:bCs/>
        </w:rPr>
        <w:t>hoteloch, moteloch a penziónoch,</w:t>
      </w:r>
    </w:p>
    <w:p w:rsidR="00871EBA" w:rsidP="00871EBA">
      <w:pPr>
        <w:numPr>
          <w:numId w:val="21"/>
        </w:numPr>
        <w:bidi w:val="0"/>
        <w:ind w:left="709" w:hanging="283"/>
        <w:contextualSpacing/>
        <w:jc w:val="both"/>
        <w:rPr>
          <w:rFonts w:ascii="Times New Roman" w:hAnsi="Times New Roman"/>
          <w:bCs/>
        </w:rPr>
      </w:pPr>
      <w:r>
        <w:rPr>
          <w:rFonts w:ascii="Times New Roman" w:hAnsi="Times New Roman"/>
          <w:bCs/>
        </w:rPr>
        <w:t>budovách pre obchod a služby,</w:t>
      </w:r>
    </w:p>
    <w:p w:rsidR="00871EBA" w:rsidP="00871EBA">
      <w:pPr>
        <w:numPr>
          <w:numId w:val="21"/>
        </w:numPr>
        <w:bidi w:val="0"/>
        <w:ind w:left="709" w:hanging="283"/>
        <w:contextualSpacing/>
        <w:jc w:val="both"/>
        <w:rPr>
          <w:rFonts w:ascii="Times New Roman" w:hAnsi="Times New Roman"/>
          <w:bCs/>
        </w:rPr>
      </w:pPr>
      <w:r>
        <w:rPr>
          <w:rFonts w:ascii="Times New Roman" w:hAnsi="Times New Roman"/>
          <w:bCs/>
        </w:rPr>
        <w:t xml:space="preserve">budovách pre kultúru a na verejnú zábavu, </w:t>
      </w:r>
    </w:p>
    <w:p w:rsidR="00871EBA" w:rsidP="00871EBA">
      <w:pPr>
        <w:numPr>
          <w:numId w:val="21"/>
        </w:numPr>
        <w:bidi w:val="0"/>
        <w:ind w:left="709" w:hanging="283"/>
        <w:contextualSpacing/>
        <w:jc w:val="both"/>
        <w:rPr>
          <w:rFonts w:ascii="Times New Roman" w:hAnsi="Times New Roman"/>
          <w:bCs/>
        </w:rPr>
      </w:pPr>
      <w:r>
        <w:rPr>
          <w:rFonts w:ascii="Times New Roman" w:hAnsi="Times New Roman"/>
          <w:bCs/>
        </w:rPr>
        <w:t>bytových domoch, ak s tým písomne vyjadrí súhlas nadpolovičná väčšina všetkých vlastníkov bytov a nebytových priestorov v bytovom dome.“.</w:t>
      </w:r>
    </w:p>
    <w:p w:rsidR="00871EBA" w:rsidP="00871EBA">
      <w:pPr>
        <w:bidi w:val="0"/>
        <w:ind w:left="720"/>
        <w:contextualSpacing/>
        <w:jc w:val="both"/>
        <w:rPr>
          <w:rFonts w:ascii="Times New Roman" w:hAnsi="Times New Roman"/>
          <w:bCs/>
        </w:rPr>
      </w:pPr>
    </w:p>
    <w:p w:rsidR="00871EBA" w:rsidP="00871EBA">
      <w:pPr>
        <w:bidi w:val="0"/>
        <w:ind w:left="2835"/>
        <w:jc w:val="both"/>
        <w:rPr>
          <w:rFonts w:ascii="Times New Roman" w:hAnsi="Times New Roman"/>
          <w:bCs/>
          <w:color w:val="000000"/>
        </w:rPr>
      </w:pPr>
      <w:r>
        <w:rPr>
          <w:rFonts w:ascii="Times New Roman" w:hAnsi="Times New Roman"/>
          <w:bCs/>
          <w:color w:val="000000"/>
        </w:rPr>
        <w:t xml:space="preserve">Navrhovaným doplnením § 38 o nový odsek sa upravuje pozitívne vymedzenie umiestnenia herne s tým, že herňa bude môcť byť umiestnená len v hoteloch, moteloch a penziónoch, budovách pre obchod a služby, budovách pre kultúru a na verejnú zábavu alebo v bytových domoch, pričom v bytových domoch bude môcť byť herňa umiestená len za podmienky, že s tým písomne vyjadrí súhlas nadpolovičná väčšina všetkých vlastníkov bytov a nebytových priestorov v bytovom dome. Takéto písomné vyjadrenie súhlasu nadpolovičnej väčšiny všetkých vlastníkov bytov a nebytových priestorov v bytovom dome nie je súhlasom podľa zákona o vlastníctve bytov a nebytových priestorov. Týmto ustanovením § 38 ods. 4 písm. d) zákona o hazardných hrách však nebudú dotknuté ustanovenia zákona o vlastníctve bytov a nebytových  priestorov, to znamená, že ak sa napr. bude v bytovom dome prenajímať nebytový priestor na účely zriadenia herne, ktorý je v spoločnom vlastníctve vlastníkov bytov, tak takýto prenájom musí byť schválený aj podľa príslušných ustanovení zákona o vlastníctve bytov a nebytových priestorov.  </w:t>
      </w:r>
    </w:p>
    <w:p w:rsidR="00871EBA" w:rsidP="00871EBA">
      <w:pPr>
        <w:bidi w:val="0"/>
        <w:jc w:val="both"/>
        <w:rPr>
          <w:rFonts w:ascii="Times New Roman" w:hAnsi="Times New Roman"/>
          <w:bC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bCs/>
        </w:rPr>
      </w:pPr>
    </w:p>
    <w:p w:rsidR="00871EBA" w:rsidP="00904DBB">
      <w:pPr>
        <w:numPr>
          <w:numId w:val="28"/>
        </w:numPr>
        <w:bidi w:val="0"/>
        <w:ind w:left="426" w:hanging="426"/>
        <w:jc w:val="both"/>
        <w:rPr>
          <w:rFonts w:ascii="Times New Roman" w:hAnsi="Times New Roman"/>
          <w:b/>
          <w:lang w:eastAsia="en-US"/>
        </w:rPr>
      </w:pPr>
      <w:r>
        <w:rPr>
          <w:rFonts w:ascii="Times New Roman" w:hAnsi="Times New Roman"/>
          <w:b/>
          <w:lang w:eastAsia="en-US"/>
        </w:rPr>
        <w:t xml:space="preserve">K čl. I </w:t>
      </w:r>
      <w:r>
        <w:rPr>
          <w:rFonts w:ascii="Times New Roman" w:hAnsi="Times New Roman"/>
          <w:b/>
          <w:bCs/>
          <w:lang w:eastAsia="en-US"/>
        </w:rPr>
        <w:t>(§ 41 ods. 2 úvodná veta)</w:t>
      </w:r>
    </w:p>
    <w:p w:rsidR="00871EBA" w:rsidP="00871EBA">
      <w:pPr>
        <w:tabs>
          <w:tab w:val="left" w:pos="851"/>
        </w:tabs>
        <w:bidi w:val="0"/>
        <w:jc w:val="both"/>
        <w:rPr>
          <w:rFonts w:ascii="Times New Roman" w:hAnsi="Times New Roman"/>
          <w:bCs/>
        </w:rPr>
      </w:pPr>
      <w:r>
        <w:rPr>
          <w:rFonts w:ascii="Times New Roman" w:hAnsi="Times New Roman"/>
          <w:bCs/>
        </w:rPr>
        <w:t xml:space="preserve">       V čl. I sa za doterajší bod 85 vkladá nový bod 86, ktorý znie:</w:t>
      </w:r>
    </w:p>
    <w:p w:rsidR="00871EBA" w:rsidP="00871EBA">
      <w:pPr>
        <w:autoSpaceDE w:val="0"/>
        <w:autoSpaceDN w:val="0"/>
        <w:bidi w:val="0"/>
        <w:adjustRightInd w:val="0"/>
        <w:ind w:firstLine="426"/>
        <w:jc w:val="both"/>
        <w:rPr>
          <w:rFonts w:ascii="Times New Roman" w:hAnsi="Times New Roman"/>
          <w:bCs/>
          <w:lang w:eastAsia="en-US"/>
        </w:rPr>
      </w:pPr>
      <w:r>
        <w:rPr>
          <w:rFonts w:ascii="Times New Roman" w:hAnsi="Times New Roman"/>
          <w:bCs/>
          <w:lang w:eastAsia="en-US"/>
        </w:rPr>
        <w:t>„86. V § 41 ods. 2 úvodná veta znie:</w:t>
      </w:r>
    </w:p>
    <w:p w:rsidR="00871EBA" w:rsidP="00871EBA">
      <w:pPr>
        <w:autoSpaceDE w:val="0"/>
        <w:autoSpaceDN w:val="0"/>
        <w:bidi w:val="0"/>
        <w:adjustRightInd w:val="0"/>
        <w:ind w:left="426"/>
        <w:jc w:val="both"/>
        <w:rPr>
          <w:rFonts w:ascii="Times New Roman" w:hAnsi="Times New Roman"/>
          <w:bCs/>
          <w:lang w:eastAsia="en-US"/>
        </w:rPr>
      </w:pPr>
      <w:r>
        <w:rPr>
          <w:rFonts w:ascii="Times New Roman" w:hAnsi="Times New Roman"/>
          <w:bCs/>
          <w:lang w:eastAsia="en-US"/>
        </w:rPr>
        <w:t xml:space="preserve">„Žreb pri žrebových peňažných lotériách, žrebových peňažno-vecných lotériách a okamžitých lotériách musí obsahovať“.“. </w:t>
      </w:r>
    </w:p>
    <w:p w:rsidR="00871EBA" w:rsidP="00871EBA">
      <w:pPr>
        <w:bidi w:val="0"/>
        <w:ind w:left="426"/>
        <w:jc w:val="both"/>
        <w:outlineLvl w:val="2"/>
        <w:rPr>
          <w:rFonts w:ascii="Times New Roman" w:hAnsi="Times New Roman"/>
          <w:bCs/>
          <w:highlight w:val="yellow"/>
        </w:rPr>
      </w:pPr>
    </w:p>
    <w:p w:rsidR="00871EBA" w:rsidP="00871EBA">
      <w:pPr>
        <w:bidi w:val="0"/>
        <w:ind w:left="426"/>
        <w:jc w:val="both"/>
        <w:outlineLvl w:val="2"/>
        <w:rPr>
          <w:rFonts w:ascii="Times New Roman" w:hAnsi="Times New Roman"/>
          <w:bCs/>
        </w:rPr>
      </w:pPr>
      <w:r>
        <w:rPr>
          <w:rFonts w:ascii="Times New Roman" w:hAnsi="Times New Roman"/>
          <w:bCs/>
        </w:rPr>
        <w:t>Doterajšie body sa primerane prečíslujú.</w:t>
      </w:r>
    </w:p>
    <w:p w:rsidR="00871EBA" w:rsidP="00871EBA">
      <w:pPr>
        <w:bidi w:val="0"/>
        <w:ind w:left="426"/>
        <w:jc w:val="both"/>
        <w:outlineLvl w:val="2"/>
        <w:rPr>
          <w:rFonts w:ascii="Times New Roman" w:hAnsi="Times New Roman"/>
          <w:bCs/>
        </w:rPr>
      </w:pPr>
      <w:r>
        <w:rPr>
          <w:rFonts w:ascii="Times New Roman" w:hAnsi="Times New Roman"/>
          <w:bCs/>
        </w:rPr>
        <w:t xml:space="preserve">  </w:t>
      </w:r>
    </w:p>
    <w:p w:rsidR="00871EBA" w:rsidP="00871EBA">
      <w:pPr>
        <w:bidi w:val="0"/>
        <w:ind w:left="2835"/>
        <w:jc w:val="both"/>
        <w:rPr>
          <w:rFonts w:ascii="Times New Roman" w:hAnsi="Times New Roman"/>
          <w:bCs/>
          <w:color w:val="000000"/>
          <w:lang w:eastAsia="en-US"/>
        </w:rPr>
      </w:pPr>
      <w:r>
        <w:rPr>
          <w:rFonts w:ascii="Times New Roman" w:hAnsi="Times New Roman"/>
          <w:bCs/>
          <w:color w:val="000000"/>
          <w:lang w:eastAsia="en-US"/>
        </w:rPr>
        <w:t xml:space="preserve">Navrhovanou úpravou sa spresňujú náležitosti žrebu pre vymedzené druhy lotériových hier z dôvodu potreby aplikačnej praxe. </w:t>
      </w:r>
    </w:p>
    <w:p w:rsidR="00871EBA" w:rsidP="00871EBA">
      <w:pPr>
        <w:bidi w:val="0"/>
        <w:ind w:left="426"/>
        <w:jc w:val="both"/>
        <w:outlineLvl w:val="2"/>
        <w:rPr>
          <w:rFonts w:ascii="Times New Roman" w:hAnsi="Times New Roman"/>
          <w:bC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ind w:left="426"/>
        <w:jc w:val="both"/>
        <w:outlineLvl w:val="2"/>
        <w:rPr>
          <w:rFonts w:ascii="Times New Roman" w:hAnsi="Times New Roman"/>
          <w:bCs/>
        </w:rPr>
      </w:pPr>
    </w:p>
    <w:p w:rsidR="00871EBA" w:rsidP="00904DBB">
      <w:pPr>
        <w:numPr>
          <w:numId w:val="28"/>
        </w:numPr>
        <w:bidi w:val="0"/>
        <w:ind w:left="426" w:hanging="426"/>
        <w:jc w:val="both"/>
        <w:rPr>
          <w:rFonts w:ascii="Times New Roman" w:hAnsi="Times New Roman"/>
          <w:bCs/>
          <w:lang w:eastAsia="en-US"/>
        </w:rPr>
      </w:pPr>
      <w:r>
        <w:rPr>
          <w:rFonts w:ascii="Times New Roman" w:hAnsi="Times New Roman"/>
          <w:b/>
          <w:lang w:eastAsia="en-US"/>
        </w:rPr>
        <w:t xml:space="preserve">K čl. I </w:t>
      </w:r>
      <w:r>
        <w:rPr>
          <w:rFonts w:ascii="Times New Roman" w:hAnsi="Times New Roman"/>
          <w:b/>
          <w:bCs/>
          <w:lang w:eastAsia="en-US"/>
        </w:rPr>
        <w:t>– k doterajšiemu bodu 86 (§ 41 ods. 2 písm. b))</w:t>
      </w:r>
    </w:p>
    <w:p w:rsidR="00871EBA" w:rsidP="00871EBA">
      <w:pPr>
        <w:bidi w:val="0"/>
        <w:ind w:left="426"/>
        <w:jc w:val="both"/>
        <w:rPr>
          <w:rFonts w:ascii="Times New Roman" w:hAnsi="Times New Roman"/>
          <w:bCs/>
          <w:lang w:eastAsia="en-US"/>
        </w:rPr>
      </w:pPr>
      <w:r>
        <w:rPr>
          <w:rFonts w:ascii="Times New Roman" w:hAnsi="Times New Roman"/>
          <w:bCs/>
          <w:lang w:eastAsia="en-US"/>
        </w:rPr>
        <w:t>V čl. I doterajší bod 86 znie:</w:t>
      </w:r>
    </w:p>
    <w:p w:rsidR="00871EBA" w:rsidP="00871EBA">
      <w:pPr>
        <w:bidi w:val="0"/>
        <w:ind w:left="426"/>
        <w:jc w:val="both"/>
        <w:outlineLvl w:val="2"/>
        <w:rPr>
          <w:rFonts w:ascii="Times New Roman" w:hAnsi="Times New Roman"/>
          <w:bCs/>
        </w:rPr>
      </w:pPr>
      <w:r>
        <w:rPr>
          <w:rFonts w:ascii="Times New Roman" w:hAnsi="Times New Roman"/>
          <w:bCs/>
        </w:rPr>
        <w:t>„86. V § 41 ods. 2 písmeno b) znie:</w:t>
      </w:r>
    </w:p>
    <w:p w:rsidR="00871EBA" w:rsidP="00871EBA">
      <w:pPr>
        <w:bidi w:val="0"/>
        <w:ind w:left="426"/>
        <w:jc w:val="both"/>
        <w:outlineLvl w:val="2"/>
        <w:rPr>
          <w:rFonts w:ascii="Times New Roman" w:hAnsi="Times New Roman"/>
          <w:bCs/>
        </w:rPr>
      </w:pPr>
      <w:r>
        <w:rPr>
          <w:rFonts w:ascii="Times New Roman" w:hAnsi="Times New Roman"/>
          <w:bCs/>
        </w:rPr>
        <w:t>„b) číslo individuálnej licencie,“.“.</w:t>
      </w:r>
    </w:p>
    <w:p w:rsidR="00871EBA" w:rsidP="00871EBA">
      <w:pPr>
        <w:autoSpaceDE w:val="0"/>
        <w:autoSpaceDN w:val="0"/>
        <w:bidi w:val="0"/>
        <w:adjustRightInd w:val="0"/>
        <w:ind w:left="426"/>
        <w:jc w:val="both"/>
        <w:rPr>
          <w:rFonts w:ascii="Times New Roman" w:hAnsi="Times New Roman"/>
          <w:bCs/>
          <w:lang w:eastAsia="en-US"/>
        </w:rPr>
      </w:pPr>
    </w:p>
    <w:p w:rsidR="00871EBA" w:rsidP="00871EBA">
      <w:pPr>
        <w:bidi w:val="0"/>
        <w:ind w:left="2835"/>
        <w:jc w:val="both"/>
        <w:rPr>
          <w:rFonts w:ascii="Times New Roman" w:hAnsi="Times New Roman"/>
          <w:bCs/>
          <w:color w:val="000000"/>
          <w:lang w:eastAsia="en-US"/>
        </w:rPr>
      </w:pPr>
      <w:r>
        <w:rPr>
          <w:rFonts w:ascii="Times New Roman" w:hAnsi="Times New Roman"/>
          <w:bCs/>
          <w:color w:val="000000"/>
          <w:lang w:eastAsia="en-US"/>
        </w:rPr>
        <w:t xml:space="preserve">Navrhovanou úpravou sa spresňujú náležitosti žrebu pre vymedzené druhy lotériových hier z dôvodu potreby aplikačnej praxe. </w:t>
      </w:r>
    </w:p>
    <w:p w:rsidR="00871EBA" w:rsidP="00871EBA">
      <w:pPr>
        <w:bidi w:val="0"/>
        <w:jc w:val="both"/>
        <w:rPr>
          <w:rFonts w:ascii="Times New Roman" w:hAnsi="Times New Roman"/>
          <w:bCs/>
          <w:color w:val="000000"/>
          <w:lang w:eastAsia="en-U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bCs/>
          <w:color w:val="000000"/>
          <w:lang w:eastAsia="en-US"/>
        </w:rPr>
      </w:pPr>
    </w:p>
    <w:p w:rsidR="00871EBA" w:rsidP="00904DBB">
      <w:pPr>
        <w:numPr>
          <w:numId w:val="28"/>
        </w:numPr>
        <w:bidi w:val="0"/>
        <w:ind w:left="426" w:hanging="426"/>
        <w:jc w:val="both"/>
        <w:rPr>
          <w:rFonts w:ascii="Times New Roman" w:hAnsi="Times New Roman"/>
          <w:b/>
          <w:bCs/>
          <w:lang w:eastAsia="en-US"/>
        </w:rPr>
      </w:pPr>
      <w:r>
        <w:rPr>
          <w:rFonts w:ascii="Times New Roman" w:hAnsi="Times New Roman"/>
          <w:b/>
          <w:bCs/>
          <w:lang w:eastAsia="en-US"/>
        </w:rPr>
        <w:t>K čl. I – k doterajšiemu bodu 87 (§ 41 nový odsek 5) </w:t>
      </w:r>
    </w:p>
    <w:p w:rsidR="00871EBA" w:rsidP="00871EBA">
      <w:pPr>
        <w:bidi w:val="0"/>
        <w:ind w:left="426"/>
        <w:contextualSpacing/>
        <w:jc w:val="both"/>
        <w:rPr>
          <w:rFonts w:ascii="Times New Roman" w:hAnsi="Times New Roman"/>
          <w:bCs/>
          <w:lang w:eastAsia="en-US"/>
        </w:rPr>
      </w:pPr>
      <w:r>
        <w:rPr>
          <w:rFonts w:ascii="Times New Roman" w:hAnsi="Times New Roman"/>
          <w:bCs/>
          <w:lang w:eastAsia="en-US"/>
        </w:rPr>
        <w:t>V čl. I doterajší bod 87 znie:</w:t>
      </w:r>
    </w:p>
    <w:p w:rsidR="00871EBA" w:rsidP="00871EBA">
      <w:pPr>
        <w:bidi w:val="0"/>
        <w:ind w:left="426"/>
        <w:rPr>
          <w:rFonts w:ascii="Times New Roman" w:hAnsi="Times New Roman"/>
          <w:bCs/>
          <w:lang w:eastAsia="en-US"/>
        </w:rPr>
      </w:pPr>
      <w:r>
        <w:rPr>
          <w:rFonts w:ascii="Times New Roman" w:hAnsi="Times New Roman"/>
          <w:bCs/>
          <w:lang w:eastAsia="en-US"/>
        </w:rPr>
        <w:t>„87. § 41 sa dopĺňa odsekom 5, ktorý znie:</w:t>
      </w:r>
    </w:p>
    <w:p w:rsidR="00871EBA" w:rsidP="00871EBA">
      <w:pPr>
        <w:bidi w:val="0"/>
        <w:ind w:left="426"/>
        <w:jc w:val="both"/>
        <w:rPr>
          <w:rFonts w:ascii="Times New Roman" w:hAnsi="Times New Roman"/>
          <w:bCs/>
          <w:lang w:eastAsia="en-US"/>
        </w:rPr>
      </w:pPr>
      <w:r>
        <w:rPr>
          <w:rFonts w:ascii="Times New Roman" w:hAnsi="Times New Roman"/>
          <w:bCs/>
          <w:lang w:eastAsia="en-US"/>
        </w:rPr>
        <w:t xml:space="preserve">„(5) Žreb pri okamžitých lotériách musí okrem náležitostí uvedených v odseku 2 obsahovať aj jedinečný kód na overenie výhernosti žrebu umiestnený pod stieracou vrstvou, bez ktorého nie je možné overiť výhernosť žrebu.“.“. </w:t>
      </w:r>
    </w:p>
    <w:p w:rsidR="00871EBA" w:rsidP="00871EBA">
      <w:pPr>
        <w:bidi w:val="0"/>
        <w:jc w:val="both"/>
        <w:rPr>
          <w:rFonts w:ascii="Times New Roman" w:hAnsi="Times New Roman"/>
          <w:bCs/>
          <w:color w:val="000000"/>
          <w:lang w:eastAsia="en-US"/>
        </w:rPr>
      </w:pPr>
    </w:p>
    <w:p w:rsidR="00871EBA" w:rsidP="00871EBA">
      <w:pPr>
        <w:bidi w:val="0"/>
        <w:ind w:left="2835"/>
        <w:jc w:val="both"/>
        <w:rPr>
          <w:rFonts w:ascii="Times New Roman" w:hAnsi="Times New Roman"/>
          <w:bCs/>
          <w:color w:val="000000"/>
          <w:lang w:eastAsia="en-US"/>
        </w:rPr>
      </w:pPr>
      <w:r>
        <w:rPr>
          <w:rFonts w:ascii="Times New Roman" w:hAnsi="Times New Roman"/>
          <w:bCs/>
          <w:color w:val="000000"/>
          <w:lang w:eastAsia="en-US"/>
        </w:rPr>
        <w:t>Navrhovaná úprava posilňuje ochranu žrebov pred zneužitím, a to formou jedinečného kódu na overenie výhernosti žrebu, ktorý musí byť v čase predaja zakrytý stieracou vrstvou.</w:t>
      </w:r>
    </w:p>
    <w:p w:rsidR="00871EBA" w:rsidP="00871EBA">
      <w:pPr>
        <w:bidi w:val="0"/>
        <w:jc w:val="both"/>
        <w:rPr>
          <w:rFonts w:ascii="Times New Roman" w:hAnsi="Times New Roman"/>
          <w:bC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871EBA" w:rsidP="00904DBB">
      <w:pPr>
        <w:numPr>
          <w:numId w:val="28"/>
        </w:numPr>
        <w:bidi w:val="0"/>
        <w:jc w:val="both"/>
        <w:rPr>
          <w:rFonts w:ascii="Times New Roman" w:hAnsi="Times New Roman"/>
          <w:b/>
        </w:rPr>
      </w:pPr>
      <w:r>
        <w:rPr>
          <w:rFonts w:ascii="Times New Roman" w:hAnsi="Times New Roman"/>
          <w:b/>
        </w:rPr>
        <w:t>K čl. I 94. bodu, § 51a ods. 1</w:t>
      </w:r>
    </w:p>
    <w:p w:rsidR="00871EBA" w:rsidP="00871EBA">
      <w:pPr>
        <w:bidi w:val="0"/>
        <w:ind w:left="708" w:firstLine="4"/>
        <w:jc w:val="both"/>
        <w:rPr>
          <w:rFonts w:ascii="Times New Roman" w:hAnsi="Times New Roman"/>
        </w:rPr>
      </w:pPr>
      <w:r>
        <w:rPr>
          <w:rFonts w:ascii="Times New Roman" w:hAnsi="Times New Roman"/>
        </w:rPr>
        <w:t>V čl. I, bod 94 sa slová „</w:t>
      </w:r>
      <w:r>
        <w:rPr>
          <w:rFonts w:ascii="Times New Roman" w:hAnsi="Times New Roman"/>
          <w:vertAlign w:val="superscript"/>
        </w:rPr>
        <w:t>19aa</w:t>
      </w:r>
      <w:r>
        <w:rPr>
          <w:rFonts w:ascii="Times New Roman" w:hAnsi="Times New Roman"/>
        </w:rPr>
        <w:t>) Nariadenie Komisie (ES) č. 1998/2006 z 15. decembra 2006 o uplatňovaní článkov 87 a 88 Zmluvy na pomoc de minimis (Ú. v. EÚ L 379, 28. 12. 2006).“ nahrádzajú slovami „</w:t>
      </w:r>
      <w:r>
        <w:rPr>
          <w:rFonts w:ascii="Times New Roman" w:hAnsi="Times New Roman"/>
          <w:vertAlign w:val="superscript"/>
        </w:rPr>
        <w:t>19aa</w:t>
      </w:r>
      <w:r>
        <w:rPr>
          <w:rFonts w:ascii="Times New Roman" w:hAnsi="Times New Roman"/>
        </w:rPr>
        <w:t>) Nariadenie Komisie (EÚ) č. 1407/2013 z 18. decembra 2013 o uplatňovaní článkov 107 a 108 Zmluvy o fungovaní Európskej únie na pomoc de minimis (Ú. v. EÚ L 352, 24. 12. 2013).“</w:t>
      </w:r>
    </w:p>
    <w:p w:rsidR="00871EBA" w:rsidP="00871EBA">
      <w:pPr>
        <w:autoSpaceDE w:val="0"/>
        <w:autoSpaceDN w:val="0"/>
        <w:bidi w:val="0"/>
        <w:adjustRightInd w:val="0"/>
        <w:jc w:val="both"/>
        <w:rPr>
          <w:rFonts w:ascii="Times New Roman" w:hAnsi="Times New Roman"/>
        </w:rPr>
      </w:pPr>
    </w:p>
    <w:p w:rsidR="00871EBA" w:rsidP="00871EBA">
      <w:pPr>
        <w:autoSpaceDE w:val="0"/>
        <w:autoSpaceDN w:val="0"/>
        <w:bidi w:val="0"/>
        <w:adjustRightInd w:val="0"/>
        <w:ind w:left="2835"/>
        <w:jc w:val="both"/>
        <w:rPr>
          <w:rFonts w:ascii="Times New Roman" w:hAnsi="Times New Roman"/>
        </w:rPr>
      </w:pPr>
      <w:r>
        <w:rPr>
          <w:rFonts w:ascii="Times New Roman" w:hAnsi="Times New Roman"/>
        </w:rPr>
        <w:t xml:space="preserve">Legislatívno-technická pripomienka v súvislosti s novým nariadením platným od 1. 1. 2014. </w:t>
      </w:r>
    </w:p>
    <w:p w:rsidR="00871EBA" w:rsidP="00871EBA">
      <w:pPr>
        <w:bidi w:val="0"/>
        <w:jc w:val="both"/>
        <w:rPr>
          <w:rFonts w:ascii="Times New Roman" w:hAnsi="Times New Roman"/>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jc w:val="both"/>
        <w:rPr>
          <w:rFonts w:ascii="Times New Roman" w:hAnsi="Times New Roman"/>
          <w:b/>
        </w:rPr>
      </w:pPr>
      <w:r w:rsidRPr="00A66A95">
        <w:rPr>
          <w:rFonts w:ascii="Times New Roman" w:hAnsi="Times New Roman"/>
          <w:b/>
        </w:rPr>
        <w:t>Ústavnoprávny výbor NR SR</w:t>
      </w:r>
    </w:p>
    <w:p w:rsidR="00197BC8" w:rsidRPr="00020EBA" w:rsidP="00197BC8">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197BC8" w:rsidP="00197BC8">
      <w:pPr>
        <w:bidi w:val="0"/>
        <w:ind w:left="2124" w:firstLine="708"/>
        <w:rPr>
          <w:rFonts w:ascii="Times New Roman" w:hAnsi="Times New Roman"/>
          <w:b/>
        </w:rPr>
      </w:pPr>
      <w:r w:rsidRPr="00D63CFE">
        <w:rPr>
          <w:rFonts w:ascii="Times New Roman" w:hAnsi="Times New Roman"/>
          <w:b/>
        </w:rPr>
        <w:t>Výbor</w:t>
      </w:r>
      <w:r>
        <w:rPr>
          <w:rFonts w:ascii="Times New Roman" w:hAnsi="Times New Roman"/>
        </w:rPr>
        <w:t xml:space="preserve"> </w:t>
      </w:r>
      <w:r w:rsidRPr="00D63CFE">
        <w:rPr>
          <w:rFonts w:ascii="Times New Roman" w:hAnsi="Times New Roman"/>
          <w:b/>
        </w:rPr>
        <w:t>NR SR</w:t>
      </w:r>
      <w:r>
        <w:rPr>
          <w:rFonts w:ascii="Times New Roman" w:hAnsi="Times New Roman"/>
        </w:rPr>
        <w:t xml:space="preserve"> </w:t>
      </w:r>
      <w:r w:rsidRPr="00D63CFE">
        <w:rPr>
          <w:rFonts w:ascii="Times New Roman" w:hAnsi="Times New Roman"/>
          <w:b/>
        </w:rPr>
        <w:t>pre zdravotníctvo</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rPr>
      </w:pPr>
    </w:p>
    <w:p w:rsidR="00871EBA" w:rsidRPr="00721E5F" w:rsidP="00904DBB">
      <w:pPr>
        <w:numPr>
          <w:numId w:val="28"/>
        </w:numPr>
        <w:bidi w:val="0"/>
        <w:ind w:left="426" w:hanging="426"/>
        <w:jc w:val="both"/>
        <w:rPr>
          <w:rFonts w:ascii="Times New Roman" w:hAnsi="Times New Roman"/>
          <w:b/>
        </w:rPr>
      </w:pPr>
      <w:r w:rsidRPr="00721E5F">
        <w:rPr>
          <w:rFonts w:ascii="Times New Roman" w:hAnsi="Times New Roman"/>
          <w:b/>
          <w:bCs/>
        </w:rPr>
        <w:t>K čl. I – k doterajšiemu bodu 100 (§ 58m)</w:t>
      </w:r>
    </w:p>
    <w:p w:rsidR="00871EBA" w:rsidRPr="00721E5F" w:rsidP="00871EBA">
      <w:pPr>
        <w:bidi w:val="0"/>
        <w:ind w:left="426"/>
        <w:jc w:val="both"/>
        <w:rPr>
          <w:rFonts w:ascii="Times New Roman" w:hAnsi="Times New Roman"/>
          <w:bCs/>
        </w:rPr>
      </w:pPr>
      <w:r w:rsidRPr="00721E5F">
        <w:rPr>
          <w:rFonts w:ascii="Times New Roman" w:hAnsi="Times New Roman"/>
          <w:bCs/>
        </w:rPr>
        <w:t>V čl. I doterajšom bode 100 v § 58m odsek 1 znie:</w:t>
      </w:r>
    </w:p>
    <w:p w:rsidR="00871EBA" w:rsidRPr="00721E5F" w:rsidP="00871EBA">
      <w:pPr>
        <w:bidi w:val="0"/>
        <w:ind w:left="426"/>
        <w:jc w:val="both"/>
        <w:rPr>
          <w:rFonts w:ascii="Times New Roman" w:hAnsi="Times New Roman"/>
          <w:bCs/>
        </w:rPr>
      </w:pPr>
      <w:r w:rsidRPr="00721E5F">
        <w:rPr>
          <w:rFonts w:ascii="Times New Roman" w:hAnsi="Times New Roman"/>
          <w:bCs/>
        </w:rPr>
        <w:t>„(1) Konania o udelení alebo zmene individuálnej licencie začaté a neskončené do 31. decembra 2016 sa dokončia podľa predpisu účinného do 31. decembra 2016, pričom na udelenie alebo zmenu individuálnej licencie na prevádzkovanie hazardných hier prevádzkovaných v herni po 31. decembri 2016 sa vzťahuje aj ustanovenie odseku 24 a na udelenie alebo zmenu licencie podľa § 16 písm. b) štvrtého a piateho bodu po 31. decembri 2017 sa vzťahuje aj ustanovenie odseku 22.“.</w:t>
      </w:r>
    </w:p>
    <w:p w:rsidR="00871EBA" w:rsidRPr="00721E5F" w:rsidP="00871EBA">
      <w:pPr>
        <w:bidi w:val="0"/>
        <w:ind w:left="3402"/>
        <w:jc w:val="both"/>
        <w:rPr>
          <w:rFonts w:ascii="Times New Roman" w:hAnsi="Times New Roman"/>
          <w:bCs/>
          <w:u w:val="single"/>
        </w:rPr>
      </w:pPr>
    </w:p>
    <w:p w:rsidR="00871EBA" w:rsidRPr="00721E5F" w:rsidP="00871EBA">
      <w:pPr>
        <w:tabs>
          <w:tab w:val="left" w:pos="2835"/>
        </w:tabs>
        <w:bidi w:val="0"/>
        <w:ind w:left="2835"/>
        <w:jc w:val="both"/>
        <w:rPr>
          <w:rFonts w:ascii="Times New Roman" w:hAnsi="Times New Roman"/>
          <w:bCs/>
          <w:color w:val="000000"/>
        </w:rPr>
      </w:pPr>
      <w:r w:rsidRPr="00721E5F">
        <w:rPr>
          <w:rFonts w:ascii="Times New Roman" w:hAnsi="Times New Roman"/>
          <w:bCs/>
          <w:color w:val="000000"/>
        </w:rPr>
        <w:t xml:space="preserve">Predmetným návrhom sa zavádza zmena prechodného ustanovenia § 58m ods. 1 v tom zmysle, že ak sa udelí licencia na prevádzkovanie hazardných hier prevádzkovaných v herni po 31. decembri 2016 na základe konania podľa predpisov účinných do 31. decembra 2016, môžu byť herne podľa tejto licencie umiestnené len v hoteloch, moteloch a penziónoch, budovách pre obchod a služby, budovách pre kultúru a na verejnú zábavu alebo v bytových domoch; to znamená, že takéto konanie sa dokončí podľa doterajších predpisov, avšak sa naň bude vzťahovať aj odsek 24, a to z dôvodu, aby sa povinnosť umiestniť herňu len v takýchto budovách vzťahovala na všetky nové licencie od 1. januára 2017. Rovnako sa toto prechodné ustanovenie dopĺňa v tom zmysle, že ak sa udelí licencia na prevádzkovanie </w:t>
      </w:r>
      <w:r w:rsidRPr="00721E5F">
        <w:rPr>
          <w:rFonts w:ascii="Times New Roman" w:hAnsi="Times New Roman"/>
          <w:bCs/>
        </w:rPr>
        <w:t xml:space="preserve">výherných prístrojov alebo licencia na prevádzkovanie technických zariadení obsluhovaných priamo hráčmi alebo na  prevádzkovanie videohier </w:t>
      </w:r>
      <w:r w:rsidRPr="00721E5F">
        <w:rPr>
          <w:rFonts w:ascii="Times New Roman" w:hAnsi="Times New Roman"/>
          <w:bCs/>
          <w:color w:val="000000"/>
        </w:rPr>
        <w:t xml:space="preserve">po 31. decembri 2017 na základe konania podľa predpisov účinných do 31. decembra 2016, musí táto licencia obsahovať podmienku prevádzkovania týchto prístrojov, zariadení alebo terminálov len v herni; to znamená, že v takomto prípade sa na toto konanie bude vzťahovať aj odsek 22, a to z dôvodu, aby sa povinnosť prevádzkovať takéto prístroje, zariadenia a terminály výlučne v herni dotýkala od 1. januára 2018 všetkých prevádzkovateľov hazardných hier. Zároveň bude platiť, že aj pri konaniach dokončených podľa doterajších predpisov, ktoré vyústili do udelenia licencie na prevádzkovanie </w:t>
      </w:r>
      <w:r w:rsidRPr="00721E5F">
        <w:rPr>
          <w:rFonts w:ascii="Times New Roman" w:hAnsi="Times New Roman"/>
          <w:bCs/>
        </w:rPr>
        <w:t>výherných prístrojov alebo licencie na prevádzkovanie technických zariadení obsluhovaných priamo hráčmi alebo na  prevádzkovanie videohier</w:t>
      </w:r>
      <w:r w:rsidRPr="00721E5F">
        <w:rPr>
          <w:rFonts w:ascii="Times New Roman" w:hAnsi="Times New Roman"/>
          <w:bCs/>
          <w:color w:val="000000"/>
        </w:rPr>
        <w:t xml:space="preserve"> pred 1. januárom 2018, nie je dotknutá povinnosť pri takto udelených licenciách premiestniť všetky </w:t>
      </w:r>
      <w:r w:rsidRPr="00721E5F">
        <w:rPr>
          <w:rFonts w:ascii="Times New Roman" w:hAnsi="Times New Roman"/>
          <w:bCs/>
        </w:rPr>
        <w:t>výherné prístroje, technické zariadenia obsluhované priamo hráčmi a terminály videohier</w:t>
      </w:r>
      <w:r w:rsidRPr="00721E5F">
        <w:rPr>
          <w:rFonts w:ascii="Times New Roman" w:hAnsi="Times New Roman"/>
          <w:bCs/>
          <w:color w:val="000000"/>
        </w:rPr>
        <w:t xml:space="preserve"> do herne najneskôr do 1. januára 2018, v opačnom prípade k tomuto dňu platnosť tejto licencie zaniká zo zákona. Taktiež bude platiť, že pri konaniach podľa doterajších predpisov, ktoré sa týkajú udelenia licencie, nie je dotknuté obmedzenie pre prevádzkovateľa hazardnej hry, ktorý má ešte platnú licenciu, požiadať o novú takúto licenciu až v čase, keď mu stará licencia bude expirovať.</w:t>
      </w:r>
    </w:p>
    <w:p w:rsidR="00871EBA" w:rsidRPr="00721E5F" w:rsidP="00871EBA">
      <w:pPr>
        <w:bidi w:val="0"/>
        <w:jc w:val="both"/>
        <w:rPr>
          <w:rFonts w:ascii="Times New Roman" w:hAnsi="Times New Roman"/>
          <w:bCs/>
        </w:rPr>
      </w:pPr>
    </w:p>
    <w:p w:rsidR="00197BC8" w:rsidRPr="00721E5F" w:rsidP="00197BC8">
      <w:pPr>
        <w:bidi w:val="0"/>
        <w:ind w:left="2124" w:firstLine="708"/>
        <w:jc w:val="both"/>
        <w:rPr>
          <w:rFonts w:ascii="Times New Roman" w:hAnsi="Times New Roman"/>
          <w:b/>
        </w:rPr>
      </w:pPr>
      <w:r w:rsidRPr="00721E5F">
        <w:rPr>
          <w:rFonts w:ascii="Times New Roman" w:hAnsi="Times New Roman"/>
          <w:b/>
        </w:rPr>
        <w:t>Výbor NR SR pre financie a rozpočet</w:t>
      </w:r>
    </w:p>
    <w:p w:rsidR="00197BC8" w:rsidP="00197BC8">
      <w:pPr>
        <w:bidi w:val="0"/>
        <w:ind w:left="2124" w:firstLine="708"/>
        <w:rPr>
          <w:rFonts w:ascii="Times New Roman" w:hAnsi="Times New Roman"/>
          <w:b/>
        </w:rPr>
      </w:pPr>
      <w:r w:rsidRPr="00721E5F">
        <w:rPr>
          <w:rFonts w:ascii="Times New Roman" w:hAnsi="Times New Roman"/>
          <w:b/>
        </w:rPr>
        <w:t>Gestorský výbor odporúča schváliť.</w:t>
      </w:r>
    </w:p>
    <w:p w:rsidR="00197BC8" w:rsidP="00871EBA">
      <w:pPr>
        <w:bidi w:val="0"/>
        <w:jc w:val="both"/>
        <w:rPr>
          <w:rFonts w:ascii="Times New Roman" w:hAnsi="Times New Roman"/>
          <w:bCs/>
        </w:rPr>
      </w:pPr>
    </w:p>
    <w:p w:rsidR="00871EBA" w:rsidP="00904DBB">
      <w:pPr>
        <w:numPr>
          <w:numId w:val="28"/>
        </w:numPr>
        <w:bidi w:val="0"/>
        <w:ind w:left="426" w:hanging="426"/>
        <w:jc w:val="both"/>
        <w:rPr>
          <w:rFonts w:ascii="Times New Roman" w:hAnsi="Times New Roman"/>
          <w:b/>
        </w:rPr>
      </w:pPr>
      <w:r>
        <w:rPr>
          <w:rFonts w:ascii="Times New Roman" w:hAnsi="Times New Roman"/>
          <w:b/>
        </w:rPr>
        <w:t>K čl. I 100. bodu § 58m ods. 6</w:t>
      </w:r>
    </w:p>
    <w:p w:rsidR="00871EBA" w:rsidP="00871EBA">
      <w:pPr>
        <w:bidi w:val="0"/>
        <w:ind w:left="705"/>
        <w:jc w:val="both"/>
        <w:rPr>
          <w:rFonts w:ascii="Times New Roman" w:hAnsi="Times New Roman"/>
        </w:rPr>
      </w:pPr>
      <w:r>
        <w:rPr>
          <w:rFonts w:ascii="Times New Roman" w:hAnsi="Times New Roman"/>
        </w:rPr>
        <w:t>V čl. I 100. bode § 58m ods. 6 sa za slová „Finančné riaditeľstvo“ vkladajú slová „Slovenskej republiky“ a slová „Slovenskej republiky“ za slovami „od 1. júla 2017“ sa vypúšťajú“.</w:t>
      </w:r>
    </w:p>
    <w:p w:rsidR="00871EBA" w:rsidP="00871EBA">
      <w:pPr>
        <w:tabs>
          <w:tab w:val="left" w:pos="4253"/>
        </w:tabs>
        <w:bidi w:val="0"/>
        <w:jc w:val="both"/>
        <w:rPr>
          <w:rFonts w:ascii="Times New Roman" w:hAnsi="Times New Roman"/>
        </w:rPr>
      </w:pPr>
      <w:r>
        <w:rPr>
          <w:rFonts w:ascii="Times New Roman" w:hAnsi="Times New Roman"/>
        </w:rPr>
        <w:t xml:space="preserve">                                            </w:t>
      </w:r>
    </w:p>
    <w:p w:rsidR="00871EBA" w:rsidP="00871EBA">
      <w:pPr>
        <w:tabs>
          <w:tab w:val="left" w:pos="2835"/>
          <w:tab w:val="left" w:pos="3402"/>
        </w:tabs>
        <w:bidi w:val="0"/>
        <w:jc w:val="both"/>
        <w:rPr>
          <w:rFonts w:ascii="Times New Roman" w:hAnsi="Times New Roman"/>
        </w:rPr>
      </w:pPr>
      <w:r>
        <w:rPr>
          <w:rFonts w:ascii="Times New Roman" w:hAnsi="Times New Roman"/>
        </w:rPr>
        <w:tab/>
        <w:t>Ide o legislatívno-technickú pripomienku.</w:t>
      </w:r>
    </w:p>
    <w:p w:rsidR="00871EBA" w:rsidP="00871EBA">
      <w:pPr>
        <w:bidi w:val="0"/>
        <w:jc w:val="both"/>
        <w:rPr>
          <w:rFonts w:ascii="Times New Roman" w:hAnsi="Times New Roman"/>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jc w:val="both"/>
        <w:rPr>
          <w:rFonts w:ascii="Times New Roman" w:hAnsi="Times New Roman"/>
          <w:b/>
        </w:rPr>
      </w:pPr>
      <w:r w:rsidRPr="00A66A95">
        <w:rPr>
          <w:rFonts w:ascii="Times New Roman" w:hAnsi="Times New Roman"/>
          <w:b/>
        </w:rPr>
        <w:t>Ústavnoprávny výbor NR SR</w:t>
      </w:r>
    </w:p>
    <w:p w:rsidR="00197BC8" w:rsidRPr="00020EBA" w:rsidP="00197BC8">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197BC8" w:rsidP="00197BC8">
      <w:pPr>
        <w:bidi w:val="0"/>
        <w:ind w:left="2124" w:firstLine="708"/>
        <w:rPr>
          <w:rFonts w:ascii="Times New Roman" w:hAnsi="Times New Roman"/>
          <w:b/>
        </w:rPr>
      </w:pPr>
      <w:r w:rsidRPr="00D63CFE">
        <w:rPr>
          <w:rFonts w:ascii="Times New Roman" w:hAnsi="Times New Roman"/>
          <w:b/>
        </w:rPr>
        <w:t>Výbor</w:t>
      </w:r>
      <w:r>
        <w:rPr>
          <w:rFonts w:ascii="Times New Roman" w:hAnsi="Times New Roman"/>
        </w:rPr>
        <w:t xml:space="preserve"> </w:t>
      </w:r>
      <w:r w:rsidRPr="00D63CFE">
        <w:rPr>
          <w:rFonts w:ascii="Times New Roman" w:hAnsi="Times New Roman"/>
          <w:b/>
        </w:rPr>
        <w:t>NR SR</w:t>
      </w:r>
      <w:r>
        <w:rPr>
          <w:rFonts w:ascii="Times New Roman" w:hAnsi="Times New Roman"/>
        </w:rPr>
        <w:t xml:space="preserve"> </w:t>
      </w:r>
      <w:r w:rsidRPr="00D63CFE">
        <w:rPr>
          <w:rFonts w:ascii="Times New Roman" w:hAnsi="Times New Roman"/>
          <w:b/>
        </w:rPr>
        <w:t>pre zdravotníctvo</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rPr>
      </w:pPr>
    </w:p>
    <w:p w:rsidR="00871EBA" w:rsidP="00904DBB">
      <w:pPr>
        <w:numPr>
          <w:numId w:val="28"/>
        </w:numPr>
        <w:bidi w:val="0"/>
        <w:ind w:left="426" w:hanging="426"/>
        <w:jc w:val="both"/>
        <w:rPr>
          <w:rFonts w:ascii="Times New Roman" w:hAnsi="Times New Roman"/>
          <w:b/>
        </w:rPr>
      </w:pPr>
      <w:r>
        <w:rPr>
          <w:rFonts w:ascii="Times New Roman" w:hAnsi="Times New Roman"/>
          <w:b/>
        </w:rPr>
        <w:t>K čl. I 100. bodu § 58m  ods. 11</w:t>
      </w:r>
    </w:p>
    <w:p w:rsidR="00871EBA" w:rsidP="00871EBA">
      <w:pPr>
        <w:bidi w:val="0"/>
        <w:ind w:left="708"/>
        <w:jc w:val="both"/>
        <w:rPr>
          <w:rFonts w:ascii="Times New Roman" w:hAnsi="Times New Roman"/>
        </w:rPr>
      </w:pPr>
      <w:r>
        <w:rPr>
          <w:rFonts w:ascii="Times New Roman" w:hAnsi="Times New Roman"/>
        </w:rPr>
        <w:t>V čl. I 100. bode § 58m ods. 11 sa slová „Ustanovenie odseku 8“ nahrádza slovami „Ustanovenie odseku 10“.</w:t>
      </w:r>
    </w:p>
    <w:p w:rsidR="00871EBA" w:rsidP="00871EBA">
      <w:pPr>
        <w:bidi w:val="0"/>
        <w:jc w:val="both"/>
        <w:rPr>
          <w:rFonts w:ascii="Times New Roman" w:hAnsi="Times New Roman"/>
        </w:rPr>
      </w:pPr>
    </w:p>
    <w:p w:rsidR="00871EBA" w:rsidP="00871EBA">
      <w:pPr>
        <w:tabs>
          <w:tab w:val="left" w:pos="2835"/>
          <w:tab w:val="left" w:pos="4253"/>
        </w:tabs>
        <w:bidi w:val="0"/>
        <w:ind w:left="2832" w:hanging="2832"/>
        <w:jc w:val="both"/>
        <w:rPr>
          <w:rFonts w:ascii="Times New Roman" w:hAnsi="Times New Roman"/>
        </w:rPr>
      </w:pPr>
      <w:r>
        <w:rPr>
          <w:rFonts w:ascii="Times New Roman" w:hAnsi="Times New Roman"/>
        </w:rPr>
        <w:tab/>
        <w:tab/>
        <w:t xml:space="preserve">Ide o nahradenie zrejme nesprávneho vnútorného odkazu na § 58m ods. 10, ktorý rieši podrobnosti v súvislosti so zmenou (prechodom) uloženia finančnej zábezpeky zo samostatného účtu v banke  na účet daňového úradu.      </w:t>
      </w:r>
    </w:p>
    <w:p w:rsidR="00871EBA" w:rsidP="00871EBA">
      <w:pPr>
        <w:tabs>
          <w:tab w:val="left" w:pos="2835"/>
          <w:tab w:val="left" w:pos="4253"/>
        </w:tabs>
        <w:bidi w:val="0"/>
        <w:ind w:left="2832" w:hanging="2832"/>
        <w:jc w:val="both"/>
        <w:rPr>
          <w:rFonts w:ascii="Times New Roman" w:hAnsi="Times New Roman"/>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RPr="00020EBA" w:rsidP="00197BC8">
      <w:pPr>
        <w:bidi w:val="0"/>
        <w:ind w:left="2124" w:firstLine="708"/>
        <w:jc w:val="both"/>
        <w:rPr>
          <w:rFonts w:ascii="Times New Roman" w:hAnsi="Times New Roman"/>
          <w:b/>
        </w:rPr>
      </w:pPr>
      <w:r w:rsidRPr="00A66A95">
        <w:rPr>
          <w:rFonts w:ascii="Times New Roman" w:hAnsi="Times New Roman"/>
          <w:b/>
        </w:rPr>
        <w:t>Ústavnoprávny výbor NR SR</w:t>
      </w:r>
    </w:p>
    <w:p w:rsidR="00197BC8" w:rsidRPr="00020EBA" w:rsidP="00197BC8">
      <w:pPr>
        <w:bidi w:val="0"/>
        <w:ind w:left="2124" w:firstLine="708"/>
        <w:rPr>
          <w:rFonts w:ascii="Times New Roman" w:hAnsi="Times New Roman"/>
          <w:b/>
        </w:rPr>
      </w:pPr>
      <w:r w:rsidRPr="00020EBA">
        <w:rPr>
          <w:rFonts w:ascii="Times New Roman" w:hAnsi="Times New Roman"/>
          <w:b/>
        </w:rPr>
        <w:t>Výbor</w:t>
      </w:r>
      <w:r w:rsidRPr="00020EBA">
        <w:rPr>
          <w:rFonts w:ascii="Times New Roman" w:hAnsi="Times New Roman"/>
        </w:rPr>
        <w:t xml:space="preserve"> </w:t>
      </w:r>
      <w:r w:rsidRPr="00020EBA">
        <w:rPr>
          <w:rFonts w:ascii="Times New Roman" w:hAnsi="Times New Roman"/>
          <w:b/>
        </w:rPr>
        <w:t>NR SR</w:t>
      </w:r>
      <w:r w:rsidRPr="00020EBA">
        <w:rPr>
          <w:rFonts w:ascii="Times New Roman" w:hAnsi="Times New Roman"/>
        </w:rPr>
        <w:t xml:space="preserve"> </w:t>
      </w:r>
      <w:r w:rsidRPr="00020EBA">
        <w:rPr>
          <w:rFonts w:ascii="Times New Roman" w:hAnsi="Times New Roman"/>
          <w:b/>
        </w:rPr>
        <w:t>pre verejnú správu a regionálny rozvoj</w:t>
      </w:r>
    </w:p>
    <w:p w:rsidR="00197BC8" w:rsidP="00197BC8">
      <w:pPr>
        <w:bidi w:val="0"/>
        <w:ind w:left="2124" w:firstLine="708"/>
        <w:rPr>
          <w:rFonts w:ascii="Times New Roman" w:hAnsi="Times New Roman"/>
          <w:b/>
        </w:rPr>
      </w:pPr>
      <w:r w:rsidRPr="00D63CFE">
        <w:rPr>
          <w:rFonts w:ascii="Times New Roman" w:hAnsi="Times New Roman"/>
          <w:b/>
        </w:rPr>
        <w:t>Výbor</w:t>
      </w:r>
      <w:r>
        <w:rPr>
          <w:rFonts w:ascii="Times New Roman" w:hAnsi="Times New Roman"/>
        </w:rPr>
        <w:t xml:space="preserve"> </w:t>
      </w:r>
      <w:r w:rsidRPr="00D63CFE">
        <w:rPr>
          <w:rFonts w:ascii="Times New Roman" w:hAnsi="Times New Roman"/>
          <w:b/>
        </w:rPr>
        <w:t>NR SR</w:t>
      </w:r>
      <w:r>
        <w:rPr>
          <w:rFonts w:ascii="Times New Roman" w:hAnsi="Times New Roman"/>
        </w:rPr>
        <w:t xml:space="preserve"> </w:t>
      </w:r>
      <w:r w:rsidRPr="00D63CFE">
        <w:rPr>
          <w:rFonts w:ascii="Times New Roman" w:hAnsi="Times New Roman"/>
          <w:b/>
        </w:rPr>
        <w:t>pre zdravotníctvo</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tabs>
          <w:tab w:val="left" w:pos="2835"/>
          <w:tab w:val="left" w:pos="4253"/>
        </w:tabs>
        <w:bidi w:val="0"/>
        <w:ind w:left="2832" w:hanging="2832"/>
        <w:jc w:val="both"/>
        <w:rPr>
          <w:rFonts w:ascii="Times New Roman" w:hAnsi="Times New Roman"/>
        </w:rPr>
      </w:pPr>
    </w:p>
    <w:p w:rsidR="00871EBA" w:rsidP="00904DBB">
      <w:pPr>
        <w:numPr>
          <w:numId w:val="28"/>
        </w:numPr>
        <w:bidi w:val="0"/>
        <w:ind w:left="426" w:hanging="426"/>
        <w:jc w:val="both"/>
        <w:rPr>
          <w:rFonts w:ascii="Times New Roman" w:hAnsi="Times New Roman"/>
          <w:b/>
          <w:lang w:eastAsia="en-US"/>
        </w:rPr>
      </w:pPr>
      <w:r>
        <w:rPr>
          <w:rFonts w:ascii="Times New Roman" w:hAnsi="Times New Roman"/>
          <w:b/>
          <w:bCs/>
          <w:lang w:eastAsia="en-US"/>
        </w:rPr>
        <w:t>K čl. I – k doterajšiemu bodu 100 (§ 58m)</w:t>
      </w:r>
    </w:p>
    <w:p w:rsidR="00871EBA" w:rsidP="00871EBA">
      <w:pPr>
        <w:bidi w:val="0"/>
        <w:ind w:left="426"/>
        <w:jc w:val="both"/>
        <w:rPr>
          <w:rFonts w:ascii="Times New Roman" w:hAnsi="Times New Roman"/>
          <w:bCs/>
          <w:lang w:eastAsia="en-US"/>
        </w:rPr>
      </w:pPr>
      <w:r>
        <w:rPr>
          <w:rFonts w:ascii="Times New Roman" w:hAnsi="Times New Roman"/>
          <w:bCs/>
          <w:lang w:eastAsia="en-US"/>
        </w:rPr>
        <w:t xml:space="preserve">V čl. I doterajšom bode 100 sa v § 58m ods. 17 slová „30. júna 2017“ nahrádzajú slovami </w:t>
      </w:r>
    </w:p>
    <w:p w:rsidR="00871EBA" w:rsidP="00871EBA">
      <w:pPr>
        <w:bidi w:val="0"/>
        <w:ind w:left="426"/>
        <w:jc w:val="both"/>
        <w:rPr>
          <w:rFonts w:ascii="Times New Roman" w:hAnsi="Times New Roman"/>
          <w:bCs/>
          <w:lang w:eastAsia="en-US"/>
        </w:rPr>
      </w:pPr>
      <w:r>
        <w:rPr>
          <w:rFonts w:ascii="Times New Roman" w:hAnsi="Times New Roman"/>
          <w:bCs/>
          <w:lang w:eastAsia="en-US"/>
        </w:rPr>
        <w:t>„31. decembra 2017“.</w:t>
      </w:r>
    </w:p>
    <w:p w:rsidR="00871EBA" w:rsidP="00871EBA">
      <w:pPr>
        <w:bidi w:val="0"/>
        <w:ind w:left="426"/>
        <w:jc w:val="both"/>
        <w:rPr>
          <w:rFonts w:ascii="Times New Roman" w:hAnsi="Times New Roman"/>
          <w:bCs/>
          <w:lang w:eastAsia="en-US"/>
        </w:rPr>
      </w:pPr>
    </w:p>
    <w:p w:rsidR="00871EBA" w:rsidP="00871EBA">
      <w:pPr>
        <w:bidi w:val="0"/>
        <w:ind w:left="2832"/>
        <w:jc w:val="both"/>
        <w:rPr>
          <w:rFonts w:ascii="Times New Roman" w:hAnsi="Times New Roman"/>
          <w:bCs/>
          <w:color w:val="000000"/>
          <w:lang w:eastAsia="en-US"/>
        </w:rPr>
      </w:pPr>
      <w:r>
        <w:rPr>
          <w:rFonts w:ascii="Times New Roman" w:hAnsi="Times New Roman"/>
          <w:bCs/>
          <w:color w:val="000000"/>
          <w:lang w:eastAsia="en-US"/>
        </w:rPr>
        <w:t>Navrhuje sa predĺžiť termín preregistrácie hráčov pri hazardných hrách uvedených v § 58m ods. 17 o polroka  z dôvodu vysokej administratívnej náročnosti tejto preregistrácie.</w:t>
      </w:r>
    </w:p>
    <w:p w:rsidR="00871EBA" w:rsidP="00871EBA">
      <w:pPr>
        <w:bidi w:val="0"/>
        <w:ind w:left="2832"/>
        <w:jc w:val="both"/>
        <w:rPr>
          <w:rFonts w:ascii="Times New Roman" w:hAnsi="Times New Roman"/>
          <w:bCs/>
          <w:color w:val="000000"/>
          <w:lang w:eastAsia="en-US"/>
        </w:rPr>
      </w:pPr>
    </w:p>
    <w:p w:rsidR="00E54925" w:rsidP="00871EBA">
      <w:pPr>
        <w:bidi w:val="0"/>
        <w:ind w:left="2832"/>
        <w:jc w:val="both"/>
        <w:rPr>
          <w:rFonts w:ascii="Times New Roman" w:hAnsi="Times New Roman"/>
          <w:bCs/>
          <w:color w:val="000000"/>
          <w:lang w:eastAsia="en-U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ind w:left="2832"/>
        <w:jc w:val="both"/>
        <w:rPr>
          <w:rFonts w:ascii="Times New Roman" w:hAnsi="Times New Roman"/>
          <w:bCs/>
          <w:color w:val="000000"/>
          <w:lang w:eastAsia="en-US"/>
        </w:rPr>
      </w:pPr>
    </w:p>
    <w:p w:rsidR="00871EBA" w:rsidP="00904DBB">
      <w:pPr>
        <w:numPr>
          <w:numId w:val="28"/>
        </w:numPr>
        <w:bidi w:val="0"/>
        <w:ind w:left="426" w:hanging="426"/>
        <w:jc w:val="both"/>
        <w:rPr>
          <w:rFonts w:ascii="Times New Roman" w:hAnsi="Times New Roman"/>
          <w:b/>
          <w:bCs/>
        </w:rPr>
      </w:pPr>
      <w:r>
        <w:rPr>
          <w:rFonts w:ascii="Times New Roman" w:hAnsi="Times New Roman"/>
          <w:b/>
          <w:bCs/>
        </w:rPr>
        <w:t>K čl. I – k doterajšiemu bodu 100 (§ 58m)</w:t>
      </w:r>
    </w:p>
    <w:p w:rsidR="00871EBA" w:rsidP="00871EBA">
      <w:pPr>
        <w:bidi w:val="0"/>
        <w:ind w:left="426"/>
        <w:jc w:val="both"/>
        <w:rPr>
          <w:rFonts w:ascii="Times New Roman" w:hAnsi="Times New Roman"/>
          <w:bCs/>
        </w:rPr>
      </w:pPr>
      <w:r>
        <w:rPr>
          <w:rFonts w:ascii="Times New Roman" w:hAnsi="Times New Roman"/>
          <w:bCs/>
        </w:rPr>
        <w:t>V čl. I doterajšom bode 100 v § 58m odsek 18 znie:</w:t>
      </w:r>
    </w:p>
    <w:p w:rsidR="00871EBA" w:rsidP="00871EBA">
      <w:pPr>
        <w:bidi w:val="0"/>
        <w:ind w:left="426"/>
        <w:jc w:val="both"/>
        <w:rPr>
          <w:rFonts w:ascii="Times New Roman" w:hAnsi="Times New Roman"/>
          <w:bCs/>
        </w:rPr>
      </w:pPr>
      <w:r>
        <w:rPr>
          <w:rFonts w:ascii="Times New Roman" w:hAnsi="Times New Roman"/>
          <w:bCs/>
        </w:rPr>
        <w:t xml:space="preserve">„(18) Prevádzkovateľovi hazardnej hry, ktorý prevádzkuje výherné prístroje, technické zariadenia obsluhované priamo hráčmi alebo terminály videohier, a právnickej osobe, ktorej sa udelí licencia podľa § 16 písm. b) štvrtého a piateho bodu pred 1. januárom 2018, zaniká platnosť tejto licencie 1. januára 2018, ak k tomuto dňu nemá všetky takéto prístroje, zariadenia a terminály premiestnené do herne, pričom v herni musí </w:t>
      </w:r>
      <w:r>
        <w:rPr>
          <w:rFonts w:ascii="Times New Roman" w:hAnsi="Times New Roman"/>
          <w:bCs/>
          <w:color w:val="000000"/>
        </w:rPr>
        <w:t xml:space="preserve">byť umiestnených najmenej 12 </w:t>
      </w:r>
      <w:r>
        <w:rPr>
          <w:rFonts w:ascii="Times New Roman" w:hAnsi="Times New Roman"/>
          <w:bCs/>
        </w:rPr>
        <w:t xml:space="preserve">výherných prístrojov, technických zariadení obsluhovaných priamo hráčmi alebo terminálov videohier alebo spoločne najmenej 12 takýchto prístrojov, zariadení alebo terminálov slúžiacich na prevádzkovanie týchto hazardných hier; každý takýto prístroj, takéto zariadenie alebo takýto terminál sa považuje za jeden kus prístroja, zariadenia alebo terminálu bez ohľadu na počet hracích miest. Do 1. januára 2018 je zakázané prevádzkovať výherné prístroje, technické zariadenia obsluhované priamo hráčmi a terminály videohier </w:t>
      </w:r>
    </w:p>
    <w:p w:rsidR="00871EBA" w:rsidP="00871EBA">
      <w:pPr>
        <w:bidi w:val="0"/>
        <w:ind w:left="426"/>
        <w:contextualSpacing/>
        <w:jc w:val="both"/>
        <w:rPr>
          <w:rFonts w:ascii="Times New Roman" w:hAnsi="Times New Roman"/>
          <w:bCs/>
        </w:rPr>
      </w:pPr>
      <w:r>
        <w:rPr>
          <w:rFonts w:ascii="Times New Roman" w:hAnsi="Times New Roman"/>
          <w:bCs/>
        </w:rPr>
        <w:t>a)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w:t>
      </w:r>
    </w:p>
    <w:p w:rsidR="00871EBA" w:rsidP="00871EBA">
      <w:pPr>
        <w:bidi w:val="0"/>
        <w:ind w:left="426"/>
        <w:contextualSpacing/>
        <w:jc w:val="both"/>
        <w:rPr>
          <w:rFonts w:ascii="Times New Roman" w:hAnsi="Times New Roman"/>
          <w:bCs/>
        </w:rPr>
      </w:pPr>
      <w:r>
        <w:rPr>
          <w:rFonts w:ascii="Times New Roman" w:hAnsi="Times New Roman"/>
          <w:bCs/>
        </w:rPr>
        <w:t>b) vo vzdialenosti do 200 metrov od školy, školského zariadenia, zariadenia sociálnych služieb pre deti a mládež, zariadenia sociálnoprávnej ochrany detí a sociálnej kurately, zariadenia pre liečbu nelátkových závislostí a ubytovne mládeže, s výnimkou ich prevádzkovania v herni; vzdialenosťou sa rozumie pochôdzková vzdialenosť medzi najbližším vchodom do prevádzky, v ktorej sú umiestnené takéto zariadenia a najbližším vchodom do budovy školy, školského zariadenia, zariadenia sociálnych služieb pre deti a mládež, zariadenia sociálnoprávnej ochrany detí a sociálnej kurately, zariadenia pre liečbu nelátkových závislostí a do ubytovne mládeže a meria sa kalibrovaným meradlom.</w:t>
      </w:r>
      <w:r>
        <w:rPr>
          <w:rFonts w:ascii="Times New Roman" w:hAnsi="Times New Roman"/>
          <w:bCs/>
          <w:vertAlign w:val="superscript"/>
        </w:rPr>
        <w:t>24</w:t>
      </w:r>
      <w:r>
        <w:rPr>
          <w:rFonts w:ascii="Times New Roman" w:hAnsi="Times New Roman"/>
          <w:bCs/>
        </w:rPr>
        <w:t>)“.</w:t>
      </w:r>
    </w:p>
    <w:p w:rsidR="00871EBA" w:rsidP="00871EBA">
      <w:pPr>
        <w:tabs>
          <w:tab w:val="left" w:pos="426"/>
        </w:tabs>
        <w:bidi w:val="0"/>
        <w:jc w:val="both"/>
        <w:rPr>
          <w:rFonts w:ascii="Times New Roman" w:hAnsi="Times New Roman"/>
          <w:bCs/>
        </w:rPr>
      </w:pPr>
    </w:p>
    <w:p w:rsidR="00871EBA" w:rsidP="00871EBA">
      <w:pPr>
        <w:bidi w:val="0"/>
        <w:ind w:left="2835"/>
        <w:jc w:val="both"/>
        <w:rPr>
          <w:rFonts w:ascii="Times New Roman" w:hAnsi="Times New Roman"/>
          <w:bCs/>
        </w:rPr>
      </w:pPr>
      <w:r>
        <w:rPr>
          <w:rFonts w:ascii="Times New Roman" w:hAnsi="Times New Roman"/>
          <w:bCs/>
          <w:color w:val="000000"/>
        </w:rPr>
        <w:t xml:space="preserve">Predmetným návrhom sa doterajšie dvojročné prechodné obdobie pre prevádzkovateľov </w:t>
      </w:r>
      <w:r>
        <w:rPr>
          <w:rFonts w:ascii="Times New Roman" w:hAnsi="Times New Roman"/>
          <w:bCs/>
        </w:rPr>
        <w:t xml:space="preserve">výherných prístrojov, technických zariadení obsluhovaných priamo hráčmi a terminálov videohier na zosúladenie sa s ustanovením § 35 ods. 24 zákona o hazardných hrách nahrádza ustanovením, podľa ktorého prevádzkovateľovi hazardnej hry, ktorý prevádzkuje výherné prístroje, technické zariadenia obsluhované priamo hráčmi alebo terminály videohier, a právnickej osobe, ktorej sa udelí licencia na prevádzkovanie takýchto hazardných hier pred 1. januárom 2018, zaniká zo zákona platnosť tejto licencie 1. januára 2018, ak k tomuto dňu nepremiestni všetky takéto prístroje, zariadenia a terminály do herne, pričom v herni bude musieť byť najmenej 12 výherných prístrojov, technických zariadení obsluhovaných priamo hráčmi alebo terminálov videohier alebo spoločne najmenej 12 takýchto prístrojov, zariadení alebo terminálov slúžiacich na prevádzkovanie týchto hazardných hier. Zároveň sa do 1. januára 2018 zakazuje prevádzkovať takéto prístroje, zariadenia a terminály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 ako aj vo vzdialenosti kratšej ako 200 metrov od takýchto zariadení. Pozmeňujúcim návrhom sa o jeden rok skracuje lehota na umiestnenie všetkých výherných prístrojov, technických zariadení obsluhovaných priamo hráčmi a terminálov videohier do herní, a to k jednotnému dátumu od 1. januára 2018.  </w:t>
      </w:r>
    </w:p>
    <w:p w:rsidR="00871EBA" w:rsidP="00871EBA">
      <w:pPr>
        <w:bidi w:val="0"/>
        <w:jc w:val="both"/>
        <w:rPr>
          <w:rFonts w:ascii="Times New Roman" w:hAnsi="Times New Roman"/>
          <w:b/>
          <w:bC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b/>
          <w:bCs/>
        </w:rPr>
      </w:pPr>
    </w:p>
    <w:p w:rsidR="00871EBA" w:rsidP="00904DBB">
      <w:pPr>
        <w:numPr>
          <w:numId w:val="28"/>
        </w:numPr>
        <w:bidi w:val="0"/>
        <w:ind w:left="426" w:hanging="426"/>
        <w:jc w:val="both"/>
        <w:rPr>
          <w:rFonts w:ascii="Times New Roman" w:hAnsi="Times New Roman"/>
          <w:b/>
          <w:bCs/>
        </w:rPr>
      </w:pPr>
      <w:r>
        <w:rPr>
          <w:rFonts w:ascii="Times New Roman" w:hAnsi="Times New Roman"/>
          <w:b/>
          <w:bCs/>
        </w:rPr>
        <w:t>K čl. I – k doterajšiemu bodu 100 (§ 58m)</w:t>
      </w:r>
    </w:p>
    <w:p w:rsidR="00871EBA" w:rsidP="00871EBA">
      <w:pPr>
        <w:bidi w:val="0"/>
        <w:ind w:left="426"/>
        <w:jc w:val="both"/>
        <w:rPr>
          <w:rFonts w:ascii="Times New Roman" w:hAnsi="Times New Roman"/>
          <w:bCs/>
        </w:rPr>
      </w:pPr>
      <w:r>
        <w:rPr>
          <w:rFonts w:ascii="Times New Roman" w:hAnsi="Times New Roman"/>
          <w:bCs/>
        </w:rPr>
        <w:t>V čl. I doterajšom bode 100 sa § 58m dopĺňa odsekmi 20 až 24, ktoré znejú:</w:t>
      </w:r>
    </w:p>
    <w:p w:rsidR="00871EBA" w:rsidP="00871EBA">
      <w:pPr>
        <w:bidi w:val="0"/>
        <w:ind w:left="426"/>
        <w:contextualSpacing/>
        <w:jc w:val="both"/>
        <w:rPr>
          <w:rFonts w:ascii="Times New Roman" w:hAnsi="Times New Roman"/>
          <w:bCs/>
        </w:rPr>
      </w:pPr>
      <w:r>
        <w:rPr>
          <w:rFonts w:ascii="Times New Roman" w:hAnsi="Times New Roman"/>
          <w:bCs/>
        </w:rPr>
        <w:t xml:space="preserve">„(20) Všeobecne záväzné nariadenia obce podľa § 10 ods. 5 písm. d) vydané podľa predpisov účinných do 31. decembra 2016 zostávajú v platnosti.     </w:t>
      </w:r>
    </w:p>
    <w:p w:rsidR="00871EBA" w:rsidP="00871EBA">
      <w:pPr>
        <w:bidi w:val="0"/>
        <w:ind w:left="426"/>
        <w:contextualSpacing/>
        <w:jc w:val="both"/>
        <w:rPr>
          <w:rFonts w:ascii="Times New Roman" w:hAnsi="Times New Roman"/>
          <w:bCs/>
        </w:rPr>
      </w:pPr>
    </w:p>
    <w:p w:rsidR="00871EBA" w:rsidP="00871EBA">
      <w:pPr>
        <w:bidi w:val="0"/>
        <w:ind w:left="426"/>
        <w:contextualSpacing/>
        <w:jc w:val="both"/>
        <w:rPr>
          <w:rFonts w:ascii="Times New Roman" w:hAnsi="Times New Roman"/>
          <w:bCs/>
        </w:rPr>
      </w:pPr>
      <w:r>
        <w:rPr>
          <w:rFonts w:ascii="Times New Roman" w:hAnsi="Times New Roman"/>
          <w:bCs/>
        </w:rPr>
        <w:t xml:space="preserve">(21) Ak sa o všeobecne záväznom nariadení podľa § 10 ods. 5 písm. d) v znení účinnom do 31. decembra 2016 nerozhodlo uznesením obecného zastupiteľstva do 31. decembra 2016, na všeobecne záväzné nariadenie sa použije § 10 ods. 5 písm. d) v znení účinnom od 1. januára 2017, pričom účinky petície podľa § 10 ods. 6 podanej pred 1. januárom 2017 zostávajú zachované. </w:t>
      </w:r>
    </w:p>
    <w:p w:rsidR="00871EBA" w:rsidP="00871EBA">
      <w:pPr>
        <w:bidi w:val="0"/>
        <w:ind w:left="426"/>
        <w:contextualSpacing/>
        <w:jc w:val="both"/>
        <w:rPr>
          <w:rFonts w:ascii="Times New Roman" w:hAnsi="Times New Roman"/>
          <w:bCs/>
        </w:rPr>
      </w:pPr>
    </w:p>
    <w:p w:rsidR="00871EBA" w:rsidP="00871EBA">
      <w:pPr>
        <w:bidi w:val="0"/>
        <w:ind w:left="426"/>
        <w:jc w:val="both"/>
        <w:rPr>
          <w:rFonts w:ascii="Times New Roman" w:hAnsi="Times New Roman"/>
          <w:bCs/>
        </w:rPr>
      </w:pPr>
      <w:r>
        <w:rPr>
          <w:rFonts w:ascii="Times New Roman" w:hAnsi="Times New Roman"/>
          <w:bCs/>
        </w:rPr>
        <w:t>(22) Udeliť alebo zmeniť licenciu podľa § 16 písm. b) štvrtého a piateho bodu po 31. decembri 2017 možno len v súlade s § 35 ods. 24 v znení účinnom od 1. januára 2018.</w:t>
      </w:r>
    </w:p>
    <w:p w:rsidR="00871EBA" w:rsidP="00871EBA">
      <w:pPr>
        <w:bidi w:val="0"/>
        <w:ind w:left="426"/>
        <w:jc w:val="both"/>
        <w:rPr>
          <w:rFonts w:ascii="Times New Roman" w:hAnsi="Times New Roman"/>
          <w:bCs/>
        </w:rPr>
      </w:pPr>
    </w:p>
    <w:p w:rsidR="00871EBA" w:rsidP="00871EBA">
      <w:pPr>
        <w:bidi w:val="0"/>
        <w:ind w:left="426"/>
        <w:jc w:val="both"/>
        <w:rPr>
          <w:rFonts w:ascii="Times New Roman" w:hAnsi="Times New Roman"/>
          <w:bCs/>
        </w:rPr>
      </w:pPr>
      <w:r>
        <w:rPr>
          <w:rFonts w:ascii="Times New Roman" w:hAnsi="Times New Roman"/>
          <w:bCs/>
        </w:rPr>
        <w:t xml:space="preserve">(23) Prevádzkovateľ hazardnej hry prevádzkovanej v herni, ktorému bola udelená individuálna licencia pred 1. januárom 2017, je povinný najneskôr do 31. októbra 2017 požiadať o zmenu tejto individuálnej licencie na účel jej zosúladenia s § 38 ods. 4; ak tento prevádzkovateľ hazardnej hry o takúto zmenu individuálnej licencie do 31. októbra 2017 nepožiada, platnosť tejto individuálnej licencie zaniká 1. novembra 2017. </w:t>
      </w:r>
    </w:p>
    <w:p w:rsidR="00871EBA" w:rsidP="00871EBA">
      <w:pPr>
        <w:bidi w:val="0"/>
        <w:ind w:left="426"/>
        <w:jc w:val="both"/>
        <w:rPr>
          <w:rFonts w:ascii="Times New Roman" w:hAnsi="Times New Roman"/>
          <w:bCs/>
        </w:rPr>
      </w:pPr>
    </w:p>
    <w:p w:rsidR="00871EBA" w:rsidP="00871EBA">
      <w:pPr>
        <w:bidi w:val="0"/>
        <w:ind w:left="426"/>
        <w:jc w:val="both"/>
        <w:rPr>
          <w:rFonts w:ascii="Times New Roman" w:hAnsi="Times New Roman"/>
          <w:bCs/>
        </w:rPr>
      </w:pPr>
      <w:r>
        <w:rPr>
          <w:rFonts w:ascii="Times New Roman" w:hAnsi="Times New Roman"/>
          <w:bCs/>
        </w:rPr>
        <w:t>(24) Udeliť alebo zmeniť individuálnu licenciu na prevádzkovanie hazardných hier prevádzkovaných v herni po 31. decembri 2016 možno len v súlade s § 38 ods. 4.“.</w:t>
      </w:r>
    </w:p>
    <w:p w:rsidR="00871EBA" w:rsidP="00871EBA">
      <w:pPr>
        <w:bidi w:val="0"/>
        <w:jc w:val="both"/>
        <w:rPr>
          <w:rFonts w:ascii="Times New Roman" w:hAnsi="Times New Roman"/>
          <w:bCs/>
        </w:rPr>
      </w:pPr>
      <w:r>
        <w:rPr>
          <w:rFonts w:ascii="Times New Roman" w:hAnsi="Times New Roman"/>
          <w:bCs/>
        </w:rPr>
        <w:t xml:space="preserve">     </w:t>
      </w:r>
    </w:p>
    <w:p w:rsidR="00871EBA" w:rsidP="00871EBA">
      <w:pPr>
        <w:bidi w:val="0"/>
        <w:ind w:left="2835"/>
        <w:jc w:val="both"/>
        <w:rPr>
          <w:rFonts w:ascii="Times New Roman" w:hAnsi="Times New Roman"/>
          <w:bCs/>
        </w:rPr>
      </w:pPr>
      <w:r>
        <w:rPr>
          <w:rFonts w:ascii="Times New Roman" w:hAnsi="Times New Roman"/>
          <w:bCs/>
          <w:color w:val="000000"/>
        </w:rPr>
        <w:t xml:space="preserve">V súvislosti so zmenou rozsahu pôsobnosti VZN obcí podľa § 10 ods. 5 písm. d) zákona o hazardných hrách je potrebné doplniť aj nové prechodné ustanovenia k úpravám zákona účinným od 1. januára 2017 – nové odseky 20 a 21 v § 58m. Týmito dvoma novými odsekmi sa ustanoví, že VZN obcí o nemožnosti prevádzkovať hazardné hry podľa § 3 ods. 2 písm. b), d), e) a i) zákona na jej územní vydané podľa doterajších predpisov zostávajú v platnosti; obec však môže takéto VZN zrušiť, pretože VZN podľa § 10 ods. 5 písm. d) zákona obec môže, ale nemusí vydať. Ak by však obec chcela vydať nové VZN podľa nových predpisov alebo zmeniť doterajšie VZN v súlade s novými predpismi, môže tak urobiť len za podmienky zostavenia novej petície obyvateľov obce, pretože zostavenie petície je vždy podmienkou pre prijatie VZN. Účinky petície podanej pred 1. januárom 2017 však zostávajú zachované, ak obecné zastupiteľstvo nerozhodlo o VZN uznesením do 31. decembra 2016, pričom samozrejme platí, že takéto VZN možno po 31. decembri 2016 schváliť len podľa predpisov účinných od 1. januára 2017. Zachovať účinky petície podanej pred účinnosťou novely zákona sa navrhuje z dôvodu, že už podpísaním petície sa obyvatelia obce sťažujú, že sa v obci narúša verejný poriadok v súvislosti s hraním hazardných hier, pričom zmenený rozsah pôsobnosti VZN na podstatu takejto sťažnosti nemá vplyv. Doplneným prechodným ustanovením v § 58m ods. 22 sa zabezpečí, aby všetky licencie na prevádzkovanie </w:t>
      </w:r>
      <w:r>
        <w:rPr>
          <w:rFonts w:ascii="Times New Roman" w:hAnsi="Times New Roman"/>
          <w:bCs/>
        </w:rPr>
        <w:t>výherných prístrojov a  licencie na prevádzkovanie technických zariadení obsluhovaných priamo hráčmi alebo na  prevádzkovanie videohier</w:t>
      </w:r>
      <w:r>
        <w:rPr>
          <w:rFonts w:ascii="Times New Roman" w:hAnsi="Times New Roman"/>
          <w:bCs/>
          <w:color w:val="000000"/>
        </w:rPr>
        <w:t xml:space="preserve"> udelené po 31. decembri 2017 a všetky zmeny týchto licencií vykonané po 31. decembri 2017 spĺňali podmienku umiestnenia v</w:t>
      </w:r>
      <w:r>
        <w:rPr>
          <w:rFonts w:ascii="Times New Roman" w:hAnsi="Times New Roman"/>
          <w:bCs/>
        </w:rPr>
        <w:t xml:space="preserve">šetkých takýchto prístrojov,  zariadení a terminálov výlučne v herni. Novým prechodným ustanovením v § 58m ods. 23 sa pre prevádzkovateľov hazardných hier prevádzkovaných v herni, ktorým bola udelená licencia pred 1. januárom 2017, ustanovuje povinnosť požiadať o zosúladenie  umiestnenia herní s ustanovením § 38 ods. 4 (umiestnenie herne len </w:t>
      </w:r>
      <w:r>
        <w:rPr>
          <w:rFonts w:ascii="Times New Roman" w:hAnsi="Times New Roman"/>
          <w:bCs/>
          <w:color w:val="000000"/>
        </w:rPr>
        <w:t>v hoteloch, moteloch a penziónoch, budovách pre obchod a služby, budovách pre kultúru a na verejnú zábavu alebo v bytových domoch, ak s tým súhlasí nadpolovičná väčšina vlastníkov bytov a nebytových priestorov v bytovom dome) najneskôr do 31. októbra 2017, v opačnom prípade im platnosť licencie zanikne zo zákona. Doplneným prechodným ustanovením v § 58m ods. 24 sa zabezpečí, aby všetky licencie na prevádzkovanie hazardných hier p</w:t>
      </w:r>
      <w:r>
        <w:rPr>
          <w:rFonts w:ascii="Times New Roman" w:hAnsi="Times New Roman"/>
          <w:bCs/>
        </w:rPr>
        <w:t xml:space="preserve">revádzkovaných v herni </w:t>
      </w:r>
      <w:r>
        <w:rPr>
          <w:rFonts w:ascii="Times New Roman" w:hAnsi="Times New Roman"/>
          <w:bCs/>
          <w:color w:val="000000"/>
        </w:rPr>
        <w:t xml:space="preserve">udelené po 31. decembri 2016 a všetky zmeny týchto licencií vykonané po 31. decembri 2016 spĺňali podmienku umiestnenia herní v budovách podľa § 38 ods. 4. </w:t>
      </w:r>
    </w:p>
    <w:p w:rsidR="00871EBA" w:rsidP="00871EBA">
      <w:pPr>
        <w:bidi w:val="0"/>
        <w:jc w:val="both"/>
        <w:rPr>
          <w:rFonts w:ascii="Times New Roman" w:hAnsi="Times New Roman"/>
          <w:bCs/>
        </w:rPr>
      </w:pP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bCs/>
        </w:rPr>
      </w:pPr>
    </w:p>
    <w:p w:rsidR="00871EBA" w:rsidP="00904DBB">
      <w:pPr>
        <w:pStyle w:val="ListParagraph"/>
        <w:numPr>
          <w:numId w:val="28"/>
        </w:numPr>
        <w:bidi w:val="0"/>
        <w:spacing w:after="0" w:line="240" w:lineRule="auto"/>
        <w:ind w:left="426" w:hanging="426"/>
        <w:jc w:val="both"/>
        <w:rPr>
          <w:rFonts w:ascii="Times New Roman" w:hAnsi="Times New Roman"/>
          <w:b/>
          <w:sz w:val="24"/>
          <w:szCs w:val="24"/>
        </w:rPr>
      </w:pPr>
      <w:r>
        <w:rPr>
          <w:rFonts w:ascii="Times New Roman" w:hAnsi="Times New Roman"/>
          <w:b/>
          <w:sz w:val="24"/>
          <w:szCs w:val="24"/>
        </w:rPr>
        <w:t>K čl. I – k doterajšiemu bodu 100 (návrh nového § 58n)</w:t>
      </w:r>
    </w:p>
    <w:p w:rsidR="00871EBA" w:rsidP="00871EBA">
      <w:pPr>
        <w:bidi w:val="0"/>
        <w:ind w:left="426" w:firstLine="282"/>
        <w:jc w:val="both"/>
        <w:rPr>
          <w:rFonts w:ascii="Times New Roman" w:hAnsi="Times New Roman"/>
        </w:rPr>
      </w:pPr>
      <w:r>
        <w:rPr>
          <w:rFonts w:ascii="Times New Roman" w:hAnsi="Times New Roman"/>
        </w:rPr>
        <w:t>V čl. I doterajšom bode 100 sa za § 58m vkladá § 58n, ktorý znie:</w:t>
      </w:r>
    </w:p>
    <w:p w:rsidR="00871EBA" w:rsidP="00871EBA">
      <w:pPr>
        <w:bidi w:val="0"/>
        <w:ind w:left="426"/>
        <w:jc w:val="both"/>
        <w:rPr>
          <w:rFonts w:ascii="Times New Roman" w:hAnsi="Times New Roman"/>
        </w:rPr>
      </w:pPr>
    </w:p>
    <w:p w:rsidR="00871EBA" w:rsidP="00871EBA">
      <w:pPr>
        <w:bidi w:val="0"/>
        <w:ind w:left="426"/>
        <w:jc w:val="center"/>
        <w:rPr>
          <w:rFonts w:ascii="Times New Roman" w:hAnsi="Times New Roman"/>
        </w:rPr>
      </w:pPr>
      <w:r>
        <w:rPr>
          <w:rFonts w:ascii="Times New Roman" w:hAnsi="Times New Roman"/>
        </w:rPr>
        <w:t>„§ 58n</w:t>
      </w:r>
    </w:p>
    <w:p w:rsidR="00871EBA" w:rsidP="00871EBA">
      <w:pPr>
        <w:bidi w:val="0"/>
        <w:ind w:left="426"/>
        <w:jc w:val="center"/>
        <w:rPr>
          <w:rFonts w:ascii="Times New Roman" w:hAnsi="Times New Roman"/>
        </w:rPr>
      </w:pPr>
    </w:p>
    <w:p w:rsidR="00871EBA" w:rsidP="00871EBA">
      <w:pPr>
        <w:pStyle w:val="ListParagraph"/>
        <w:bidi w:val="0"/>
        <w:spacing w:after="0" w:line="240" w:lineRule="auto"/>
        <w:ind w:left="426"/>
        <w:jc w:val="both"/>
        <w:rPr>
          <w:rFonts w:ascii="Times New Roman" w:hAnsi="Times New Roman"/>
          <w:sz w:val="24"/>
          <w:szCs w:val="24"/>
        </w:rPr>
      </w:pPr>
      <w:r>
        <w:rPr>
          <w:rFonts w:ascii="Times New Roman" w:hAnsi="Times New Roman"/>
          <w:sz w:val="24"/>
          <w:szCs w:val="24"/>
        </w:rPr>
        <w:t>Ustanovenie § 10 ods. 6 v znení účinnom od 1. januára 2017 sa prvýkrát použije na vybavenie petície po 31. decembri 2016.“.</w:t>
      </w:r>
    </w:p>
    <w:p w:rsidR="00871EBA" w:rsidP="00871EBA">
      <w:pPr>
        <w:bidi w:val="0"/>
        <w:rPr>
          <w:rFonts w:ascii="Times New Roman" w:hAnsi="Times New Roman"/>
        </w:rPr>
      </w:pPr>
    </w:p>
    <w:p w:rsidR="00871EBA" w:rsidP="00871EBA">
      <w:pPr>
        <w:bidi w:val="0"/>
        <w:ind w:left="426"/>
        <w:jc w:val="both"/>
        <w:rPr>
          <w:rFonts w:ascii="Times New Roman" w:hAnsi="Times New Roman"/>
        </w:rPr>
      </w:pPr>
      <w:r>
        <w:rPr>
          <w:rFonts w:ascii="Times New Roman" w:hAnsi="Times New Roman"/>
        </w:rPr>
        <w:t xml:space="preserve">V súvislosti s navrhovaným doplnením § 58n bude potrebné legislatívno-technicky upraviť úvodnú vetu doterajšieho bodu 100. Zároveň bude potrebné nadpis pod § 58m presunúť nad § 58m. </w:t>
      </w:r>
    </w:p>
    <w:p w:rsidR="00871EBA" w:rsidP="00871EBA">
      <w:pPr>
        <w:bidi w:val="0"/>
        <w:ind w:left="3402"/>
        <w:rPr>
          <w:rFonts w:ascii="Times New Roman" w:hAnsi="Times New Roman"/>
        </w:rPr>
      </w:pPr>
    </w:p>
    <w:p w:rsidR="00871EBA" w:rsidP="00871EBA">
      <w:pPr>
        <w:bidi w:val="0"/>
        <w:ind w:left="2835"/>
        <w:jc w:val="both"/>
        <w:rPr>
          <w:rFonts w:ascii="Times New Roman" w:hAnsi="Times New Roman"/>
          <w:color w:val="000000"/>
        </w:rPr>
      </w:pPr>
      <w:r w:rsidRPr="00721E5F">
        <w:rPr>
          <w:rFonts w:ascii="Times New Roman" w:hAnsi="Times New Roman"/>
          <w:color w:val="000000"/>
        </w:rPr>
        <w:t>Navrhovaným doplneným prechodným ustanovením v § 58n sa umožní uplatniť znížené kvórum pre platnosť petície aj na doterajšie petície, ak sa vybavia po účinnosti tejto novely.</w:t>
      </w:r>
    </w:p>
    <w:p w:rsidR="00197BC8" w:rsidP="00197BC8">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197BC8">
      <w:pPr>
        <w:bidi w:val="0"/>
        <w:ind w:left="2124" w:firstLine="708"/>
        <w:rPr>
          <w:rFonts w:ascii="Times New Roman" w:hAnsi="Times New Roman"/>
          <w:b/>
        </w:rPr>
      </w:pPr>
      <w:r w:rsidRPr="00BF14E2">
        <w:rPr>
          <w:rFonts w:ascii="Times New Roman" w:hAnsi="Times New Roman"/>
          <w:b/>
        </w:rPr>
        <w:t>Gestorský výbor odporúča schváliť.</w:t>
      </w:r>
    </w:p>
    <w:p w:rsidR="00197BC8" w:rsidP="00871EBA">
      <w:pPr>
        <w:pStyle w:val="ListParagraph"/>
        <w:bidi w:val="0"/>
        <w:spacing w:after="0" w:line="240" w:lineRule="auto"/>
        <w:ind w:left="0"/>
        <w:jc w:val="both"/>
        <w:rPr>
          <w:rStyle w:val="Emphasis"/>
          <w:i w:val="0"/>
          <w:sz w:val="24"/>
          <w:szCs w:val="24"/>
        </w:rPr>
      </w:pPr>
    </w:p>
    <w:p w:rsidR="00E54925" w:rsidP="00871EBA">
      <w:pPr>
        <w:pStyle w:val="ListParagraph"/>
        <w:bidi w:val="0"/>
        <w:spacing w:after="0" w:line="240" w:lineRule="auto"/>
        <w:ind w:left="0"/>
        <w:jc w:val="both"/>
        <w:rPr>
          <w:rStyle w:val="Emphasis"/>
          <w:i w:val="0"/>
          <w:sz w:val="24"/>
          <w:szCs w:val="24"/>
        </w:rPr>
      </w:pPr>
    </w:p>
    <w:p w:rsidR="00871EBA" w:rsidP="00904DBB">
      <w:pPr>
        <w:numPr>
          <w:numId w:val="28"/>
        </w:numPr>
        <w:bidi w:val="0"/>
        <w:ind w:left="426" w:hanging="426"/>
        <w:contextualSpacing/>
        <w:jc w:val="both"/>
        <w:rPr>
          <w:rFonts w:ascii="Times New Roman" w:hAnsi="Times New Roman"/>
          <w:lang w:eastAsia="en-US"/>
        </w:rPr>
      </w:pPr>
      <w:r>
        <w:rPr>
          <w:rFonts w:ascii="Times New Roman" w:hAnsi="Times New Roman"/>
          <w:b/>
          <w:bCs/>
          <w:lang w:eastAsia="en-US"/>
        </w:rPr>
        <w:t>K doterajšiemu článku II</w:t>
      </w:r>
    </w:p>
    <w:p w:rsidR="00871EBA" w:rsidP="00871EBA">
      <w:pPr>
        <w:bidi w:val="0"/>
        <w:ind w:left="426"/>
        <w:jc w:val="both"/>
        <w:rPr>
          <w:rFonts w:ascii="Times New Roman" w:hAnsi="Times New Roman"/>
          <w:bCs/>
          <w:lang w:eastAsia="en-US"/>
        </w:rPr>
      </w:pPr>
      <w:r>
        <w:rPr>
          <w:rFonts w:ascii="Times New Roman" w:hAnsi="Times New Roman"/>
          <w:bCs/>
          <w:lang w:eastAsia="en-US"/>
        </w:rPr>
        <w:t>Doterajší článok II sa mení takto:</w:t>
      </w:r>
    </w:p>
    <w:p w:rsidR="00871EBA" w:rsidP="00871EBA">
      <w:pPr>
        <w:bidi w:val="0"/>
        <w:ind w:left="426"/>
        <w:jc w:val="both"/>
        <w:rPr>
          <w:rFonts w:ascii="Times New Roman" w:hAnsi="Times New Roman"/>
          <w:bCs/>
          <w:lang w:eastAsia="en-US"/>
        </w:rPr>
      </w:pPr>
    </w:p>
    <w:p w:rsidR="00871EBA" w:rsidP="00871EBA">
      <w:pPr>
        <w:bidi w:val="0"/>
        <w:jc w:val="center"/>
        <w:rPr>
          <w:rFonts w:ascii="Times New Roman" w:hAnsi="Times New Roman"/>
          <w:b/>
          <w:bCs/>
          <w:lang w:eastAsia="en-US"/>
        </w:rPr>
      </w:pPr>
      <w:r>
        <w:rPr>
          <w:rFonts w:ascii="Times New Roman" w:hAnsi="Times New Roman"/>
          <w:lang w:eastAsia="en-US"/>
        </w:rPr>
        <w:t>„</w:t>
      </w:r>
      <w:r>
        <w:rPr>
          <w:rFonts w:ascii="Times New Roman" w:hAnsi="Times New Roman"/>
          <w:b/>
          <w:lang w:eastAsia="en-US"/>
        </w:rPr>
        <w:t>Čl. II</w:t>
      </w:r>
    </w:p>
    <w:p w:rsidR="00871EBA" w:rsidP="00871EBA">
      <w:pPr>
        <w:bidi w:val="0"/>
        <w:ind w:left="426"/>
        <w:contextualSpacing/>
        <w:jc w:val="both"/>
        <w:rPr>
          <w:rFonts w:ascii="Times New Roman" w:hAnsi="Times New Roman"/>
          <w:lang w:eastAsia="en-US"/>
        </w:rPr>
      </w:pPr>
    </w:p>
    <w:p w:rsidR="00871EBA" w:rsidP="00871EBA">
      <w:pPr>
        <w:autoSpaceDE w:val="0"/>
        <w:autoSpaceDN w:val="0"/>
        <w:bidi w:val="0"/>
        <w:adjustRightInd w:val="0"/>
        <w:jc w:val="both"/>
        <w:rPr>
          <w:rFonts w:ascii="Times New Roman" w:hAnsi="Times New Roman"/>
          <w:bCs/>
          <w:color w:val="000000"/>
          <w:lang w:eastAsia="en-US"/>
        </w:rPr>
      </w:pPr>
      <w:r>
        <w:rPr>
          <w:rFonts w:ascii="Times New Roman" w:hAnsi="Times New Roman"/>
          <w:bCs/>
          <w:color w:val="000000"/>
          <w:lang w:eastAsia="en-US"/>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463/2005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w:t>
      </w:r>
      <w:r>
        <w:rPr>
          <w:rFonts w:ascii="Times New Roman" w:hAnsi="Times New Roman"/>
          <w:bCs/>
          <w:lang w:eastAsia="en-US"/>
        </w:rPr>
        <w:t>zákona č. 200/2011 Z. z., zákona č. 223/2011 Z. z., zákona č. 254/2011 Z. z., zákona č. 256/2011 Z. z., zákona č. 258/2011 Z. z., zákona č. 324/2011 Z. z., zákona č. 342/2011 Z. z., zákona č. 363/2011 Z. z., zákona   č. 381/2011 Z. z., zákona č. 392/2011 Z. z.,</w:t>
      </w:r>
      <w:r>
        <w:rPr>
          <w:rFonts w:ascii="Times New Roman" w:hAnsi="Times New Roman"/>
          <w:bCs/>
          <w:color w:val="000000"/>
          <w:lang w:eastAsia="en-US"/>
        </w:rPr>
        <w:t xml:space="preserve"> </w:t>
      </w:r>
      <w:r>
        <w:rPr>
          <w:rFonts w:ascii="Times New Roman" w:hAnsi="Times New Roman"/>
          <w:bCs/>
          <w:lang w:eastAsia="en-US"/>
        </w:rPr>
        <w:t xml:space="preserve">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a zákona č. 272/2016 Z. z. </w:t>
      </w:r>
      <w:r>
        <w:rPr>
          <w:rFonts w:ascii="Times New Roman" w:hAnsi="Times New Roman"/>
          <w:bCs/>
          <w:color w:val="000000"/>
          <w:lang w:eastAsia="en-US"/>
        </w:rPr>
        <w:t>sa mení takto:</w:t>
      </w:r>
    </w:p>
    <w:p w:rsidR="00871EBA" w:rsidP="00871EBA">
      <w:pPr>
        <w:bidi w:val="0"/>
        <w:ind w:left="426"/>
        <w:contextualSpacing/>
        <w:jc w:val="both"/>
        <w:rPr>
          <w:rFonts w:ascii="Times New Roman" w:hAnsi="Times New Roman"/>
          <w:bCs/>
          <w:lang w:eastAsia="en-US"/>
        </w:rPr>
      </w:pPr>
    </w:p>
    <w:p w:rsidR="00505B42" w:rsidP="00871EBA">
      <w:pPr>
        <w:bidi w:val="0"/>
        <w:ind w:left="426"/>
        <w:contextualSpacing/>
        <w:jc w:val="both"/>
        <w:rPr>
          <w:rFonts w:ascii="Times New Roman" w:hAnsi="Times New Roman"/>
          <w:bCs/>
          <w:lang w:eastAsia="en-US"/>
        </w:rPr>
      </w:pPr>
    </w:p>
    <w:p w:rsidR="00871EBA" w:rsidP="00871EBA">
      <w:pPr>
        <w:bidi w:val="0"/>
        <w:jc w:val="both"/>
        <w:rPr>
          <w:rFonts w:ascii="Times New Roman" w:hAnsi="Times New Roman"/>
          <w:bCs/>
          <w:lang w:eastAsia="en-US"/>
        </w:rPr>
      </w:pPr>
      <w:r>
        <w:rPr>
          <w:rFonts w:ascii="Times New Roman" w:hAnsi="Times New Roman"/>
          <w:bCs/>
          <w:lang w:eastAsia="en-US"/>
        </w:rPr>
        <w:t>V sadzobníku správnych poplatkov časti VIII. Finančná správa a obchodná činnosť položky 140 a 141 znejú:</w:t>
      </w:r>
    </w:p>
    <w:p w:rsidR="00871EBA" w:rsidP="00871EBA">
      <w:pPr>
        <w:bidi w:val="0"/>
        <w:jc w:val="both"/>
        <w:rPr>
          <w:rFonts w:ascii="Times New Roman" w:hAnsi="Times New Roman"/>
          <w:bCs/>
          <w:color w:val="000000"/>
          <w:lang w:eastAsia="en-US"/>
        </w:rPr>
      </w:pPr>
    </w:p>
    <w:p w:rsidR="00871EBA" w:rsidP="00871EBA">
      <w:pPr>
        <w:bidi w:val="0"/>
        <w:jc w:val="both"/>
        <w:rPr>
          <w:rFonts w:ascii="Times New Roman" w:hAnsi="Times New Roman"/>
          <w:b/>
          <w:bCs/>
          <w:lang w:eastAsia="en-US"/>
        </w:rPr>
      </w:pPr>
      <w:r>
        <w:rPr>
          <w:rFonts w:ascii="Times New Roman" w:hAnsi="Times New Roman"/>
          <w:lang w:eastAsia="en-US"/>
        </w:rPr>
        <w:t>„</w:t>
      </w:r>
      <w:r>
        <w:rPr>
          <w:rFonts w:ascii="Times New Roman" w:hAnsi="Times New Roman"/>
          <w:b/>
          <w:lang w:eastAsia="en-US"/>
        </w:rPr>
        <w:t>Položka 140</w:t>
      </w:r>
    </w:p>
    <w:p w:rsidR="00871EBA" w:rsidP="00871EBA">
      <w:pPr>
        <w:bidi w:val="0"/>
        <w:jc w:val="both"/>
        <w:rPr>
          <w:rFonts w:ascii="Times New Roman" w:hAnsi="Times New Roman"/>
          <w:color w:val="000000"/>
          <w:lang w:eastAsia="en-US"/>
        </w:rPr>
      </w:pPr>
      <w:r>
        <w:rPr>
          <w:rFonts w:ascii="Times New Roman" w:hAnsi="Times New Roman"/>
          <w:bCs/>
          <w:color w:val="000000"/>
          <w:lang w:eastAsia="en-US"/>
        </w:rPr>
        <w:t xml:space="preserve">a) udelenie individuálnej licencie na prevádzkovanie týchto hazardných hier: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1. číselné lotérie .....  </w:t>
        <w:tab/>
        <w:tab/>
        <w:tab/>
        <w:tab/>
        <w:tab/>
        <w:tab/>
        <w:tab/>
        <w:tab/>
        <w:tab/>
        <w:t xml:space="preserve">350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2. okamžité lotérie .....  </w:t>
        <w:tab/>
        <w:tab/>
        <w:tab/>
        <w:tab/>
        <w:tab/>
        <w:tab/>
        <w:tab/>
        <w:tab/>
        <w:t xml:space="preserve">350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3. výherné prístroje, za každý výherný prístroj ..... </w:t>
        <w:tab/>
        <w:tab/>
        <w:tab/>
        <w:tab/>
        <w:tab/>
        <w:t xml:space="preserve">1 500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4. charitatívne lotérie alebo stávkové hry okrem kurzových stávok .....  </w:t>
        <w:tab/>
        <w:tab/>
        <w:t xml:space="preserve">350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5. žrebové peňažné lotérie alebo žrebové peňažno-vecné lotérie .....  </w:t>
        <w:tab/>
        <w:tab/>
        <w:t xml:space="preserve">350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6. kurzové stávky .....  </w:t>
        <w:tab/>
        <w:tab/>
        <w:tab/>
        <w:tab/>
        <w:tab/>
        <w:tab/>
        <w:tab/>
        <w:tab/>
        <w:t xml:space="preserve">4 000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7. hazardné hry v kasíne .....  </w:t>
        <w:tab/>
        <w:tab/>
        <w:tab/>
        <w:tab/>
        <w:tab/>
        <w:tab/>
        <w:tab/>
        <w:tab/>
        <w:t xml:space="preserve">7 000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8. bingo vrátane špeciálneho binga .....  </w:t>
        <w:tab/>
        <w:tab/>
        <w:tab/>
        <w:tab/>
        <w:tab/>
        <w:tab/>
        <w:t xml:space="preserve">4 000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9. hry prevádzkované prostredníctvom technických zariadení obsluhovaných priamo hráčmi hazardných hier alebo prevádzkované prostredníctvom telekomunikačných zariad</w:t>
      </w:r>
      <w:r w:rsidR="00DC5A6E">
        <w:rPr>
          <w:rFonts w:ascii="Times New Roman" w:hAnsi="Times New Roman"/>
          <w:bCs/>
          <w:color w:val="000000"/>
          <w:lang w:eastAsia="en-US"/>
        </w:rPr>
        <w:t xml:space="preserve">ení a videohry ..... </w:t>
        <w:tab/>
        <w:tab/>
        <w:tab/>
        <w:tab/>
        <w:tab/>
        <w:tab/>
        <w:tab/>
        <w:tab/>
        <w:tab/>
        <w:tab/>
      </w:r>
      <w:r>
        <w:rPr>
          <w:rFonts w:ascii="Times New Roman" w:hAnsi="Times New Roman"/>
          <w:bCs/>
          <w:color w:val="000000"/>
          <w:lang w:eastAsia="en-US"/>
        </w:rPr>
        <w:t xml:space="preserve">1 700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10. hazardné hry neuvedené v prvom bode až deviatom bode .....  </w:t>
        <w:tab/>
        <w:tab/>
        <w:tab/>
        <w:t xml:space="preserve">1 700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b) oznámenie právnickej osoby alebo prevádzkovateľa o zámere prevádzkovať žrebovú vecnú lotériu, tombolu alebo kartovú hru mimo kasína alebo o zámere pokračovať                  v prevádzkovaní  .....  </w:t>
        <w:tab/>
        <w:tab/>
        <w:tab/>
        <w:tab/>
        <w:tab/>
        <w:tab/>
        <w:tab/>
        <w:tab/>
        <w:t xml:space="preserve">100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c) zmena licencie na základe oznámenia alebo požiadania prevádzkovateľa hazardnej hry pri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1. hazardných hrách uvedených v písmene a) prvom až piatom bode .....  </w:t>
        <w:tab/>
        <w:tab/>
        <w:t xml:space="preserve">200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2. hazardných hrách uvedených v písmene a) šiestom až desiatom bode .....  </w:t>
        <w:tab/>
        <w:t xml:space="preserve">800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 xml:space="preserve">d) oznámenie prevádzkovateľa žrebovej vecnej lotérie, tomboly alebo kartovej hry mimo kasína o zmenách v údajoch alebo dokladoch, na základe ktorých bola právnická osoba zapísaná do evidencie prevádzkovateľov hazardných hier na základe všeobecnej licencie .....  30 eur </w:t>
      </w:r>
    </w:p>
    <w:p w:rsidR="00871EBA" w:rsidP="00871EBA">
      <w:pPr>
        <w:bidi w:val="0"/>
        <w:jc w:val="both"/>
        <w:rPr>
          <w:rFonts w:ascii="Times New Roman" w:hAnsi="Times New Roman"/>
          <w:bCs/>
          <w:color w:val="000000"/>
          <w:lang w:eastAsia="en-US"/>
        </w:rPr>
      </w:pPr>
      <w:r>
        <w:rPr>
          <w:rFonts w:ascii="Times New Roman" w:hAnsi="Times New Roman"/>
          <w:bCs/>
          <w:color w:val="000000"/>
          <w:lang w:eastAsia="en-US"/>
        </w:rPr>
        <w:t>e) vydanie vyjadrenia k umiestneniu technických zariadení alebo zariadení používaných pri prevádzkovaní videohier, za každé vyjadrenie .....</w:t>
        <w:tab/>
        <w:tab/>
        <w:tab/>
        <w:tab/>
        <w:tab/>
        <w:t>100 eur</w:t>
      </w:r>
    </w:p>
    <w:p w:rsidR="00871EBA" w:rsidP="00871EBA">
      <w:pPr>
        <w:bidi w:val="0"/>
        <w:jc w:val="both"/>
        <w:rPr>
          <w:rFonts w:ascii="Times New Roman" w:hAnsi="Times New Roman"/>
          <w:bCs/>
          <w:lang w:eastAsia="en-US"/>
        </w:rPr>
      </w:pPr>
    </w:p>
    <w:p w:rsidR="00871EBA" w:rsidP="00871EBA">
      <w:pPr>
        <w:bidi w:val="0"/>
        <w:jc w:val="both"/>
        <w:rPr>
          <w:rFonts w:ascii="Times New Roman" w:hAnsi="Times New Roman"/>
          <w:b/>
          <w:bCs/>
          <w:lang w:eastAsia="en-US"/>
        </w:rPr>
      </w:pPr>
      <w:r>
        <w:rPr>
          <w:rFonts w:ascii="Times New Roman" w:hAnsi="Times New Roman"/>
          <w:b/>
          <w:lang w:eastAsia="en-US"/>
        </w:rPr>
        <w:t>Položka 141</w:t>
      </w:r>
    </w:p>
    <w:p w:rsidR="00871EBA" w:rsidP="00871EBA">
      <w:pPr>
        <w:bidi w:val="0"/>
        <w:jc w:val="both"/>
        <w:rPr>
          <w:rFonts w:ascii="Times New Roman" w:hAnsi="Times New Roman"/>
          <w:lang w:eastAsia="en-US"/>
        </w:rPr>
      </w:pPr>
    </w:p>
    <w:p w:rsidR="00871EBA" w:rsidP="00871EBA">
      <w:pPr>
        <w:bidi w:val="0"/>
        <w:jc w:val="both"/>
        <w:rPr>
          <w:rFonts w:ascii="Times New Roman" w:hAnsi="Times New Roman"/>
          <w:bCs/>
          <w:lang w:eastAsia="en-US"/>
        </w:rPr>
      </w:pPr>
      <w:r>
        <w:rPr>
          <w:rFonts w:ascii="Times New Roman" w:hAnsi="Times New Roman"/>
          <w:bCs/>
          <w:lang w:eastAsia="en-US"/>
        </w:rPr>
        <w:t xml:space="preserve">Vydanie poverenia na odborné posudzovanie podľa zákona č. 171/2005 Z. z. o hazardných hrách a o zmene a doplnení niektorých zákonov </w:t>
      </w:r>
      <w:r>
        <w:rPr>
          <w:rFonts w:ascii="Times New Roman" w:hAnsi="Times New Roman"/>
          <w:bCs/>
          <w:color w:val="000000"/>
          <w:lang w:eastAsia="en-US"/>
        </w:rPr>
        <w:t>.....</w:t>
      </w:r>
      <w:r>
        <w:rPr>
          <w:rFonts w:ascii="Times New Roman" w:hAnsi="Times New Roman"/>
          <w:bCs/>
          <w:lang w:eastAsia="en-US"/>
        </w:rPr>
        <w:t xml:space="preserve">  </w:t>
        <w:tab/>
        <w:tab/>
        <w:tab/>
        <w:t xml:space="preserve">          </w:t>
        <w:tab/>
        <w:t>1 660 eur“.“.</w:t>
      </w:r>
    </w:p>
    <w:p w:rsidR="00871EBA" w:rsidP="00871EBA">
      <w:pPr>
        <w:bidi w:val="0"/>
        <w:jc w:val="both"/>
        <w:rPr>
          <w:rFonts w:ascii="Times New Roman" w:hAnsi="Times New Roman"/>
          <w:bCs/>
          <w:color w:val="000000"/>
          <w:lang w:eastAsia="en-US"/>
        </w:rPr>
      </w:pPr>
    </w:p>
    <w:p w:rsidR="00871EBA" w:rsidP="00871EBA">
      <w:pPr>
        <w:bidi w:val="0"/>
        <w:ind w:left="3119"/>
        <w:jc w:val="both"/>
        <w:rPr>
          <w:rFonts w:ascii="Times New Roman" w:hAnsi="Times New Roman"/>
          <w:bCs/>
          <w:color w:val="000000"/>
          <w:lang w:eastAsia="en-US"/>
        </w:rPr>
      </w:pPr>
      <w:r>
        <w:rPr>
          <w:rFonts w:ascii="Times New Roman" w:hAnsi="Times New Roman"/>
          <w:bCs/>
          <w:color w:val="000000"/>
          <w:lang w:eastAsia="en-US"/>
        </w:rPr>
        <w:t>Z dôvodu, že úpravy zmien sadzieb poplatkov vyplývajúcich zo zákona o hazardných hrách sa vypustili z novely zákona</w:t>
      </w:r>
      <w:r>
        <w:rPr>
          <w:rFonts w:ascii="Times New Roman" w:hAnsi="Times New Roman"/>
          <w:bCs/>
          <w:lang w:eastAsia="en-US"/>
        </w:rPr>
        <w:t xml:space="preserve"> </w:t>
      </w:r>
      <w:r>
        <w:rPr>
          <w:rFonts w:ascii="Times New Roman" w:hAnsi="Times New Roman"/>
          <w:bCs/>
          <w:color w:val="000000"/>
          <w:lang w:eastAsia="en-US"/>
        </w:rPr>
        <w:t xml:space="preserve">č. 145/1995 Z. z. o správnych poplatkoch v znení neskorších predpisov a ktorým sa mení a dopĺňa zákon Slovenskej národnej rady č. 71/1992 Zb. o súdnych poplatkoch a poplatku za výpis z registra trestov v znení neskorších predpisov, s odôvodnením, aby sa presunuli do novely zákona o hazardných hrách, ktorý je taktiež v legislatívnom procese a taktiež z dôvodu, že v novele zákona o hazardných hrách boli zmeny niektorých ustanovení týkajúcich sa úpravy zmien sadzieb poplatkov sa vypracoval celý nový článok II predmetnej novely. </w:t>
      </w:r>
    </w:p>
    <w:p w:rsidR="00871EBA" w:rsidP="00871EBA">
      <w:pPr>
        <w:pStyle w:val="ListParagraph"/>
        <w:overflowPunct w:val="0"/>
        <w:bidi w:val="0"/>
        <w:spacing w:after="0" w:line="240" w:lineRule="auto"/>
        <w:ind w:left="3119"/>
        <w:jc w:val="both"/>
        <w:rPr>
          <w:rFonts w:ascii="Times New Roman" w:hAnsi="Times New Roman"/>
          <w:sz w:val="24"/>
          <w:szCs w:val="24"/>
          <w:lang w:eastAsia="sk-SK"/>
        </w:rPr>
      </w:pPr>
    </w:p>
    <w:p w:rsidR="00197BC8" w:rsidP="00C02576">
      <w:pPr>
        <w:bidi w:val="0"/>
        <w:ind w:left="2411"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C02576">
      <w:pPr>
        <w:bidi w:val="0"/>
        <w:ind w:left="2411" w:firstLine="708"/>
        <w:rPr>
          <w:rFonts w:ascii="Times New Roman" w:hAnsi="Times New Roman"/>
          <w:b/>
        </w:rPr>
      </w:pPr>
      <w:r w:rsidRPr="00BF14E2">
        <w:rPr>
          <w:rFonts w:ascii="Times New Roman" w:hAnsi="Times New Roman"/>
          <w:b/>
        </w:rPr>
        <w:t>Gestorský výbor odporúča schváliť.</w:t>
      </w:r>
    </w:p>
    <w:p w:rsidR="00DC5A6E" w:rsidP="00197BC8">
      <w:pPr>
        <w:bidi w:val="0"/>
        <w:ind w:left="2124" w:firstLine="708"/>
        <w:rPr>
          <w:rFonts w:ascii="Times New Roman" w:hAnsi="Times New Roman"/>
          <w:b/>
        </w:rPr>
      </w:pPr>
    </w:p>
    <w:p w:rsidR="00871EBA" w:rsidP="00904DBB">
      <w:pPr>
        <w:numPr>
          <w:numId w:val="28"/>
        </w:numPr>
        <w:bidi w:val="0"/>
        <w:jc w:val="both"/>
        <w:rPr>
          <w:rFonts w:ascii="Times New Roman" w:hAnsi="Times New Roman"/>
          <w:b/>
        </w:rPr>
      </w:pPr>
      <w:r>
        <w:rPr>
          <w:rFonts w:ascii="Times New Roman" w:hAnsi="Times New Roman"/>
          <w:b/>
        </w:rPr>
        <w:t>Návrh nových čl. II a III</w:t>
      </w:r>
    </w:p>
    <w:p w:rsidR="00871EBA" w:rsidP="00871EBA">
      <w:pPr>
        <w:bidi w:val="0"/>
        <w:ind w:left="426" w:firstLine="282"/>
        <w:jc w:val="both"/>
        <w:rPr>
          <w:rFonts w:ascii="Times New Roman" w:hAnsi="Times New Roman"/>
        </w:rPr>
      </w:pPr>
      <w:r>
        <w:rPr>
          <w:rFonts w:ascii="Times New Roman" w:hAnsi="Times New Roman"/>
        </w:rPr>
        <w:t>Za článok I sa vkladajú nové články II a III tohto znenia:</w:t>
      </w:r>
    </w:p>
    <w:p w:rsidR="00871EBA" w:rsidP="00871EBA">
      <w:pPr>
        <w:bidi w:val="0"/>
        <w:ind w:firstLine="426"/>
        <w:jc w:val="both"/>
        <w:rPr>
          <w:rFonts w:ascii="Times New Roman" w:hAnsi="Times New Roman"/>
        </w:rPr>
      </w:pPr>
    </w:p>
    <w:p w:rsidR="00871EBA" w:rsidP="00871EBA">
      <w:pPr>
        <w:bidi w:val="0"/>
        <w:jc w:val="center"/>
        <w:rPr>
          <w:rFonts w:ascii="Times New Roman" w:hAnsi="Times New Roman"/>
          <w:bCs/>
        </w:rPr>
      </w:pPr>
      <w:r>
        <w:rPr>
          <w:rFonts w:ascii="Times New Roman" w:hAnsi="Times New Roman"/>
        </w:rPr>
        <w:t>„</w:t>
      </w:r>
      <w:r>
        <w:rPr>
          <w:rFonts w:ascii="Times New Roman" w:hAnsi="Times New Roman"/>
          <w:b/>
        </w:rPr>
        <w:t>Čl. II</w:t>
      </w:r>
    </w:p>
    <w:p w:rsidR="00871EBA" w:rsidP="00871EBA">
      <w:pPr>
        <w:bidi w:val="0"/>
        <w:jc w:val="center"/>
        <w:rPr>
          <w:rFonts w:ascii="Times New Roman" w:hAnsi="Times New Roman"/>
          <w:bCs/>
        </w:rPr>
      </w:pPr>
    </w:p>
    <w:p w:rsidR="00871EBA" w:rsidP="00871EBA">
      <w:pPr>
        <w:bidi w:val="0"/>
        <w:ind w:firstLine="284"/>
        <w:jc w:val="both"/>
        <w:rPr>
          <w:rFonts w:ascii="Times New Roman" w:hAnsi="Times New Roman"/>
          <w:bCs/>
        </w:rPr>
      </w:pPr>
      <w:r>
        <w:rPr>
          <w:rFonts w:ascii="Times New Roman" w:hAnsi="Times New Roman"/>
        </w:rPr>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a zákona č. 160/2014 Z. z. sa dopĺňa takto:</w:t>
      </w:r>
    </w:p>
    <w:p w:rsidR="00871EBA" w:rsidP="00871EBA">
      <w:pPr>
        <w:bidi w:val="0"/>
        <w:jc w:val="both"/>
        <w:rPr>
          <w:rFonts w:ascii="Times New Roman" w:hAnsi="Times New Roman"/>
        </w:rPr>
      </w:pPr>
    </w:p>
    <w:p w:rsidR="00871EBA" w:rsidP="00871EBA">
      <w:pPr>
        <w:numPr>
          <w:numId w:val="22"/>
        </w:numPr>
        <w:bidi w:val="0"/>
        <w:ind w:left="426" w:hanging="426"/>
        <w:jc w:val="both"/>
        <w:rPr>
          <w:rFonts w:ascii="Times New Roman" w:hAnsi="Times New Roman"/>
        </w:rPr>
      </w:pPr>
      <w:r>
        <w:rPr>
          <w:rFonts w:ascii="Times New Roman" w:hAnsi="Times New Roman"/>
        </w:rPr>
        <w:t>Za § 26 sa vkladá § 26a, ktorý vrátane nadpisu znie:</w:t>
      </w:r>
    </w:p>
    <w:p w:rsidR="00871EBA" w:rsidP="00871EBA">
      <w:pPr>
        <w:bidi w:val="0"/>
        <w:jc w:val="both"/>
        <w:rPr>
          <w:rFonts w:ascii="Times New Roman" w:hAnsi="Times New Roman"/>
        </w:rPr>
      </w:pPr>
    </w:p>
    <w:p w:rsidR="00871EBA" w:rsidP="00871EBA">
      <w:pPr>
        <w:bidi w:val="0"/>
        <w:jc w:val="center"/>
        <w:rPr>
          <w:rFonts w:ascii="Times New Roman" w:hAnsi="Times New Roman"/>
        </w:rPr>
      </w:pPr>
      <w:r>
        <w:rPr>
          <w:rFonts w:ascii="Times New Roman" w:hAnsi="Times New Roman"/>
        </w:rPr>
        <w:t>„§ 26a</w:t>
      </w:r>
    </w:p>
    <w:p w:rsidR="00871EBA" w:rsidP="00871EBA">
      <w:pPr>
        <w:bidi w:val="0"/>
        <w:jc w:val="center"/>
        <w:rPr>
          <w:rFonts w:ascii="Times New Roman" w:hAnsi="Times New Roman"/>
        </w:rPr>
      </w:pPr>
      <w:r>
        <w:rPr>
          <w:rFonts w:ascii="Times New Roman" w:hAnsi="Times New Roman"/>
        </w:rPr>
        <w:t>Spolupráca s obyvateľmi Bratislavy</w:t>
      </w:r>
    </w:p>
    <w:p w:rsidR="00871EBA" w:rsidP="00871EBA">
      <w:pPr>
        <w:bidi w:val="0"/>
        <w:jc w:val="center"/>
        <w:rPr>
          <w:rFonts w:ascii="Times New Roman" w:hAnsi="Times New Roman"/>
        </w:rPr>
      </w:pPr>
    </w:p>
    <w:p w:rsidR="00871EBA" w:rsidP="00871EBA">
      <w:pPr>
        <w:pStyle w:val="ListParagraph"/>
        <w:numPr>
          <w:numId w:val="23"/>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Orgány samosprávy Bratislavy a mestských častí spolupracujú s obyvateľmi Bratislavy pri zabezpečovaní rozvoja mesta a verejného poriadku v meste.</w:t>
      </w:r>
    </w:p>
    <w:p w:rsidR="00871EBA" w:rsidP="00871EBA">
      <w:pPr>
        <w:pStyle w:val="ListParagraph"/>
        <w:bidi w:val="0"/>
        <w:spacing w:after="0" w:line="240" w:lineRule="auto"/>
        <w:ind w:left="426"/>
        <w:jc w:val="both"/>
        <w:rPr>
          <w:rFonts w:ascii="Times New Roman" w:hAnsi="Times New Roman"/>
          <w:sz w:val="24"/>
          <w:szCs w:val="24"/>
        </w:rPr>
      </w:pPr>
      <w:r>
        <w:rPr>
          <w:rFonts w:ascii="Times New Roman" w:hAnsi="Times New Roman"/>
          <w:sz w:val="24"/>
          <w:szCs w:val="24"/>
        </w:rPr>
        <w:t xml:space="preserve">   </w:t>
      </w:r>
    </w:p>
    <w:p w:rsidR="00871EBA" w:rsidP="00871EBA">
      <w:pPr>
        <w:pStyle w:val="ListParagraph"/>
        <w:numPr>
          <w:numId w:val="23"/>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Petíciu</w:t>
      </w:r>
      <w:r>
        <w:rPr>
          <w:rFonts w:ascii="Times New Roman" w:hAnsi="Times New Roman"/>
          <w:sz w:val="24"/>
          <w:szCs w:val="24"/>
          <w:vertAlign w:val="superscript"/>
        </w:rPr>
        <w:t>1</w:t>
      </w:r>
      <w:r>
        <w:rPr>
          <w:rFonts w:ascii="Times New Roman" w:hAnsi="Times New Roman"/>
          <w:sz w:val="24"/>
          <w:szCs w:val="24"/>
        </w:rPr>
        <w:t>) obyvateľov Bratislavy, ktorou sa sťažujú, že sa v Bratislave narúša verejný poriadok v súvislosti s hraním hazardných hier podľa osobitného predpisu,</w:t>
      </w:r>
      <w:r>
        <w:rPr>
          <w:rFonts w:ascii="Times New Roman" w:hAnsi="Times New Roman"/>
          <w:sz w:val="24"/>
          <w:szCs w:val="24"/>
          <w:vertAlign w:val="superscript"/>
        </w:rPr>
        <w:t>8</w:t>
      </w:r>
      <w:r>
        <w:rPr>
          <w:rFonts w:ascii="Times New Roman" w:hAnsi="Times New Roman"/>
          <w:sz w:val="24"/>
          <w:szCs w:val="24"/>
        </w:rPr>
        <w:t xml:space="preserve">) musí podporiť najmenej 20 % obyvateľov Bratislavy, ktorí dovŕšili 18 rokov veku.“.      </w:t>
      </w:r>
    </w:p>
    <w:p w:rsidR="00871EBA" w:rsidP="00871EBA">
      <w:pPr>
        <w:bidi w:val="0"/>
        <w:jc w:val="both"/>
        <w:rPr>
          <w:rFonts w:ascii="Times New Roman" w:hAnsi="Times New Roman"/>
        </w:rPr>
      </w:pPr>
    </w:p>
    <w:p w:rsidR="00871EBA" w:rsidP="00871EBA">
      <w:pPr>
        <w:bidi w:val="0"/>
        <w:jc w:val="both"/>
        <w:rPr>
          <w:rFonts w:ascii="Times New Roman" w:hAnsi="Times New Roman"/>
        </w:rPr>
      </w:pPr>
      <w:r>
        <w:rPr>
          <w:rFonts w:ascii="Times New Roman" w:hAnsi="Times New Roman"/>
        </w:rPr>
        <w:t>Poznámka pod čiarou k odkazu 8 znie:</w:t>
      </w:r>
    </w:p>
    <w:p w:rsidR="00871EBA" w:rsidP="00871EBA">
      <w:pPr>
        <w:bidi w:val="0"/>
        <w:jc w:val="both"/>
        <w:rPr>
          <w:rFonts w:ascii="Times New Roman" w:hAnsi="Times New Roman"/>
        </w:rPr>
      </w:pPr>
      <w:r>
        <w:rPr>
          <w:rFonts w:ascii="Times New Roman" w:hAnsi="Times New Roman"/>
        </w:rPr>
        <w:t>„</w:t>
      </w:r>
      <w:r>
        <w:rPr>
          <w:rFonts w:ascii="Times New Roman" w:hAnsi="Times New Roman"/>
          <w:vertAlign w:val="superscript"/>
        </w:rPr>
        <w:t>8</w:t>
      </w:r>
      <w:r>
        <w:rPr>
          <w:rFonts w:ascii="Times New Roman" w:hAnsi="Times New Roman"/>
        </w:rPr>
        <w:t>) § 10 ods. 6 zákona č. 171/2005 Z. z. o hazardných hrách a o zmene a doplnení niektorých zákonov v znení neskorších predpisov.“.</w:t>
      </w:r>
    </w:p>
    <w:p w:rsidR="00871EBA" w:rsidP="00871EBA">
      <w:pPr>
        <w:pStyle w:val="ListParagraph"/>
        <w:numPr>
          <w:numId w:val="22"/>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Za § 31c sa vkladá § 31d, ktorý vrátane nadpisu znie:</w:t>
      </w:r>
    </w:p>
    <w:p w:rsidR="00871EBA" w:rsidP="00871EBA">
      <w:pPr>
        <w:pStyle w:val="ListParagraph"/>
        <w:bidi w:val="0"/>
        <w:spacing w:after="0" w:line="240" w:lineRule="auto"/>
        <w:ind w:left="0"/>
        <w:jc w:val="center"/>
        <w:rPr>
          <w:rFonts w:ascii="Times New Roman" w:hAnsi="Times New Roman"/>
          <w:sz w:val="24"/>
          <w:szCs w:val="24"/>
        </w:rPr>
      </w:pPr>
    </w:p>
    <w:p w:rsidR="00871EBA" w:rsidP="00871EBA">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 31d</w:t>
      </w:r>
    </w:p>
    <w:p w:rsidR="00871EBA" w:rsidP="00871EBA">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Prechodné ustanovenie k úprave účinnej od 1. januára 2017</w:t>
      </w:r>
    </w:p>
    <w:p w:rsidR="00871EBA" w:rsidP="00871EBA">
      <w:pPr>
        <w:pStyle w:val="ListParagraph"/>
        <w:bidi w:val="0"/>
        <w:spacing w:after="0" w:line="240" w:lineRule="auto"/>
        <w:ind w:left="0"/>
        <w:jc w:val="center"/>
        <w:rPr>
          <w:rFonts w:ascii="Times New Roman" w:hAnsi="Times New Roman"/>
          <w:sz w:val="24"/>
          <w:szCs w:val="24"/>
        </w:rPr>
      </w:pPr>
    </w:p>
    <w:p w:rsidR="00871EBA" w:rsidP="00871EBA">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Ustanovenie § 26a ods. 2 sa prvýkrát použije na vybavenie petície po 31. decembri 2016.“.</w:t>
      </w:r>
    </w:p>
    <w:p w:rsidR="00871EBA" w:rsidP="00871EBA">
      <w:pPr>
        <w:bidi w:val="0"/>
        <w:jc w:val="center"/>
        <w:rPr>
          <w:rFonts w:ascii="Times New Roman" w:hAnsi="Times New Roman"/>
          <w:b/>
        </w:rPr>
      </w:pPr>
    </w:p>
    <w:p w:rsidR="00871EBA" w:rsidP="00871EBA">
      <w:pPr>
        <w:bidi w:val="0"/>
        <w:jc w:val="center"/>
        <w:rPr>
          <w:rFonts w:ascii="Times New Roman" w:hAnsi="Times New Roman"/>
          <w:b/>
          <w:bCs/>
        </w:rPr>
      </w:pPr>
      <w:r>
        <w:rPr>
          <w:rFonts w:ascii="Times New Roman" w:hAnsi="Times New Roman"/>
          <w:b/>
        </w:rPr>
        <w:t>Čl. III</w:t>
      </w:r>
    </w:p>
    <w:p w:rsidR="00871EBA" w:rsidP="00871EBA">
      <w:pPr>
        <w:bidi w:val="0"/>
        <w:jc w:val="center"/>
        <w:rPr>
          <w:rFonts w:ascii="Times New Roman" w:hAnsi="Times New Roman"/>
          <w:bCs/>
        </w:rPr>
      </w:pPr>
    </w:p>
    <w:p w:rsidR="00871EBA" w:rsidP="00871EBA">
      <w:pPr>
        <w:bidi w:val="0"/>
        <w:ind w:firstLine="284"/>
        <w:jc w:val="both"/>
        <w:rPr>
          <w:rFonts w:ascii="Times New Roman" w:hAnsi="Times New Roman"/>
          <w:bCs/>
        </w:rPr>
      </w:pPr>
      <w:r>
        <w:rPr>
          <w:rFonts w:ascii="Times New Roman" w:hAnsi="Times New Roman"/>
        </w:rPr>
        <w:t>Zákon Slovenskej národnej rady č. 401/1990 Zb.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a zákona č. 386/2014 Z. z. sa dopĺňa takto:</w:t>
      </w:r>
    </w:p>
    <w:p w:rsidR="00871EBA" w:rsidP="00871EBA">
      <w:pPr>
        <w:bidi w:val="0"/>
        <w:jc w:val="both"/>
        <w:rPr>
          <w:rFonts w:ascii="Times New Roman" w:hAnsi="Times New Roman"/>
        </w:rPr>
      </w:pPr>
    </w:p>
    <w:p w:rsidR="00871EBA" w:rsidP="00871EBA">
      <w:pPr>
        <w:numPr>
          <w:ilvl w:val="3"/>
          <w:numId w:val="18"/>
        </w:numPr>
        <w:bidi w:val="0"/>
        <w:ind w:left="426" w:hanging="426"/>
        <w:jc w:val="both"/>
        <w:rPr>
          <w:rFonts w:ascii="Times New Roman" w:hAnsi="Times New Roman"/>
        </w:rPr>
      </w:pPr>
      <w:r>
        <w:rPr>
          <w:rFonts w:ascii="Times New Roman" w:hAnsi="Times New Roman"/>
        </w:rPr>
        <w:t>Za § 21 sa vkladá § 21a, ktorý vrátane nadpisu znie:</w:t>
      </w:r>
    </w:p>
    <w:p w:rsidR="00871EBA" w:rsidP="00871EBA">
      <w:pPr>
        <w:bidi w:val="0"/>
        <w:jc w:val="both"/>
        <w:rPr>
          <w:rFonts w:ascii="Times New Roman" w:hAnsi="Times New Roman"/>
        </w:rPr>
      </w:pPr>
    </w:p>
    <w:p w:rsidR="00871EBA" w:rsidP="00871EBA">
      <w:pPr>
        <w:bidi w:val="0"/>
        <w:jc w:val="center"/>
        <w:rPr>
          <w:rFonts w:ascii="Times New Roman" w:hAnsi="Times New Roman"/>
        </w:rPr>
      </w:pPr>
      <w:r>
        <w:rPr>
          <w:rFonts w:ascii="Times New Roman" w:hAnsi="Times New Roman"/>
        </w:rPr>
        <w:t>„§ 21a</w:t>
      </w:r>
    </w:p>
    <w:p w:rsidR="00871EBA" w:rsidP="00871EBA">
      <w:pPr>
        <w:bidi w:val="0"/>
        <w:jc w:val="center"/>
        <w:rPr>
          <w:rFonts w:ascii="Times New Roman" w:hAnsi="Times New Roman"/>
        </w:rPr>
      </w:pPr>
      <w:r>
        <w:rPr>
          <w:rFonts w:ascii="Times New Roman" w:hAnsi="Times New Roman"/>
        </w:rPr>
        <w:t>Spolupráca s obyvateľmi mesta</w:t>
      </w:r>
    </w:p>
    <w:p w:rsidR="00871EBA" w:rsidP="00871EBA">
      <w:pPr>
        <w:bidi w:val="0"/>
        <w:jc w:val="center"/>
        <w:rPr>
          <w:rFonts w:ascii="Times New Roman" w:hAnsi="Times New Roman"/>
        </w:rPr>
      </w:pPr>
    </w:p>
    <w:p w:rsidR="00871EBA" w:rsidP="00871EBA">
      <w:pPr>
        <w:pStyle w:val="ListParagraph"/>
        <w:numPr>
          <w:numId w:val="24"/>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Orgány samosprávy mesta a mestských častí spolupracujú s obyvateľmi mesta pri zabezpečovaní rozvoja mesta a verejného poriadku v meste.</w:t>
      </w:r>
    </w:p>
    <w:p w:rsidR="00871EBA" w:rsidP="00871EBA">
      <w:pPr>
        <w:pStyle w:val="ListParagraph"/>
        <w:bidi w:val="0"/>
        <w:spacing w:after="0" w:line="240" w:lineRule="auto"/>
        <w:jc w:val="both"/>
        <w:rPr>
          <w:rFonts w:ascii="Times New Roman" w:hAnsi="Times New Roman"/>
          <w:sz w:val="24"/>
          <w:szCs w:val="24"/>
        </w:rPr>
      </w:pPr>
    </w:p>
    <w:p w:rsidR="00871EBA" w:rsidP="00871EBA">
      <w:pPr>
        <w:pStyle w:val="ListParagraph"/>
        <w:numPr>
          <w:numId w:val="24"/>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Petíciu obyvateľov mesta, ktorou sa sťažujú, že sa v meste narúša verejný poriadok v súvislosti s hraním hazardných hier podľa osobitného predpisu,</w:t>
      </w:r>
      <w:r>
        <w:rPr>
          <w:rFonts w:ascii="Times New Roman" w:hAnsi="Times New Roman"/>
          <w:sz w:val="24"/>
          <w:szCs w:val="24"/>
          <w:vertAlign w:val="superscript"/>
        </w:rPr>
        <w:t>6d</w:t>
      </w:r>
      <w:r>
        <w:rPr>
          <w:rFonts w:ascii="Times New Roman" w:hAnsi="Times New Roman"/>
          <w:sz w:val="24"/>
          <w:szCs w:val="24"/>
        </w:rPr>
        <w:t xml:space="preserve">) musí podporiť najmenej 20 % obyvateľov mesta, ktorí dovŕšili 18 rokov veku.“.      </w:t>
      </w:r>
    </w:p>
    <w:p w:rsidR="00871EBA" w:rsidP="00871EBA">
      <w:pPr>
        <w:bidi w:val="0"/>
        <w:jc w:val="both"/>
        <w:rPr>
          <w:rFonts w:ascii="Times New Roman" w:hAnsi="Times New Roman"/>
        </w:rPr>
      </w:pPr>
    </w:p>
    <w:p w:rsidR="00871EBA" w:rsidP="00871EBA">
      <w:pPr>
        <w:bidi w:val="0"/>
        <w:jc w:val="both"/>
        <w:rPr>
          <w:rFonts w:ascii="Times New Roman" w:hAnsi="Times New Roman"/>
        </w:rPr>
      </w:pPr>
      <w:r>
        <w:rPr>
          <w:rFonts w:ascii="Times New Roman" w:hAnsi="Times New Roman"/>
        </w:rPr>
        <w:t>Poznámka pod čiarou k odkazu 6d znie:</w:t>
      </w:r>
    </w:p>
    <w:p w:rsidR="00871EBA" w:rsidP="00871EBA">
      <w:pPr>
        <w:bidi w:val="0"/>
        <w:jc w:val="both"/>
        <w:rPr>
          <w:rFonts w:ascii="Times New Roman" w:hAnsi="Times New Roman"/>
        </w:rPr>
      </w:pPr>
      <w:r>
        <w:rPr>
          <w:rFonts w:ascii="Times New Roman" w:hAnsi="Times New Roman"/>
        </w:rPr>
        <w:t>„</w:t>
      </w:r>
      <w:r>
        <w:rPr>
          <w:rFonts w:ascii="Times New Roman" w:hAnsi="Times New Roman"/>
          <w:vertAlign w:val="superscript"/>
        </w:rPr>
        <w:t>6d</w:t>
      </w:r>
      <w:r>
        <w:rPr>
          <w:rFonts w:ascii="Times New Roman" w:hAnsi="Times New Roman"/>
        </w:rPr>
        <w:t>) § 10 ods. 6 zákona č. 171/2005 Z. z. o hazardných hrách a o zmene a doplnení niektorých zákonov v znení neskorších predpisov.“.</w:t>
      </w:r>
    </w:p>
    <w:p w:rsidR="00871EBA" w:rsidP="00871EBA">
      <w:pPr>
        <w:bidi w:val="0"/>
        <w:jc w:val="center"/>
        <w:rPr>
          <w:rFonts w:ascii="Times New Roman" w:hAnsi="Times New Roman"/>
          <w:b/>
        </w:rPr>
      </w:pPr>
    </w:p>
    <w:p w:rsidR="00871EBA" w:rsidP="00871EBA">
      <w:pPr>
        <w:pStyle w:val="ListParagraph"/>
        <w:numPr>
          <w:numId w:val="18"/>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Za § 27b sa vkladá § 27c, ktorý vrátane nadpisu znie:</w:t>
      </w:r>
    </w:p>
    <w:p w:rsidR="00871EBA" w:rsidP="00871EBA">
      <w:pPr>
        <w:pStyle w:val="ListParagraph"/>
        <w:bidi w:val="0"/>
        <w:spacing w:after="0" w:line="240" w:lineRule="auto"/>
        <w:ind w:left="0"/>
        <w:jc w:val="center"/>
        <w:rPr>
          <w:rFonts w:ascii="Times New Roman" w:hAnsi="Times New Roman"/>
          <w:sz w:val="24"/>
          <w:szCs w:val="24"/>
        </w:rPr>
      </w:pPr>
    </w:p>
    <w:p w:rsidR="00871EBA" w:rsidP="00871EBA">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 27c</w:t>
      </w:r>
    </w:p>
    <w:p w:rsidR="00871EBA" w:rsidP="00871EBA">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Prechodné ustanovenie k úprave účinnej od 1. januára 2017</w:t>
      </w:r>
    </w:p>
    <w:p w:rsidR="00871EBA" w:rsidP="00871EBA">
      <w:pPr>
        <w:pStyle w:val="ListParagraph"/>
        <w:bidi w:val="0"/>
        <w:spacing w:after="0" w:line="240" w:lineRule="auto"/>
        <w:ind w:left="0"/>
        <w:jc w:val="center"/>
        <w:rPr>
          <w:rFonts w:ascii="Times New Roman" w:hAnsi="Times New Roman"/>
          <w:sz w:val="24"/>
          <w:szCs w:val="24"/>
        </w:rPr>
      </w:pPr>
    </w:p>
    <w:p w:rsidR="00871EBA" w:rsidP="00871EBA">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Ustanovenie § 21a ods. 2 sa prvýkrát použije na vybavenie petície po 31. decembri 2016.“.“.</w:t>
      </w:r>
    </w:p>
    <w:p w:rsidR="00871EBA" w:rsidP="00871EBA">
      <w:pPr>
        <w:bidi w:val="0"/>
        <w:ind w:firstLine="426"/>
        <w:jc w:val="both"/>
        <w:rPr>
          <w:rFonts w:ascii="Times New Roman" w:hAnsi="Times New Roman"/>
        </w:rPr>
      </w:pPr>
    </w:p>
    <w:p w:rsidR="00871EBA" w:rsidP="00871EBA">
      <w:pPr>
        <w:bidi w:val="0"/>
        <w:ind w:firstLine="426"/>
        <w:jc w:val="both"/>
        <w:rPr>
          <w:rFonts w:ascii="Times New Roman" w:hAnsi="Times New Roman"/>
          <w:bCs/>
        </w:rPr>
      </w:pPr>
      <w:r>
        <w:rPr>
          <w:rFonts w:ascii="Times New Roman" w:hAnsi="Times New Roman"/>
        </w:rPr>
        <w:t>Doterajšie články II až IX sa primerane prečíslujú.</w:t>
      </w:r>
    </w:p>
    <w:p w:rsidR="00871EBA" w:rsidP="00871EBA">
      <w:pPr>
        <w:bidi w:val="0"/>
        <w:jc w:val="both"/>
        <w:rPr>
          <w:rFonts w:ascii="Times New Roman" w:hAnsi="Times New Roman"/>
          <w:bCs/>
        </w:rPr>
      </w:pPr>
    </w:p>
    <w:p w:rsidR="00871EBA" w:rsidP="00871EBA">
      <w:pPr>
        <w:bidi w:val="0"/>
        <w:ind w:left="2977"/>
        <w:jc w:val="both"/>
        <w:rPr>
          <w:rFonts w:ascii="Times New Roman" w:hAnsi="Times New Roman"/>
          <w:bCs/>
        </w:rPr>
      </w:pPr>
      <w:r>
        <w:rPr>
          <w:rFonts w:ascii="Times New Roman" w:hAnsi="Times New Roman"/>
          <w:color w:val="000000"/>
        </w:rPr>
        <w:t>Vložením nových článkov II a III do návrhu zákona sa navrhuje osobitnými predpismi – zákonom o hlavnom meste Slovenskej republiky Bratislave a zákonom o meste Košice ustanoviť nižšie kvórum obyvateľov týchto miest na podporu celomestskej petície, ktorou sa sťažujú, že sa v ich meste narúša verejný poriadok v súvislosti s hraním hazardných hier, a to na najnižšiu hranicu 20 %, ako sa to umožňuje v rámci príslušnej úpravy zákona o hazardných hrách. Zároveň sa ustanoví, že znížené kvórum pre celomestskú petíciu sa vzťahuje aj na doterajšie celomestské petície, ak sa takáto petícia vybaví po účinnosti tejto novely.</w:t>
      </w:r>
    </w:p>
    <w:p w:rsidR="00871EBA" w:rsidP="00871EBA">
      <w:pPr>
        <w:bidi w:val="0"/>
        <w:jc w:val="both"/>
        <w:rPr>
          <w:rFonts w:ascii="Times New Roman" w:hAnsi="Times New Roman"/>
        </w:rPr>
      </w:pPr>
    </w:p>
    <w:p w:rsidR="00197BC8" w:rsidP="00C02576">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C02576">
      <w:pPr>
        <w:bidi w:val="0"/>
        <w:ind w:left="2269" w:firstLine="708"/>
        <w:rPr>
          <w:rFonts w:ascii="Times New Roman" w:hAnsi="Times New Roman"/>
          <w:b/>
        </w:rPr>
      </w:pPr>
      <w:r w:rsidRPr="00BF14E2">
        <w:rPr>
          <w:rFonts w:ascii="Times New Roman" w:hAnsi="Times New Roman"/>
          <w:b/>
        </w:rPr>
        <w:t>Gestorský výbor odporúča schváliť.</w:t>
      </w:r>
    </w:p>
    <w:p w:rsidR="00197BC8" w:rsidP="00871EBA">
      <w:pPr>
        <w:bidi w:val="0"/>
        <w:jc w:val="both"/>
        <w:rPr>
          <w:rFonts w:ascii="Times New Roman" w:hAnsi="Times New Roman"/>
        </w:rPr>
      </w:pPr>
    </w:p>
    <w:p w:rsidR="00871EBA" w:rsidP="00904DBB">
      <w:pPr>
        <w:numPr>
          <w:numId w:val="28"/>
        </w:numPr>
        <w:bidi w:val="0"/>
        <w:ind w:left="426" w:hanging="426"/>
        <w:jc w:val="both"/>
        <w:rPr>
          <w:rFonts w:ascii="Times New Roman" w:hAnsi="Times New Roman"/>
          <w:b/>
          <w:bCs/>
        </w:rPr>
      </w:pPr>
      <w:r>
        <w:rPr>
          <w:rFonts w:ascii="Times New Roman" w:hAnsi="Times New Roman"/>
          <w:b/>
        </w:rPr>
        <w:t xml:space="preserve">K doterajšiemu článku VIII </w:t>
      </w:r>
    </w:p>
    <w:p w:rsidR="00871EBA" w:rsidP="00871EBA">
      <w:pPr>
        <w:bidi w:val="0"/>
        <w:ind w:left="426"/>
        <w:jc w:val="both"/>
        <w:rPr>
          <w:rFonts w:ascii="Times New Roman" w:hAnsi="Times New Roman"/>
          <w:lang w:eastAsia="en-US"/>
        </w:rPr>
      </w:pPr>
      <w:r>
        <w:rPr>
          <w:rFonts w:ascii="Times New Roman" w:hAnsi="Times New Roman"/>
          <w:bCs/>
          <w:lang w:eastAsia="en-US"/>
        </w:rPr>
        <w:t>Doterajší článok VIII sa mení takto:</w:t>
      </w:r>
    </w:p>
    <w:p w:rsidR="00871EBA" w:rsidP="00871EBA">
      <w:pPr>
        <w:bidi w:val="0"/>
        <w:ind w:left="426"/>
        <w:jc w:val="both"/>
        <w:rPr>
          <w:rFonts w:ascii="Times New Roman" w:hAnsi="Times New Roman"/>
          <w:b/>
          <w:bCs/>
        </w:rPr>
      </w:pPr>
    </w:p>
    <w:p w:rsidR="00871EBA" w:rsidP="00871EBA">
      <w:pPr>
        <w:bidi w:val="0"/>
        <w:jc w:val="center"/>
        <w:rPr>
          <w:rFonts w:ascii="Times New Roman" w:hAnsi="Times New Roman"/>
          <w:b/>
          <w:bCs/>
          <w:lang w:eastAsia="en-US"/>
        </w:rPr>
      </w:pPr>
      <w:r>
        <w:rPr>
          <w:rFonts w:ascii="Times New Roman" w:hAnsi="Times New Roman"/>
          <w:bCs/>
          <w:lang w:eastAsia="en-US"/>
        </w:rPr>
        <w:t>„</w:t>
      </w:r>
      <w:r>
        <w:rPr>
          <w:rFonts w:ascii="Times New Roman" w:hAnsi="Times New Roman"/>
          <w:b/>
          <w:bCs/>
          <w:lang w:eastAsia="en-US"/>
        </w:rPr>
        <w:t>Čl. VIII</w:t>
      </w:r>
    </w:p>
    <w:p w:rsidR="00871EBA" w:rsidP="00871EBA">
      <w:pPr>
        <w:tabs>
          <w:tab w:val="left" w:pos="851"/>
        </w:tabs>
        <w:bidi w:val="0"/>
        <w:jc w:val="both"/>
        <w:rPr>
          <w:rFonts w:ascii="Times New Roman" w:hAnsi="Times New Roman"/>
          <w:b/>
          <w:bCs/>
        </w:rPr>
      </w:pPr>
    </w:p>
    <w:p w:rsidR="00871EBA" w:rsidP="00871EBA">
      <w:pPr>
        <w:tabs>
          <w:tab w:val="left" w:pos="851"/>
        </w:tabs>
        <w:bidi w:val="0"/>
        <w:jc w:val="both"/>
        <w:rPr>
          <w:rFonts w:ascii="Times New Roman" w:hAnsi="Times New Roman"/>
          <w:bCs/>
        </w:rPr>
      </w:pPr>
      <w:r>
        <w:rPr>
          <w:rFonts w:ascii="Times New Roman" w:hAnsi="Times New Roman"/>
          <w:bCs/>
        </w:rPr>
        <w:t>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 a zákona č. 125/2016 Z. z. sa dopĺňa takto:</w:t>
      </w:r>
    </w:p>
    <w:p w:rsidR="00871EBA" w:rsidP="00871EBA">
      <w:pPr>
        <w:tabs>
          <w:tab w:val="left" w:pos="851"/>
        </w:tabs>
        <w:bidi w:val="0"/>
        <w:jc w:val="both"/>
        <w:rPr>
          <w:rFonts w:ascii="Times New Roman" w:hAnsi="Times New Roman"/>
          <w:bCs/>
        </w:rPr>
      </w:pPr>
    </w:p>
    <w:p w:rsidR="00871EBA" w:rsidP="00871EBA">
      <w:pPr>
        <w:numPr>
          <w:numId w:val="25"/>
        </w:numPr>
        <w:bidi w:val="0"/>
        <w:jc w:val="both"/>
        <w:rPr>
          <w:rFonts w:ascii="Times New Roman" w:hAnsi="Times New Roman"/>
          <w:bCs/>
        </w:rPr>
      </w:pPr>
      <w:r>
        <w:rPr>
          <w:rFonts w:ascii="Times New Roman" w:hAnsi="Times New Roman"/>
          <w:bCs/>
        </w:rPr>
        <w:t>V § 38 ods. 2 písm. a) sa za slovo „povinností“ vkladajú slová „okrem povinnosti uvedenej v § 41 ods. 6“.</w:t>
      </w:r>
    </w:p>
    <w:p w:rsidR="00871EBA" w:rsidP="00871EBA">
      <w:pPr>
        <w:bidi w:val="0"/>
        <w:ind w:firstLine="851"/>
        <w:jc w:val="both"/>
        <w:rPr>
          <w:rFonts w:ascii="Times New Roman" w:hAnsi="Times New Roman"/>
          <w:bCs/>
        </w:rPr>
      </w:pPr>
    </w:p>
    <w:p w:rsidR="00871EBA" w:rsidP="00871EBA">
      <w:pPr>
        <w:numPr>
          <w:numId w:val="25"/>
        </w:numPr>
        <w:bidi w:val="0"/>
        <w:jc w:val="both"/>
        <w:rPr>
          <w:rFonts w:ascii="Times New Roman" w:hAnsi="Times New Roman"/>
          <w:bCs/>
        </w:rPr>
      </w:pPr>
      <w:r>
        <w:rPr>
          <w:rFonts w:ascii="Times New Roman" w:hAnsi="Times New Roman"/>
          <w:bCs/>
        </w:rPr>
        <w:t>§ 41 sa dopĺňa odsekom 6, ktorý znie:</w:t>
      </w:r>
    </w:p>
    <w:p w:rsidR="00871EBA" w:rsidP="00871EBA">
      <w:pPr>
        <w:bidi w:val="0"/>
        <w:ind w:left="709"/>
        <w:jc w:val="both"/>
        <w:rPr>
          <w:rFonts w:ascii="Times New Roman" w:hAnsi="Times New Roman"/>
          <w:bCs/>
        </w:rPr>
      </w:pPr>
      <w:r>
        <w:rPr>
          <w:rFonts w:ascii="Times New Roman" w:hAnsi="Times New Roman"/>
          <w:bCs/>
        </w:rPr>
        <w:t>„(6) Podnik je povinný zamedziť prístup k webovému sídlu, ktorého adresa je uvedená v príkaze súdu podľa osobitného predpisu,</w:t>
      </w:r>
      <w:r>
        <w:rPr>
          <w:rFonts w:ascii="Times New Roman" w:hAnsi="Times New Roman"/>
          <w:bCs/>
          <w:vertAlign w:val="superscript"/>
        </w:rPr>
        <w:t>35a</w:t>
      </w:r>
      <w:r>
        <w:rPr>
          <w:rFonts w:ascii="Times New Roman" w:hAnsi="Times New Roman"/>
          <w:bCs/>
        </w:rPr>
        <w:t>) a to bezodkladne po doručení príkazu súdu podľa osobitného predpisu.</w:t>
      </w:r>
      <w:r>
        <w:rPr>
          <w:rFonts w:ascii="Times New Roman" w:hAnsi="Times New Roman"/>
          <w:bCs/>
          <w:vertAlign w:val="superscript"/>
        </w:rPr>
        <w:t>35a</w:t>
      </w:r>
      <w:r>
        <w:rPr>
          <w:rFonts w:ascii="Times New Roman" w:hAnsi="Times New Roman"/>
          <w:bCs/>
        </w:rPr>
        <w:t>) Podnik nezodpovedá za škodu spôsobenú zamedzením prístupu podľa prvej vety. Štátny dozor nad dodržiavaním povinnosti podľa prvej vety vykonáva a sankciu za jej porušenie ukladá Finančné riaditeľstvo Slovenskej republiky podľa osobitného predpisu.</w:t>
      </w:r>
      <w:r>
        <w:rPr>
          <w:rFonts w:ascii="Times New Roman" w:hAnsi="Times New Roman"/>
          <w:bCs/>
          <w:vertAlign w:val="superscript"/>
        </w:rPr>
        <w:t>35a</w:t>
      </w:r>
      <w:r>
        <w:rPr>
          <w:rFonts w:ascii="Times New Roman" w:hAnsi="Times New Roman"/>
          <w:bCs/>
        </w:rPr>
        <w:t>)“.</w:t>
      </w:r>
    </w:p>
    <w:p w:rsidR="00871EBA" w:rsidP="00871EBA">
      <w:pPr>
        <w:bidi w:val="0"/>
        <w:ind w:left="709"/>
        <w:jc w:val="both"/>
        <w:rPr>
          <w:rFonts w:ascii="Times New Roman" w:hAnsi="Times New Roman"/>
          <w:bCs/>
        </w:rPr>
      </w:pPr>
    </w:p>
    <w:p w:rsidR="00871EBA" w:rsidP="00871EBA">
      <w:pPr>
        <w:bidi w:val="0"/>
        <w:ind w:left="709"/>
        <w:jc w:val="both"/>
        <w:rPr>
          <w:rFonts w:ascii="Times New Roman" w:hAnsi="Times New Roman"/>
          <w:bCs/>
        </w:rPr>
      </w:pPr>
      <w:r>
        <w:rPr>
          <w:rFonts w:ascii="Times New Roman" w:hAnsi="Times New Roman"/>
          <w:bCs/>
        </w:rPr>
        <w:t>Poznámka pod čiarou k odkazu 35a znie:</w:t>
      </w:r>
    </w:p>
    <w:p w:rsidR="00871EBA" w:rsidP="00871EBA">
      <w:pPr>
        <w:bidi w:val="0"/>
        <w:ind w:left="709"/>
        <w:jc w:val="both"/>
        <w:rPr>
          <w:rFonts w:ascii="Times New Roman" w:hAnsi="Times New Roman"/>
          <w:bCs/>
        </w:rPr>
      </w:pPr>
      <w:r>
        <w:rPr>
          <w:rFonts w:ascii="Times New Roman" w:hAnsi="Times New Roman"/>
          <w:bCs/>
        </w:rPr>
        <w:t>„</w:t>
      </w:r>
      <w:r>
        <w:rPr>
          <w:rFonts w:ascii="Times New Roman" w:hAnsi="Times New Roman"/>
          <w:bCs/>
          <w:vertAlign w:val="superscript"/>
        </w:rPr>
        <w:t>35a</w:t>
      </w:r>
      <w:r>
        <w:rPr>
          <w:rFonts w:ascii="Times New Roman" w:hAnsi="Times New Roman"/>
          <w:bCs/>
        </w:rPr>
        <w:t>) Zákon č. 171/2005 Z. z. o hazardných hrách a o zmene a doplnení niektorých zákonov v znení neskorších predpisov.“.</w:t>
      </w:r>
    </w:p>
    <w:p w:rsidR="00871EBA" w:rsidP="00871EBA">
      <w:pPr>
        <w:bidi w:val="0"/>
        <w:jc w:val="both"/>
        <w:rPr>
          <w:rFonts w:ascii="Times New Roman" w:hAnsi="Times New Roman"/>
          <w:bCs/>
        </w:rPr>
      </w:pPr>
    </w:p>
    <w:p w:rsidR="00871EBA" w:rsidP="00871EBA">
      <w:pPr>
        <w:numPr>
          <w:numId w:val="25"/>
        </w:numPr>
        <w:bidi w:val="0"/>
        <w:jc w:val="both"/>
        <w:rPr>
          <w:rFonts w:ascii="Times New Roman" w:hAnsi="Times New Roman"/>
          <w:bCs/>
        </w:rPr>
      </w:pPr>
      <w:r>
        <w:rPr>
          <w:rFonts w:ascii="Times New Roman" w:hAnsi="Times New Roman"/>
          <w:bCs/>
        </w:rPr>
        <w:t>V § 73 ods. 1 písm. b) sa za slová „§ 41“ vkladajú slová „ods. 1 až 5“.“.</w:t>
      </w:r>
    </w:p>
    <w:p w:rsidR="00871EBA" w:rsidP="00871EBA">
      <w:pPr>
        <w:bidi w:val="0"/>
        <w:jc w:val="center"/>
        <w:rPr>
          <w:rFonts w:ascii="Times New Roman" w:hAnsi="Times New Roman"/>
          <w:bCs/>
          <w:lang w:eastAsia="en-US"/>
        </w:rPr>
      </w:pPr>
    </w:p>
    <w:p w:rsidR="00871EBA" w:rsidP="00871EBA">
      <w:pPr>
        <w:tabs>
          <w:tab w:val="left" w:pos="708"/>
          <w:tab w:val="left" w:pos="851"/>
        </w:tabs>
        <w:bidi w:val="0"/>
        <w:ind w:left="2977"/>
        <w:jc w:val="both"/>
        <w:rPr>
          <w:rFonts w:ascii="Times New Roman" w:hAnsi="Times New Roman"/>
          <w:b/>
          <w:bCs/>
        </w:rPr>
      </w:pPr>
      <w:r>
        <w:rPr>
          <w:rFonts w:ascii="Times New Roman" w:hAnsi="Times New Roman"/>
          <w:bCs/>
          <w:color w:val="000000"/>
        </w:rPr>
        <w:t>Navrhovanou úpravou znenia čl. VIII sa precizujú ustanovenia zákona č. 351/2011 Z. z. o elektronických komunikáciách tak, aby nedochádzalo ku kompetenčným sporom dvoch štátnych orgánov, resp. aby bola dodržaná zásada ne bis in idem (nie dvakrát v tej istej veci) a následne res iudicata (prekážka rozhodnutej veci) a zároveň bolo jednoznačné, ktorý orgán vykonáva štátny dozor nad dodržiavaním povinnosti uvedenej v § 41 ods. 6 a ukladá sankcie za porušenie tejto povinnosti.</w:t>
      </w:r>
    </w:p>
    <w:p w:rsidR="00871EBA" w:rsidP="00871EBA">
      <w:pPr>
        <w:bidi w:val="0"/>
        <w:ind w:left="2832" w:firstLine="3"/>
        <w:jc w:val="both"/>
        <w:rPr>
          <w:rFonts w:ascii="Times New Roman" w:hAnsi="Times New Roman"/>
          <w:bCs/>
          <w:lang w:eastAsia="en-US"/>
        </w:rPr>
      </w:pPr>
    </w:p>
    <w:p w:rsidR="00197BC8" w:rsidP="00C02576">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97BC8" w:rsidP="00C02576">
      <w:pPr>
        <w:bidi w:val="0"/>
        <w:ind w:left="2269" w:firstLine="708"/>
        <w:rPr>
          <w:rFonts w:ascii="Times New Roman" w:hAnsi="Times New Roman"/>
          <w:b/>
        </w:rPr>
      </w:pPr>
      <w:r w:rsidRPr="00BF14E2">
        <w:rPr>
          <w:rFonts w:ascii="Times New Roman" w:hAnsi="Times New Roman"/>
          <w:b/>
        </w:rPr>
        <w:t>Gestorský výbor odporúča schváliť.</w:t>
      </w:r>
    </w:p>
    <w:p w:rsidR="00197BC8" w:rsidP="00871EBA">
      <w:pPr>
        <w:bidi w:val="0"/>
        <w:ind w:left="2832" w:firstLine="3"/>
        <w:jc w:val="both"/>
        <w:rPr>
          <w:rFonts w:ascii="Times New Roman" w:hAnsi="Times New Roman"/>
          <w:bCs/>
          <w:lang w:eastAsia="en-US"/>
        </w:rPr>
      </w:pPr>
    </w:p>
    <w:p w:rsidR="00871EBA" w:rsidP="00904DBB">
      <w:pPr>
        <w:numPr>
          <w:numId w:val="28"/>
        </w:numPr>
        <w:bidi w:val="0"/>
        <w:ind w:left="426" w:hanging="426"/>
        <w:jc w:val="both"/>
        <w:rPr>
          <w:rFonts w:ascii="Times New Roman" w:hAnsi="Times New Roman"/>
          <w:b/>
          <w:bCs/>
        </w:rPr>
      </w:pPr>
      <w:r>
        <w:rPr>
          <w:rFonts w:ascii="Times New Roman" w:hAnsi="Times New Roman"/>
          <w:b/>
          <w:bCs/>
        </w:rPr>
        <w:t>K doterajšiemu článku IX – účinnosť</w:t>
      </w:r>
    </w:p>
    <w:p w:rsidR="00871EBA" w:rsidP="00871EBA">
      <w:pPr>
        <w:bidi w:val="0"/>
        <w:ind w:left="426"/>
        <w:jc w:val="both"/>
        <w:rPr>
          <w:rFonts w:ascii="Times New Roman" w:hAnsi="Times New Roman"/>
          <w:bCs/>
        </w:rPr>
      </w:pPr>
      <w:r>
        <w:rPr>
          <w:rFonts w:ascii="Times New Roman" w:hAnsi="Times New Roman"/>
          <w:bCs/>
        </w:rPr>
        <w:t>V doterajšom článku IX je potrebné upraviť účinnosť tak, aby v čl. I doterajší bod 67</w:t>
        <w:br/>
        <w:t xml:space="preserve">(§ 35 ods. 24) nadobudol účinnosť 1. januára 2018.   </w:t>
      </w:r>
    </w:p>
    <w:p w:rsidR="00871EBA" w:rsidP="00871EBA">
      <w:pPr>
        <w:bidi w:val="0"/>
        <w:ind w:left="3402"/>
        <w:jc w:val="both"/>
        <w:rPr>
          <w:rFonts w:ascii="Times New Roman" w:hAnsi="Times New Roman"/>
          <w:bCs/>
          <w:u w:val="single"/>
        </w:rPr>
      </w:pPr>
    </w:p>
    <w:p w:rsidR="00871EBA" w:rsidP="00871EBA">
      <w:pPr>
        <w:bidi w:val="0"/>
        <w:ind w:left="2977"/>
        <w:jc w:val="both"/>
        <w:rPr>
          <w:rFonts w:ascii="Times New Roman" w:hAnsi="Times New Roman"/>
          <w:bCs/>
        </w:rPr>
      </w:pPr>
      <w:r>
        <w:rPr>
          <w:rFonts w:ascii="Times New Roman" w:hAnsi="Times New Roman"/>
          <w:bCs/>
          <w:color w:val="000000"/>
        </w:rPr>
        <w:t xml:space="preserve">Predloženým návrhom sa zabezpečí dostatočná legisvakančná lehota na prispôsobenie sa novým podmienkam prevádzkovania </w:t>
      </w:r>
      <w:r>
        <w:rPr>
          <w:rFonts w:ascii="Times New Roman" w:hAnsi="Times New Roman"/>
          <w:bCs/>
        </w:rPr>
        <w:t>výherných prístrojov, technických zariadení obsluhovaných priamo hráčmi a terminálov videohier, pretože pri licenciách na prevádzkovanie videohier, ktoré expirujú začiatkom roka 2017 a pri ktorých sa začne nové licenčné konanie (trvá 15 dní), nie je možné počas niekoľkých dní premiestniť niekoľko stoviek terminálov videohier do herní. Týmto návrhom sa však nenaruší zámer, aby od 1. januára 2018 boli jednotne všetky výherné prístroje, technické zariadenia obsluhované priamo hráčmi a terminály videohier prevádzkované výlučne v herni, pretože z pozmeňujúcich návrhov (§ 58m ods. 1 a ods. 18) jednoznačne vyplýva, že všetci prevádzkovatelia takýchto hazardných hier budú musieť najneskôr k 1. januáru 2018 premiestniť takéto prístroje, zariadenia a terminály do herní, pričom nové takéto licencie udelené po 31. decembri 2017 musia spĺňať podmienky podľa § 35 ods. 24 v znení účinnom od 1. januára 2018.</w:t>
      </w:r>
    </w:p>
    <w:p w:rsidR="00871EBA" w:rsidRPr="004A67B5" w:rsidP="00A666DE">
      <w:pPr>
        <w:bidi w:val="0"/>
        <w:jc w:val="both"/>
        <w:rPr>
          <w:rFonts w:ascii="Times New Roman" w:hAnsi="Times New Roman"/>
          <w:b/>
          <w:color w:val="FF0000"/>
          <w:lang w:eastAsia="en-US"/>
        </w:rPr>
      </w:pPr>
    </w:p>
    <w:p w:rsidR="00CE6895" w:rsidP="00C02576">
      <w:pPr>
        <w:bidi w:val="0"/>
        <w:ind w:left="226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w:t>
      </w:r>
      <w:r w:rsidR="00AD2E86">
        <w:rPr>
          <w:rFonts w:ascii="Times New Roman" w:hAnsi="Times New Roman"/>
          <w:b/>
        </w:rPr>
        <w:t> </w:t>
      </w:r>
      <w:r>
        <w:rPr>
          <w:rFonts w:ascii="Times New Roman" w:hAnsi="Times New Roman"/>
          <w:b/>
        </w:rPr>
        <w:t>rozpočet</w:t>
      </w:r>
    </w:p>
    <w:p w:rsidR="00CE6895" w:rsidP="00C02576">
      <w:pPr>
        <w:bidi w:val="0"/>
        <w:ind w:left="2269" w:firstLine="708"/>
        <w:rPr>
          <w:rFonts w:ascii="Times New Roman" w:hAnsi="Times New Roman"/>
          <w:b/>
        </w:rPr>
      </w:pPr>
      <w:r w:rsidRPr="00BF14E2">
        <w:rPr>
          <w:rFonts w:ascii="Times New Roman" w:hAnsi="Times New Roman"/>
          <w:b/>
        </w:rPr>
        <w:t>Gestorský výbor odporúča schváliť.</w:t>
      </w:r>
    </w:p>
    <w:p w:rsidR="00CE6895" w:rsidP="00CE6895">
      <w:pPr>
        <w:tabs>
          <w:tab w:val="left" w:pos="2280"/>
        </w:tabs>
        <w:bidi w:val="0"/>
        <w:jc w:val="both"/>
        <w:rPr>
          <w:rFonts w:ascii="Times New Roman" w:hAnsi="Times New Roman"/>
        </w:rPr>
      </w:pPr>
      <w:r w:rsidR="00AD2E86">
        <w:rPr>
          <w:rFonts w:ascii="Times New Roman" w:hAnsi="Times New Roman"/>
        </w:rPr>
        <w:t xml:space="preserve"> </w:t>
      </w:r>
    </w:p>
    <w:p w:rsidR="005711FB" w:rsidP="005711FB">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5711FB" w:rsidRPr="00D81B1F" w:rsidP="005711FB">
      <w:pPr>
        <w:pStyle w:val="BodyText2"/>
        <w:bidi w:val="0"/>
        <w:rPr>
          <w:rFonts w:ascii="Times New Roman" w:hAnsi="Times New Roman"/>
        </w:rPr>
      </w:pPr>
    </w:p>
    <w:p w:rsidR="00B755F7" w:rsidRPr="00D83BC5" w:rsidP="00B755F7">
      <w:pPr>
        <w:pStyle w:val="BodyText2"/>
        <w:bidi w:val="0"/>
        <w:ind w:firstLine="708"/>
        <w:rPr>
          <w:rFonts w:ascii="Times New Roman" w:hAnsi="Times New Roman"/>
          <w:b/>
        </w:rPr>
      </w:pPr>
      <w:r w:rsidRPr="00D83BC5">
        <w:rPr>
          <w:rFonts w:ascii="Times New Roman" w:hAnsi="Times New Roman"/>
        </w:rPr>
        <w:t>O bodoch spoločnej správy č.</w:t>
      </w:r>
      <w:r w:rsidRPr="00D83BC5" w:rsidR="00D83BC5">
        <w:rPr>
          <w:rFonts w:ascii="Times New Roman" w:hAnsi="Times New Roman"/>
          <w:b/>
        </w:rPr>
        <w:t xml:space="preserve">   </w:t>
      </w:r>
      <w:r w:rsidR="00D83BC5">
        <w:rPr>
          <w:rFonts w:ascii="Times New Roman" w:hAnsi="Times New Roman"/>
          <w:b/>
        </w:rPr>
        <w:t>1 až</w:t>
      </w:r>
      <w:r w:rsidRPr="00D83BC5" w:rsidR="00D83BC5">
        <w:rPr>
          <w:rFonts w:ascii="Times New Roman" w:hAnsi="Times New Roman"/>
          <w:b/>
        </w:rPr>
        <w:t xml:space="preserve"> 53</w:t>
      </w:r>
      <w:r w:rsidRPr="00D83BC5">
        <w:rPr>
          <w:rFonts w:ascii="Times New Roman" w:hAnsi="Times New Roman"/>
          <w:b/>
        </w:rPr>
        <w:t xml:space="preserve">   </w:t>
      </w:r>
      <w:r w:rsidRPr="00D83BC5" w:rsidR="00793D41">
        <w:rPr>
          <w:rFonts w:ascii="Times New Roman" w:hAnsi="Times New Roman"/>
          <w:b/>
        </w:rPr>
        <w:t xml:space="preserve"> </w:t>
      </w:r>
      <w:r w:rsidRPr="00D83BC5">
        <w:rPr>
          <w:rFonts w:ascii="Times New Roman" w:hAnsi="Times New Roman"/>
        </w:rPr>
        <w:t>hlasovať spoločne s návrhom gestorského výboru</w:t>
      </w:r>
      <w:r w:rsidRPr="00D83BC5">
        <w:rPr>
          <w:rFonts w:ascii="Times New Roman" w:hAnsi="Times New Roman"/>
          <w:b/>
        </w:rPr>
        <w:t xml:space="preserve"> schváliť.</w:t>
      </w:r>
    </w:p>
    <w:p w:rsidR="0011217D" w:rsidRPr="00197BC8" w:rsidP="00B755F7">
      <w:pPr>
        <w:pStyle w:val="BodyText2"/>
        <w:bidi w:val="0"/>
        <w:ind w:firstLine="708"/>
        <w:rPr>
          <w:rFonts w:ascii="Times New Roman" w:hAnsi="Times New Roman"/>
          <w:b/>
          <w:color w:val="FF0000"/>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k</w:t>
      </w:r>
      <w:r w:rsidRPr="00D63CFE" w:rsidR="00D63CFE">
        <w:rPr>
          <w:rFonts w:ascii="Times New Roman" w:hAnsi="Times New Roman"/>
        </w:rPr>
        <w:t xml:space="preserve"> vládn</w:t>
      </w:r>
      <w:r w:rsidR="00D63CFE">
        <w:rPr>
          <w:rFonts w:ascii="Times New Roman" w:hAnsi="Times New Roman"/>
        </w:rPr>
        <w:t>emu</w:t>
      </w:r>
      <w:r w:rsidRPr="00D63CFE" w:rsidR="00D63CFE">
        <w:rPr>
          <w:rFonts w:ascii="Times New Roman" w:hAnsi="Times New Roman"/>
        </w:rPr>
        <w:t xml:space="preserve"> návrh</w:t>
      </w:r>
      <w:r w:rsidR="00D63CFE">
        <w:rPr>
          <w:rFonts w:ascii="Times New Roman" w:hAnsi="Times New Roman"/>
        </w:rPr>
        <w:t>u</w:t>
      </w:r>
      <w:r w:rsidRPr="00D63CFE" w:rsidR="00D63CFE">
        <w:rPr>
          <w:rFonts w:ascii="Times New Roman" w:hAnsi="Times New Roman"/>
        </w:rPr>
        <w:t xml:space="preserve"> zákona, ktorým sa mení a dopĺňa zákon č. 171/2005 Z. z. o hazardných hrách a o zmene a doplnení niektorých zákonov v znení neskorších predpisov a ktorým sa menia a dopĺňajú niektoré zákony (tlač 255)</w:t>
      </w:r>
      <w:r w:rsidR="00D63CFE">
        <w:rPr>
          <w:rFonts w:ascii="Times New Roman" w:hAnsi="Times New Roman"/>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P="004E4DCD">
      <w:pPr>
        <w:bidi w:val="0"/>
        <w:spacing w:line="360" w:lineRule="auto"/>
        <w:jc w:val="both"/>
        <w:rPr>
          <w:rFonts w:ascii="Times New Roman" w:hAnsi="Times New Roman"/>
          <w:b/>
          <w:bCs/>
        </w:rPr>
      </w:pPr>
    </w:p>
    <w:p w:rsidR="004E4DCD" w:rsidRPr="0011217D" w:rsidP="005711FB">
      <w:pPr>
        <w:keepNext/>
        <w:shd w:val="clear" w:color="auto" w:fill="FFFFFF"/>
        <w:bidi w:val="0"/>
        <w:ind w:firstLine="708"/>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D63CFE" w:rsidR="00D63CFE">
        <w:rPr>
          <w:rFonts w:ascii="Times New Roman" w:hAnsi="Times New Roman"/>
        </w:rPr>
        <w:t>vládn</w:t>
      </w:r>
      <w:r w:rsidR="00D63CFE">
        <w:rPr>
          <w:rFonts w:ascii="Times New Roman" w:hAnsi="Times New Roman"/>
        </w:rPr>
        <w:t>eho</w:t>
      </w:r>
      <w:r w:rsidRPr="00D63CFE" w:rsidR="00D63CFE">
        <w:rPr>
          <w:rFonts w:ascii="Times New Roman" w:hAnsi="Times New Roman"/>
        </w:rPr>
        <w:t xml:space="preserve"> návrh</w:t>
      </w:r>
      <w:r w:rsidR="00D63CFE">
        <w:rPr>
          <w:rFonts w:ascii="Times New Roman" w:hAnsi="Times New Roman"/>
        </w:rPr>
        <w:t>u</w:t>
      </w:r>
      <w:r w:rsidRPr="00D63CFE" w:rsidR="00D63CFE">
        <w:rPr>
          <w:rFonts w:ascii="Times New Roman" w:hAnsi="Times New Roman"/>
        </w:rPr>
        <w:t xml:space="preserve"> zákona, ktorým sa mení a dopĺňa zákon č. 171/2005 Z. z. o hazardných hrách a o zmene a doplnení niektorých zákonov v znení neskorších predpisov a ktorým sa menia a dopĺňajú niektoré zákony (tlač 255</w:t>
      </w:r>
      <w:r w:rsidR="00D63CFE">
        <w:rPr>
          <w:rFonts w:ascii="Times New Roman" w:hAnsi="Times New Roman"/>
        </w:rPr>
        <w:t>a</w:t>
      </w:r>
      <w:r w:rsidRPr="00D63CFE" w:rsidR="00D63CFE">
        <w:rPr>
          <w:rFonts w:ascii="Times New Roman" w:hAnsi="Times New Roman"/>
        </w:rPr>
        <w:t>)</w:t>
      </w:r>
      <w:r w:rsidR="00D63CFE">
        <w:rPr>
          <w:rFonts w:ascii="Times New Roman" w:hAnsi="Times New Roman"/>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11217D" w:rsidR="00436E42">
        <w:rPr>
          <w:rFonts w:ascii="Times New Roman" w:hAnsi="Times New Roman"/>
          <w:bCs/>
        </w:rPr>
        <w:t>č</w:t>
      </w:r>
      <w:r w:rsidRPr="00C84A95" w:rsidR="00436E42">
        <w:rPr>
          <w:rFonts w:ascii="Times New Roman" w:hAnsi="Times New Roman"/>
          <w:b/>
          <w:bCs/>
        </w:rPr>
        <w:t>.</w:t>
      </w:r>
      <w:r w:rsidRPr="00C84A95" w:rsidR="00095A32">
        <w:rPr>
          <w:rFonts w:ascii="Times New Roman" w:hAnsi="Times New Roman"/>
          <w:b/>
          <w:bCs/>
        </w:rPr>
        <w:t xml:space="preserve"> </w:t>
      </w:r>
      <w:r w:rsidRPr="00C84A95" w:rsidR="0011217D">
        <w:rPr>
          <w:rFonts w:ascii="Times New Roman" w:hAnsi="Times New Roman"/>
          <w:b/>
          <w:bCs/>
        </w:rPr>
        <w:t xml:space="preserve"> </w:t>
      </w:r>
      <w:r w:rsidR="00A3770F">
        <w:rPr>
          <w:rFonts w:ascii="Times New Roman" w:hAnsi="Times New Roman"/>
          <w:b/>
          <w:bCs/>
        </w:rPr>
        <w:t>113</w:t>
      </w:r>
      <w:r w:rsidRPr="00A01FC4" w:rsidR="0011217D">
        <w:rPr>
          <w:rFonts w:ascii="Times New Roman" w:hAnsi="Times New Roman"/>
          <w:b/>
          <w:bCs/>
          <w:color w:val="FF0000"/>
        </w:rPr>
        <w:t xml:space="preserve"> </w:t>
      </w:r>
      <w:r w:rsidRPr="00C84A95" w:rsidR="00AA7E5B">
        <w:rPr>
          <w:rFonts w:ascii="Times New Roman" w:hAnsi="Times New Roman"/>
          <w:b/>
          <w:bCs/>
        </w:rPr>
        <w:t>z</w:t>
      </w:r>
      <w:r w:rsidRPr="00C84A95" w:rsidR="00BE7DA9">
        <w:rPr>
          <w:rFonts w:ascii="Times New Roman" w:hAnsi="Times New Roman"/>
          <w:b/>
          <w:bCs/>
        </w:rPr>
        <w:t> </w:t>
      </w:r>
      <w:r w:rsidR="00D63CFE">
        <w:rPr>
          <w:rFonts w:ascii="Times New Roman" w:hAnsi="Times New Roman"/>
          <w:b/>
          <w:bCs/>
        </w:rPr>
        <w:t>2</w:t>
      </w:r>
      <w:r w:rsidRPr="00C84A95" w:rsidR="009B5C64">
        <w:rPr>
          <w:rFonts w:ascii="Times New Roman" w:hAnsi="Times New Roman"/>
          <w:b/>
          <w:bCs/>
        </w:rPr>
        <w:t>1</w:t>
      </w:r>
      <w:r w:rsidRPr="00C84A95" w:rsidR="00FC4AEC">
        <w:rPr>
          <w:rFonts w:ascii="Times New Roman" w:hAnsi="Times New Roman"/>
          <w:b/>
          <w:bCs/>
        </w:rPr>
        <w:t>.</w:t>
      </w:r>
      <w:r w:rsidRPr="00C84A95" w:rsidR="004903E5">
        <w:rPr>
          <w:rFonts w:ascii="Times New Roman" w:hAnsi="Times New Roman"/>
          <w:b/>
          <w:bCs/>
        </w:rPr>
        <w:t xml:space="preserve"> </w:t>
      </w:r>
      <w:r w:rsidR="00D63CFE">
        <w:rPr>
          <w:rFonts w:ascii="Times New Roman" w:hAnsi="Times New Roman"/>
          <w:b/>
          <w:bCs/>
        </w:rPr>
        <w:t>novembra</w:t>
      </w:r>
      <w:r w:rsidRPr="00C84A95" w:rsidR="004903E5">
        <w:rPr>
          <w:rFonts w:ascii="Times New Roman" w:hAnsi="Times New Roman"/>
          <w:b/>
          <w:bCs/>
        </w:rPr>
        <w:t xml:space="preserve"> </w:t>
      </w:r>
      <w:r w:rsidRPr="00C84A95" w:rsidR="00AA7E5B">
        <w:rPr>
          <w:rFonts w:ascii="Times New Roman" w:hAnsi="Times New Roman"/>
          <w:b/>
          <w:bCs/>
        </w:rPr>
        <w:t>201</w:t>
      </w:r>
      <w:r w:rsidRPr="00C84A95" w:rsidR="009B5C64">
        <w:rPr>
          <w:rFonts w:ascii="Times New Roman" w:hAnsi="Times New Roman"/>
          <w:b/>
          <w:bCs/>
        </w:rPr>
        <w:t>6</w:t>
      </w:r>
      <w:r w:rsidRPr="0011217D" w:rsidR="00436E42">
        <w:rPr>
          <w:rFonts w:ascii="Times New Roman" w:hAnsi="Times New Roman"/>
          <w:bCs/>
        </w:rPr>
        <w:t>.</w:t>
      </w:r>
      <w:r w:rsidRPr="0011217D" w:rsidR="00AA7E5B">
        <w:rPr>
          <w:rFonts w:ascii="Times New Roman" w:hAnsi="Times New Roman"/>
          <w:bCs/>
        </w:rPr>
        <w:t xml:space="preserve"> </w:t>
      </w:r>
    </w:p>
    <w:p w:rsidR="009B5C64" w:rsidP="0043479C">
      <w:pPr>
        <w:bidi w:val="0"/>
        <w:spacing w:line="360" w:lineRule="auto"/>
        <w:ind w:firstLine="708"/>
        <w:jc w:val="both"/>
        <w:rPr>
          <w:rFonts w:ascii="Times New Roman" w:hAnsi="Times New Roman"/>
        </w:rPr>
      </w:pPr>
    </w:p>
    <w:p w:rsidR="005711FB" w:rsidP="0011217D">
      <w:pPr>
        <w:bidi w:val="0"/>
        <w:ind w:firstLine="708"/>
        <w:jc w:val="both"/>
        <w:rPr>
          <w:rFonts w:ascii="Times New Roman" w:hAnsi="Times New Roman"/>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14586D">
        <w:rPr>
          <w:rFonts w:ascii="Times New Roman" w:hAnsi="Times New Roman"/>
          <w:bCs/>
        </w:rPr>
        <w:t>ého</w:t>
      </w:r>
      <w:r w:rsidRPr="00F36DCE" w:rsidR="00894BC4">
        <w:rPr>
          <w:rFonts w:ascii="Times New Roman" w:hAnsi="Times New Roman"/>
          <w:bCs/>
        </w:rPr>
        <w:t xml:space="preserve"> spravodaj</w:t>
      </w:r>
      <w:r w:rsidR="0014586D">
        <w:rPr>
          <w:rFonts w:ascii="Times New Roman" w:hAnsi="Times New Roman"/>
          <w:bCs/>
        </w:rPr>
        <w:t>c</w:t>
      </w:r>
      <w:r w:rsidRPr="00F36DCE" w:rsidR="00894BC4">
        <w:rPr>
          <w:rFonts w:ascii="Times New Roman" w:hAnsi="Times New Roman"/>
          <w:bCs/>
        </w:rPr>
        <w:t>u</w:t>
      </w:r>
      <w:r w:rsidR="009B5C64">
        <w:rPr>
          <w:rFonts w:ascii="Times New Roman" w:hAnsi="Times New Roman"/>
          <w:bCs/>
        </w:rPr>
        <w:t xml:space="preserve"> </w:t>
      </w:r>
      <w:r w:rsidR="00D63CFE">
        <w:rPr>
          <w:rFonts w:ascii="Times New Roman" w:hAnsi="Times New Roman"/>
          <w:b/>
          <w:bCs/>
        </w:rPr>
        <w:t>Radovana Baláža</w:t>
      </w:r>
      <w:r w:rsidRPr="00F36DCE" w:rsidR="00400586">
        <w:rPr>
          <w:rFonts w:ascii="Times New Roman" w:hAnsi="Times New Roman"/>
          <w:b/>
          <w:bCs/>
        </w:rPr>
        <w:t>,</w:t>
      </w:r>
      <w:r w:rsidRPr="00F36DCE" w:rsidR="000A0E9C">
        <w:rPr>
          <w:rFonts w:ascii="Times New Roman" w:hAnsi="Times New Roman"/>
          <w:bCs/>
        </w:rPr>
        <w:t xml:space="preserve"> </w:t>
      </w:r>
      <w:r w:rsidRPr="00F36DCE">
        <w:rPr>
          <w:rFonts w:ascii="Times New Roman" w:hAnsi="Times New Roman"/>
          <w:bCs/>
        </w:rPr>
        <w:t>aby na schôdzi Národnej rady Slovenskej republiky pri rokovaní o predmetnom vládno</w:t>
      </w:r>
      <w:r>
        <w:rPr>
          <w:rFonts w:ascii="Times New Roman" w:hAnsi="Times New Roman"/>
          <w:bCs/>
        </w:rPr>
        <w:t>m</w:t>
      </w:r>
      <w:r w:rsidRPr="00F36DCE">
        <w:rPr>
          <w:rFonts w:ascii="Times New Roman" w:hAnsi="Times New Roman"/>
          <w:bCs/>
        </w:rPr>
        <w:t xml:space="preserve"> návrhu zákona predkladal návrhy v zmysle príslušných ustanovení zákona</w:t>
      </w:r>
      <w:r>
        <w:rPr>
          <w:rFonts w:ascii="Times New Roman" w:hAnsi="Times New Roman"/>
          <w:bCs/>
        </w:rPr>
        <w:t xml:space="preserve"> </w:t>
      </w:r>
      <w:r w:rsidRPr="008750F8">
        <w:rPr>
          <w:rFonts w:ascii="Times New Roman" w:hAnsi="Times New Roman"/>
          <w:bCs/>
        </w:rPr>
        <w:t>č. 350/1996 Z. z.</w:t>
      </w:r>
      <w:r w:rsidRPr="00F36DCE">
        <w:rPr>
          <w:rFonts w:ascii="Times New Roman" w:hAnsi="Times New Roman"/>
          <w:bCs/>
        </w:rPr>
        <w:t xml:space="preserve"> o rokovacom poriadku Náro</w:t>
      </w:r>
      <w:r>
        <w:rPr>
          <w:rFonts w:ascii="Times New Roman" w:hAnsi="Times New Roman"/>
          <w:bCs/>
        </w:rPr>
        <w:t>dnej rady Slovenskej republiky v znení neskorších predpisov.</w:t>
      </w:r>
      <w:r w:rsidRPr="00F36DCE" w:rsidR="00AA7E5B">
        <w:rPr>
          <w:rFonts w:ascii="Times New Roman" w:hAnsi="Times New Roman"/>
        </w:rPr>
        <w:tab/>
        <w:tab/>
        <w:tab/>
      </w: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D63CFE">
        <w:rPr>
          <w:rFonts w:ascii="Times New Roman" w:hAnsi="Times New Roman"/>
          <w:szCs w:val="20"/>
        </w:rPr>
        <w:t>2</w:t>
      </w:r>
      <w:r w:rsidR="009B5C64">
        <w:rPr>
          <w:rFonts w:ascii="Times New Roman" w:hAnsi="Times New Roman"/>
          <w:szCs w:val="20"/>
        </w:rPr>
        <w:t>1</w:t>
      </w:r>
      <w:r w:rsidRPr="00252DDA">
        <w:rPr>
          <w:rFonts w:ascii="Times New Roman" w:hAnsi="Times New Roman"/>
          <w:szCs w:val="20"/>
        </w:rPr>
        <w:t xml:space="preserve">. </w:t>
      </w:r>
      <w:r w:rsidR="00D63CFE">
        <w:rPr>
          <w:rFonts w:ascii="Times New Roman" w:hAnsi="Times New Roman"/>
          <w:szCs w:val="20"/>
        </w:rPr>
        <w:t>novembra</w:t>
      </w:r>
      <w:r w:rsidRPr="00252DDA">
        <w:rPr>
          <w:rFonts w:ascii="Times New Roman" w:hAnsi="Times New Roman"/>
          <w:szCs w:val="20"/>
        </w:rPr>
        <w:t xml:space="preserve"> 201</w:t>
      </w:r>
      <w:r w:rsidR="009B5C64">
        <w:rPr>
          <w:rFonts w:ascii="Times New Roman" w:hAnsi="Times New Roman"/>
          <w:szCs w:val="20"/>
        </w:rPr>
        <w:t>6</w:t>
      </w:r>
    </w:p>
    <w:p w:rsidR="005711FB"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252DDA" w:rsidRPr="00252DDA" w:rsidP="00472536">
      <w:pPr>
        <w:bidi w:val="0"/>
        <w:jc w:val="center"/>
        <w:rPr>
          <w:rFonts w:ascii="Times New Roman" w:hAnsi="Times New Roman"/>
          <w:b/>
          <w:bCs/>
          <w:szCs w:val="20"/>
        </w:rPr>
      </w:pPr>
      <w:r w:rsidR="0068283B">
        <w:rPr>
          <w:rFonts w:ascii="Times New Roman" w:hAnsi="Times New Roman"/>
          <w:b/>
          <w:bCs/>
          <w:szCs w:val="20"/>
        </w:rPr>
        <w:t>Ladislav Kamenický</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4840F4">
      <w:footerReference w:type="even" r:id="rId5"/>
      <w:footerReference w:type="default" r:id="rId6"/>
      <w:pgSz w:w="11906" w:h="16838"/>
      <w:pgMar w:top="851"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C4644">
      <w:rPr>
        <w:rFonts w:ascii="Times New Roman" w:hAnsi="Times New Roman"/>
        <w:noProof/>
      </w:rPr>
      <w:t>2</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C891CA3"/>
    <w:multiLevelType w:val="hybridMultilevel"/>
    <w:tmpl w:val="D744C80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ED5FCC"/>
    <w:multiLevelType w:val="hybridMultilevel"/>
    <w:tmpl w:val="8A6CC26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28191150"/>
    <w:multiLevelType w:val="hybridMultilevel"/>
    <w:tmpl w:val="9F1C9B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37D7642"/>
    <w:multiLevelType w:val="hybridMultilevel"/>
    <w:tmpl w:val="5DDAE5EA"/>
    <w:lvl w:ilvl="0">
      <w:start w:val="8"/>
      <w:numFmt w:val="decimal"/>
      <w:lvlText w:val="%1."/>
      <w:lvlJc w:val="left"/>
      <w:pPr>
        <w:ind w:left="720" w:hanging="360"/>
      </w:pPr>
      <w:rPr>
        <w:rFonts w:cs="Times New Roman" w:hint="default"/>
        <w:b/>
        <w:u w:val="none" w:color="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8D91486"/>
    <w:multiLevelType w:val="hybridMultilevel"/>
    <w:tmpl w:val="93E425F8"/>
    <w:lvl w:ilvl="0">
      <w:start w:val="1"/>
      <w:numFmt w:val="lowerLetter"/>
      <w:lvlText w:val="%1)"/>
      <w:lvlJc w:val="left"/>
      <w:pPr>
        <w:ind w:left="786" w:hanging="360"/>
      </w:pPr>
      <w:rPr>
        <w:rFonts w:cs="Times New Roman"/>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0">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
    <w:nsid w:val="55D92CED"/>
    <w:multiLevelType w:val="hybridMultilevel"/>
    <w:tmpl w:val="51EE7CF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63625FF8"/>
    <w:multiLevelType w:val="hybridMultilevel"/>
    <w:tmpl w:val="4A9A73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86656AD"/>
    <w:multiLevelType w:val="hybridMultilevel"/>
    <w:tmpl w:val="FDFA229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0">
    <w:nsid w:val="6EA877F2"/>
    <w:multiLevelType w:val="hybridMultilevel"/>
    <w:tmpl w:val="58425B14"/>
    <w:lvl w:ilvl="0">
      <w:start w:val="1"/>
      <w:numFmt w:val="decimal"/>
      <w:lvlText w:val="%1."/>
      <w:lvlJc w:val="left"/>
      <w:pPr>
        <w:tabs>
          <w:tab w:val="num" w:pos="644"/>
        </w:tabs>
        <w:ind w:left="644" w:hanging="360"/>
      </w:pPr>
      <w:rPr>
        <w:rFonts w:cs="Times New Roman"/>
        <w:b w:val="0"/>
        <w:bCs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180"/>
        </w:tabs>
        <w:ind w:left="180" w:hanging="180"/>
      </w:pPr>
      <w:rPr>
        <w:rFonts w:ascii="Times New Roman" w:eastAsia="Times New Roman" w:hAnsi="Times New Roman" w:cs="Times New Roman" w:hint="default"/>
        <w:b w:val="0"/>
        <w:b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FE2072B"/>
    <w:multiLevelType w:val="hybridMultilevel"/>
    <w:tmpl w:val="08FE6142"/>
    <w:lvl w:ilvl="0">
      <w:start w:val="1"/>
      <w:numFmt w:val="decimal"/>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2">
    <w:nsid w:val="748B5275"/>
    <w:multiLevelType w:val="hybridMultilevel"/>
    <w:tmpl w:val="6C4ABE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A4204FD"/>
    <w:multiLevelType w:val="hybridMultilevel"/>
    <w:tmpl w:val="51B28F0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6">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1"/>
    <w:lvlOverride w:ilvl="0"/>
  </w:num>
  <w:num w:numId="11">
    <w:abstractNumId w:val="0"/>
  </w:num>
  <w:num w:numId="12">
    <w:abstractNumId w:val="18"/>
  </w:num>
  <w:num w:numId="13">
    <w:abstractNumId w:val="26"/>
  </w:num>
  <w:num w:numId="14">
    <w:abstractNumId w:val="17"/>
  </w:num>
  <w:num w:numId="15">
    <w:abstractNumId w:val="23"/>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6"/>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05E9C"/>
    <w:rsid w:val="0001456E"/>
    <w:rsid w:val="00014B42"/>
    <w:rsid w:val="00015197"/>
    <w:rsid w:val="000165F6"/>
    <w:rsid w:val="00016FA1"/>
    <w:rsid w:val="00020EBA"/>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1A1"/>
    <w:rsid w:val="00070F89"/>
    <w:rsid w:val="000717B2"/>
    <w:rsid w:val="00072513"/>
    <w:rsid w:val="000725AA"/>
    <w:rsid w:val="00074503"/>
    <w:rsid w:val="00074DF6"/>
    <w:rsid w:val="000773D6"/>
    <w:rsid w:val="00077435"/>
    <w:rsid w:val="00077E60"/>
    <w:rsid w:val="000824EC"/>
    <w:rsid w:val="00085CC4"/>
    <w:rsid w:val="000914AD"/>
    <w:rsid w:val="00092E2E"/>
    <w:rsid w:val="00093FD1"/>
    <w:rsid w:val="00094E4C"/>
    <w:rsid w:val="00095A32"/>
    <w:rsid w:val="000A0E9C"/>
    <w:rsid w:val="000A2D8A"/>
    <w:rsid w:val="000A3569"/>
    <w:rsid w:val="000A3770"/>
    <w:rsid w:val="000A52C3"/>
    <w:rsid w:val="000B2DFC"/>
    <w:rsid w:val="000B30D5"/>
    <w:rsid w:val="000B727A"/>
    <w:rsid w:val="000B736A"/>
    <w:rsid w:val="000C2ABD"/>
    <w:rsid w:val="000C54F6"/>
    <w:rsid w:val="000D77FB"/>
    <w:rsid w:val="000D7FFE"/>
    <w:rsid w:val="000E1A7F"/>
    <w:rsid w:val="000E43A5"/>
    <w:rsid w:val="000E4C51"/>
    <w:rsid w:val="000E7B01"/>
    <w:rsid w:val="000F0182"/>
    <w:rsid w:val="000F22C5"/>
    <w:rsid w:val="000F3B1A"/>
    <w:rsid w:val="000F5211"/>
    <w:rsid w:val="000F5387"/>
    <w:rsid w:val="000F6B94"/>
    <w:rsid w:val="000F6F24"/>
    <w:rsid w:val="00101620"/>
    <w:rsid w:val="00101BB0"/>
    <w:rsid w:val="00103242"/>
    <w:rsid w:val="001078EB"/>
    <w:rsid w:val="00111F2C"/>
    <w:rsid w:val="0011217D"/>
    <w:rsid w:val="00122F08"/>
    <w:rsid w:val="0012774F"/>
    <w:rsid w:val="00131F8C"/>
    <w:rsid w:val="00132CD1"/>
    <w:rsid w:val="0013356F"/>
    <w:rsid w:val="0013546C"/>
    <w:rsid w:val="00137721"/>
    <w:rsid w:val="00137964"/>
    <w:rsid w:val="001420F5"/>
    <w:rsid w:val="001447DD"/>
    <w:rsid w:val="0014586D"/>
    <w:rsid w:val="00147D4A"/>
    <w:rsid w:val="00147F6A"/>
    <w:rsid w:val="00150303"/>
    <w:rsid w:val="00152669"/>
    <w:rsid w:val="00152A47"/>
    <w:rsid w:val="00157B37"/>
    <w:rsid w:val="00161B82"/>
    <w:rsid w:val="00164116"/>
    <w:rsid w:val="001652B9"/>
    <w:rsid w:val="00167107"/>
    <w:rsid w:val="001712C4"/>
    <w:rsid w:val="00175456"/>
    <w:rsid w:val="00176CC3"/>
    <w:rsid w:val="001773E3"/>
    <w:rsid w:val="00182351"/>
    <w:rsid w:val="00182A8C"/>
    <w:rsid w:val="001873B1"/>
    <w:rsid w:val="001875EC"/>
    <w:rsid w:val="00187D05"/>
    <w:rsid w:val="001955ED"/>
    <w:rsid w:val="00197BC8"/>
    <w:rsid w:val="001A1523"/>
    <w:rsid w:val="001A2BBD"/>
    <w:rsid w:val="001A39C3"/>
    <w:rsid w:val="001B1448"/>
    <w:rsid w:val="001B3463"/>
    <w:rsid w:val="001B3D60"/>
    <w:rsid w:val="001B4E8A"/>
    <w:rsid w:val="001C48CF"/>
    <w:rsid w:val="001D129D"/>
    <w:rsid w:val="001D7527"/>
    <w:rsid w:val="001D7935"/>
    <w:rsid w:val="001E00FE"/>
    <w:rsid w:val="001E0CAB"/>
    <w:rsid w:val="001E5703"/>
    <w:rsid w:val="001E5BBB"/>
    <w:rsid w:val="001E7615"/>
    <w:rsid w:val="001F3714"/>
    <w:rsid w:val="001F49EA"/>
    <w:rsid w:val="001F53E1"/>
    <w:rsid w:val="001F7A38"/>
    <w:rsid w:val="00203E62"/>
    <w:rsid w:val="0020722A"/>
    <w:rsid w:val="002114A2"/>
    <w:rsid w:val="00211680"/>
    <w:rsid w:val="00213043"/>
    <w:rsid w:val="00215316"/>
    <w:rsid w:val="00215931"/>
    <w:rsid w:val="002202FF"/>
    <w:rsid w:val="002224EE"/>
    <w:rsid w:val="0022456B"/>
    <w:rsid w:val="00224FBF"/>
    <w:rsid w:val="00230C9E"/>
    <w:rsid w:val="00252DDA"/>
    <w:rsid w:val="002538F7"/>
    <w:rsid w:val="00253E76"/>
    <w:rsid w:val="00253EC8"/>
    <w:rsid w:val="00261226"/>
    <w:rsid w:val="0026127D"/>
    <w:rsid w:val="00261BDF"/>
    <w:rsid w:val="00272845"/>
    <w:rsid w:val="00272D6D"/>
    <w:rsid w:val="00273BCF"/>
    <w:rsid w:val="00277678"/>
    <w:rsid w:val="002811BE"/>
    <w:rsid w:val="00281447"/>
    <w:rsid w:val="0028184A"/>
    <w:rsid w:val="002870B7"/>
    <w:rsid w:val="00287C47"/>
    <w:rsid w:val="00292A65"/>
    <w:rsid w:val="00292FE5"/>
    <w:rsid w:val="0029726B"/>
    <w:rsid w:val="002A1035"/>
    <w:rsid w:val="002A35C6"/>
    <w:rsid w:val="002A366B"/>
    <w:rsid w:val="002A4081"/>
    <w:rsid w:val="002B0A29"/>
    <w:rsid w:val="002B0CB4"/>
    <w:rsid w:val="002B2C5C"/>
    <w:rsid w:val="002B3087"/>
    <w:rsid w:val="002B3EB3"/>
    <w:rsid w:val="002C4455"/>
    <w:rsid w:val="002C5844"/>
    <w:rsid w:val="002C5FA5"/>
    <w:rsid w:val="002D02C6"/>
    <w:rsid w:val="002D1CAA"/>
    <w:rsid w:val="002D2FC8"/>
    <w:rsid w:val="002D3E18"/>
    <w:rsid w:val="002E0770"/>
    <w:rsid w:val="002E2B72"/>
    <w:rsid w:val="002E3E4A"/>
    <w:rsid w:val="002E45E1"/>
    <w:rsid w:val="002E6D0A"/>
    <w:rsid w:val="002F1199"/>
    <w:rsid w:val="002F1339"/>
    <w:rsid w:val="002F16E9"/>
    <w:rsid w:val="002F22CA"/>
    <w:rsid w:val="002F3639"/>
    <w:rsid w:val="002F45C9"/>
    <w:rsid w:val="002F6017"/>
    <w:rsid w:val="002F6032"/>
    <w:rsid w:val="002F67C3"/>
    <w:rsid w:val="003029AD"/>
    <w:rsid w:val="00305890"/>
    <w:rsid w:val="00305DD0"/>
    <w:rsid w:val="00306889"/>
    <w:rsid w:val="00307F3F"/>
    <w:rsid w:val="00311508"/>
    <w:rsid w:val="0031301C"/>
    <w:rsid w:val="00314AFC"/>
    <w:rsid w:val="00316993"/>
    <w:rsid w:val="0032038B"/>
    <w:rsid w:val="003247F7"/>
    <w:rsid w:val="003263CA"/>
    <w:rsid w:val="003268A9"/>
    <w:rsid w:val="00330F5A"/>
    <w:rsid w:val="0034118F"/>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5976"/>
    <w:rsid w:val="004159E6"/>
    <w:rsid w:val="00417F18"/>
    <w:rsid w:val="00421057"/>
    <w:rsid w:val="00421B64"/>
    <w:rsid w:val="00422722"/>
    <w:rsid w:val="00424E70"/>
    <w:rsid w:val="00425785"/>
    <w:rsid w:val="00432A3E"/>
    <w:rsid w:val="004338F0"/>
    <w:rsid w:val="00433D16"/>
    <w:rsid w:val="004343FE"/>
    <w:rsid w:val="0043479C"/>
    <w:rsid w:val="00436E42"/>
    <w:rsid w:val="00441404"/>
    <w:rsid w:val="00441C2C"/>
    <w:rsid w:val="00442855"/>
    <w:rsid w:val="00443879"/>
    <w:rsid w:val="004438E6"/>
    <w:rsid w:val="004452C7"/>
    <w:rsid w:val="004466AC"/>
    <w:rsid w:val="00447F16"/>
    <w:rsid w:val="00453DBC"/>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903E5"/>
    <w:rsid w:val="0049102C"/>
    <w:rsid w:val="004A2565"/>
    <w:rsid w:val="004A2B6A"/>
    <w:rsid w:val="004A67B5"/>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21F"/>
    <w:rsid w:val="004F2823"/>
    <w:rsid w:val="004F6E52"/>
    <w:rsid w:val="00502134"/>
    <w:rsid w:val="00502CDE"/>
    <w:rsid w:val="00503550"/>
    <w:rsid w:val="00505B42"/>
    <w:rsid w:val="00506162"/>
    <w:rsid w:val="00506D8C"/>
    <w:rsid w:val="00513BED"/>
    <w:rsid w:val="00516EAB"/>
    <w:rsid w:val="00516ED0"/>
    <w:rsid w:val="00523682"/>
    <w:rsid w:val="00531E47"/>
    <w:rsid w:val="005334B7"/>
    <w:rsid w:val="00535714"/>
    <w:rsid w:val="0054160D"/>
    <w:rsid w:val="00544052"/>
    <w:rsid w:val="00545887"/>
    <w:rsid w:val="00546D94"/>
    <w:rsid w:val="005471E5"/>
    <w:rsid w:val="005509C2"/>
    <w:rsid w:val="00550DBE"/>
    <w:rsid w:val="00551848"/>
    <w:rsid w:val="00553303"/>
    <w:rsid w:val="00555BB5"/>
    <w:rsid w:val="005600E2"/>
    <w:rsid w:val="0056087A"/>
    <w:rsid w:val="00561599"/>
    <w:rsid w:val="00561AB6"/>
    <w:rsid w:val="00562FA8"/>
    <w:rsid w:val="005650E0"/>
    <w:rsid w:val="005711FB"/>
    <w:rsid w:val="0057420B"/>
    <w:rsid w:val="00575639"/>
    <w:rsid w:val="005758B7"/>
    <w:rsid w:val="00576376"/>
    <w:rsid w:val="005778A1"/>
    <w:rsid w:val="005806C4"/>
    <w:rsid w:val="00582065"/>
    <w:rsid w:val="00582577"/>
    <w:rsid w:val="00582FF3"/>
    <w:rsid w:val="00591B43"/>
    <w:rsid w:val="00595625"/>
    <w:rsid w:val="00597493"/>
    <w:rsid w:val="005A03F2"/>
    <w:rsid w:val="005A0E79"/>
    <w:rsid w:val="005A2BFB"/>
    <w:rsid w:val="005A2F51"/>
    <w:rsid w:val="005A3644"/>
    <w:rsid w:val="005A71DF"/>
    <w:rsid w:val="005B02BD"/>
    <w:rsid w:val="005B1565"/>
    <w:rsid w:val="005B475F"/>
    <w:rsid w:val="005B5A1D"/>
    <w:rsid w:val="005C00EF"/>
    <w:rsid w:val="005C1C6D"/>
    <w:rsid w:val="005C3BF1"/>
    <w:rsid w:val="005C3D5F"/>
    <w:rsid w:val="005C41B3"/>
    <w:rsid w:val="005C4675"/>
    <w:rsid w:val="005C55CC"/>
    <w:rsid w:val="005C778A"/>
    <w:rsid w:val="005D2F8A"/>
    <w:rsid w:val="005E1F5F"/>
    <w:rsid w:val="005F78C6"/>
    <w:rsid w:val="00600940"/>
    <w:rsid w:val="00603921"/>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570E"/>
    <w:rsid w:val="006802CF"/>
    <w:rsid w:val="0068283B"/>
    <w:rsid w:val="006839EB"/>
    <w:rsid w:val="006849D7"/>
    <w:rsid w:val="00687B41"/>
    <w:rsid w:val="00690613"/>
    <w:rsid w:val="00692118"/>
    <w:rsid w:val="0069472B"/>
    <w:rsid w:val="006957DF"/>
    <w:rsid w:val="006961B5"/>
    <w:rsid w:val="00696994"/>
    <w:rsid w:val="00696E46"/>
    <w:rsid w:val="00697508"/>
    <w:rsid w:val="006A6B12"/>
    <w:rsid w:val="006A7632"/>
    <w:rsid w:val="006A7C60"/>
    <w:rsid w:val="006B1143"/>
    <w:rsid w:val="006B15D0"/>
    <w:rsid w:val="006B1B1C"/>
    <w:rsid w:val="006B4D28"/>
    <w:rsid w:val="006C016C"/>
    <w:rsid w:val="006C226C"/>
    <w:rsid w:val="006C4108"/>
    <w:rsid w:val="006C6B61"/>
    <w:rsid w:val="006E0226"/>
    <w:rsid w:val="00705084"/>
    <w:rsid w:val="007078EF"/>
    <w:rsid w:val="00711D6D"/>
    <w:rsid w:val="007148BD"/>
    <w:rsid w:val="00721E5F"/>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3D68"/>
    <w:rsid w:val="007772EA"/>
    <w:rsid w:val="00791A58"/>
    <w:rsid w:val="00793D41"/>
    <w:rsid w:val="00795328"/>
    <w:rsid w:val="00795D4C"/>
    <w:rsid w:val="007A0766"/>
    <w:rsid w:val="007A0815"/>
    <w:rsid w:val="007A0CD1"/>
    <w:rsid w:val="007A1668"/>
    <w:rsid w:val="007B3260"/>
    <w:rsid w:val="007B4C04"/>
    <w:rsid w:val="007B60BE"/>
    <w:rsid w:val="007B63AE"/>
    <w:rsid w:val="007C3665"/>
    <w:rsid w:val="007C49FA"/>
    <w:rsid w:val="007D3D65"/>
    <w:rsid w:val="007D45B8"/>
    <w:rsid w:val="007D52F0"/>
    <w:rsid w:val="007D730B"/>
    <w:rsid w:val="007D7DE9"/>
    <w:rsid w:val="007E233A"/>
    <w:rsid w:val="007E32AE"/>
    <w:rsid w:val="007F1981"/>
    <w:rsid w:val="007F2411"/>
    <w:rsid w:val="007F36AB"/>
    <w:rsid w:val="00800E9F"/>
    <w:rsid w:val="008069C2"/>
    <w:rsid w:val="00810A8E"/>
    <w:rsid w:val="00812DA5"/>
    <w:rsid w:val="00816027"/>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70242"/>
    <w:rsid w:val="00871EBA"/>
    <w:rsid w:val="008750F8"/>
    <w:rsid w:val="0087558F"/>
    <w:rsid w:val="008757C5"/>
    <w:rsid w:val="00876FF0"/>
    <w:rsid w:val="008826ED"/>
    <w:rsid w:val="00885246"/>
    <w:rsid w:val="00885B64"/>
    <w:rsid w:val="00885BCD"/>
    <w:rsid w:val="00885FD1"/>
    <w:rsid w:val="00886B15"/>
    <w:rsid w:val="0089005F"/>
    <w:rsid w:val="00894BC4"/>
    <w:rsid w:val="008977D3"/>
    <w:rsid w:val="00897FFB"/>
    <w:rsid w:val="008A0104"/>
    <w:rsid w:val="008A0BBF"/>
    <w:rsid w:val="008A3EA1"/>
    <w:rsid w:val="008A7946"/>
    <w:rsid w:val="008B00C3"/>
    <w:rsid w:val="008B1518"/>
    <w:rsid w:val="008B3E2B"/>
    <w:rsid w:val="008B4615"/>
    <w:rsid w:val="008C3779"/>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03EFF"/>
    <w:rsid w:val="00904DBB"/>
    <w:rsid w:val="00910A72"/>
    <w:rsid w:val="00915CE5"/>
    <w:rsid w:val="00916319"/>
    <w:rsid w:val="00921354"/>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87D24"/>
    <w:rsid w:val="00994ECD"/>
    <w:rsid w:val="00996ADE"/>
    <w:rsid w:val="00996F11"/>
    <w:rsid w:val="009A031C"/>
    <w:rsid w:val="009A31AF"/>
    <w:rsid w:val="009A5510"/>
    <w:rsid w:val="009B4400"/>
    <w:rsid w:val="009B5C64"/>
    <w:rsid w:val="009B5FEF"/>
    <w:rsid w:val="009C0EEB"/>
    <w:rsid w:val="009C146E"/>
    <w:rsid w:val="009C179F"/>
    <w:rsid w:val="009C4292"/>
    <w:rsid w:val="009C4A13"/>
    <w:rsid w:val="009C5F07"/>
    <w:rsid w:val="009D05F7"/>
    <w:rsid w:val="009D460F"/>
    <w:rsid w:val="009D57AB"/>
    <w:rsid w:val="009D5906"/>
    <w:rsid w:val="009D6DE7"/>
    <w:rsid w:val="009E01FB"/>
    <w:rsid w:val="009E456D"/>
    <w:rsid w:val="009E568F"/>
    <w:rsid w:val="009E5837"/>
    <w:rsid w:val="009E6DA7"/>
    <w:rsid w:val="00A01FC4"/>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36D95"/>
    <w:rsid w:val="00A3770F"/>
    <w:rsid w:val="00A37FED"/>
    <w:rsid w:val="00A41904"/>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34DB"/>
    <w:rsid w:val="00A7437B"/>
    <w:rsid w:val="00A74CF5"/>
    <w:rsid w:val="00A7530E"/>
    <w:rsid w:val="00A83017"/>
    <w:rsid w:val="00A8781B"/>
    <w:rsid w:val="00A879F5"/>
    <w:rsid w:val="00A9330F"/>
    <w:rsid w:val="00A95DF9"/>
    <w:rsid w:val="00AA09EE"/>
    <w:rsid w:val="00AA1602"/>
    <w:rsid w:val="00AA3D05"/>
    <w:rsid w:val="00AA7E5B"/>
    <w:rsid w:val="00AA7EEB"/>
    <w:rsid w:val="00AB028F"/>
    <w:rsid w:val="00AB799F"/>
    <w:rsid w:val="00AC08E2"/>
    <w:rsid w:val="00AC4DD5"/>
    <w:rsid w:val="00AC50DA"/>
    <w:rsid w:val="00AC75C3"/>
    <w:rsid w:val="00AC7F32"/>
    <w:rsid w:val="00AD2E86"/>
    <w:rsid w:val="00AD4543"/>
    <w:rsid w:val="00AD6ECA"/>
    <w:rsid w:val="00AD71B2"/>
    <w:rsid w:val="00AE0104"/>
    <w:rsid w:val="00AE254E"/>
    <w:rsid w:val="00AE427B"/>
    <w:rsid w:val="00AE4C1A"/>
    <w:rsid w:val="00AE5880"/>
    <w:rsid w:val="00AE7DD3"/>
    <w:rsid w:val="00B00F64"/>
    <w:rsid w:val="00B010CC"/>
    <w:rsid w:val="00B02AA0"/>
    <w:rsid w:val="00B02E2B"/>
    <w:rsid w:val="00B03257"/>
    <w:rsid w:val="00B05862"/>
    <w:rsid w:val="00B059B4"/>
    <w:rsid w:val="00B06413"/>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5267"/>
    <w:rsid w:val="00B45C72"/>
    <w:rsid w:val="00B46431"/>
    <w:rsid w:val="00B522E0"/>
    <w:rsid w:val="00B54303"/>
    <w:rsid w:val="00B70ECB"/>
    <w:rsid w:val="00B71A65"/>
    <w:rsid w:val="00B75492"/>
    <w:rsid w:val="00B755F7"/>
    <w:rsid w:val="00B80661"/>
    <w:rsid w:val="00B83BB1"/>
    <w:rsid w:val="00B85AC2"/>
    <w:rsid w:val="00B90681"/>
    <w:rsid w:val="00B93246"/>
    <w:rsid w:val="00B95606"/>
    <w:rsid w:val="00BA0BD1"/>
    <w:rsid w:val="00BA57A7"/>
    <w:rsid w:val="00BA5B59"/>
    <w:rsid w:val="00BA62E6"/>
    <w:rsid w:val="00BB4F66"/>
    <w:rsid w:val="00BB6B82"/>
    <w:rsid w:val="00BC3327"/>
    <w:rsid w:val="00BC4644"/>
    <w:rsid w:val="00BC5B08"/>
    <w:rsid w:val="00BC5D71"/>
    <w:rsid w:val="00BC6810"/>
    <w:rsid w:val="00BD3AC5"/>
    <w:rsid w:val="00BD5F9B"/>
    <w:rsid w:val="00BE0560"/>
    <w:rsid w:val="00BE275A"/>
    <w:rsid w:val="00BE36C0"/>
    <w:rsid w:val="00BE3C14"/>
    <w:rsid w:val="00BE4B05"/>
    <w:rsid w:val="00BE7DA9"/>
    <w:rsid w:val="00BF0C5B"/>
    <w:rsid w:val="00BF12EF"/>
    <w:rsid w:val="00BF14E2"/>
    <w:rsid w:val="00BF2596"/>
    <w:rsid w:val="00BF3722"/>
    <w:rsid w:val="00BF49E6"/>
    <w:rsid w:val="00BF577B"/>
    <w:rsid w:val="00C02576"/>
    <w:rsid w:val="00C02B2E"/>
    <w:rsid w:val="00C0726F"/>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3B6D"/>
    <w:rsid w:val="00C45404"/>
    <w:rsid w:val="00C461D0"/>
    <w:rsid w:val="00C4736A"/>
    <w:rsid w:val="00C5151A"/>
    <w:rsid w:val="00C51AB6"/>
    <w:rsid w:val="00C6169B"/>
    <w:rsid w:val="00C61D9B"/>
    <w:rsid w:val="00C63FFE"/>
    <w:rsid w:val="00C64850"/>
    <w:rsid w:val="00C71DB3"/>
    <w:rsid w:val="00C726B2"/>
    <w:rsid w:val="00C76C68"/>
    <w:rsid w:val="00C821E2"/>
    <w:rsid w:val="00C84A95"/>
    <w:rsid w:val="00C865E5"/>
    <w:rsid w:val="00C87B83"/>
    <w:rsid w:val="00C91BA8"/>
    <w:rsid w:val="00C92DED"/>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E5461"/>
    <w:rsid w:val="00CE6895"/>
    <w:rsid w:val="00CF4A31"/>
    <w:rsid w:val="00CF62A2"/>
    <w:rsid w:val="00D018D2"/>
    <w:rsid w:val="00D02F29"/>
    <w:rsid w:val="00D07174"/>
    <w:rsid w:val="00D11087"/>
    <w:rsid w:val="00D159CC"/>
    <w:rsid w:val="00D15C6D"/>
    <w:rsid w:val="00D21B1E"/>
    <w:rsid w:val="00D21BF2"/>
    <w:rsid w:val="00D23881"/>
    <w:rsid w:val="00D31BCE"/>
    <w:rsid w:val="00D352D6"/>
    <w:rsid w:val="00D42F41"/>
    <w:rsid w:val="00D44F85"/>
    <w:rsid w:val="00D54C86"/>
    <w:rsid w:val="00D624A5"/>
    <w:rsid w:val="00D63CFE"/>
    <w:rsid w:val="00D67C0C"/>
    <w:rsid w:val="00D81B1F"/>
    <w:rsid w:val="00D83BC5"/>
    <w:rsid w:val="00D8757A"/>
    <w:rsid w:val="00D91F68"/>
    <w:rsid w:val="00D92411"/>
    <w:rsid w:val="00DA2D42"/>
    <w:rsid w:val="00DA359B"/>
    <w:rsid w:val="00DA4865"/>
    <w:rsid w:val="00DB491A"/>
    <w:rsid w:val="00DC31F2"/>
    <w:rsid w:val="00DC5A6E"/>
    <w:rsid w:val="00DD27CB"/>
    <w:rsid w:val="00DD3169"/>
    <w:rsid w:val="00DD7A8C"/>
    <w:rsid w:val="00DE45A1"/>
    <w:rsid w:val="00DE5C53"/>
    <w:rsid w:val="00DF2126"/>
    <w:rsid w:val="00DF3A85"/>
    <w:rsid w:val="00E057D6"/>
    <w:rsid w:val="00E068AC"/>
    <w:rsid w:val="00E07B95"/>
    <w:rsid w:val="00E105A0"/>
    <w:rsid w:val="00E112F6"/>
    <w:rsid w:val="00E15CBF"/>
    <w:rsid w:val="00E209BA"/>
    <w:rsid w:val="00E20EAE"/>
    <w:rsid w:val="00E21885"/>
    <w:rsid w:val="00E21C21"/>
    <w:rsid w:val="00E22384"/>
    <w:rsid w:val="00E22D35"/>
    <w:rsid w:val="00E25A91"/>
    <w:rsid w:val="00E33075"/>
    <w:rsid w:val="00E330CF"/>
    <w:rsid w:val="00E37D49"/>
    <w:rsid w:val="00E40761"/>
    <w:rsid w:val="00E41238"/>
    <w:rsid w:val="00E462E4"/>
    <w:rsid w:val="00E54925"/>
    <w:rsid w:val="00E62863"/>
    <w:rsid w:val="00E63890"/>
    <w:rsid w:val="00E6614F"/>
    <w:rsid w:val="00E70CF9"/>
    <w:rsid w:val="00E73339"/>
    <w:rsid w:val="00E74C95"/>
    <w:rsid w:val="00E82DDF"/>
    <w:rsid w:val="00E862F8"/>
    <w:rsid w:val="00E9024F"/>
    <w:rsid w:val="00E913AF"/>
    <w:rsid w:val="00E92001"/>
    <w:rsid w:val="00E92448"/>
    <w:rsid w:val="00E9528B"/>
    <w:rsid w:val="00E95AB1"/>
    <w:rsid w:val="00EA02D6"/>
    <w:rsid w:val="00EA2D7B"/>
    <w:rsid w:val="00EA3949"/>
    <w:rsid w:val="00EA40B2"/>
    <w:rsid w:val="00EA61B1"/>
    <w:rsid w:val="00EB15B1"/>
    <w:rsid w:val="00EB61CF"/>
    <w:rsid w:val="00EC088D"/>
    <w:rsid w:val="00EC3C57"/>
    <w:rsid w:val="00EC3DD3"/>
    <w:rsid w:val="00EC6A1B"/>
    <w:rsid w:val="00EC6B60"/>
    <w:rsid w:val="00EC7011"/>
    <w:rsid w:val="00EC74D9"/>
    <w:rsid w:val="00ED4365"/>
    <w:rsid w:val="00ED46C7"/>
    <w:rsid w:val="00ED4B90"/>
    <w:rsid w:val="00EE2114"/>
    <w:rsid w:val="00EE633C"/>
    <w:rsid w:val="00EF10E3"/>
    <w:rsid w:val="00EF2065"/>
    <w:rsid w:val="00EF588B"/>
    <w:rsid w:val="00EF6176"/>
    <w:rsid w:val="00F00D19"/>
    <w:rsid w:val="00F01878"/>
    <w:rsid w:val="00F02140"/>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3780E"/>
    <w:rsid w:val="00F4415C"/>
    <w:rsid w:val="00F50281"/>
    <w:rsid w:val="00F51401"/>
    <w:rsid w:val="00F63091"/>
    <w:rsid w:val="00F6446A"/>
    <w:rsid w:val="00F67BB8"/>
    <w:rsid w:val="00F73FC1"/>
    <w:rsid w:val="00F74CEC"/>
    <w:rsid w:val="00F768C4"/>
    <w:rsid w:val="00F77206"/>
    <w:rsid w:val="00F82FFC"/>
    <w:rsid w:val="00F85163"/>
    <w:rsid w:val="00F8563D"/>
    <w:rsid w:val="00F869DD"/>
    <w:rsid w:val="00F9138B"/>
    <w:rsid w:val="00F95D00"/>
    <w:rsid w:val="00FA33DD"/>
    <w:rsid w:val="00FA4659"/>
    <w:rsid w:val="00FA4AFE"/>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2FCF"/>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139F-F60D-4A16-8238-562A0F76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375</TotalTime>
  <Pages>29</Pages>
  <Words>10749</Words>
  <Characters>61273</Characters>
  <Application>Microsoft Office Word</Application>
  <DocSecurity>0</DocSecurity>
  <Lines>0</Lines>
  <Paragraphs>0</Paragraphs>
  <ScaleCrop>false</ScaleCrop>
  <Company>Kancelaria NR SR</Company>
  <LinksUpToDate>false</LinksUpToDate>
  <CharactersWithSpaces>71879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Bruteničová, Barbora, Ing.</cp:lastModifiedBy>
  <cp:revision>165</cp:revision>
  <cp:lastPrinted>2016-11-21T14:56:00Z</cp:lastPrinted>
  <dcterms:created xsi:type="dcterms:W3CDTF">2015-03-09T15:36:00Z</dcterms:created>
  <dcterms:modified xsi:type="dcterms:W3CDTF">2016-11-22T09:16:00Z</dcterms:modified>
</cp:coreProperties>
</file>