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715D8" w:rsidP="00B715D8">
      <w:pPr>
        <w:bidi w:val="0"/>
        <w:jc w:val="both"/>
        <w:rPr>
          <w:rFonts w:ascii="Times New Roman" w:hAnsi="Times New Roman"/>
          <w:sz w:val="24"/>
          <w:szCs w:val="24"/>
        </w:rPr>
      </w:pPr>
    </w:p>
    <w:p w:rsidR="00B715D8" w:rsidP="00B715D8">
      <w:pPr>
        <w:bidi w:val="0"/>
        <w:jc w:val="both"/>
        <w:rPr>
          <w:rFonts w:ascii="Times New Roman" w:hAnsi="Times New Roman"/>
          <w:sz w:val="24"/>
          <w:szCs w:val="24"/>
        </w:rPr>
      </w:pPr>
    </w:p>
    <w:p w:rsidR="00B715D8" w:rsidP="00B715D8">
      <w:pPr>
        <w:bidi w:val="0"/>
        <w:jc w:val="both"/>
        <w:rPr>
          <w:rFonts w:ascii="Times New Roman" w:hAnsi="Times New Roman"/>
          <w:sz w:val="24"/>
          <w:szCs w:val="24"/>
        </w:rPr>
      </w:pPr>
    </w:p>
    <w:p w:rsidR="00B715D8" w:rsidP="00B715D8">
      <w:pPr>
        <w:bidi w:val="0"/>
        <w:jc w:val="both"/>
        <w:rPr>
          <w:rFonts w:ascii="Times New Roman" w:hAnsi="Times New Roman"/>
          <w:sz w:val="24"/>
          <w:szCs w:val="24"/>
        </w:rPr>
      </w:pPr>
    </w:p>
    <w:p w:rsidR="00B715D8" w:rsidP="00B715D8">
      <w:pPr>
        <w:bidi w:val="0"/>
        <w:jc w:val="both"/>
        <w:rPr>
          <w:rFonts w:ascii="Times New Roman" w:hAnsi="Times New Roman"/>
          <w:sz w:val="24"/>
          <w:szCs w:val="24"/>
        </w:rPr>
      </w:pPr>
    </w:p>
    <w:p w:rsidR="00B715D8" w:rsidP="00B715D8">
      <w:pPr>
        <w:bidi w:val="0"/>
        <w:jc w:val="both"/>
        <w:rPr>
          <w:rFonts w:ascii="Times New Roman" w:hAnsi="Times New Roman"/>
          <w:sz w:val="24"/>
          <w:szCs w:val="24"/>
        </w:rPr>
      </w:pPr>
    </w:p>
    <w:p w:rsidR="00B715D8" w:rsidP="00B715D8">
      <w:pPr>
        <w:bidi w:val="0"/>
        <w:jc w:val="both"/>
        <w:rPr>
          <w:rFonts w:ascii="Times New Roman" w:hAnsi="Times New Roman"/>
          <w:sz w:val="24"/>
          <w:szCs w:val="24"/>
        </w:rPr>
      </w:pPr>
    </w:p>
    <w:p w:rsidR="00B715D8" w:rsidP="00B715D8">
      <w:pPr>
        <w:bidi w:val="0"/>
        <w:jc w:val="both"/>
        <w:rPr>
          <w:rFonts w:ascii="Times New Roman" w:hAnsi="Times New Roman"/>
          <w:sz w:val="24"/>
          <w:szCs w:val="24"/>
        </w:rPr>
      </w:pPr>
    </w:p>
    <w:p w:rsidR="00B715D8" w:rsidP="00B715D8">
      <w:pPr>
        <w:bidi w:val="0"/>
        <w:jc w:val="both"/>
        <w:rPr>
          <w:rFonts w:ascii="Times New Roman" w:hAnsi="Times New Roman"/>
          <w:sz w:val="24"/>
          <w:szCs w:val="24"/>
        </w:rPr>
      </w:pPr>
    </w:p>
    <w:p w:rsidR="00B715D8" w:rsidP="00B715D8">
      <w:pPr>
        <w:bidi w:val="0"/>
        <w:jc w:val="both"/>
        <w:rPr>
          <w:rFonts w:ascii="Times New Roman" w:hAnsi="Times New Roman"/>
          <w:sz w:val="24"/>
          <w:szCs w:val="24"/>
        </w:rPr>
      </w:pPr>
    </w:p>
    <w:p w:rsidR="00B715D8" w:rsidRPr="0072101A" w:rsidP="00B715D8">
      <w:pPr>
        <w:bidi w:val="0"/>
        <w:jc w:val="center"/>
        <w:rPr>
          <w:rFonts w:ascii="Times New Roman" w:hAnsi="Times New Roman"/>
          <w:b/>
          <w:sz w:val="24"/>
          <w:szCs w:val="24"/>
        </w:rPr>
      </w:pPr>
      <w:r w:rsidRPr="0072101A">
        <w:rPr>
          <w:rFonts w:ascii="Times New Roman" w:hAnsi="Times New Roman"/>
          <w:b/>
          <w:sz w:val="24"/>
          <w:szCs w:val="24"/>
        </w:rPr>
        <w:t xml:space="preserve">Príloha č. </w:t>
      </w:r>
      <w:r w:rsidRPr="0072101A" w:rsidR="005E38C0">
        <w:rPr>
          <w:rFonts w:ascii="Times New Roman" w:hAnsi="Times New Roman"/>
          <w:b/>
          <w:sz w:val="24"/>
          <w:szCs w:val="24"/>
        </w:rPr>
        <w:t>2</w:t>
      </w:r>
    </w:p>
    <w:p w:rsidR="00B715D8" w:rsidRPr="0072101A" w:rsidP="00B715D8">
      <w:pPr>
        <w:bidi w:val="0"/>
        <w:jc w:val="center"/>
        <w:rPr>
          <w:rFonts w:ascii="Times New Roman" w:hAnsi="Times New Roman"/>
          <w:b/>
          <w:sz w:val="24"/>
          <w:szCs w:val="24"/>
        </w:rPr>
      </w:pPr>
      <w:r w:rsidRPr="0072101A">
        <w:rPr>
          <w:rFonts w:ascii="Times New Roman" w:hAnsi="Times New Roman"/>
          <w:b/>
          <w:sz w:val="24"/>
          <w:szCs w:val="24"/>
        </w:rPr>
        <w:t>Súhrnná účtovná závierka verejnej správy Slovenskej republiky</w:t>
      </w:r>
      <w:r w:rsidRPr="0072101A" w:rsidR="004777AB">
        <w:rPr>
          <w:rFonts w:ascii="Times New Roman" w:hAnsi="Times New Roman"/>
          <w:b/>
          <w:sz w:val="24"/>
          <w:szCs w:val="24"/>
        </w:rPr>
        <w:t xml:space="preserve"> za rok 201</w:t>
      </w:r>
      <w:r w:rsidR="00E1754C">
        <w:rPr>
          <w:rFonts w:ascii="Times New Roman" w:hAnsi="Times New Roman"/>
          <w:b/>
          <w:sz w:val="24"/>
          <w:szCs w:val="24"/>
        </w:rPr>
        <w:t>5</w:t>
      </w:r>
    </w:p>
    <w:p w:rsidR="00B715D8" w:rsidRPr="0072101A" w:rsidP="00B715D8">
      <w:pPr>
        <w:bidi w:val="0"/>
        <w:jc w:val="center"/>
        <w:rPr>
          <w:rFonts w:ascii="Times New Roman" w:hAnsi="Times New Roman"/>
          <w:sz w:val="24"/>
          <w:szCs w:val="24"/>
        </w:rPr>
      </w:pPr>
    </w:p>
    <w:p w:rsidR="00755CCD" w:rsidRPr="0072101A" w:rsidP="00B715D8">
      <w:pPr>
        <w:bidi w:val="0"/>
        <w:jc w:val="center"/>
        <w:rPr>
          <w:rFonts w:ascii="Times New Roman" w:hAnsi="Times New Roman"/>
          <w:sz w:val="24"/>
          <w:szCs w:val="24"/>
        </w:rPr>
      </w:pPr>
    </w:p>
    <w:p w:rsidR="009257BD" w:rsidRPr="0072101A">
      <w:pPr>
        <w:bidi w:val="0"/>
        <w:sectPr w:rsidSect="003E7ED7">
          <w:headerReference w:type="default" r:id="rId6"/>
          <w:pgSz w:w="11906" w:h="16838"/>
          <w:pgMar w:top="1418" w:right="1134" w:bottom="1418" w:left="1134" w:header="709" w:footer="709" w:gutter="567"/>
          <w:lnNumType w:distance="0"/>
          <w:pgNumType w:start="1"/>
          <w:cols w:space="708"/>
          <w:noEndnote w:val="0"/>
          <w:titlePg/>
          <w:bidi w:val="0"/>
          <w:docGrid w:linePitch="360"/>
        </w:sectPr>
      </w:pPr>
    </w:p>
    <w:tbl>
      <w:tblPr>
        <w:tblStyle w:val="TableNormal"/>
        <w:tblpPr w:leftFromText="141" w:rightFromText="141" w:vertAnchor="text" w:horzAnchor="margin" w:tblpY="-12720"/>
        <w:tblOverlap w:val="never"/>
        <w:tblW w:w="11385" w:type="dxa"/>
        <w:tblLayout w:type="fixed"/>
        <w:tblCellMar>
          <w:left w:w="70" w:type="dxa"/>
          <w:right w:w="70" w:type="dxa"/>
        </w:tblCellMar>
        <w:tblLook w:val="00A0"/>
      </w:tblPr>
      <w:tblGrid>
        <w:gridCol w:w="336"/>
        <w:gridCol w:w="289"/>
        <w:gridCol w:w="320"/>
        <w:gridCol w:w="289"/>
        <w:gridCol w:w="328"/>
        <w:gridCol w:w="320"/>
        <w:gridCol w:w="289"/>
        <w:gridCol w:w="320"/>
        <w:gridCol w:w="320"/>
        <w:gridCol w:w="289"/>
        <w:gridCol w:w="320"/>
        <w:gridCol w:w="289"/>
        <w:gridCol w:w="360"/>
        <w:gridCol w:w="320"/>
        <w:gridCol w:w="288"/>
        <w:gridCol w:w="288"/>
        <w:gridCol w:w="327"/>
        <w:gridCol w:w="23"/>
        <w:gridCol w:w="265"/>
        <w:gridCol w:w="288"/>
        <w:gridCol w:w="298"/>
        <w:gridCol w:w="283"/>
        <w:gridCol w:w="51"/>
        <w:gridCol w:w="237"/>
        <w:gridCol w:w="54"/>
        <w:gridCol w:w="234"/>
        <w:gridCol w:w="54"/>
        <w:gridCol w:w="242"/>
        <w:gridCol w:w="54"/>
        <w:gridCol w:w="234"/>
        <w:gridCol w:w="54"/>
        <w:gridCol w:w="234"/>
        <w:gridCol w:w="54"/>
        <w:gridCol w:w="234"/>
        <w:gridCol w:w="54"/>
        <w:gridCol w:w="234"/>
        <w:gridCol w:w="54"/>
        <w:gridCol w:w="234"/>
        <w:gridCol w:w="54"/>
        <w:gridCol w:w="234"/>
        <w:gridCol w:w="54"/>
        <w:gridCol w:w="234"/>
        <w:gridCol w:w="54"/>
        <w:gridCol w:w="259"/>
        <w:gridCol w:w="1735"/>
      </w:tblGrid>
      <w:tr>
        <w:tblPrEx>
          <w:tblW w:w="11385" w:type="dxa"/>
          <w:tblLayout w:type="fixed"/>
          <w:tblCellMar>
            <w:left w:w="70" w:type="dxa"/>
            <w:right w:w="70" w:type="dxa"/>
          </w:tblCellMar>
          <w:tblLook w:val="00A0"/>
        </w:tblPrEx>
        <w:trPr>
          <w:gridAfter w:val="1"/>
          <w:wAfter w:w="1735" w:type="dxa"/>
          <w:trHeight w:val="255"/>
        </w:trPr>
        <w:tc>
          <w:tcPr>
            <w:tcW w:w="9337" w:type="dxa"/>
            <w:gridSpan w:val="4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p>
          <w:p w:rsidR="009257BD" w:rsidRPr="0072101A" w:rsidP="009257BD">
            <w:pPr>
              <w:bidi w:val="0"/>
              <w:spacing w:after="0" w:line="240" w:lineRule="auto"/>
              <w:suppressOverlap/>
              <w:jc w:val="center"/>
              <w:rPr>
                <w:rFonts w:ascii="Times New Roman" w:hAnsi="Times New Roman"/>
                <w:b/>
                <w:bCs/>
                <w:szCs w:val="22"/>
                <w:lang w:eastAsia="sk-SK"/>
              </w:rPr>
            </w:pPr>
          </w:p>
          <w:p w:rsidR="009257BD" w:rsidRPr="0072101A" w:rsidP="009257BD">
            <w:pPr>
              <w:bidi w:val="0"/>
              <w:spacing w:after="0" w:line="240" w:lineRule="auto"/>
              <w:suppressOverlap/>
              <w:jc w:val="center"/>
              <w:rPr>
                <w:rFonts w:ascii="Times New Roman" w:hAnsi="Times New Roman"/>
                <w:b/>
                <w:bCs/>
                <w:szCs w:val="22"/>
                <w:lang w:eastAsia="sk-SK"/>
              </w:rPr>
            </w:pPr>
          </w:p>
          <w:p w:rsidR="009257BD" w:rsidRPr="0072101A" w:rsidP="009257BD">
            <w:pPr>
              <w:bidi w:val="0"/>
              <w:spacing w:after="0" w:line="240" w:lineRule="auto"/>
              <w:suppressOverlap/>
              <w:jc w:val="center"/>
              <w:rPr>
                <w:rFonts w:ascii="Times New Roman" w:hAnsi="Times New Roman"/>
                <w:b/>
                <w:bCs/>
                <w:szCs w:val="22"/>
                <w:lang w:eastAsia="sk-SK"/>
              </w:rPr>
            </w:pPr>
          </w:p>
          <w:p w:rsidR="009257BD" w:rsidRPr="0072101A" w:rsidP="009257BD">
            <w:pPr>
              <w:bidi w:val="0"/>
              <w:spacing w:after="0" w:line="240" w:lineRule="auto"/>
              <w:suppressOverlap/>
              <w:jc w:val="center"/>
              <w:rPr>
                <w:rFonts w:ascii="Times New Roman" w:hAnsi="Times New Roman"/>
                <w:b/>
                <w:bCs/>
                <w:szCs w:val="22"/>
                <w:lang w:eastAsia="sk-SK"/>
              </w:rPr>
            </w:pPr>
          </w:p>
          <w:p w:rsidR="009257BD" w:rsidRPr="0072101A" w:rsidP="009257BD">
            <w:pPr>
              <w:bidi w:val="0"/>
              <w:spacing w:after="0" w:line="240" w:lineRule="auto"/>
              <w:suppressOverlap/>
              <w:jc w:val="center"/>
              <w:rPr>
                <w:rFonts w:ascii="Times New Roman" w:hAnsi="Times New Roman"/>
                <w:b/>
                <w:bCs/>
                <w:szCs w:val="22"/>
                <w:lang w:eastAsia="sk-SK"/>
              </w:rPr>
            </w:pPr>
          </w:p>
          <w:p w:rsidR="009257BD" w:rsidRPr="0072101A" w:rsidP="009257BD">
            <w:pPr>
              <w:bidi w:val="0"/>
              <w:spacing w:after="0" w:line="240" w:lineRule="auto"/>
              <w:suppressOverlap/>
              <w:jc w:val="center"/>
              <w:rPr>
                <w:rFonts w:ascii="Times New Roman" w:hAnsi="Times New Roman"/>
                <w:b/>
                <w:bCs/>
                <w:szCs w:val="22"/>
                <w:lang w:eastAsia="sk-SK"/>
              </w:rPr>
            </w:pPr>
          </w:p>
          <w:p w:rsidR="009257BD" w:rsidRPr="0072101A" w:rsidP="009257BD">
            <w:pPr>
              <w:bidi w:val="0"/>
              <w:spacing w:after="0" w:line="240" w:lineRule="auto"/>
              <w:suppressOverlap/>
              <w:jc w:val="center"/>
              <w:rPr>
                <w:rFonts w:ascii="Times New Roman" w:hAnsi="Times New Roman"/>
                <w:b/>
                <w:bCs/>
                <w:szCs w:val="22"/>
                <w:lang w:eastAsia="sk-SK"/>
              </w:rPr>
            </w:pPr>
          </w:p>
          <w:p w:rsidR="009257BD" w:rsidRPr="0072101A" w:rsidP="009257BD">
            <w:pPr>
              <w:bidi w:val="0"/>
              <w:spacing w:after="0" w:line="240" w:lineRule="auto"/>
              <w:suppressOverlap/>
              <w:jc w:val="center"/>
              <w:rPr>
                <w:rFonts w:ascii="Times New Roman" w:hAnsi="Times New Roman"/>
                <w:b/>
                <w:bCs/>
                <w:szCs w:val="22"/>
                <w:lang w:eastAsia="sk-SK"/>
              </w:rPr>
            </w:pPr>
          </w:p>
          <w:p w:rsidR="009257BD" w:rsidRPr="0072101A" w:rsidP="009257BD">
            <w:pPr>
              <w:bidi w:val="0"/>
              <w:spacing w:after="0" w:line="240" w:lineRule="auto"/>
              <w:suppressOverlap/>
              <w:jc w:val="center"/>
              <w:rPr>
                <w:rFonts w:ascii="Times New Roman" w:hAnsi="Times New Roman"/>
                <w:b/>
                <w:bCs/>
                <w:szCs w:val="22"/>
                <w:lang w:eastAsia="sk-SK"/>
              </w:rPr>
            </w:pPr>
          </w:p>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SÚHRNNÁ ÚČTOVNÁ ZÁVIERKA VEREJNEJ SPRÁVY</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25"/>
        </w:trPr>
        <w:tc>
          <w:tcPr>
            <w:tcW w:w="336"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5759" w:type="dxa"/>
            <w:gridSpan w:val="23"/>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p>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SLOVENSKEJ REPUBLIKY </w:t>
            </w:r>
          </w:p>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55"/>
        </w:trPr>
        <w:tc>
          <w:tcPr>
            <w:tcW w:w="9337" w:type="dxa"/>
            <w:gridSpan w:val="42"/>
            <w:tcBorders>
              <w:top w:val="nil"/>
              <w:left w:val="nil"/>
              <w:bottom w:val="nil"/>
              <w:right w:val="nil"/>
            </w:tcBorders>
            <w:shd w:val="clear" w:color="000000" w:fill="FFFFFF"/>
            <w:noWrap/>
            <w:textDirection w:val="lrTb"/>
            <w:vAlign w:val="bottom"/>
          </w:tcPr>
          <w:p w:rsidR="009257BD" w:rsidRPr="0072101A" w:rsidP="00E1754C">
            <w:pPr>
              <w:bidi w:val="0"/>
              <w:spacing w:after="0" w:line="240" w:lineRule="auto"/>
              <w:ind w:left="3828"/>
              <w:suppressOverlap/>
              <w:rPr>
                <w:rFonts w:ascii="Times New Roman" w:hAnsi="Times New Roman"/>
                <w:b/>
                <w:bCs/>
                <w:szCs w:val="22"/>
                <w:lang w:eastAsia="sk-SK"/>
              </w:rPr>
            </w:pPr>
            <w:r w:rsidRPr="0072101A">
              <w:rPr>
                <w:rFonts w:ascii="Times New Roman" w:hAnsi="Times New Roman"/>
                <w:b/>
                <w:bCs/>
                <w:szCs w:val="22"/>
                <w:lang w:eastAsia="sk-SK"/>
              </w:rPr>
              <w:t>k 31.12.201</w:t>
            </w:r>
            <w:r w:rsidR="00E1754C">
              <w:rPr>
                <w:rFonts w:ascii="Times New Roman" w:hAnsi="Times New Roman"/>
                <w:b/>
                <w:bCs/>
                <w:szCs w:val="22"/>
                <w:lang w:eastAsia="sk-SK"/>
              </w:rPr>
              <w:t>5</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25"/>
        </w:trPr>
        <w:tc>
          <w:tcPr>
            <w:tcW w:w="336"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7"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85"/>
        </w:trPr>
        <w:tc>
          <w:tcPr>
            <w:tcW w:w="336"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066" w:type="dxa"/>
            <w:gridSpan w:val="11"/>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xml:space="preserve">                 v tis. eur</w:t>
            </w:r>
          </w:p>
        </w:tc>
        <w:tc>
          <w:tcPr>
            <w:tcW w:w="1155" w:type="dxa"/>
            <w:gridSpan w:val="7"/>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25"/>
        </w:trPr>
        <w:tc>
          <w:tcPr>
            <w:tcW w:w="336"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327"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25"/>
        </w:trPr>
        <w:tc>
          <w:tcPr>
            <w:tcW w:w="3100" w:type="dxa"/>
            <w:gridSpan w:val="10"/>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Súhrnná účtovná závierka</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7"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25"/>
        </w:trPr>
        <w:tc>
          <w:tcPr>
            <w:tcW w:w="336" w:type="dxa"/>
            <w:tcBorders>
              <w:top w:val="single" w:sz="4" w:space="0" w:color="000000"/>
              <w:left w:val="single" w:sz="4" w:space="0" w:color="000000"/>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szCs w:val="22"/>
                <w:lang w:eastAsia="sk-SK"/>
              </w:rPr>
            </w:pPr>
            <w:r w:rsidRPr="0072101A">
              <w:rPr>
                <w:rFonts w:ascii="Times New Roman" w:hAnsi="Times New Roman"/>
                <w:szCs w:val="22"/>
                <w:lang w:eastAsia="sk-SK"/>
              </w:rPr>
              <w:t>x</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937" w:type="dxa"/>
            <w:gridSpan w:val="3"/>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riadna</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7"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162"/>
        </w:trPr>
        <w:tc>
          <w:tcPr>
            <w:tcW w:w="336"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7"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150"/>
        </w:trPr>
        <w:tc>
          <w:tcPr>
            <w:tcW w:w="336"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7"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xml:space="preserve">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150"/>
        </w:trPr>
        <w:tc>
          <w:tcPr>
            <w:tcW w:w="336"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7"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25"/>
        </w:trPr>
        <w:tc>
          <w:tcPr>
            <w:tcW w:w="336"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7"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55"/>
        </w:trPr>
        <w:tc>
          <w:tcPr>
            <w:tcW w:w="1562" w:type="dxa"/>
            <w:gridSpan w:val="5"/>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Za obdobie</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7"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55"/>
        </w:trPr>
        <w:tc>
          <w:tcPr>
            <w:tcW w:w="336"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937" w:type="dxa"/>
            <w:gridSpan w:val="3"/>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Mesiac</w:t>
            </w:r>
          </w:p>
        </w:tc>
        <w:tc>
          <w:tcPr>
            <w:tcW w:w="609"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Rok</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903" w:type="dxa"/>
            <w:gridSpan w:val="4"/>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Mesiac</w:t>
            </w:r>
          </w:p>
        </w:tc>
        <w:tc>
          <w:tcPr>
            <w:tcW w:w="58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Rok</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r>
      <w:tr>
        <w:tblPrEx>
          <w:tblW w:w="11385" w:type="dxa"/>
          <w:tblLayout w:type="fixed"/>
          <w:tblCellMar>
            <w:left w:w="70" w:type="dxa"/>
            <w:right w:w="70" w:type="dxa"/>
          </w:tblCellMar>
          <w:tblLook w:val="00A0"/>
        </w:tblPrEx>
        <w:trPr>
          <w:gridAfter w:val="1"/>
          <w:wAfter w:w="1735" w:type="dxa"/>
          <w:trHeight w:val="330"/>
        </w:trPr>
        <w:tc>
          <w:tcPr>
            <w:tcW w:w="625"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xml:space="preserve">od </w:t>
            </w:r>
          </w:p>
        </w:tc>
        <w:tc>
          <w:tcPr>
            <w:tcW w:w="320" w:type="dxa"/>
            <w:tcBorders>
              <w:top w:val="single" w:sz="4" w:space="0" w:color="000000"/>
              <w:left w:val="single" w:sz="4" w:space="0" w:color="000000"/>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0</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1</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single" w:sz="4" w:space="0" w:color="000000"/>
              <w:left w:val="single" w:sz="4" w:space="0" w:color="000000"/>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2</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0</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1</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00E1754C">
              <w:rPr>
                <w:rFonts w:ascii="Times New Roman" w:hAnsi="Times New Roman"/>
                <w:szCs w:val="22"/>
                <w:lang w:eastAsia="sk-SK"/>
              </w:rPr>
              <w:t>5</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60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xml:space="preserve">do </w:t>
            </w:r>
          </w:p>
        </w:tc>
        <w:tc>
          <w:tcPr>
            <w:tcW w:w="288" w:type="dxa"/>
            <w:tcBorders>
              <w:top w:val="single" w:sz="4" w:space="0" w:color="000000"/>
              <w:left w:val="single" w:sz="4" w:space="0" w:color="000000"/>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1</w:t>
            </w:r>
          </w:p>
        </w:tc>
        <w:tc>
          <w:tcPr>
            <w:tcW w:w="327"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2</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single" w:sz="4" w:space="0" w:color="000000"/>
              <w:left w:val="single" w:sz="4" w:space="0" w:color="000000"/>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2</w:t>
            </w:r>
          </w:p>
        </w:tc>
        <w:tc>
          <w:tcPr>
            <w:tcW w:w="29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0</w:t>
            </w:r>
          </w:p>
        </w:tc>
        <w:tc>
          <w:tcPr>
            <w:tcW w:w="283"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1</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00E1754C">
              <w:rPr>
                <w:rFonts w:ascii="Times New Roman" w:hAnsi="Times New Roman"/>
                <w:szCs w:val="22"/>
                <w:lang w:eastAsia="sk-SK"/>
              </w:rPr>
              <w:t>5</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25"/>
        </w:trPr>
        <w:tc>
          <w:tcPr>
            <w:tcW w:w="336"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7"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55"/>
        </w:trPr>
        <w:tc>
          <w:tcPr>
            <w:tcW w:w="625" w:type="dxa"/>
            <w:gridSpan w:val="2"/>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IČO</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7"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1733" w:type="dxa"/>
            <w:gridSpan w:val="9"/>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1728" w:type="dxa"/>
            <w:gridSpan w:val="1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55"/>
        </w:trPr>
        <w:tc>
          <w:tcPr>
            <w:tcW w:w="336" w:type="dxa"/>
            <w:tcBorders>
              <w:top w:val="nil"/>
              <w:left w:val="single" w:sz="4" w:space="0" w:color="000000"/>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0</w:t>
            </w:r>
          </w:p>
        </w:tc>
        <w:tc>
          <w:tcPr>
            <w:tcW w:w="289"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0</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1</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5</w:t>
            </w:r>
          </w:p>
        </w:tc>
        <w:tc>
          <w:tcPr>
            <w:tcW w:w="32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1</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7</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4</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2</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7"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576" w:type="dxa"/>
            <w:gridSpan w:val="4"/>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25"/>
        </w:trPr>
        <w:tc>
          <w:tcPr>
            <w:tcW w:w="336"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b/>
                <w:bCs/>
                <w:szCs w:val="22"/>
                <w:lang w:eastAsia="sk-SK"/>
              </w:rPr>
            </w:pPr>
            <w:r w:rsidRPr="0072101A">
              <w:rPr>
                <w:rFonts w:ascii="Times New Roman" w:hAnsi="Times New Roman"/>
                <w:b/>
                <w:bCs/>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7"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b/>
                <w:bCs/>
                <w:szCs w:val="22"/>
                <w:lang w:eastAsia="sk-SK"/>
              </w:rPr>
            </w:pPr>
            <w:r w:rsidRPr="0072101A">
              <w:rPr>
                <w:rFonts w:ascii="Times New Roman" w:hAnsi="Times New Roman"/>
                <w:b/>
                <w:bCs/>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55"/>
        </w:trPr>
        <w:tc>
          <w:tcPr>
            <w:tcW w:w="2811" w:type="dxa"/>
            <w:gridSpan w:val="9"/>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Názov účtovnej jednotky</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327"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55"/>
        </w:trPr>
        <w:tc>
          <w:tcPr>
            <w:tcW w:w="336" w:type="dxa"/>
            <w:tcBorders>
              <w:top w:val="single" w:sz="4" w:space="0" w:color="000000"/>
              <w:left w:val="single" w:sz="4" w:space="0" w:color="000000"/>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M</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i</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n</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i</w:t>
            </w:r>
          </w:p>
        </w:tc>
        <w:tc>
          <w:tcPr>
            <w:tcW w:w="32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s</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t</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e</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r</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s</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t</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v</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o</w:t>
            </w:r>
          </w:p>
        </w:tc>
        <w:tc>
          <w:tcPr>
            <w:tcW w:w="36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f</w:t>
            </w:r>
          </w:p>
        </w:tc>
        <w:tc>
          <w:tcPr>
            <w:tcW w:w="28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i</w:t>
            </w:r>
          </w:p>
        </w:tc>
        <w:tc>
          <w:tcPr>
            <w:tcW w:w="28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n</w:t>
            </w:r>
          </w:p>
        </w:tc>
        <w:tc>
          <w:tcPr>
            <w:tcW w:w="327"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a</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n</w:t>
            </w:r>
          </w:p>
        </w:tc>
        <w:tc>
          <w:tcPr>
            <w:tcW w:w="28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c</w:t>
            </w:r>
          </w:p>
        </w:tc>
        <w:tc>
          <w:tcPr>
            <w:tcW w:w="29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i</w:t>
            </w:r>
          </w:p>
        </w:tc>
        <w:tc>
          <w:tcPr>
            <w:tcW w:w="283"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í</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S</w:t>
            </w:r>
          </w:p>
        </w:tc>
        <w:tc>
          <w:tcPr>
            <w:tcW w:w="296"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R</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55"/>
        </w:trPr>
        <w:tc>
          <w:tcPr>
            <w:tcW w:w="336" w:type="dxa"/>
            <w:tcBorders>
              <w:top w:val="nil"/>
              <w:left w:val="single" w:sz="4" w:space="0" w:color="000000"/>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9"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320"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9"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328"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320"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9"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320"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320"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9"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320"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9"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360"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320"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8"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8"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327"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8" w:type="dxa"/>
            <w:gridSpan w:val="2"/>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8"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98"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3"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8" w:type="dxa"/>
            <w:gridSpan w:val="2"/>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8" w:type="dxa"/>
            <w:gridSpan w:val="2"/>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96" w:type="dxa"/>
            <w:gridSpan w:val="2"/>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8" w:type="dxa"/>
            <w:gridSpan w:val="2"/>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8" w:type="dxa"/>
            <w:gridSpan w:val="2"/>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8" w:type="dxa"/>
            <w:gridSpan w:val="2"/>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8" w:type="dxa"/>
            <w:gridSpan w:val="2"/>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8" w:type="dxa"/>
            <w:gridSpan w:val="2"/>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8" w:type="dxa"/>
            <w:gridSpan w:val="2"/>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8" w:type="dxa"/>
            <w:gridSpan w:val="2"/>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25"/>
        </w:trPr>
        <w:tc>
          <w:tcPr>
            <w:tcW w:w="336"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7"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25"/>
        </w:trPr>
        <w:tc>
          <w:tcPr>
            <w:tcW w:w="336"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7"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55"/>
        </w:trPr>
        <w:tc>
          <w:tcPr>
            <w:tcW w:w="9337" w:type="dxa"/>
            <w:gridSpan w:val="42"/>
            <w:tcBorders>
              <w:top w:val="nil"/>
              <w:left w:val="nil"/>
              <w:bottom w:val="nil"/>
              <w:right w:val="nil"/>
            </w:tcBorders>
            <w:shd w:val="clear" w:color="000000" w:fill="FFFFFF"/>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Sídlo účtovnej jednotky</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55"/>
        </w:trPr>
        <w:tc>
          <w:tcPr>
            <w:tcW w:w="1562" w:type="dxa"/>
            <w:gridSpan w:val="5"/>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Ulica a číslo</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50"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65"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55"/>
        </w:trPr>
        <w:tc>
          <w:tcPr>
            <w:tcW w:w="336" w:type="dxa"/>
            <w:tcBorders>
              <w:top w:val="single" w:sz="4" w:space="0" w:color="000000"/>
              <w:left w:val="single" w:sz="4" w:space="0" w:color="000000"/>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Š</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t</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e</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f</w:t>
            </w:r>
          </w:p>
        </w:tc>
        <w:tc>
          <w:tcPr>
            <w:tcW w:w="32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a</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n</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o</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v</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i</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č</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o</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v</w:t>
            </w:r>
          </w:p>
        </w:tc>
        <w:tc>
          <w:tcPr>
            <w:tcW w:w="36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a</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5</w:t>
            </w:r>
          </w:p>
        </w:tc>
        <w:tc>
          <w:tcPr>
            <w:tcW w:w="28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50"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65"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25"/>
        </w:trPr>
        <w:tc>
          <w:tcPr>
            <w:tcW w:w="336"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50"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65"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55"/>
        </w:trPr>
        <w:tc>
          <w:tcPr>
            <w:tcW w:w="945" w:type="dxa"/>
            <w:gridSpan w:val="3"/>
            <w:tcBorders>
              <w:top w:val="nil"/>
              <w:left w:val="nil"/>
              <w:bottom w:val="single" w:sz="4" w:space="0" w:color="000000"/>
              <w:right w:val="nil"/>
            </w:tcBorders>
            <w:shd w:val="clear" w:color="000000" w:fill="FFFFFF"/>
            <w:textDirection w:val="lrTb"/>
            <w:vAlign w:val="center"/>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PSČ</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 </w:t>
            </w:r>
          </w:p>
        </w:tc>
        <w:tc>
          <w:tcPr>
            <w:tcW w:w="3083" w:type="dxa"/>
            <w:gridSpan w:val="10"/>
            <w:tcBorders>
              <w:top w:val="nil"/>
              <w:left w:val="nil"/>
              <w:bottom w:val="single" w:sz="4" w:space="0" w:color="000000"/>
              <w:right w:val="nil"/>
            </w:tcBorders>
            <w:shd w:val="clear" w:color="000000" w:fill="FFFFFF"/>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Názov obce</w:t>
            </w:r>
          </w:p>
        </w:tc>
        <w:tc>
          <w:tcPr>
            <w:tcW w:w="350"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65"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55"/>
        </w:trPr>
        <w:tc>
          <w:tcPr>
            <w:tcW w:w="336" w:type="dxa"/>
            <w:tcBorders>
              <w:top w:val="nil"/>
              <w:left w:val="single" w:sz="4" w:space="0" w:color="000000"/>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8</w:t>
            </w:r>
          </w:p>
        </w:tc>
        <w:tc>
          <w:tcPr>
            <w:tcW w:w="289"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1</w:t>
            </w:r>
          </w:p>
        </w:tc>
        <w:tc>
          <w:tcPr>
            <w:tcW w:w="320"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7</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8</w:t>
            </w:r>
          </w:p>
        </w:tc>
        <w:tc>
          <w:tcPr>
            <w:tcW w:w="32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2</w:t>
            </w:r>
          </w:p>
        </w:tc>
        <w:tc>
          <w:tcPr>
            <w:tcW w:w="320" w:type="dxa"/>
            <w:tcBorders>
              <w:top w:val="nil"/>
              <w:left w:val="nil"/>
              <w:bottom w:val="nil"/>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B</w:t>
            </w:r>
          </w:p>
        </w:tc>
        <w:tc>
          <w:tcPr>
            <w:tcW w:w="320"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r</w:t>
            </w:r>
          </w:p>
        </w:tc>
        <w:tc>
          <w:tcPr>
            <w:tcW w:w="320"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a</w:t>
            </w:r>
          </w:p>
        </w:tc>
        <w:tc>
          <w:tcPr>
            <w:tcW w:w="289"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t</w:t>
            </w:r>
          </w:p>
        </w:tc>
        <w:tc>
          <w:tcPr>
            <w:tcW w:w="320"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i</w:t>
            </w:r>
          </w:p>
        </w:tc>
        <w:tc>
          <w:tcPr>
            <w:tcW w:w="289"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s</w:t>
            </w:r>
          </w:p>
        </w:tc>
        <w:tc>
          <w:tcPr>
            <w:tcW w:w="360"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l</w:t>
            </w:r>
          </w:p>
        </w:tc>
        <w:tc>
          <w:tcPr>
            <w:tcW w:w="320"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a</w:t>
            </w:r>
          </w:p>
        </w:tc>
        <w:tc>
          <w:tcPr>
            <w:tcW w:w="288"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v</w:t>
            </w:r>
          </w:p>
        </w:tc>
        <w:tc>
          <w:tcPr>
            <w:tcW w:w="288"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a</w:t>
            </w:r>
          </w:p>
        </w:tc>
        <w:tc>
          <w:tcPr>
            <w:tcW w:w="350"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65"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25"/>
        </w:trPr>
        <w:tc>
          <w:tcPr>
            <w:tcW w:w="336"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50"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65"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3"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gridAfter w:val="1"/>
          <w:wAfter w:w="1735" w:type="dxa"/>
          <w:trHeight w:val="255"/>
        </w:trPr>
        <w:tc>
          <w:tcPr>
            <w:tcW w:w="1562" w:type="dxa"/>
            <w:gridSpan w:val="5"/>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Telefónne číslo</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 </w:t>
            </w:r>
          </w:p>
        </w:tc>
        <w:tc>
          <w:tcPr>
            <w:tcW w:w="350"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 </w:t>
            </w:r>
          </w:p>
        </w:tc>
        <w:tc>
          <w:tcPr>
            <w:tcW w:w="1710" w:type="dxa"/>
            <w:gridSpan w:val="8"/>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Faxové číslo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13"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trHeight w:val="255"/>
        </w:trPr>
        <w:tc>
          <w:tcPr>
            <w:tcW w:w="336" w:type="dxa"/>
            <w:tcBorders>
              <w:top w:val="single" w:sz="4" w:space="0" w:color="000000"/>
              <w:left w:val="single" w:sz="4" w:space="0" w:color="000000"/>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0</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2</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5</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9</w:t>
            </w:r>
          </w:p>
        </w:tc>
        <w:tc>
          <w:tcPr>
            <w:tcW w:w="32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5</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8</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sidR="00210F7C">
              <w:rPr>
                <w:rFonts w:ascii="Times New Roman" w:hAnsi="Times New Roman"/>
                <w:szCs w:val="22"/>
                <w:lang w:eastAsia="sk-SK"/>
              </w:rPr>
              <w:t>1</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sidR="00210F7C">
              <w:rPr>
                <w:rFonts w:ascii="Times New Roman" w:hAnsi="Times New Roman"/>
                <w:szCs w:val="22"/>
                <w:lang w:eastAsia="sk-SK"/>
              </w:rPr>
              <w:t>1</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sidR="00210F7C">
              <w:rPr>
                <w:rFonts w:ascii="Times New Roman" w:hAnsi="Times New Roman"/>
                <w:szCs w:val="22"/>
                <w:lang w:eastAsia="sk-SK"/>
              </w:rPr>
              <w:t>1</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sidR="00210F7C">
              <w:rPr>
                <w:rFonts w:ascii="Times New Roman" w:hAnsi="Times New Roman"/>
                <w:szCs w:val="22"/>
                <w:lang w:eastAsia="sk-SK"/>
              </w:rPr>
              <w:t>1</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50"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65" w:type="dxa"/>
            <w:tcBorders>
              <w:top w:val="single" w:sz="4" w:space="0" w:color="000000"/>
              <w:left w:val="single" w:sz="4" w:space="0" w:color="000000"/>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0</w:t>
            </w:r>
          </w:p>
        </w:tc>
        <w:tc>
          <w:tcPr>
            <w:tcW w:w="28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szCs w:val="22"/>
                <w:lang w:eastAsia="sk-SK"/>
              </w:rPr>
            </w:pPr>
            <w:r w:rsidRPr="0072101A">
              <w:rPr>
                <w:rFonts w:ascii="Times New Roman" w:hAnsi="Times New Roman"/>
                <w:szCs w:val="22"/>
                <w:lang w:eastAsia="sk-SK"/>
              </w:rPr>
              <w:t>2</w:t>
            </w:r>
          </w:p>
        </w:tc>
        <w:tc>
          <w:tcPr>
            <w:tcW w:w="29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5</w:t>
            </w:r>
          </w:p>
        </w:tc>
        <w:tc>
          <w:tcPr>
            <w:tcW w:w="334"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9</w:t>
            </w:r>
          </w:p>
        </w:tc>
        <w:tc>
          <w:tcPr>
            <w:tcW w:w="291"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5</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8</w:t>
            </w:r>
          </w:p>
        </w:tc>
        <w:tc>
          <w:tcPr>
            <w:tcW w:w="296"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Pr>
                <w:rFonts w:ascii="Times New Roman" w:hAnsi="Times New Roman"/>
                <w:szCs w:val="22"/>
                <w:lang w:eastAsia="sk-SK"/>
              </w:rPr>
              <w:t>3</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sidR="00210F7C">
              <w:rPr>
                <w:rFonts w:ascii="Times New Roman" w:hAnsi="Times New Roman"/>
                <w:szCs w:val="22"/>
                <w:lang w:eastAsia="sk-SK"/>
              </w:rPr>
              <w:t>0</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sidR="00210F7C">
              <w:rPr>
                <w:rFonts w:ascii="Times New Roman" w:hAnsi="Times New Roman"/>
                <w:szCs w:val="22"/>
                <w:lang w:eastAsia="sk-SK"/>
              </w:rPr>
              <w:t>4</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right"/>
              <w:rPr>
                <w:rFonts w:ascii="Times New Roman" w:hAnsi="Times New Roman"/>
                <w:szCs w:val="22"/>
                <w:lang w:eastAsia="sk-SK"/>
              </w:rPr>
            </w:pPr>
            <w:r w:rsidRPr="0072101A" w:rsidR="00210F7C">
              <w:rPr>
                <w:rFonts w:ascii="Times New Roman" w:hAnsi="Times New Roman"/>
                <w:szCs w:val="22"/>
                <w:lang w:eastAsia="sk-SK"/>
              </w:rPr>
              <w:t>8</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1994"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trHeight w:val="225"/>
        </w:trPr>
        <w:tc>
          <w:tcPr>
            <w:tcW w:w="336"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50"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65"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34"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1"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1994"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trHeight w:val="255"/>
        </w:trPr>
        <w:tc>
          <w:tcPr>
            <w:tcW w:w="1882" w:type="dxa"/>
            <w:gridSpan w:val="6"/>
            <w:tcBorders>
              <w:top w:val="nil"/>
              <w:left w:val="nil"/>
              <w:bottom w:val="single" w:sz="4" w:space="0" w:color="000000"/>
              <w:right w:val="nil"/>
            </w:tcBorders>
            <w:shd w:val="clear" w:color="000000" w:fill="FFFFFF"/>
            <w:noWrap/>
            <w:textDirection w:val="lrTb"/>
            <w:vAlign w:val="center"/>
          </w:tcPr>
          <w:p w:rsidR="009257BD" w:rsidRPr="0072101A" w:rsidP="009257BD">
            <w:pPr>
              <w:bidi w:val="0"/>
              <w:spacing w:after="0" w:line="240" w:lineRule="auto"/>
              <w:suppressOverlap/>
              <w:rPr>
                <w:rFonts w:ascii="Times New Roman" w:hAnsi="Times New Roman"/>
                <w:b/>
                <w:szCs w:val="22"/>
                <w:lang w:eastAsia="sk-SK"/>
              </w:rPr>
            </w:pPr>
            <w:r w:rsidRPr="0072101A">
              <w:rPr>
                <w:rFonts w:ascii="Times New Roman" w:hAnsi="Times New Roman"/>
                <w:b/>
                <w:szCs w:val="22"/>
                <w:lang w:eastAsia="sk-SK"/>
              </w:rPr>
              <w:t xml:space="preserve">E-mailová adresa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50"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65"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34"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1"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1994"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trHeight w:val="255"/>
        </w:trPr>
        <w:tc>
          <w:tcPr>
            <w:tcW w:w="336" w:type="dxa"/>
            <w:tcBorders>
              <w:top w:val="nil"/>
              <w:left w:val="single" w:sz="4" w:space="0" w:color="000000"/>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p</w:t>
            </w:r>
          </w:p>
        </w:tc>
        <w:tc>
          <w:tcPr>
            <w:tcW w:w="289"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sidR="00962750">
              <w:rPr>
                <w:rFonts w:ascii="Times New Roman" w:hAnsi="Times New Roman"/>
                <w:szCs w:val="22"/>
                <w:lang w:eastAsia="sk-SK"/>
              </w:rPr>
              <w:t>o</w:t>
            </w:r>
          </w:p>
        </w:tc>
        <w:tc>
          <w:tcPr>
            <w:tcW w:w="320"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sidR="00962750">
              <w:rPr>
                <w:rFonts w:ascii="Times New Roman" w:hAnsi="Times New Roman"/>
                <w:szCs w:val="22"/>
                <w:lang w:eastAsia="sk-SK"/>
              </w:rPr>
              <w:t>d</w:t>
            </w:r>
          </w:p>
        </w:tc>
        <w:tc>
          <w:tcPr>
            <w:tcW w:w="289"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62750">
            <w:pPr>
              <w:bidi w:val="0"/>
              <w:spacing w:after="0" w:line="240" w:lineRule="auto"/>
              <w:suppressOverlap/>
              <w:rPr>
                <w:rFonts w:ascii="Times New Roman" w:hAnsi="Times New Roman"/>
                <w:szCs w:val="22"/>
                <w:lang w:eastAsia="sk-SK"/>
              </w:rPr>
            </w:pPr>
            <w:r w:rsidRPr="0072101A" w:rsidR="00962750">
              <w:rPr>
                <w:rFonts w:ascii="Times New Roman" w:hAnsi="Times New Roman"/>
                <w:szCs w:val="22"/>
                <w:lang w:eastAsia="sk-SK"/>
              </w:rPr>
              <w:t>a</w:t>
            </w:r>
          </w:p>
        </w:tc>
        <w:tc>
          <w:tcPr>
            <w:tcW w:w="328"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sidR="00962750">
              <w:rPr>
                <w:rFonts w:ascii="Times New Roman" w:hAnsi="Times New Roman"/>
                <w:szCs w:val="22"/>
                <w:lang w:eastAsia="sk-SK"/>
              </w:rPr>
              <w:t>t</w:t>
            </w:r>
          </w:p>
        </w:tc>
        <w:tc>
          <w:tcPr>
            <w:tcW w:w="320" w:type="dxa"/>
            <w:tcBorders>
              <w:top w:val="nil"/>
              <w:left w:val="nil"/>
              <w:bottom w:val="single" w:sz="4" w:space="0" w:color="000000"/>
              <w:right w:val="single" w:sz="4" w:space="0" w:color="000000"/>
            </w:tcBorders>
            <w:shd w:val="clear" w:color="000000" w:fill="FFFFFF"/>
            <w:noWrap/>
            <w:textDirection w:val="lrTb"/>
            <w:vAlign w:val="bottom"/>
          </w:tcPr>
          <w:p w:rsidR="009257BD" w:rsidRPr="0072101A" w:rsidP="00962750">
            <w:pPr>
              <w:bidi w:val="0"/>
              <w:spacing w:after="0" w:line="240" w:lineRule="auto"/>
              <w:suppressOverlap/>
              <w:rPr>
                <w:rFonts w:ascii="Times New Roman" w:hAnsi="Times New Roman"/>
                <w:szCs w:val="22"/>
                <w:lang w:eastAsia="sk-SK"/>
              </w:rPr>
            </w:pPr>
            <w:r w:rsidRPr="0072101A" w:rsidR="00962750">
              <w:rPr>
                <w:rFonts w:ascii="Times New Roman" w:hAnsi="Times New Roman"/>
                <w:szCs w:val="22"/>
                <w:lang w:eastAsia="sk-SK"/>
              </w:rPr>
              <w:t>e</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62750">
            <w:pPr>
              <w:bidi w:val="0"/>
              <w:spacing w:after="0" w:line="240" w:lineRule="auto"/>
              <w:suppressOverlap/>
              <w:rPr>
                <w:rFonts w:ascii="Times New Roman" w:hAnsi="Times New Roman"/>
                <w:szCs w:val="22"/>
                <w:lang w:eastAsia="sk-SK"/>
              </w:rPr>
            </w:pPr>
            <w:r w:rsidRPr="0072101A" w:rsidR="00962750">
              <w:rPr>
                <w:rFonts w:ascii="Times New Roman" w:hAnsi="Times New Roman"/>
                <w:szCs w:val="22"/>
                <w:lang w:eastAsia="sk-SK"/>
              </w:rPr>
              <w:t>l</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sidR="00962750">
              <w:rPr>
                <w:rFonts w:ascii="Times New Roman" w:hAnsi="Times New Roman"/>
                <w:szCs w:val="22"/>
                <w:lang w:eastAsia="sk-SK"/>
              </w:rPr>
              <w:t>n</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a</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val="en-US" w:eastAsia="sk-SK"/>
              </w:rPr>
            </w:pPr>
            <w:r w:rsidRPr="0072101A" w:rsidR="00962750">
              <w:rPr>
                <w:rFonts w:ascii="Times New Roman" w:hAnsi="Times New Roman"/>
                <w:szCs w:val="22"/>
                <w:lang w:val="en-US" w:eastAsia="sk-SK"/>
              </w:rPr>
              <w:t>@</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sidR="00962750">
              <w:rPr>
                <w:rFonts w:ascii="Times New Roman" w:hAnsi="Times New Roman"/>
                <w:szCs w:val="22"/>
                <w:lang w:eastAsia="sk-SK"/>
              </w:rPr>
              <w:t>m</w:t>
            </w:r>
          </w:p>
        </w:tc>
        <w:tc>
          <w:tcPr>
            <w:tcW w:w="289"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sidR="00962750">
              <w:rPr>
                <w:rFonts w:ascii="Times New Roman" w:hAnsi="Times New Roman"/>
                <w:szCs w:val="22"/>
                <w:lang w:eastAsia="sk-SK"/>
              </w:rPr>
              <w:t>f</w:t>
            </w:r>
          </w:p>
        </w:tc>
        <w:tc>
          <w:tcPr>
            <w:tcW w:w="36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sidR="00962750">
              <w:rPr>
                <w:rFonts w:ascii="Times New Roman" w:hAnsi="Times New Roman"/>
                <w:szCs w:val="22"/>
                <w:lang w:eastAsia="sk-SK"/>
              </w:rPr>
              <w:t>s</w:t>
            </w:r>
          </w:p>
        </w:tc>
        <w:tc>
          <w:tcPr>
            <w:tcW w:w="320"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sidR="00962750">
              <w:rPr>
                <w:rFonts w:ascii="Times New Roman" w:hAnsi="Times New Roman"/>
                <w:szCs w:val="22"/>
                <w:lang w:eastAsia="sk-SK"/>
              </w:rPr>
              <w:t>r</w:t>
            </w:r>
          </w:p>
        </w:tc>
        <w:tc>
          <w:tcPr>
            <w:tcW w:w="28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62750">
            <w:pPr>
              <w:bidi w:val="0"/>
              <w:spacing w:after="0" w:line="240" w:lineRule="auto"/>
              <w:suppressOverlap/>
              <w:rPr>
                <w:rFonts w:ascii="Times New Roman" w:hAnsi="Times New Roman"/>
                <w:szCs w:val="22"/>
                <w:lang w:eastAsia="sk-SK"/>
              </w:rPr>
            </w:pPr>
            <w:r w:rsidRPr="0072101A" w:rsidR="00962750">
              <w:rPr>
                <w:rFonts w:ascii="Times New Roman" w:hAnsi="Times New Roman"/>
                <w:szCs w:val="22"/>
                <w:lang w:eastAsia="sk-SK"/>
              </w:rPr>
              <w:t>.</w:t>
            </w:r>
          </w:p>
        </w:tc>
        <w:tc>
          <w:tcPr>
            <w:tcW w:w="28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s</w:t>
            </w:r>
          </w:p>
        </w:tc>
        <w:tc>
          <w:tcPr>
            <w:tcW w:w="350"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sidR="00962750">
              <w:rPr>
                <w:rFonts w:ascii="Times New Roman" w:hAnsi="Times New Roman"/>
                <w:szCs w:val="22"/>
                <w:lang w:eastAsia="sk-SK"/>
              </w:rPr>
              <w:t>k</w:t>
            </w:r>
          </w:p>
        </w:tc>
        <w:tc>
          <w:tcPr>
            <w:tcW w:w="265"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9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334"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1"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1994"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trHeight w:val="225"/>
        </w:trPr>
        <w:tc>
          <w:tcPr>
            <w:tcW w:w="336"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8"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9"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60"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20"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50" w:type="dxa"/>
            <w:gridSpan w:val="2"/>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65"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8" w:type="dxa"/>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334" w:type="dxa"/>
            <w:gridSpan w:val="2"/>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1" w:type="dxa"/>
            <w:gridSpan w:val="2"/>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6" w:type="dxa"/>
            <w:gridSpan w:val="2"/>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il"/>
              <w:left w:val="nil"/>
              <w:bottom w:val="single" w:sz="4" w:space="0" w:color="000000"/>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1994"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trHeight w:val="270"/>
        </w:trPr>
        <w:tc>
          <w:tcPr>
            <w:tcW w:w="5315" w:type="dxa"/>
            <w:gridSpan w:val="18"/>
            <w:tcBorders>
              <w:top w:val="single" w:sz="4" w:space="0" w:color="000000"/>
              <w:left w:val="single" w:sz="4" w:space="0" w:color="000000"/>
              <w:bottom w:val="none" w:sz="0" w:space="0" w:color="auto"/>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p>
        </w:tc>
        <w:tc>
          <w:tcPr>
            <w:tcW w:w="4076" w:type="dxa"/>
            <w:gridSpan w:val="25"/>
            <w:tcBorders>
              <w:top w:val="single" w:sz="4" w:space="0" w:color="000000"/>
              <w:left w:val="nil"/>
              <w:bottom w:val="none" w:sz="0" w:space="0" w:color="auto"/>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1994"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r>
      <w:tr>
        <w:tblPrEx>
          <w:tblW w:w="11385" w:type="dxa"/>
          <w:tblLayout w:type="fixed"/>
          <w:tblCellMar>
            <w:left w:w="70" w:type="dxa"/>
            <w:right w:w="70" w:type="dxa"/>
          </w:tblCellMar>
          <w:tblLook w:val="00A0"/>
        </w:tblPrEx>
        <w:trPr>
          <w:trHeight w:val="270"/>
        </w:trPr>
        <w:tc>
          <w:tcPr>
            <w:tcW w:w="5315" w:type="dxa"/>
            <w:gridSpan w:val="18"/>
            <w:tcBorders>
              <w:top w:val="none" w:sz="0" w:space="0" w:color="auto"/>
              <w:left w:val="single" w:sz="4" w:space="0" w:color="000000"/>
              <w:bottom w:val="none" w:sz="0" w:space="0" w:color="auto"/>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bCs/>
                <w:szCs w:val="22"/>
                <w:lang w:eastAsia="sk-SK"/>
              </w:rPr>
              <w:t>Zostavená dňa:</w:t>
            </w:r>
          </w:p>
        </w:tc>
        <w:tc>
          <w:tcPr>
            <w:tcW w:w="265" w:type="dxa"/>
            <w:tcBorders>
              <w:top w:val="none" w:sz="0" w:space="0" w:color="auto"/>
              <w:left w:val="nil"/>
              <w:bottom w:val="none" w:sz="0" w:space="0" w:color="auto"/>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288" w:type="dxa"/>
            <w:tcBorders>
              <w:top w:val="single" w:sz="4" w:space="0" w:color="000000"/>
              <w:left w:val="single" w:sz="4" w:space="0" w:color="000000"/>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00F4247E">
              <w:rPr>
                <w:rFonts w:ascii="Times New Roman" w:hAnsi="Times New Roman"/>
                <w:szCs w:val="22"/>
                <w:lang w:eastAsia="sk-SK"/>
              </w:rPr>
              <w:t>3</w:t>
            </w:r>
          </w:p>
        </w:tc>
        <w:tc>
          <w:tcPr>
            <w:tcW w:w="298" w:type="dxa"/>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00F4247E">
              <w:rPr>
                <w:rFonts w:ascii="Times New Roman" w:hAnsi="Times New Roman"/>
                <w:szCs w:val="22"/>
                <w:lang w:eastAsia="sk-SK"/>
              </w:rPr>
              <w:t>0</w:t>
            </w:r>
          </w:p>
        </w:tc>
        <w:tc>
          <w:tcPr>
            <w:tcW w:w="334" w:type="dxa"/>
            <w:gridSpan w:val="2"/>
            <w:tcBorders>
              <w:top w:val="none" w:sz="0" w:space="0" w:color="auto"/>
              <w:left w:val="single" w:sz="4" w:space="0" w:color="000000"/>
              <w:bottom w:val="none" w:sz="0" w:space="0" w:color="auto"/>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91"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jc w:val="center"/>
              <w:rPr>
                <w:rFonts w:ascii="Times New Roman" w:hAnsi="Times New Roman"/>
                <w:szCs w:val="22"/>
                <w:lang w:eastAsia="sk-SK"/>
              </w:rPr>
            </w:pPr>
            <w:r w:rsidR="00F4247E">
              <w:rPr>
                <w:rFonts w:ascii="Times New Roman" w:hAnsi="Times New Roman"/>
                <w:szCs w:val="22"/>
                <w:lang w:eastAsia="sk-SK"/>
              </w:rPr>
              <w:t>0</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00F4247E">
              <w:rPr>
                <w:rFonts w:ascii="Times New Roman" w:hAnsi="Times New Roman"/>
                <w:szCs w:val="22"/>
                <w:lang w:eastAsia="sk-SK"/>
              </w:rPr>
              <w:t>6</w:t>
            </w:r>
          </w:p>
        </w:tc>
        <w:tc>
          <w:tcPr>
            <w:tcW w:w="296" w:type="dxa"/>
            <w:gridSpan w:val="2"/>
            <w:tcBorders>
              <w:top w:val="none" w:sz="0" w:space="0" w:color="auto"/>
              <w:left w:val="single" w:sz="4" w:space="0" w:color="000000"/>
              <w:bottom w:val="none" w:sz="0" w:space="0" w:color="auto"/>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single" w:sz="4" w:space="0" w:color="000000"/>
              <w:left w:val="nil"/>
              <w:bottom w:val="single" w:sz="4" w:space="0" w:color="000000"/>
              <w:right w:val="single" w:sz="4" w:space="0" w:color="000000"/>
            </w:tcBorders>
            <w:shd w:val="clear" w:color="000000" w:fill="FFFFFF"/>
            <w:noWrap/>
            <w:textDirection w:val="lrTb"/>
            <w:vAlign w:val="bottom"/>
          </w:tcPr>
          <w:p w:rsidR="009257BD" w:rsidRPr="0072101A" w:rsidP="00F4247E">
            <w:pPr>
              <w:bidi w:val="0"/>
              <w:spacing w:after="0" w:line="240" w:lineRule="auto"/>
              <w:suppressOverlap/>
              <w:rPr>
                <w:rFonts w:ascii="Times New Roman" w:hAnsi="Times New Roman"/>
                <w:szCs w:val="22"/>
                <w:lang w:eastAsia="sk-SK"/>
              </w:rPr>
            </w:pPr>
            <w:r w:rsidR="00F4247E">
              <w:rPr>
                <w:rFonts w:ascii="Times New Roman" w:hAnsi="Times New Roman"/>
                <w:szCs w:val="22"/>
                <w:lang w:eastAsia="sk-SK"/>
              </w:rPr>
              <w:t>2</w:t>
            </w:r>
          </w:p>
        </w:tc>
        <w:tc>
          <w:tcPr>
            <w:tcW w:w="288" w:type="dxa"/>
            <w:gridSpan w:val="2"/>
            <w:tcBorders>
              <w:top w:val="single" w:sz="4" w:space="0" w:color="000000"/>
              <w:left w:val="nil"/>
              <w:bottom w:val="single" w:sz="4" w:space="0" w:color="000000"/>
              <w:right w:val="single" w:sz="4" w:space="0" w:color="auto"/>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00F4247E">
              <w:rPr>
                <w:rFonts w:ascii="Times New Roman" w:hAnsi="Times New Roman"/>
                <w:szCs w:val="22"/>
                <w:lang w:eastAsia="sk-SK"/>
              </w:rPr>
              <w:t>0</w:t>
            </w:r>
          </w:p>
        </w:tc>
        <w:tc>
          <w:tcPr>
            <w:tcW w:w="288" w:type="dxa"/>
            <w:gridSpan w:val="2"/>
            <w:tcBorders>
              <w:top w:val="single" w:sz="4" w:space="0" w:color="auto"/>
              <w:left w:val="single" w:sz="4" w:space="0" w:color="auto"/>
              <w:bottom w:val="single" w:sz="4" w:space="0" w:color="auto"/>
              <w:right w:val="single" w:sz="4" w:space="0" w:color="000000"/>
            </w:tcBorders>
            <w:shd w:val="clear" w:color="000000" w:fill="FFFFFF"/>
            <w:noWrap/>
            <w:textDirection w:val="lrTb"/>
            <w:vAlign w:val="bottom"/>
          </w:tcPr>
          <w:p w:rsidR="009257BD" w:rsidRPr="0072101A" w:rsidP="00F4247E">
            <w:pPr>
              <w:bidi w:val="0"/>
              <w:spacing w:after="0" w:line="240" w:lineRule="auto"/>
              <w:suppressOverlap/>
              <w:rPr>
                <w:rFonts w:ascii="Times New Roman" w:hAnsi="Times New Roman"/>
                <w:szCs w:val="22"/>
                <w:lang w:eastAsia="sk-SK"/>
              </w:rPr>
            </w:pPr>
            <w:r w:rsidR="00F4247E">
              <w:rPr>
                <w:rFonts w:ascii="Times New Roman" w:hAnsi="Times New Roman"/>
                <w:szCs w:val="22"/>
                <w:lang w:eastAsia="sk-SK"/>
              </w:rPr>
              <w:t>1</w:t>
            </w:r>
          </w:p>
        </w:tc>
        <w:tc>
          <w:tcPr>
            <w:tcW w:w="288" w:type="dxa"/>
            <w:gridSpan w:val="2"/>
            <w:tcBorders>
              <w:top w:val="single" w:sz="4" w:space="0" w:color="auto"/>
              <w:left w:val="nil"/>
              <w:bottom w:val="single" w:sz="4" w:space="0" w:color="auto"/>
              <w:right w:val="single" w:sz="4" w:space="0" w:color="auto"/>
            </w:tcBorders>
            <w:shd w:val="clear" w:color="000000" w:fill="FFFFFF"/>
            <w:noWrap/>
            <w:textDirection w:val="lrTb"/>
            <w:vAlign w:val="bottom"/>
          </w:tcPr>
          <w:p w:rsidR="009257BD" w:rsidRPr="0072101A" w:rsidP="00F4247E">
            <w:pPr>
              <w:bidi w:val="0"/>
              <w:spacing w:after="0" w:line="240" w:lineRule="auto"/>
              <w:suppressOverlap/>
              <w:rPr>
                <w:rFonts w:ascii="Times New Roman" w:hAnsi="Times New Roman"/>
                <w:szCs w:val="22"/>
                <w:lang w:eastAsia="sk-SK"/>
              </w:rPr>
            </w:pPr>
            <w:r w:rsidR="00D003C4">
              <w:rPr>
                <w:rFonts w:ascii="Times New Roman" w:hAnsi="Times New Roman"/>
                <w:szCs w:val="22"/>
                <w:lang w:eastAsia="sk-SK"/>
              </w:rPr>
              <w:t>6</w:t>
            </w:r>
          </w:p>
        </w:tc>
        <w:tc>
          <w:tcPr>
            <w:tcW w:w="288" w:type="dxa"/>
            <w:gridSpan w:val="2"/>
            <w:tcBorders>
              <w:top w:val="none" w:sz="0" w:space="0" w:color="auto"/>
              <w:left w:val="single" w:sz="4" w:space="0" w:color="auto"/>
              <w:bottom w:val="none" w:sz="0" w:space="0" w:color="auto"/>
              <w:right w:val="none" w:sz="0" w:space="0" w:color="auto"/>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one" w:sz="0" w:space="0" w:color="auto"/>
              <w:left w:val="none" w:sz="0" w:space="0" w:color="auto"/>
              <w:bottom w:val="none" w:sz="0" w:space="0" w:color="auto"/>
              <w:right w:val="none" w:sz="0" w:space="0" w:color="auto"/>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288" w:type="dxa"/>
            <w:gridSpan w:val="2"/>
            <w:tcBorders>
              <w:top w:val="none" w:sz="0" w:space="0" w:color="auto"/>
              <w:left w:val="none" w:sz="0" w:space="0" w:color="auto"/>
              <w:bottom w:val="none" w:sz="0" w:space="0" w:color="auto"/>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c>
          <w:tcPr>
            <w:tcW w:w="1994"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r w:rsidRPr="0072101A">
              <w:rPr>
                <w:rFonts w:ascii="Times New Roman" w:hAnsi="Times New Roman"/>
                <w:szCs w:val="22"/>
                <w:lang w:eastAsia="sk-SK"/>
              </w:rPr>
              <w:t> </w:t>
            </w:r>
          </w:p>
        </w:tc>
      </w:tr>
      <w:tr>
        <w:tblPrEx>
          <w:tblW w:w="11385" w:type="dxa"/>
          <w:tblLayout w:type="fixed"/>
          <w:tblCellMar>
            <w:left w:w="70" w:type="dxa"/>
            <w:right w:w="70" w:type="dxa"/>
          </w:tblCellMar>
          <w:tblLook w:val="00A0"/>
        </w:tblPrEx>
        <w:trPr>
          <w:trHeight w:val="270"/>
        </w:trPr>
        <w:tc>
          <w:tcPr>
            <w:tcW w:w="5315" w:type="dxa"/>
            <w:gridSpan w:val="18"/>
            <w:tcBorders>
              <w:top w:val="none" w:sz="0" w:space="0" w:color="auto"/>
              <w:left w:val="single" w:sz="4" w:space="0" w:color="000000"/>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b/>
                <w:bCs/>
                <w:szCs w:val="22"/>
                <w:lang w:eastAsia="sk-SK"/>
              </w:rPr>
            </w:pPr>
          </w:p>
        </w:tc>
        <w:tc>
          <w:tcPr>
            <w:tcW w:w="4076" w:type="dxa"/>
            <w:gridSpan w:val="25"/>
            <w:tcBorders>
              <w:top w:val="none" w:sz="0" w:space="0" w:color="auto"/>
              <w:left w:val="nil"/>
              <w:bottom w:val="single" w:sz="4" w:space="0" w:color="000000"/>
              <w:right w:val="single" w:sz="4" w:space="0" w:color="000000"/>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c>
          <w:tcPr>
            <w:tcW w:w="1994" w:type="dxa"/>
            <w:gridSpan w:val="2"/>
            <w:tcBorders>
              <w:top w:val="nil"/>
              <w:left w:val="nil"/>
              <w:bottom w:val="nil"/>
              <w:right w:val="nil"/>
            </w:tcBorders>
            <w:shd w:val="clear" w:color="000000" w:fill="FFFFFF"/>
            <w:noWrap/>
            <w:textDirection w:val="lrTb"/>
            <w:vAlign w:val="bottom"/>
          </w:tcPr>
          <w:p w:rsidR="009257BD" w:rsidRPr="0072101A" w:rsidP="009257BD">
            <w:pPr>
              <w:bidi w:val="0"/>
              <w:spacing w:after="0" w:line="240" w:lineRule="auto"/>
              <w:suppressOverlap/>
              <w:rPr>
                <w:rFonts w:ascii="Times New Roman" w:hAnsi="Times New Roman"/>
                <w:szCs w:val="22"/>
                <w:lang w:eastAsia="sk-SK"/>
              </w:rPr>
            </w:pPr>
          </w:p>
        </w:tc>
      </w:tr>
      <w:tr>
        <w:tblPrEx>
          <w:tblW w:w="11385" w:type="dxa"/>
          <w:tblLayout w:type="fixed"/>
          <w:tblCellMar>
            <w:left w:w="70" w:type="dxa"/>
            <w:right w:w="70" w:type="dxa"/>
          </w:tblCellMar>
          <w:tblLook w:val="00A0"/>
        </w:tblPrEx>
        <w:trPr>
          <w:gridAfter w:val="2"/>
          <w:wAfter w:w="1994" w:type="dxa"/>
          <w:trHeight w:val="991"/>
        </w:trPr>
        <w:tc>
          <w:tcPr>
            <w:tcW w:w="5315" w:type="dxa"/>
            <w:gridSpan w:val="18"/>
            <w:tcBorders>
              <w:top w:val="single" w:sz="4" w:space="0" w:color="000000"/>
              <w:left w:val="single" w:sz="4" w:space="0" w:color="000000"/>
              <w:bottom w:val="single" w:sz="4" w:space="0" w:color="000000"/>
              <w:right w:val="single" w:sz="4" w:space="0" w:color="000000"/>
            </w:tcBorders>
            <w:shd w:val="clear" w:color="000000" w:fill="FFFFFF"/>
            <w:textDirection w:val="lrTb"/>
            <w:vAlign w:val="top"/>
          </w:tcPr>
          <w:p w:rsidR="009257BD" w:rsidRPr="0072101A" w:rsidP="009257BD">
            <w:pPr>
              <w:bidi w:val="0"/>
              <w:spacing w:after="0" w:line="240" w:lineRule="auto"/>
              <w:suppressOverlap/>
              <w:rPr>
                <w:rFonts w:ascii="Times New Roman" w:hAnsi="Times New Roman"/>
                <w:b/>
                <w:bCs/>
                <w:szCs w:val="22"/>
                <w:lang w:eastAsia="sk-SK"/>
              </w:rPr>
            </w:pPr>
          </w:p>
          <w:p w:rsidR="009257BD" w:rsidRPr="0072101A" w:rsidP="009257BD">
            <w:pPr>
              <w:bidi w:val="0"/>
              <w:spacing w:after="0" w:line="240" w:lineRule="auto"/>
              <w:suppressOverlap/>
              <w:rPr>
                <w:rFonts w:ascii="Times New Roman" w:hAnsi="Times New Roman"/>
                <w:bCs/>
                <w:szCs w:val="22"/>
                <w:lang w:eastAsia="sk-SK"/>
              </w:rPr>
            </w:pPr>
            <w:r w:rsidRPr="0072101A">
              <w:rPr>
                <w:rFonts w:ascii="Times New Roman" w:hAnsi="Times New Roman"/>
                <w:bCs/>
                <w:szCs w:val="22"/>
                <w:lang w:eastAsia="sk-SK"/>
              </w:rPr>
              <w:t>Podpisový záznam štatutárneho orgánu alebo člena štatutárneho orgánu účtovnej jednotky:</w:t>
            </w:r>
          </w:p>
          <w:p w:rsidR="009257BD" w:rsidRPr="0072101A" w:rsidP="009257BD">
            <w:pPr>
              <w:bidi w:val="0"/>
              <w:spacing w:after="0" w:line="240" w:lineRule="auto"/>
              <w:suppressOverlap/>
              <w:rPr>
                <w:rFonts w:ascii="Times New Roman" w:hAnsi="Times New Roman"/>
                <w:b/>
                <w:bCs/>
                <w:szCs w:val="22"/>
                <w:lang w:eastAsia="sk-SK"/>
              </w:rPr>
            </w:pPr>
          </w:p>
        </w:tc>
        <w:tc>
          <w:tcPr>
            <w:tcW w:w="4076" w:type="dxa"/>
            <w:gridSpan w:val="25"/>
            <w:tcBorders>
              <w:top w:val="single" w:sz="4" w:space="0" w:color="000000"/>
              <w:left w:val="nil"/>
              <w:bottom w:val="single" w:sz="4" w:space="0" w:color="000000"/>
              <w:right w:val="single" w:sz="4" w:space="0" w:color="000000"/>
            </w:tcBorders>
            <w:shd w:val="clear" w:color="000000" w:fill="FFFFFF"/>
            <w:textDirection w:val="lrTb"/>
            <w:vAlign w:val="top"/>
          </w:tcPr>
          <w:p w:rsidR="009257BD" w:rsidRPr="0072101A" w:rsidP="009257BD">
            <w:pPr>
              <w:bidi w:val="0"/>
              <w:spacing w:after="0" w:line="240" w:lineRule="auto"/>
              <w:suppressOverlap/>
              <w:rPr>
                <w:rFonts w:ascii="Times New Roman" w:hAnsi="Times New Roman"/>
                <w:b/>
                <w:bCs/>
                <w:szCs w:val="22"/>
                <w:lang w:eastAsia="sk-SK"/>
              </w:rPr>
            </w:pPr>
          </w:p>
          <w:p w:rsidR="009257BD" w:rsidRPr="0072101A" w:rsidP="009257BD">
            <w:pPr>
              <w:bidi w:val="0"/>
              <w:spacing w:after="0" w:line="240" w:lineRule="auto"/>
              <w:suppressOverlap/>
              <w:rPr>
                <w:rFonts w:ascii="Times New Roman" w:hAnsi="Times New Roman"/>
                <w:b/>
                <w:bCs/>
                <w:szCs w:val="22"/>
                <w:lang w:eastAsia="sk-SK"/>
              </w:rPr>
            </w:pPr>
            <w:r w:rsidRPr="0072101A">
              <w:rPr>
                <w:rFonts w:ascii="Times New Roman" w:hAnsi="Times New Roman"/>
                <w:b/>
                <w:bCs/>
                <w:szCs w:val="22"/>
                <w:lang w:eastAsia="sk-SK"/>
              </w:rPr>
              <w:t> </w:t>
            </w:r>
          </w:p>
          <w:p w:rsidR="009257BD" w:rsidRPr="0072101A" w:rsidP="009257BD">
            <w:pPr>
              <w:bidi w:val="0"/>
              <w:spacing w:after="0" w:line="240" w:lineRule="auto"/>
              <w:suppressOverlap/>
              <w:rPr>
                <w:rFonts w:ascii="Times New Roman" w:hAnsi="Times New Roman"/>
                <w:b/>
                <w:bCs/>
                <w:szCs w:val="22"/>
                <w:lang w:eastAsia="sk-SK"/>
              </w:rPr>
            </w:pPr>
          </w:p>
        </w:tc>
      </w:tr>
    </w:tbl>
    <w:p w:rsidR="00226F6F" w:rsidRPr="0072101A">
      <w:pPr>
        <w:bidi w:val="0"/>
      </w:pPr>
    </w:p>
    <w:p w:rsidR="003E5CFD" w:rsidRPr="0072101A" w:rsidP="009257BD">
      <w:pPr>
        <w:framePr w:w="10340" w:x="1559"/>
        <w:bidi w:val="0"/>
        <w:spacing w:after="0" w:line="240" w:lineRule="auto"/>
        <w:ind w:right="711"/>
        <w:jc w:val="center"/>
        <w:rPr>
          <w:rFonts w:ascii="Times New Roman" w:hAnsi="Times New Roman"/>
          <w:b/>
          <w:bCs/>
          <w:color w:val="FFFFFF"/>
          <w:sz w:val="20"/>
          <w:szCs w:val="20"/>
          <w:lang w:eastAsia="sk-SK"/>
        </w:rPr>
        <w:sectPr w:rsidSect="003E7ED7">
          <w:pgSz w:w="11906" w:h="16838"/>
          <w:pgMar w:top="1418" w:right="1134" w:bottom="1418" w:left="1134" w:header="709" w:footer="709" w:gutter="567"/>
          <w:lnNumType w:distance="0"/>
          <w:pgNumType w:start="1"/>
          <w:cols w:space="708"/>
          <w:noEndnote w:val="0"/>
          <w:titlePg/>
          <w:bidi w:val="0"/>
          <w:docGrid w:linePitch="360"/>
        </w:sectPr>
      </w:pPr>
    </w:p>
    <w:tbl>
      <w:tblPr>
        <w:tblStyle w:val="TableNormal"/>
        <w:tblW w:w="8628" w:type="dxa"/>
        <w:jc w:val="center"/>
        <w:tblInd w:w="70" w:type="dxa"/>
        <w:tblCellMar>
          <w:left w:w="70" w:type="dxa"/>
          <w:right w:w="70" w:type="dxa"/>
        </w:tblCellMar>
        <w:tblLook w:val="00A0"/>
      </w:tblPr>
      <w:tblGrid>
        <w:gridCol w:w="960"/>
        <w:gridCol w:w="4427"/>
        <w:gridCol w:w="1500"/>
        <w:gridCol w:w="1741"/>
      </w:tblGrid>
      <w:tr>
        <w:tblPrEx>
          <w:tblW w:w="8628" w:type="dxa"/>
          <w:jc w:val="center"/>
          <w:tblInd w:w="70" w:type="dxa"/>
          <w:tblCellMar>
            <w:left w:w="70" w:type="dxa"/>
            <w:right w:w="70" w:type="dxa"/>
          </w:tblCellMar>
          <w:tblLook w:val="00A0"/>
        </w:tblPrEx>
        <w:trPr>
          <w:trHeight w:val="585"/>
          <w:jc w:val="center"/>
        </w:trPr>
        <w:tc>
          <w:tcPr>
            <w:tcW w:w="8628" w:type="dxa"/>
            <w:gridSpan w:val="4"/>
            <w:tcBorders>
              <w:top w:val="single" w:sz="4" w:space="0" w:color="auto"/>
              <w:left w:val="nil"/>
              <w:bottom w:val="single" w:sz="4" w:space="0" w:color="auto"/>
              <w:right w:val="nil"/>
            </w:tcBorders>
            <w:shd w:val="clear" w:color="000000" w:fill="000000"/>
            <w:textDirection w:val="lrTb"/>
            <w:vAlign w:val="center"/>
          </w:tcPr>
          <w:p w:rsidR="00B46D4D" w:rsidRPr="0072101A" w:rsidP="00E1754C">
            <w:pPr>
              <w:bidi w:val="0"/>
              <w:spacing w:after="0" w:line="240" w:lineRule="auto"/>
              <w:jc w:val="center"/>
              <w:rPr>
                <w:rFonts w:ascii="Times New Roman" w:hAnsi="Times New Roman"/>
                <w:b/>
                <w:bCs/>
                <w:color w:val="FFFFFF"/>
                <w:sz w:val="20"/>
                <w:szCs w:val="20"/>
                <w:lang w:eastAsia="sk-SK"/>
              </w:rPr>
            </w:pPr>
            <w:r w:rsidRPr="0072101A" w:rsidR="006143F5">
              <w:rPr>
                <w:rFonts w:ascii="Times New Roman" w:hAnsi="Times New Roman"/>
                <w:b/>
                <w:bCs/>
                <w:color w:val="FFFFFF"/>
                <w:sz w:val="20"/>
                <w:szCs w:val="20"/>
                <w:lang w:eastAsia="sk-SK"/>
              </w:rPr>
              <w:t>SÚVAHA</w:t>
            </w:r>
            <w:r w:rsidRPr="0072101A">
              <w:rPr>
                <w:rFonts w:ascii="Times New Roman" w:hAnsi="Times New Roman"/>
                <w:b/>
                <w:bCs/>
                <w:color w:val="FFFFFF"/>
                <w:sz w:val="20"/>
                <w:szCs w:val="20"/>
                <w:lang w:eastAsia="sk-SK"/>
              </w:rPr>
              <w:t xml:space="preserve"> </w:t>
            </w:r>
            <w:r w:rsidRPr="0072101A" w:rsidR="006143F5">
              <w:rPr>
                <w:rFonts w:ascii="Times New Roman" w:hAnsi="Times New Roman"/>
                <w:b/>
                <w:bCs/>
                <w:color w:val="FFFFFF"/>
                <w:sz w:val="20"/>
                <w:szCs w:val="20"/>
                <w:lang w:eastAsia="sk-SK"/>
              </w:rPr>
              <w:t>K</w:t>
            </w:r>
            <w:r w:rsidRPr="0072101A" w:rsidR="00314C0F">
              <w:rPr>
                <w:rFonts w:ascii="Times New Roman" w:hAnsi="Times New Roman"/>
                <w:b/>
                <w:bCs/>
                <w:color w:val="FFFFFF"/>
                <w:sz w:val="20"/>
                <w:szCs w:val="20"/>
                <w:lang w:eastAsia="sk-SK"/>
              </w:rPr>
              <w:t> </w:t>
            </w:r>
            <w:r w:rsidRPr="0072101A" w:rsidR="00DC5090">
              <w:rPr>
                <w:rFonts w:ascii="Times New Roman" w:hAnsi="Times New Roman"/>
                <w:b/>
                <w:bCs/>
                <w:color w:val="FFFFFF"/>
                <w:sz w:val="20"/>
                <w:szCs w:val="20"/>
                <w:lang w:eastAsia="sk-SK"/>
              </w:rPr>
              <w:t>31.12.201</w:t>
            </w:r>
            <w:r w:rsidR="00E1754C">
              <w:rPr>
                <w:rFonts w:ascii="Times New Roman" w:hAnsi="Times New Roman"/>
                <w:b/>
                <w:bCs/>
                <w:color w:val="FFFFFF"/>
                <w:sz w:val="20"/>
                <w:szCs w:val="20"/>
                <w:lang w:eastAsia="sk-SK"/>
              </w:rPr>
              <w:t>5</w:t>
            </w:r>
            <w:r w:rsidRPr="0072101A" w:rsidR="0072495B">
              <w:rPr>
                <w:rFonts w:ascii="Times New Roman" w:hAnsi="Times New Roman"/>
                <w:b/>
                <w:bCs/>
                <w:color w:val="FFFFFF"/>
                <w:sz w:val="20"/>
                <w:szCs w:val="20"/>
                <w:lang w:eastAsia="sk-SK"/>
              </w:rPr>
              <w:t xml:space="preserve"> (v tis. eur)</w:t>
            </w:r>
          </w:p>
        </w:tc>
      </w:tr>
      <w:tr>
        <w:tblPrEx>
          <w:tblW w:w="8628" w:type="dxa"/>
          <w:jc w:val="center"/>
          <w:tblInd w:w="70" w:type="dxa"/>
          <w:tblCellMar>
            <w:left w:w="70" w:type="dxa"/>
            <w:right w:w="70" w:type="dxa"/>
          </w:tblCellMar>
          <w:tblLook w:val="00A0"/>
        </w:tblPrEx>
        <w:trPr>
          <w:trHeight w:val="480"/>
          <w:jc w:val="center"/>
        </w:trPr>
        <w:tc>
          <w:tcPr>
            <w:tcW w:w="960" w:type="dxa"/>
            <w:tcBorders>
              <w:top w:val="nil"/>
              <w:left w:val="nil"/>
              <w:bottom w:val="single" w:sz="4" w:space="0" w:color="auto"/>
              <w:right w:val="nil"/>
            </w:tcBorders>
            <w:shd w:val="clear" w:color="000000" w:fill="BFBFBF"/>
            <w:noWrap/>
            <w:textDirection w:val="lrTb"/>
            <w:vAlign w:val="bottom"/>
          </w:tcPr>
          <w:p w:rsidR="00B46D4D" w:rsidRPr="0072101A" w:rsidP="00B46D4D">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 </w:t>
            </w:r>
          </w:p>
        </w:tc>
        <w:tc>
          <w:tcPr>
            <w:tcW w:w="4427" w:type="dxa"/>
            <w:tcBorders>
              <w:top w:val="nil"/>
              <w:left w:val="nil"/>
              <w:bottom w:val="single" w:sz="4" w:space="0" w:color="auto"/>
              <w:right w:val="nil"/>
            </w:tcBorders>
            <w:shd w:val="clear" w:color="000000" w:fill="BFBFBF"/>
            <w:noWrap/>
            <w:textDirection w:val="lrTb"/>
            <w:vAlign w:val="center"/>
          </w:tcPr>
          <w:p w:rsidR="00B46D4D" w:rsidRPr="0072101A" w:rsidP="00B46D4D">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Aktíva</w:t>
            </w:r>
          </w:p>
        </w:tc>
        <w:tc>
          <w:tcPr>
            <w:tcW w:w="1500" w:type="dxa"/>
            <w:tcBorders>
              <w:top w:val="nil"/>
              <w:left w:val="nil"/>
              <w:bottom w:val="single" w:sz="4" w:space="0" w:color="auto"/>
              <w:right w:val="nil"/>
            </w:tcBorders>
            <w:shd w:val="clear" w:color="000000" w:fill="BFBFBF"/>
            <w:noWrap/>
            <w:textDirection w:val="lrTb"/>
            <w:vAlign w:val="center"/>
          </w:tcPr>
          <w:p w:rsidR="00B46D4D" w:rsidRPr="0072101A" w:rsidP="00E1754C">
            <w:pPr>
              <w:bidi w:val="0"/>
              <w:spacing w:after="0" w:line="240" w:lineRule="auto"/>
              <w:jc w:val="center"/>
              <w:rPr>
                <w:rFonts w:ascii="Times New Roman" w:hAnsi="Times New Roman"/>
                <w:b/>
                <w:bCs/>
                <w:sz w:val="20"/>
                <w:szCs w:val="20"/>
                <w:lang w:eastAsia="sk-SK"/>
              </w:rPr>
            </w:pPr>
            <w:r w:rsidRPr="0072101A" w:rsidR="00DC5090">
              <w:rPr>
                <w:rFonts w:ascii="Times New Roman" w:hAnsi="Times New Roman"/>
                <w:b/>
                <w:bCs/>
                <w:sz w:val="20"/>
                <w:szCs w:val="20"/>
                <w:lang w:eastAsia="sk-SK"/>
              </w:rPr>
              <w:t xml:space="preserve">      </w:t>
            </w:r>
            <w:r w:rsidRPr="0072101A" w:rsidR="00601188">
              <w:rPr>
                <w:rFonts w:ascii="Times New Roman" w:hAnsi="Times New Roman"/>
                <w:b/>
                <w:bCs/>
                <w:sz w:val="20"/>
                <w:szCs w:val="20"/>
                <w:lang w:eastAsia="sk-SK"/>
              </w:rPr>
              <w:t>201</w:t>
            </w:r>
            <w:r w:rsidR="00E1754C">
              <w:rPr>
                <w:rFonts w:ascii="Times New Roman" w:hAnsi="Times New Roman"/>
                <w:b/>
                <w:bCs/>
                <w:sz w:val="20"/>
                <w:szCs w:val="20"/>
                <w:lang w:eastAsia="sk-SK"/>
              </w:rPr>
              <w:t>5</w:t>
            </w:r>
          </w:p>
        </w:tc>
        <w:tc>
          <w:tcPr>
            <w:tcW w:w="1741" w:type="dxa"/>
            <w:tcBorders>
              <w:top w:val="nil"/>
              <w:left w:val="nil"/>
              <w:bottom w:val="single" w:sz="4" w:space="0" w:color="auto"/>
              <w:right w:val="nil"/>
            </w:tcBorders>
            <w:shd w:val="clear" w:color="000000" w:fill="BFBFBF"/>
            <w:noWrap/>
            <w:textDirection w:val="lrTb"/>
            <w:vAlign w:val="center"/>
          </w:tcPr>
          <w:p w:rsidR="00B46D4D" w:rsidRPr="0072101A" w:rsidP="00B46D4D">
            <w:pPr>
              <w:bidi w:val="0"/>
              <w:spacing w:after="0" w:line="240" w:lineRule="auto"/>
              <w:jc w:val="center"/>
              <w:rPr>
                <w:rFonts w:ascii="Times New Roman" w:hAnsi="Times New Roman"/>
                <w:b/>
                <w:bCs/>
                <w:sz w:val="20"/>
                <w:szCs w:val="20"/>
                <w:lang w:eastAsia="sk-SK"/>
              </w:rPr>
            </w:pPr>
            <w:r w:rsidRPr="0072101A" w:rsidR="00DC5090">
              <w:rPr>
                <w:rFonts w:ascii="Times New Roman" w:hAnsi="Times New Roman"/>
                <w:b/>
                <w:bCs/>
                <w:sz w:val="20"/>
                <w:szCs w:val="20"/>
                <w:lang w:eastAsia="sk-SK"/>
              </w:rPr>
              <w:t xml:space="preserve">            </w:t>
            </w:r>
            <w:r w:rsidR="00E1754C">
              <w:rPr>
                <w:rFonts w:ascii="Times New Roman" w:hAnsi="Times New Roman"/>
                <w:b/>
                <w:bCs/>
                <w:sz w:val="20"/>
                <w:szCs w:val="20"/>
                <w:lang w:eastAsia="sk-SK"/>
              </w:rPr>
              <w:t>2014</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noWrap/>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MAJETOK</w:t>
            </w:r>
          </w:p>
        </w:tc>
        <w:tc>
          <w:tcPr>
            <w:tcW w:w="1500" w:type="dxa"/>
            <w:tcBorders>
              <w:top w:val="nil"/>
              <w:left w:val="nil"/>
              <w:bottom w:val="nil"/>
              <w:right w:val="nil"/>
            </w:tcBorders>
            <w:shd w:val="clear" w:color="000000" w:fill="FFFFFF"/>
            <w:textDirection w:val="lrTb"/>
            <w:vAlign w:val="center"/>
          </w:tcPr>
          <w:p w:rsidR="00E1754C" w:rsidRPr="0072101A" w:rsidP="00FE7564">
            <w:pPr>
              <w:bidi w:val="0"/>
              <w:spacing w:after="0" w:line="240" w:lineRule="auto"/>
              <w:jc w:val="right"/>
              <w:rPr>
                <w:rFonts w:ascii="Times New Roman" w:hAnsi="Times New Roman"/>
                <w:b/>
                <w:bCs/>
                <w:color w:val="000000"/>
                <w:sz w:val="20"/>
                <w:szCs w:val="20"/>
                <w:lang w:eastAsia="sk-SK"/>
              </w:rPr>
            </w:pPr>
            <w:r w:rsidR="00B8116C">
              <w:rPr>
                <w:rFonts w:ascii="Times New Roman" w:hAnsi="Times New Roman"/>
                <w:b/>
                <w:bCs/>
                <w:color w:val="000000"/>
                <w:sz w:val="20"/>
                <w:szCs w:val="20"/>
                <w:lang w:eastAsia="sk-SK"/>
              </w:rPr>
              <w:t>63 037 442</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60 836 159</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A.</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Neobežný majetok</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b/>
                <w:bCs/>
                <w:color w:val="000000"/>
                <w:sz w:val="20"/>
                <w:szCs w:val="20"/>
                <w:lang w:eastAsia="sk-SK"/>
              </w:rPr>
            </w:pPr>
            <w:r w:rsidR="00B8116C">
              <w:rPr>
                <w:rFonts w:ascii="Times New Roman" w:hAnsi="Times New Roman"/>
                <w:b/>
                <w:bCs/>
                <w:color w:val="000000"/>
                <w:sz w:val="20"/>
                <w:szCs w:val="20"/>
                <w:lang w:eastAsia="sk-SK"/>
              </w:rPr>
              <w:t>51 245 450</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49 305 610</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A.I.</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Dlhodobý nehmotný majetok</w:t>
            </w:r>
          </w:p>
        </w:tc>
        <w:tc>
          <w:tcPr>
            <w:tcW w:w="1500" w:type="dxa"/>
            <w:tcBorders>
              <w:top w:val="nil"/>
              <w:left w:val="nil"/>
              <w:bottom w:val="nil"/>
              <w:right w:val="nil"/>
            </w:tcBorders>
            <w:shd w:val="clear" w:color="000000" w:fill="FFFFFF"/>
            <w:textDirection w:val="lrTb"/>
            <w:vAlign w:val="center"/>
          </w:tcPr>
          <w:p w:rsidR="00E1754C" w:rsidRPr="0072101A" w:rsidP="00E057BB">
            <w:pPr>
              <w:bidi w:val="0"/>
              <w:spacing w:after="0" w:line="240" w:lineRule="auto"/>
              <w:jc w:val="right"/>
              <w:rPr>
                <w:rFonts w:ascii="Times New Roman" w:hAnsi="Times New Roman"/>
                <w:color w:val="000000"/>
                <w:sz w:val="20"/>
                <w:szCs w:val="20"/>
                <w:lang w:eastAsia="sk-SK"/>
              </w:rPr>
            </w:pPr>
            <w:r w:rsidR="00B8116C">
              <w:rPr>
                <w:rFonts w:ascii="Times New Roman" w:hAnsi="Times New Roman"/>
                <w:color w:val="000000"/>
                <w:sz w:val="20"/>
                <w:szCs w:val="20"/>
                <w:lang w:eastAsia="sk-SK"/>
              </w:rPr>
              <w:t>1 04</w:t>
            </w:r>
            <w:r w:rsidR="00E057BB">
              <w:rPr>
                <w:rFonts w:ascii="Times New Roman" w:hAnsi="Times New Roman"/>
                <w:color w:val="000000"/>
                <w:sz w:val="20"/>
                <w:szCs w:val="20"/>
                <w:lang w:eastAsia="sk-SK"/>
              </w:rPr>
              <w:t>4</w:t>
            </w:r>
            <w:r w:rsidR="00B8116C">
              <w:rPr>
                <w:rFonts w:ascii="Times New Roman" w:hAnsi="Times New Roman"/>
                <w:color w:val="000000"/>
                <w:sz w:val="20"/>
                <w:szCs w:val="20"/>
                <w:lang w:eastAsia="sk-SK"/>
              </w:rPr>
              <w:t xml:space="preserve"> </w:t>
            </w:r>
            <w:r w:rsidR="00E057BB">
              <w:rPr>
                <w:rFonts w:ascii="Times New Roman" w:hAnsi="Times New Roman"/>
                <w:color w:val="000000"/>
                <w:sz w:val="20"/>
                <w:szCs w:val="20"/>
                <w:lang w:eastAsia="sk-SK"/>
              </w:rPr>
              <w:t>127</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793 076</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A.II.</w:t>
            </w:r>
          </w:p>
        </w:tc>
        <w:tc>
          <w:tcPr>
            <w:tcW w:w="4427" w:type="dxa"/>
            <w:tcBorders>
              <w:top w:val="nil"/>
              <w:left w:val="nil"/>
              <w:bottom w:val="nil"/>
              <w:right w:val="nil"/>
            </w:tcBorders>
            <w:shd w:val="clear" w:color="000000" w:fill="FFFFFF"/>
            <w:noWrap/>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Dlhodobý hmotný majetok</w:t>
            </w:r>
          </w:p>
        </w:tc>
        <w:tc>
          <w:tcPr>
            <w:tcW w:w="1500" w:type="dxa"/>
            <w:tcBorders>
              <w:top w:val="nil"/>
              <w:left w:val="nil"/>
              <w:bottom w:val="nil"/>
              <w:right w:val="nil"/>
            </w:tcBorders>
            <w:shd w:val="clear" w:color="000000" w:fill="FFFFFF"/>
            <w:textDirection w:val="lrTb"/>
            <w:vAlign w:val="center"/>
          </w:tcPr>
          <w:p w:rsidR="00E1754C" w:rsidRPr="0072101A" w:rsidP="00E057BB">
            <w:pPr>
              <w:bidi w:val="0"/>
              <w:spacing w:after="0" w:line="240" w:lineRule="auto"/>
              <w:jc w:val="right"/>
              <w:rPr>
                <w:rFonts w:ascii="Times New Roman" w:hAnsi="Times New Roman"/>
                <w:color w:val="000000"/>
                <w:sz w:val="20"/>
                <w:szCs w:val="20"/>
                <w:lang w:eastAsia="sk-SK"/>
              </w:rPr>
            </w:pPr>
            <w:r w:rsidR="00B8116C">
              <w:rPr>
                <w:rFonts w:ascii="Times New Roman" w:hAnsi="Times New Roman"/>
                <w:color w:val="000000"/>
                <w:sz w:val="20"/>
                <w:szCs w:val="20"/>
                <w:lang w:eastAsia="sk-SK"/>
              </w:rPr>
              <w:t>42</w:t>
            </w:r>
            <w:r w:rsidR="00E057BB">
              <w:rPr>
                <w:rFonts w:ascii="Times New Roman" w:hAnsi="Times New Roman"/>
                <w:color w:val="000000"/>
                <w:sz w:val="20"/>
                <w:szCs w:val="20"/>
                <w:lang w:eastAsia="sk-SK"/>
              </w:rPr>
              <w:t> </w:t>
            </w:r>
            <w:r w:rsidR="00B8116C">
              <w:rPr>
                <w:rFonts w:ascii="Times New Roman" w:hAnsi="Times New Roman"/>
                <w:color w:val="000000"/>
                <w:sz w:val="20"/>
                <w:szCs w:val="20"/>
                <w:lang w:eastAsia="sk-SK"/>
              </w:rPr>
              <w:t>9</w:t>
            </w:r>
            <w:r w:rsidR="00E057BB">
              <w:rPr>
                <w:rFonts w:ascii="Times New Roman" w:hAnsi="Times New Roman"/>
                <w:color w:val="000000"/>
                <w:sz w:val="20"/>
                <w:szCs w:val="20"/>
                <w:lang w:eastAsia="sk-SK"/>
              </w:rPr>
              <w:t>60 181</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40 321 856</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A.III.</w:t>
            </w:r>
          </w:p>
        </w:tc>
        <w:tc>
          <w:tcPr>
            <w:tcW w:w="4427" w:type="dxa"/>
            <w:tcBorders>
              <w:top w:val="nil"/>
              <w:left w:val="nil"/>
              <w:bottom w:val="nil"/>
              <w:right w:val="nil"/>
            </w:tcBorders>
            <w:shd w:val="clear" w:color="000000" w:fill="FFFFFF"/>
            <w:noWrap/>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Dlhodobý finančný majetok</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B8116C">
              <w:rPr>
                <w:rFonts w:ascii="Times New Roman" w:hAnsi="Times New Roman"/>
                <w:color w:val="000000"/>
                <w:sz w:val="20"/>
                <w:szCs w:val="20"/>
                <w:lang w:eastAsia="sk-SK"/>
              </w:rPr>
              <w:t>7 241 142</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8 190 678</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B.</w:t>
            </w:r>
          </w:p>
        </w:tc>
        <w:tc>
          <w:tcPr>
            <w:tcW w:w="4427" w:type="dxa"/>
            <w:tcBorders>
              <w:top w:val="nil"/>
              <w:left w:val="nil"/>
              <w:bottom w:val="nil"/>
              <w:right w:val="nil"/>
            </w:tcBorders>
            <w:shd w:val="clear" w:color="000000" w:fill="FFFFFF"/>
            <w:noWrap/>
            <w:textDirection w:val="lrTb"/>
            <w:vAlign w:val="center"/>
          </w:tcPr>
          <w:p w:rsidR="00E1754C" w:rsidRPr="0072101A" w:rsidP="00B46D4D">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Obežný majetok</w:t>
            </w:r>
          </w:p>
        </w:tc>
        <w:tc>
          <w:tcPr>
            <w:tcW w:w="1500" w:type="dxa"/>
            <w:tcBorders>
              <w:top w:val="nil"/>
              <w:left w:val="nil"/>
              <w:bottom w:val="nil"/>
              <w:right w:val="nil"/>
            </w:tcBorders>
            <w:shd w:val="clear" w:color="000000" w:fill="FFFFFF"/>
            <w:textDirection w:val="lrTb"/>
            <w:vAlign w:val="center"/>
          </w:tcPr>
          <w:p w:rsidR="00E1754C" w:rsidRPr="0072101A" w:rsidP="00FE7564">
            <w:pPr>
              <w:bidi w:val="0"/>
              <w:spacing w:after="0" w:line="240" w:lineRule="auto"/>
              <w:jc w:val="right"/>
              <w:rPr>
                <w:rFonts w:ascii="Times New Roman" w:hAnsi="Times New Roman"/>
                <w:b/>
                <w:bCs/>
                <w:color w:val="000000"/>
                <w:sz w:val="20"/>
                <w:szCs w:val="20"/>
                <w:lang w:eastAsia="sk-SK"/>
              </w:rPr>
            </w:pPr>
            <w:r w:rsidR="00B8116C">
              <w:rPr>
                <w:rFonts w:ascii="Times New Roman" w:hAnsi="Times New Roman"/>
                <w:b/>
                <w:bCs/>
                <w:color w:val="000000"/>
                <w:sz w:val="20"/>
                <w:szCs w:val="20"/>
                <w:lang w:eastAsia="sk-SK"/>
              </w:rPr>
              <w:t>11 299 613</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10 994 741</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B.I.</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Zásoby</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B8116C">
              <w:rPr>
                <w:rFonts w:ascii="Times New Roman" w:hAnsi="Times New Roman"/>
                <w:color w:val="000000"/>
                <w:sz w:val="20"/>
                <w:szCs w:val="20"/>
                <w:lang w:eastAsia="sk-SK"/>
              </w:rPr>
              <w:t>1 982 082</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2 109 524</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noWrap/>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B.II.</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Zúčtovanie medzi subjektmi verejnej správy</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B8116C">
              <w:rPr>
                <w:rFonts w:ascii="Times New Roman" w:hAnsi="Times New Roman"/>
                <w:color w:val="000000"/>
                <w:sz w:val="20"/>
                <w:szCs w:val="20"/>
                <w:lang w:eastAsia="sk-SK"/>
              </w:rPr>
              <w:t>676 814</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954 414</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noWrap/>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B. III</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Pohľadávky</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B8116C">
              <w:rPr>
                <w:rFonts w:ascii="Times New Roman" w:hAnsi="Times New Roman"/>
                <w:color w:val="000000"/>
                <w:sz w:val="20"/>
                <w:szCs w:val="20"/>
                <w:lang w:eastAsia="sk-SK"/>
              </w:rPr>
              <w:t>6 060 966</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4 719 214</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noWrap/>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B.IV.</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Finančné účty a krátkodobý finančný majetok</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B8116C">
              <w:rPr>
                <w:rFonts w:ascii="Times New Roman" w:hAnsi="Times New Roman"/>
                <w:color w:val="000000"/>
                <w:sz w:val="20"/>
                <w:szCs w:val="20"/>
                <w:lang w:eastAsia="sk-SK"/>
              </w:rPr>
              <w:t>2 576 347</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3 208 316</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noWrap/>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B.V.</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Poskytnuté návratné finančné výpomoci</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B8116C">
              <w:rPr>
                <w:rFonts w:ascii="Times New Roman" w:hAnsi="Times New Roman"/>
                <w:color w:val="000000"/>
                <w:sz w:val="20"/>
                <w:szCs w:val="20"/>
                <w:lang w:eastAsia="sk-SK"/>
              </w:rPr>
              <w:t>3 404</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3 273</w:t>
            </w:r>
          </w:p>
        </w:tc>
      </w:tr>
      <w:tr>
        <w:tblPrEx>
          <w:tblW w:w="8628" w:type="dxa"/>
          <w:jc w:val="center"/>
          <w:tblInd w:w="70" w:type="dxa"/>
          <w:tblCellMar>
            <w:left w:w="70" w:type="dxa"/>
            <w:right w:w="70" w:type="dxa"/>
          </w:tblCellMar>
          <w:tblLook w:val="00A0"/>
        </w:tblPrEx>
        <w:trPr>
          <w:trHeight w:val="345"/>
          <w:jc w:val="center"/>
        </w:trPr>
        <w:tc>
          <w:tcPr>
            <w:tcW w:w="960" w:type="dxa"/>
            <w:tcBorders>
              <w:top w:val="nil"/>
              <w:left w:val="nil"/>
              <w:bottom w:val="single" w:sz="8" w:space="0" w:color="auto"/>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C.</w:t>
            </w:r>
          </w:p>
        </w:tc>
        <w:tc>
          <w:tcPr>
            <w:tcW w:w="4427" w:type="dxa"/>
            <w:tcBorders>
              <w:top w:val="nil"/>
              <w:left w:val="nil"/>
              <w:bottom w:val="single" w:sz="8" w:space="0" w:color="auto"/>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Časové rozlíšenie</w:t>
            </w:r>
          </w:p>
        </w:tc>
        <w:tc>
          <w:tcPr>
            <w:tcW w:w="1500" w:type="dxa"/>
            <w:tcBorders>
              <w:top w:val="nil"/>
              <w:left w:val="nil"/>
              <w:bottom w:val="single" w:sz="8" w:space="0" w:color="auto"/>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b/>
                <w:bCs/>
                <w:color w:val="000000"/>
                <w:sz w:val="20"/>
                <w:szCs w:val="20"/>
                <w:lang w:eastAsia="sk-SK"/>
              </w:rPr>
            </w:pPr>
            <w:r w:rsidR="00B8116C">
              <w:rPr>
                <w:rFonts w:ascii="Times New Roman" w:hAnsi="Times New Roman"/>
                <w:b/>
                <w:bCs/>
                <w:color w:val="000000"/>
                <w:sz w:val="20"/>
                <w:szCs w:val="20"/>
                <w:lang w:eastAsia="sk-SK"/>
              </w:rPr>
              <w:t>492 379</w:t>
            </w:r>
          </w:p>
        </w:tc>
        <w:tc>
          <w:tcPr>
            <w:tcW w:w="1741" w:type="dxa"/>
            <w:tcBorders>
              <w:top w:val="nil"/>
              <w:left w:val="nil"/>
              <w:bottom w:val="single" w:sz="8" w:space="0" w:color="auto"/>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535 808</w:t>
            </w:r>
          </w:p>
        </w:tc>
      </w:tr>
      <w:tr>
        <w:tblPrEx>
          <w:tblW w:w="8628" w:type="dxa"/>
          <w:jc w:val="center"/>
          <w:tblInd w:w="70" w:type="dxa"/>
          <w:tblCellMar>
            <w:left w:w="70" w:type="dxa"/>
            <w:right w:w="70" w:type="dxa"/>
          </w:tblCellMar>
          <w:tblLook w:val="00A0"/>
        </w:tblPrEx>
        <w:trPr>
          <w:trHeight w:val="480"/>
          <w:jc w:val="center"/>
        </w:trPr>
        <w:tc>
          <w:tcPr>
            <w:tcW w:w="960" w:type="dxa"/>
            <w:tcBorders>
              <w:top w:val="single" w:sz="4" w:space="0" w:color="auto"/>
              <w:left w:val="nil"/>
              <w:bottom w:val="single" w:sz="4" w:space="0" w:color="auto"/>
              <w:right w:val="nil"/>
            </w:tcBorders>
            <w:shd w:val="clear" w:color="000000" w:fill="BFBFBF"/>
            <w:noWrap/>
            <w:textDirection w:val="lrTb"/>
            <w:vAlign w:val="bottom"/>
          </w:tcPr>
          <w:p w:rsidR="00E1754C" w:rsidRPr="0072101A" w:rsidP="00B46D4D">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 </w:t>
            </w:r>
          </w:p>
        </w:tc>
        <w:tc>
          <w:tcPr>
            <w:tcW w:w="4427" w:type="dxa"/>
            <w:tcBorders>
              <w:top w:val="single" w:sz="4" w:space="0" w:color="auto"/>
              <w:left w:val="nil"/>
              <w:bottom w:val="single" w:sz="4" w:space="0" w:color="auto"/>
              <w:right w:val="nil"/>
            </w:tcBorders>
            <w:shd w:val="clear" w:color="000000" w:fill="BFBFBF"/>
            <w:noWrap/>
            <w:textDirection w:val="lrTb"/>
            <w:vAlign w:val="center"/>
          </w:tcPr>
          <w:p w:rsidR="00E1754C" w:rsidRPr="0072101A" w:rsidP="00B46D4D">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Pasíva</w:t>
            </w:r>
          </w:p>
        </w:tc>
        <w:tc>
          <w:tcPr>
            <w:tcW w:w="1500" w:type="dxa"/>
            <w:tcBorders>
              <w:top w:val="single" w:sz="4" w:space="0" w:color="auto"/>
              <w:left w:val="nil"/>
              <w:bottom w:val="single" w:sz="4" w:space="0" w:color="auto"/>
              <w:right w:val="nil"/>
            </w:tcBorders>
            <w:shd w:val="clear" w:color="000000" w:fill="BFBFBF"/>
            <w:noWrap/>
            <w:textDirection w:val="lrTb"/>
            <w:vAlign w:val="center"/>
          </w:tcPr>
          <w:p w:rsidR="00E1754C" w:rsidRPr="0072101A" w:rsidP="00E1754C">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201</w:t>
            </w:r>
            <w:r>
              <w:rPr>
                <w:rFonts w:ascii="Times New Roman" w:hAnsi="Times New Roman"/>
                <w:b/>
                <w:bCs/>
                <w:sz w:val="20"/>
                <w:szCs w:val="20"/>
                <w:lang w:eastAsia="sk-SK"/>
              </w:rPr>
              <w:t>5</w:t>
            </w:r>
          </w:p>
        </w:tc>
        <w:tc>
          <w:tcPr>
            <w:tcW w:w="1741" w:type="dxa"/>
            <w:tcBorders>
              <w:top w:val="single" w:sz="4" w:space="0" w:color="auto"/>
              <w:left w:val="nil"/>
              <w:bottom w:val="single" w:sz="4" w:space="0" w:color="auto"/>
              <w:right w:val="nil"/>
            </w:tcBorders>
            <w:shd w:val="clear" w:color="000000" w:fill="BFBFBF"/>
            <w:noWrap/>
            <w:textDirection w:val="lrTb"/>
            <w:vAlign w:val="center"/>
          </w:tcPr>
          <w:p w:rsidR="00E1754C" w:rsidRPr="0072101A" w:rsidP="00B46D4D">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w:t>
            </w:r>
            <w:r>
              <w:rPr>
                <w:rFonts w:ascii="Times New Roman" w:hAnsi="Times New Roman"/>
                <w:b/>
                <w:bCs/>
                <w:sz w:val="20"/>
                <w:szCs w:val="20"/>
                <w:lang w:eastAsia="sk-SK"/>
              </w:rPr>
              <w:t>2014</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noWrap/>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VLASTNÉ  IMANIE A ZÁVÄZKY</w:t>
            </w:r>
          </w:p>
        </w:tc>
        <w:tc>
          <w:tcPr>
            <w:tcW w:w="1500" w:type="dxa"/>
            <w:tcBorders>
              <w:top w:val="nil"/>
              <w:left w:val="nil"/>
              <w:bottom w:val="nil"/>
              <w:right w:val="nil"/>
            </w:tcBorders>
            <w:shd w:val="clear" w:color="000000" w:fill="FFFFFF"/>
            <w:textDirection w:val="lrTb"/>
            <w:vAlign w:val="center"/>
          </w:tcPr>
          <w:p w:rsidR="00E1754C" w:rsidRPr="0072101A" w:rsidP="00E2694A">
            <w:pPr>
              <w:bidi w:val="0"/>
              <w:spacing w:after="0" w:line="240" w:lineRule="auto"/>
              <w:jc w:val="right"/>
              <w:rPr>
                <w:rFonts w:ascii="Times New Roman" w:hAnsi="Times New Roman"/>
                <w:b/>
                <w:bCs/>
                <w:color w:val="000000"/>
                <w:sz w:val="20"/>
                <w:szCs w:val="20"/>
                <w:lang w:eastAsia="sk-SK"/>
              </w:rPr>
            </w:pPr>
            <w:r w:rsidR="00587A51">
              <w:rPr>
                <w:rFonts w:ascii="Times New Roman" w:hAnsi="Times New Roman"/>
                <w:b/>
                <w:bCs/>
                <w:color w:val="000000"/>
                <w:sz w:val="20"/>
                <w:szCs w:val="20"/>
                <w:lang w:eastAsia="sk-SK"/>
              </w:rPr>
              <w:t>63 037 442</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60 836 159</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noWrap/>
            <w:textDirection w:val="lrTb"/>
            <w:vAlign w:val="center"/>
          </w:tcPr>
          <w:p w:rsidR="00E1754C" w:rsidRPr="0072101A" w:rsidP="00B46D4D">
            <w:pPr>
              <w:bidi w:val="0"/>
              <w:spacing w:after="0" w:line="240" w:lineRule="auto"/>
              <w:jc w:val="center"/>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A.</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Vlastné imanie</w:t>
            </w:r>
          </w:p>
        </w:tc>
        <w:tc>
          <w:tcPr>
            <w:tcW w:w="1500" w:type="dxa"/>
            <w:tcBorders>
              <w:top w:val="nil"/>
              <w:left w:val="nil"/>
              <w:bottom w:val="nil"/>
              <w:right w:val="nil"/>
            </w:tcBorders>
            <w:shd w:val="clear" w:color="000000" w:fill="FFFFFF"/>
            <w:textDirection w:val="lrTb"/>
            <w:vAlign w:val="center"/>
          </w:tcPr>
          <w:p w:rsidR="00E1754C" w:rsidRPr="0072101A" w:rsidP="002035EB">
            <w:pPr>
              <w:bidi w:val="0"/>
              <w:spacing w:after="0" w:line="240" w:lineRule="auto"/>
              <w:jc w:val="right"/>
              <w:rPr>
                <w:rFonts w:ascii="Times New Roman" w:hAnsi="Times New Roman"/>
                <w:b/>
                <w:bCs/>
                <w:color w:val="000000"/>
                <w:sz w:val="20"/>
                <w:szCs w:val="20"/>
                <w:lang w:eastAsia="sk-SK"/>
              </w:rPr>
            </w:pPr>
            <w:r w:rsidR="00587A51">
              <w:rPr>
                <w:rFonts w:ascii="Times New Roman" w:hAnsi="Times New Roman"/>
                <w:b/>
                <w:bCs/>
                <w:color w:val="000000"/>
                <w:sz w:val="20"/>
                <w:szCs w:val="20"/>
                <w:lang w:eastAsia="sk-SK"/>
              </w:rPr>
              <w:t>-16 215 078</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-14 039 738</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A.I.</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Oceňovacie rozdiely </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587A51">
              <w:rPr>
                <w:rFonts w:ascii="Times New Roman" w:hAnsi="Times New Roman"/>
                <w:color w:val="000000"/>
                <w:sz w:val="20"/>
                <w:szCs w:val="20"/>
                <w:lang w:eastAsia="sk-SK"/>
              </w:rPr>
              <w:t>-36 210</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2 098</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A.II.</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Výsledok hospodárenia </w:t>
            </w:r>
          </w:p>
        </w:tc>
        <w:tc>
          <w:tcPr>
            <w:tcW w:w="1500" w:type="dxa"/>
            <w:tcBorders>
              <w:top w:val="nil"/>
              <w:left w:val="nil"/>
              <w:bottom w:val="nil"/>
              <w:right w:val="nil"/>
            </w:tcBorders>
            <w:shd w:val="clear" w:color="000000" w:fill="FFFFFF"/>
            <w:textDirection w:val="lrTb"/>
            <w:vAlign w:val="center"/>
          </w:tcPr>
          <w:p w:rsidR="00E1754C" w:rsidRPr="0072101A" w:rsidP="009629F0">
            <w:pPr>
              <w:bidi w:val="0"/>
              <w:spacing w:after="0" w:line="240" w:lineRule="auto"/>
              <w:jc w:val="right"/>
              <w:rPr>
                <w:rFonts w:ascii="Times New Roman" w:hAnsi="Times New Roman"/>
                <w:color w:val="000000"/>
                <w:sz w:val="20"/>
                <w:szCs w:val="20"/>
                <w:lang w:eastAsia="sk-SK"/>
              </w:rPr>
            </w:pPr>
            <w:r w:rsidR="00587A51">
              <w:rPr>
                <w:rFonts w:ascii="Times New Roman" w:hAnsi="Times New Roman"/>
                <w:color w:val="000000"/>
                <w:sz w:val="20"/>
                <w:szCs w:val="20"/>
                <w:lang w:eastAsia="sk-SK"/>
              </w:rPr>
              <w:t>-16 388 375</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-14 240 263</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A.II.1.</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Nevysporiadaný výsledok hospodárenia minulých rokov </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587A51">
              <w:rPr>
                <w:rFonts w:ascii="Times New Roman" w:hAnsi="Times New Roman"/>
                <w:color w:val="000000"/>
                <w:sz w:val="20"/>
                <w:szCs w:val="20"/>
                <w:lang w:eastAsia="sk-SK"/>
              </w:rPr>
              <w:t>-14 437 102</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-7 656 851</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A.II.2.</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Výsledok hospodárenia za účtovné obdobie  </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587A51">
              <w:rPr>
                <w:rFonts w:ascii="Times New Roman" w:hAnsi="Times New Roman"/>
                <w:color w:val="000000"/>
                <w:sz w:val="20"/>
                <w:szCs w:val="20"/>
                <w:lang w:eastAsia="sk-SK"/>
              </w:rPr>
              <w:t>-1 951 273</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-6 583 412</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A.III.</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Podiely iných účtovných jednotiek</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587A51">
              <w:rPr>
                <w:rFonts w:ascii="Times New Roman" w:hAnsi="Times New Roman"/>
                <w:color w:val="000000"/>
                <w:sz w:val="20"/>
                <w:szCs w:val="20"/>
                <w:lang w:eastAsia="sk-SK"/>
              </w:rPr>
              <w:t>209 507</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198 427</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B.</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Záväzky, rezervy, bankové úvery a výpomoci</w:t>
            </w:r>
          </w:p>
        </w:tc>
        <w:tc>
          <w:tcPr>
            <w:tcW w:w="1500" w:type="dxa"/>
            <w:tcBorders>
              <w:top w:val="nil"/>
              <w:left w:val="nil"/>
              <w:bottom w:val="nil"/>
              <w:right w:val="nil"/>
            </w:tcBorders>
            <w:shd w:val="clear" w:color="000000" w:fill="FFFFFF"/>
            <w:textDirection w:val="lrTb"/>
            <w:vAlign w:val="center"/>
          </w:tcPr>
          <w:p w:rsidR="00E1754C" w:rsidRPr="0072101A" w:rsidP="00FE7564">
            <w:pPr>
              <w:bidi w:val="0"/>
              <w:spacing w:after="0" w:line="240" w:lineRule="auto"/>
              <w:jc w:val="right"/>
              <w:rPr>
                <w:rFonts w:ascii="Times New Roman" w:hAnsi="Times New Roman"/>
                <w:b/>
                <w:bCs/>
                <w:color w:val="000000"/>
                <w:sz w:val="20"/>
                <w:szCs w:val="20"/>
                <w:lang w:eastAsia="sk-SK"/>
              </w:rPr>
            </w:pPr>
            <w:r w:rsidR="00587A51">
              <w:rPr>
                <w:rFonts w:ascii="Times New Roman" w:hAnsi="Times New Roman"/>
                <w:b/>
                <w:bCs/>
                <w:color w:val="000000"/>
                <w:sz w:val="20"/>
                <w:szCs w:val="20"/>
                <w:lang w:eastAsia="sk-SK"/>
              </w:rPr>
              <w:t>69 488 881</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66 179 289</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B.I.</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Rezervy </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587A51">
              <w:rPr>
                <w:rFonts w:ascii="Times New Roman" w:hAnsi="Times New Roman"/>
                <w:color w:val="000000"/>
                <w:sz w:val="20"/>
                <w:szCs w:val="20"/>
                <w:lang w:eastAsia="sk-SK"/>
              </w:rPr>
              <w:t>20 503 770</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20 060 963</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noWrap/>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B.II.</w:t>
            </w:r>
          </w:p>
        </w:tc>
        <w:tc>
          <w:tcPr>
            <w:tcW w:w="4427" w:type="dxa"/>
            <w:tcBorders>
              <w:top w:val="nil"/>
              <w:left w:val="nil"/>
              <w:bottom w:val="nil"/>
              <w:right w:val="nil"/>
            </w:tcBorders>
            <w:shd w:val="clear" w:color="000000" w:fill="FFFFFF"/>
            <w:noWrap/>
            <w:textDirection w:val="lrTb"/>
            <w:vAlign w:val="center"/>
          </w:tcPr>
          <w:p w:rsidR="00E1754C" w:rsidRPr="0072101A" w:rsidP="00DC5090">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Zúčtovanie medzi subjektmi verejnej správy </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587A51">
              <w:rPr>
                <w:rFonts w:ascii="Times New Roman" w:hAnsi="Times New Roman"/>
                <w:color w:val="000000"/>
                <w:sz w:val="20"/>
                <w:szCs w:val="20"/>
                <w:lang w:eastAsia="sk-SK"/>
              </w:rPr>
              <w:t>748 203</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618 080</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B.III.</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Záväzky </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587A51">
              <w:rPr>
                <w:rFonts w:ascii="Times New Roman" w:hAnsi="Times New Roman"/>
                <w:color w:val="000000"/>
                <w:sz w:val="20"/>
                <w:szCs w:val="20"/>
                <w:lang w:eastAsia="sk-SK"/>
              </w:rPr>
              <w:t>38 921 878</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38 136 467</w:t>
            </w:r>
          </w:p>
        </w:tc>
      </w:tr>
      <w:tr>
        <w:tblPrEx>
          <w:tblW w:w="8628"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B.IV.</w:t>
            </w:r>
          </w:p>
        </w:tc>
        <w:tc>
          <w:tcPr>
            <w:tcW w:w="4427"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Bankové úvery a výpomoci </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587A51">
              <w:rPr>
                <w:rFonts w:ascii="Times New Roman" w:hAnsi="Times New Roman"/>
                <w:color w:val="000000"/>
                <w:sz w:val="20"/>
                <w:szCs w:val="20"/>
                <w:lang w:eastAsia="sk-SK"/>
              </w:rPr>
              <w:t>9 315 030</w:t>
            </w:r>
          </w:p>
        </w:tc>
        <w:tc>
          <w:tcPr>
            <w:tcW w:w="1741"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7 363 779</w:t>
            </w:r>
          </w:p>
        </w:tc>
      </w:tr>
      <w:tr>
        <w:tblPrEx>
          <w:tblW w:w="8628" w:type="dxa"/>
          <w:jc w:val="center"/>
          <w:tblInd w:w="70" w:type="dxa"/>
          <w:tblCellMar>
            <w:left w:w="70" w:type="dxa"/>
            <w:right w:w="70" w:type="dxa"/>
          </w:tblCellMar>
          <w:tblLook w:val="00A0"/>
        </w:tblPrEx>
        <w:trPr>
          <w:trHeight w:val="345"/>
          <w:jc w:val="center"/>
        </w:trPr>
        <w:tc>
          <w:tcPr>
            <w:tcW w:w="960" w:type="dxa"/>
            <w:tcBorders>
              <w:top w:val="nil"/>
              <w:left w:val="nil"/>
              <w:bottom w:val="single" w:sz="8" w:space="0" w:color="auto"/>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C.</w:t>
            </w:r>
          </w:p>
        </w:tc>
        <w:tc>
          <w:tcPr>
            <w:tcW w:w="4427" w:type="dxa"/>
            <w:tcBorders>
              <w:top w:val="nil"/>
              <w:left w:val="nil"/>
              <w:bottom w:val="single" w:sz="8" w:space="0" w:color="auto"/>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 xml:space="preserve">Časové rozlíšenie </w:t>
            </w:r>
          </w:p>
        </w:tc>
        <w:tc>
          <w:tcPr>
            <w:tcW w:w="1500" w:type="dxa"/>
            <w:tcBorders>
              <w:top w:val="nil"/>
              <w:left w:val="nil"/>
              <w:bottom w:val="single" w:sz="8" w:space="0" w:color="auto"/>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b/>
                <w:bCs/>
                <w:color w:val="000000"/>
                <w:sz w:val="20"/>
                <w:szCs w:val="20"/>
                <w:lang w:eastAsia="sk-SK"/>
              </w:rPr>
            </w:pPr>
            <w:r w:rsidR="00587A51">
              <w:rPr>
                <w:rFonts w:ascii="Times New Roman" w:hAnsi="Times New Roman"/>
                <w:b/>
                <w:bCs/>
                <w:color w:val="000000"/>
                <w:sz w:val="20"/>
                <w:szCs w:val="20"/>
                <w:lang w:eastAsia="sk-SK"/>
              </w:rPr>
              <w:t>9 763 639</w:t>
            </w:r>
          </w:p>
        </w:tc>
        <w:tc>
          <w:tcPr>
            <w:tcW w:w="1741" w:type="dxa"/>
            <w:tcBorders>
              <w:top w:val="nil"/>
              <w:left w:val="nil"/>
              <w:bottom w:val="single" w:sz="8" w:space="0" w:color="auto"/>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8 696 608</w:t>
            </w:r>
          </w:p>
        </w:tc>
      </w:tr>
    </w:tbl>
    <w:p w:rsidR="00ED0CB0" w:rsidRPr="0072101A" w:rsidP="00B46D4D">
      <w:pPr>
        <w:bidi w:val="0"/>
      </w:pPr>
    </w:p>
    <w:p w:rsidR="000C5F58" w:rsidRPr="0072101A" w:rsidP="00B46D4D">
      <w:pPr>
        <w:bidi w:val="0"/>
      </w:pPr>
    </w:p>
    <w:p w:rsidR="000C5F58" w:rsidRPr="0072101A" w:rsidP="00B46D4D">
      <w:pPr>
        <w:bidi w:val="0"/>
      </w:pPr>
    </w:p>
    <w:p w:rsidR="000C5F58" w:rsidRPr="0072101A" w:rsidP="00B46D4D">
      <w:pPr>
        <w:bidi w:val="0"/>
      </w:pPr>
    </w:p>
    <w:p w:rsidR="000C5F58" w:rsidRPr="0072101A" w:rsidP="00B46D4D">
      <w:pPr>
        <w:bidi w:val="0"/>
      </w:pPr>
    </w:p>
    <w:p w:rsidR="000C5F58" w:rsidRPr="0072101A" w:rsidP="00B46D4D">
      <w:pPr>
        <w:bidi w:val="0"/>
      </w:pPr>
    </w:p>
    <w:p w:rsidR="000C5F58" w:rsidRPr="0072101A" w:rsidP="00B46D4D">
      <w:pPr>
        <w:bidi w:val="0"/>
      </w:pPr>
    </w:p>
    <w:p w:rsidR="000C5F58" w:rsidRPr="0072101A" w:rsidP="00B46D4D">
      <w:pPr>
        <w:bidi w:val="0"/>
      </w:pPr>
    </w:p>
    <w:p w:rsidR="003E5CFD" w:rsidRPr="0072101A" w:rsidP="00B46D4D">
      <w:pPr>
        <w:bidi w:val="0"/>
        <w:spacing w:after="0" w:line="240" w:lineRule="auto"/>
        <w:jc w:val="center"/>
        <w:rPr>
          <w:rFonts w:ascii="Times New Roman" w:hAnsi="Times New Roman"/>
          <w:b/>
          <w:bCs/>
          <w:color w:val="FFFFFF"/>
          <w:sz w:val="20"/>
          <w:szCs w:val="20"/>
          <w:lang w:eastAsia="sk-SK"/>
        </w:rPr>
        <w:sectPr w:rsidSect="003E7ED7">
          <w:footerReference w:type="default" r:id="rId7"/>
          <w:footerReference w:type="first" r:id="rId8"/>
          <w:pgSz w:w="11906" w:h="16838"/>
          <w:pgMar w:top="1418" w:right="1134" w:bottom="1418" w:left="1134" w:header="709" w:footer="709" w:gutter="567"/>
          <w:lnNumType w:distance="0"/>
          <w:pgNumType w:start="1"/>
          <w:cols w:space="708"/>
          <w:noEndnote w:val="0"/>
          <w:titlePg/>
          <w:bidi w:val="0"/>
          <w:docGrid w:linePitch="360"/>
        </w:sectPr>
      </w:pPr>
    </w:p>
    <w:tbl>
      <w:tblPr>
        <w:tblStyle w:val="TableNormal"/>
        <w:tblW w:w="8910" w:type="dxa"/>
        <w:jc w:val="center"/>
        <w:tblInd w:w="70" w:type="dxa"/>
        <w:tblCellMar>
          <w:left w:w="70" w:type="dxa"/>
          <w:right w:w="70" w:type="dxa"/>
        </w:tblCellMar>
        <w:tblLook w:val="00A0"/>
      </w:tblPr>
      <w:tblGrid>
        <w:gridCol w:w="960"/>
        <w:gridCol w:w="4710"/>
        <w:gridCol w:w="1500"/>
        <w:gridCol w:w="1740"/>
      </w:tblGrid>
      <w:tr>
        <w:tblPrEx>
          <w:tblW w:w="8910" w:type="dxa"/>
          <w:jc w:val="center"/>
          <w:tblInd w:w="70" w:type="dxa"/>
          <w:tblCellMar>
            <w:left w:w="70" w:type="dxa"/>
            <w:right w:w="70" w:type="dxa"/>
          </w:tblCellMar>
          <w:tblLook w:val="00A0"/>
        </w:tblPrEx>
        <w:trPr>
          <w:trHeight w:val="600"/>
          <w:jc w:val="center"/>
        </w:trPr>
        <w:tc>
          <w:tcPr>
            <w:tcW w:w="8910" w:type="dxa"/>
            <w:gridSpan w:val="4"/>
            <w:tcBorders>
              <w:top w:val="single" w:sz="4" w:space="0" w:color="auto"/>
              <w:left w:val="nil"/>
              <w:bottom w:val="single" w:sz="4" w:space="0" w:color="auto"/>
              <w:right w:val="nil"/>
            </w:tcBorders>
            <w:shd w:val="clear" w:color="000000" w:fill="000000"/>
            <w:textDirection w:val="lrTb"/>
            <w:vAlign w:val="center"/>
          </w:tcPr>
          <w:p w:rsidR="00B46D4D" w:rsidRPr="0072101A" w:rsidP="00E1754C">
            <w:pPr>
              <w:bidi w:val="0"/>
              <w:spacing w:after="0" w:line="240" w:lineRule="auto"/>
              <w:jc w:val="center"/>
              <w:rPr>
                <w:rFonts w:ascii="Times New Roman" w:hAnsi="Times New Roman"/>
                <w:b/>
                <w:bCs/>
                <w:color w:val="FFFFFF"/>
                <w:sz w:val="20"/>
                <w:szCs w:val="20"/>
                <w:lang w:eastAsia="sk-SK"/>
              </w:rPr>
            </w:pPr>
            <w:r w:rsidRPr="0072101A" w:rsidR="006143F5">
              <w:rPr>
                <w:rFonts w:ascii="Times New Roman" w:hAnsi="Times New Roman"/>
                <w:b/>
                <w:bCs/>
                <w:color w:val="FFFFFF"/>
                <w:sz w:val="20"/>
                <w:szCs w:val="20"/>
                <w:lang w:eastAsia="sk-SK"/>
              </w:rPr>
              <w:t>VÝKAZ ZISKOV A STRÁT K </w:t>
            </w:r>
            <w:r w:rsidRPr="0072101A" w:rsidR="00DC5090">
              <w:rPr>
                <w:rFonts w:ascii="Times New Roman" w:hAnsi="Times New Roman"/>
                <w:b/>
                <w:bCs/>
                <w:color w:val="FFFFFF"/>
                <w:sz w:val="20"/>
                <w:szCs w:val="20"/>
                <w:lang w:eastAsia="sk-SK"/>
              </w:rPr>
              <w:t>31.12.201</w:t>
            </w:r>
            <w:r w:rsidR="00E1754C">
              <w:rPr>
                <w:rFonts w:ascii="Times New Roman" w:hAnsi="Times New Roman"/>
                <w:b/>
                <w:bCs/>
                <w:color w:val="FFFFFF"/>
                <w:sz w:val="20"/>
                <w:szCs w:val="20"/>
                <w:lang w:eastAsia="sk-SK"/>
              </w:rPr>
              <w:t>5</w:t>
            </w:r>
            <w:r w:rsidRPr="0072101A" w:rsidR="0072495B">
              <w:rPr>
                <w:rFonts w:ascii="Times New Roman" w:hAnsi="Times New Roman"/>
                <w:b/>
                <w:bCs/>
                <w:color w:val="FFFFFF"/>
                <w:sz w:val="20"/>
                <w:szCs w:val="20"/>
                <w:lang w:eastAsia="sk-SK"/>
              </w:rPr>
              <w:t xml:space="preserve"> (v tis. eur)</w:t>
            </w:r>
          </w:p>
        </w:tc>
      </w:tr>
      <w:tr>
        <w:tblPrEx>
          <w:tblW w:w="8910" w:type="dxa"/>
          <w:jc w:val="center"/>
          <w:tblInd w:w="70" w:type="dxa"/>
          <w:tblCellMar>
            <w:left w:w="70" w:type="dxa"/>
            <w:right w:w="70" w:type="dxa"/>
          </w:tblCellMar>
          <w:tblLook w:val="00A0"/>
        </w:tblPrEx>
        <w:trPr>
          <w:trHeight w:val="480"/>
          <w:jc w:val="center"/>
        </w:trPr>
        <w:tc>
          <w:tcPr>
            <w:tcW w:w="960" w:type="dxa"/>
            <w:tcBorders>
              <w:top w:val="nil"/>
              <w:left w:val="nil"/>
              <w:bottom w:val="single" w:sz="4" w:space="0" w:color="auto"/>
              <w:right w:val="nil"/>
            </w:tcBorders>
            <w:shd w:val="clear" w:color="000000" w:fill="BFBFBF"/>
            <w:noWrap/>
            <w:textDirection w:val="lrTb"/>
            <w:vAlign w:val="bottom"/>
          </w:tcPr>
          <w:p w:rsidR="00B46D4D" w:rsidRPr="0072101A" w:rsidP="00B46D4D">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 </w:t>
            </w:r>
          </w:p>
        </w:tc>
        <w:tc>
          <w:tcPr>
            <w:tcW w:w="4710" w:type="dxa"/>
            <w:tcBorders>
              <w:top w:val="nil"/>
              <w:left w:val="nil"/>
              <w:bottom w:val="single" w:sz="4" w:space="0" w:color="auto"/>
              <w:right w:val="nil"/>
            </w:tcBorders>
            <w:shd w:val="clear" w:color="000000" w:fill="BFBFBF"/>
            <w:noWrap/>
            <w:textDirection w:val="lrTb"/>
            <w:vAlign w:val="center"/>
          </w:tcPr>
          <w:p w:rsidR="00B46D4D" w:rsidRPr="0072101A" w:rsidP="00B46D4D">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Náklady</w:t>
            </w:r>
          </w:p>
        </w:tc>
        <w:tc>
          <w:tcPr>
            <w:tcW w:w="1500" w:type="dxa"/>
            <w:tcBorders>
              <w:top w:val="nil"/>
              <w:left w:val="nil"/>
              <w:bottom w:val="single" w:sz="4" w:space="0" w:color="auto"/>
              <w:right w:val="nil"/>
            </w:tcBorders>
            <w:shd w:val="clear" w:color="000000" w:fill="BFBFBF"/>
            <w:noWrap/>
            <w:textDirection w:val="lrTb"/>
            <w:vAlign w:val="center"/>
          </w:tcPr>
          <w:p w:rsidR="00B46D4D" w:rsidRPr="0072101A" w:rsidP="00B46D4D">
            <w:pPr>
              <w:bidi w:val="0"/>
              <w:spacing w:after="0" w:line="240" w:lineRule="auto"/>
              <w:jc w:val="center"/>
              <w:rPr>
                <w:rFonts w:ascii="Times New Roman" w:hAnsi="Times New Roman"/>
                <w:b/>
                <w:bCs/>
                <w:sz w:val="20"/>
                <w:szCs w:val="20"/>
                <w:lang w:eastAsia="sk-SK"/>
              </w:rPr>
            </w:pPr>
            <w:r w:rsidRPr="0072101A" w:rsidR="00DC5090">
              <w:rPr>
                <w:rFonts w:ascii="Times New Roman" w:hAnsi="Times New Roman"/>
                <w:b/>
                <w:bCs/>
                <w:sz w:val="20"/>
                <w:szCs w:val="20"/>
                <w:lang w:eastAsia="sk-SK"/>
              </w:rPr>
              <w:t xml:space="preserve">           </w:t>
            </w:r>
            <w:r w:rsidR="00E1754C">
              <w:rPr>
                <w:rFonts w:ascii="Times New Roman" w:hAnsi="Times New Roman"/>
                <w:b/>
                <w:bCs/>
                <w:sz w:val="20"/>
                <w:szCs w:val="20"/>
                <w:lang w:eastAsia="sk-SK"/>
              </w:rPr>
              <w:t>2015</w:t>
            </w:r>
          </w:p>
        </w:tc>
        <w:tc>
          <w:tcPr>
            <w:tcW w:w="1740" w:type="dxa"/>
            <w:tcBorders>
              <w:top w:val="nil"/>
              <w:left w:val="nil"/>
              <w:bottom w:val="single" w:sz="4" w:space="0" w:color="auto"/>
              <w:right w:val="nil"/>
            </w:tcBorders>
            <w:shd w:val="clear" w:color="000000" w:fill="BFBFBF"/>
            <w:noWrap/>
            <w:textDirection w:val="lrTb"/>
            <w:vAlign w:val="center"/>
          </w:tcPr>
          <w:p w:rsidR="00B46D4D" w:rsidRPr="0072101A" w:rsidP="00B46D4D">
            <w:pPr>
              <w:bidi w:val="0"/>
              <w:spacing w:after="0" w:line="240" w:lineRule="auto"/>
              <w:jc w:val="center"/>
              <w:rPr>
                <w:rFonts w:ascii="Times New Roman" w:hAnsi="Times New Roman"/>
                <w:b/>
                <w:bCs/>
                <w:sz w:val="20"/>
                <w:szCs w:val="20"/>
                <w:lang w:eastAsia="sk-SK"/>
              </w:rPr>
            </w:pPr>
            <w:r w:rsidRPr="0072101A" w:rsidR="00DC5090">
              <w:rPr>
                <w:rFonts w:ascii="Times New Roman" w:hAnsi="Times New Roman"/>
                <w:b/>
                <w:bCs/>
                <w:sz w:val="20"/>
                <w:szCs w:val="20"/>
                <w:lang w:eastAsia="sk-SK"/>
              </w:rPr>
              <w:t xml:space="preserve">              </w:t>
            </w:r>
            <w:r w:rsidR="00E1754C">
              <w:rPr>
                <w:rFonts w:ascii="Times New Roman" w:hAnsi="Times New Roman"/>
                <w:b/>
                <w:bCs/>
                <w:sz w:val="20"/>
                <w:szCs w:val="20"/>
                <w:lang w:eastAsia="sk-SK"/>
              </w:rPr>
              <w:t>2014</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I.</w:t>
            </w:r>
          </w:p>
        </w:tc>
        <w:tc>
          <w:tcPr>
            <w:tcW w:w="471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Spotrebované nákupy a služby</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815CA5">
              <w:rPr>
                <w:rFonts w:ascii="Times New Roman" w:hAnsi="Times New Roman"/>
                <w:color w:val="000000"/>
                <w:sz w:val="20"/>
                <w:szCs w:val="20"/>
                <w:lang w:eastAsia="sk-SK"/>
              </w:rPr>
              <w:t>9 847 367</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8 499 495</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II.</w:t>
            </w:r>
          </w:p>
        </w:tc>
        <w:tc>
          <w:tcPr>
            <w:tcW w:w="471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Osobné náklady</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815CA5">
              <w:rPr>
                <w:rFonts w:ascii="Times New Roman" w:hAnsi="Times New Roman"/>
                <w:color w:val="000000"/>
                <w:sz w:val="20"/>
                <w:szCs w:val="20"/>
                <w:lang w:eastAsia="sk-SK"/>
              </w:rPr>
              <w:t>7 257 653</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6 929 944</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III.</w:t>
            </w:r>
          </w:p>
        </w:tc>
        <w:tc>
          <w:tcPr>
            <w:tcW w:w="471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Dane a poplatky</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815CA5">
              <w:rPr>
                <w:rFonts w:ascii="Times New Roman" w:hAnsi="Times New Roman"/>
                <w:color w:val="000000"/>
                <w:sz w:val="20"/>
                <w:szCs w:val="20"/>
                <w:lang w:eastAsia="sk-SK"/>
              </w:rPr>
              <w:t>52 896</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35 419</w:t>
            </w:r>
          </w:p>
        </w:tc>
      </w:tr>
      <w:tr>
        <w:tblPrEx>
          <w:tblW w:w="8910" w:type="dxa"/>
          <w:jc w:val="center"/>
          <w:tblInd w:w="70" w:type="dxa"/>
          <w:tblCellMar>
            <w:left w:w="70" w:type="dxa"/>
            <w:right w:w="70" w:type="dxa"/>
          </w:tblCellMar>
          <w:tblLook w:val="00A0"/>
        </w:tblPrEx>
        <w:trPr>
          <w:trHeight w:val="600"/>
          <w:jc w:val="center"/>
        </w:trPr>
        <w:tc>
          <w:tcPr>
            <w:tcW w:w="960" w:type="dxa"/>
            <w:tcBorders>
              <w:top w:val="nil"/>
              <w:left w:val="nil"/>
              <w:bottom w:val="nil"/>
              <w:right w:val="nil"/>
            </w:tcBorders>
            <w:shd w:val="clear" w:color="000000" w:fill="FFFFFF"/>
            <w:textDirection w:val="lrTb"/>
            <w:vAlign w:val="center"/>
          </w:tcPr>
          <w:p w:rsidR="00E1754C" w:rsidRPr="0072101A" w:rsidP="00E667B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IV.</w:t>
            </w:r>
          </w:p>
        </w:tc>
        <w:tc>
          <w:tcPr>
            <w:tcW w:w="4710" w:type="dxa"/>
            <w:tcBorders>
              <w:top w:val="nil"/>
              <w:left w:val="nil"/>
              <w:bottom w:val="nil"/>
              <w:right w:val="nil"/>
            </w:tcBorders>
            <w:shd w:val="clear" w:color="000000" w:fill="FFFFFF"/>
            <w:textDirection w:val="lrTb"/>
            <w:vAlign w:val="center"/>
          </w:tcPr>
          <w:p w:rsidR="00E1754C" w:rsidRPr="0072101A" w:rsidP="00856098">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Odpisy, rezervy a opravné položky z prevádzkovej činnosti a finančnej činnosti </w:t>
            </w:r>
          </w:p>
        </w:tc>
        <w:tc>
          <w:tcPr>
            <w:tcW w:w="1500" w:type="dxa"/>
            <w:tcBorders>
              <w:top w:val="nil"/>
              <w:left w:val="nil"/>
              <w:bottom w:val="nil"/>
              <w:right w:val="nil"/>
            </w:tcBorders>
            <w:shd w:val="clear" w:color="000000" w:fill="FFFFFF"/>
            <w:textDirection w:val="lrTb"/>
            <w:vAlign w:val="center"/>
          </w:tcPr>
          <w:p w:rsidR="00E1754C" w:rsidRPr="0072101A" w:rsidP="009648D7">
            <w:pPr>
              <w:bidi w:val="0"/>
              <w:spacing w:after="0" w:line="240" w:lineRule="auto"/>
              <w:jc w:val="right"/>
              <w:rPr>
                <w:rFonts w:ascii="Times New Roman" w:hAnsi="Times New Roman"/>
                <w:color w:val="000000"/>
                <w:sz w:val="20"/>
                <w:szCs w:val="20"/>
                <w:lang w:eastAsia="sk-SK"/>
              </w:rPr>
            </w:pPr>
            <w:r w:rsidR="00815CA5">
              <w:rPr>
                <w:rFonts w:ascii="Times New Roman" w:hAnsi="Times New Roman"/>
                <w:color w:val="000000"/>
                <w:sz w:val="20"/>
                <w:szCs w:val="20"/>
                <w:lang w:eastAsia="sk-SK"/>
              </w:rPr>
              <w:t>7 808 791</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10 911 371</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V.</w:t>
            </w:r>
          </w:p>
        </w:tc>
        <w:tc>
          <w:tcPr>
            <w:tcW w:w="471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Ostatné náklady na prevádzkovú  činnosť</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815CA5">
              <w:rPr>
                <w:rFonts w:ascii="Times New Roman" w:hAnsi="Times New Roman"/>
                <w:color w:val="000000"/>
                <w:sz w:val="20"/>
                <w:szCs w:val="20"/>
                <w:lang w:eastAsia="sk-SK"/>
              </w:rPr>
              <w:t>3 690 010</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3 597 230</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VI.</w:t>
            </w:r>
          </w:p>
        </w:tc>
        <w:tc>
          <w:tcPr>
            <w:tcW w:w="471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Finančné náklady</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815CA5">
              <w:rPr>
                <w:rFonts w:ascii="Times New Roman" w:hAnsi="Times New Roman"/>
                <w:color w:val="000000"/>
                <w:sz w:val="20"/>
                <w:szCs w:val="20"/>
                <w:lang w:eastAsia="sk-SK"/>
              </w:rPr>
              <w:t>2 286 536</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2 134 172</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VII.</w:t>
            </w:r>
          </w:p>
        </w:tc>
        <w:tc>
          <w:tcPr>
            <w:tcW w:w="471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Mimoriadne náklady</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815CA5">
              <w:rPr>
                <w:rFonts w:ascii="Times New Roman" w:hAnsi="Times New Roman"/>
                <w:color w:val="000000"/>
                <w:sz w:val="20"/>
                <w:szCs w:val="20"/>
                <w:lang w:eastAsia="sk-SK"/>
              </w:rPr>
              <w:t>1 248</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924</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VIII.</w:t>
            </w:r>
          </w:p>
        </w:tc>
        <w:tc>
          <w:tcPr>
            <w:tcW w:w="4710" w:type="dxa"/>
            <w:tcBorders>
              <w:top w:val="nil"/>
              <w:left w:val="nil"/>
              <w:bottom w:val="nil"/>
              <w:right w:val="nil"/>
            </w:tcBorders>
            <w:shd w:val="clear" w:color="000000" w:fill="FFFFFF"/>
            <w:textDirection w:val="lrTb"/>
            <w:vAlign w:val="center"/>
          </w:tcPr>
          <w:p w:rsidR="00E1754C" w:rsidRPr="0072101A" w:rsidP="00F76A5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Náklady na transfery</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815CA5">
              <w:rPr>
                <w:rFonts w:ascii="Times New Roman" w:hAnsi="Times New Roman"/>
                <w:color w:val="000000"/>
                <w:sz w:val="20"/>
                <w:szCs w:val="20"/>
                <w:lang w:eastAsia="sk-SK"/>
              </w:rPr>
              <w:t>25 230 269</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24 116 148</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single" w:sz="4" w:space="0" w:color="auto"/>
              <w:right w:val="nil"/>
            </w:tcBorders>
            <w:noWrap/>
            <w:textDirection w:val="lrTb"/>
            <w:vAlign w:val="bottom"/>
          </w:tcPr>
          <w:p w:rsidR="00E1754C" w:rsidRPr="0072101A" w:rsidP="00B46D4D">
            <w:pPr>
              <w:bidi w:val="0"/>
              <w:spacing w:after="0" w:line="240" w:lineRule="auto"/>
              <w:rPr>
                <w:color w:val="000000"/>
                <w:sz w:val="20"/>
                <w:szCs w:val="20"/>
                <w:lang w:eastAsia="sk-SK"/>
              </w:rPr>
            </w:pPr>
            <w:r w:rsidRPr="0072101A">
              <w:rPr>
                <w:color w:val="000000"/>
                <w:sz w:val="20"/>
                <w:szCs w:val="20"/>
                <w:lang w:eastAsia="sk-SK"/>
              </w:rPr>
              <w:t> </w:t>
            </w:r>
          </w:p>
        </w:tc>
        <w:tc>
          <w:tcPr>
            <w:tcW w:w="4710" w:type="dxa"/>
            <w:tcBorders>
              <w:top w:val="nil"/>
              <w:left w:val="nil"/>
              <w:bottom w:val="single" w:sz="4" w:space="0" w:color="auto"/>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NÁKLADY  SPOLU</w:t>
            </w:r>
          </w:p>
        </w:tc>
        <w:tc>
          <w:tcPr>
            <w:tcW w:w="1500" w:type="dxa"/>
            <w:tcBorders>
              <w:top w:val="nil"/>
              <w:left w:val="nil"/>
              <w:bottom w:val="single" w:sz="4" w:space="0" w:color="auto"/>
              <w:right w:val="nil"/>
            </w:tcBorders>
            <w:shd w:val="clear" w:color="000000" w:fill="FFFFFF"/>
            <w:textDirection w:val="lrTb"/>
            <w:vAlign w:val="center"/>
          </w:tcPr>
          <w:p w:rsidR="00E1754C" w:rsidRPr="0072101A" w:rsidP="00F623FB">
            <w:pPr>
              <w:bidi w:val="0"/>
              <w:spacing w:after="0" w:line="240" w:lineRule="auto"/>
              <w:jc w:val="right"/>
              <w:rPr>
                <w:rFonts w:ascii="Times New Roman" w:hAnsi="Times New Roman"/>
                <w:b/>
                <w:bCs/>
                <w:color w:val="000000"/>
                <w:sz w:val="20"/>
                <w:szCs w:val="20"/>
                <w:lang w:eastAsia="sk-SK"/>
              </w:rPr>
            </w:pPr>
            <w:r w:rsidR="00815CA5">
              <w:rPr>
                <w:rFonts w:ascii="Times New Roman" w:hAnsi="Times New Roman"/>
                <w:b/>
                <w:bCs/>
                <w:color w:val="000000"/>
                <w:sz w:val="20"/>
                <w:szCs w:val="20"/>
                <w:lang w:eastAsia="sk-SK"/>
              </w:rPr>
              <w:t>56 174 770</w:t>
            </w:r>
          </w:p>
        </w:tc>
        <w:tc>
          <w:tcPr>
            <w:tcW w:w="1740" w:type="dxa"/>
            <w:tcBorders>
              <w:top w:val="nil"/>
              <w:left w:val="nil"/>
              <w:bottom w:val="single" w:sz="4" w:space="0" w:color="auto"/>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56 224 703</w:t>
            </w:r>
          </w:p>
        </w:tc>
      </w:tr>
      <w:tr>
        <w:tblPrEx>
          <w:tblW w:w="8910" w:type="dxa"/>
          <w:jc w:val="center"/>
          <w:tblInd w:w="70" w:type="dxa"/>
          <w:tblCellMar>
            <w:left w:w="70" w:type="dxa"/>
            <w:right w:w="70" w:type="dxa"/>
          </w:tblCellMar>
          <w:tblLook w:val="00A0"/>
        </w:tblPrEx>
        <w:trPr>
          <w:trHeight w:val="480"/>
          <w:jc w:val="center"/>
        </w:trPr>
        <w:tc>
          <w:tcPr>
            <w:tcW w:w="960" w:type="dxa"/>
            <w:tcBorders>
              <w:top w:val="nil"/>
              <w:left w:val="nil"/>
              <w:bottom w:val="single" w:sz="4" w:space="0" w:color="auto"/>
              <w:right w:val="nil"/>
            </w:tcBorders>
            <w:shd w:val="clear" w:color="000000" w:fill="BFBFBF"/>
            <w:noWrap/>
            <w:textDirection w:val="lrTb"/>
            <w:vAlign w:val="bottom"/>
          </w:tcPr>
          <w:p w:rsidR="00E1754C" w:rsidRPr="0072101A" w:rsidP="00B46D4D">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 </w:t>
            </w:r>
          </w:p>
        </w:tc>
        <w:tc>
          <w:tcPr>
            <w:tcW w:w="4710" w:type="dxa"/>
            <w:tcBorders>
              <w:top w:val="nil"/>
              <w:left w:val="nil"/>
              <w:bottom w:val="single" w:sz="4" w:space="0" w:color="auto"/>
              <w:right w:val="nil"/>
            </w:tcBorders>
            <w:shd w:val="clear" w:color="000000" w:fill="BFBFBF"/>
            <w:noWrap/>
            <w:textDirection w:val="lrTb"/>
            <w:vAlign w:val="center"/>
          </w:tcPr>
          <w:p w:rsidR="00E1754C" w:rsidRPr="0072101A" w:rsidP="00B46D4D">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Výnosy, daň z príjmov a výsledok hospodárenia</w:t>
            </w:r>
          </w:p>
        </w:tc>
        <w:tc>
          <w:tcPr>
            <w:tcW w:w="1500" w:type="dxa"/>
            <w:tcBorders>
              <w:top w:val="nil"/>
              <w:left w:val="nil"/>
              <w:bottom w:val="single" w:sz="4" w:space="0" w:color="auto"/>
              <w:right w:val="nil"/>
            </w:tcBorders>
            <w:shd w:val="clear" w:color="000000" w:fill="BFBFBF"/>
            <w:noWrap/>
            <w:textDirection w:val="lrTb"/>
            <w:vAlign w:val="center"/>
          </w:tcPr>
          <w:p w:rsidR="00E1754C" w:rsidRPr="0072101A" w:rsidP="00B46D4D">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w:t>
            </w:r>
            <w:r>
              <w:rPr>
                <w:rFonts w:ascii="Times New Roman" w:hAnsi="Times New Roman"/>
                <w:b/>
                <w:bCs/>
                <w:sz w:val="20"/>
                <w:szCs w:val="20"/>
                <w:lang w:eastAsia="sk-SK"/>
              </w:rPr>
              <w:t>2015</w:t>
            </w:r>
          </w:p>
        </w:tc>
        <w:tc>
          <w:tcPr>
            <w:tcW w:w="1740" w:type="dxa"/>
            <w:tcBorders>
              <w:top w:val="nil"/>
              <w:left w:val="nil"/>
              <w:bottom w:val="single" w:sz="4" w:space="0" w:color="auto"/>
              <w:right w:val="nil"/>
            </w:tcBorders>
            <w:shd w:val="clear" w:color="000000" w:fill="BFBFBF"/>
            <w:noWrap/>
            <w:textDirection w:val="lrTb"/>
            <w:vAlign w:val="center"/>
          </w:tcPr>
          <w:p w:rsidR="00E1754C" w:rsidRPr="0072101A" w:rsidP="00B46D4D">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w:t>
            </w:r>
            <w:r>
              <w:rPr>
                <w:rFonts w:ascii="Times New Roman" w:hAnsi="Times New Roman"/>
                <w:b/>
                <w:bCs/>
                <w:sz w:val="20"/>
                <w:szCs w:val="20"/>
                <w:lang w:eastAsia="sk-SK"/>
              </w:rPr>
              <w:t>2014</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I.</w:t>
            </w:r>
          </w:p>
        </w:tc>
        <w:tc>
          <w:tcPr>
            <w:tcW w:w="471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Tržby za vlastné výkony a tovar</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7635AF">
              <w:rPr>
                <w:rFonts w:ascii="Times New Roman" w:hAnsi="Times New Roman"/>
                <w:color w:val="000000"/>
                <w:sz w:val="20"/>
                <w:szCs w:val="20"/>
                <w:lang w:eastAsia="sk-SK"/>
              </w:rPr>
              <w:t>25 985 861</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24 440 934</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II.</w:t>
            </w:r>
          </w:p>
        </w:tc>
        <w:tc>
          <w:tcPr>
            <w:tcW w:w="471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Daňové a colné výnosy a výnosy z poplatkov </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7635AF">
              <w:rPr>
                <w:rFonts w:ascii="Times New Roman" w:hAnsi="Times New Roman"/>
                <w:color w:val="000000"/>
                <w:sz w:val="20"/>
                <w:szCs w:val="20"/>
                <w:lang w:eastAsia="sk-SK"/>
              </w:rPr>
              <w:t>13 399 658</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13 031 190</w:t>
            </w:r>
          </w:p>
        </w:tc>
      </w:tr>
      <w:tr>
        <w:tblPrEx>
          <w:tblW w:w="8910" w:type="dxa"/>
          <w:jc w:val="center"/>
          <w:tblInd w:w="70" w:type="dxa"/>
          <w:tblCellMar>
            <w:left w:w="70" w:type="dxa"/>
            <w:right w:w="70" w:type="dxa"/>
          </w:tblCellMar>
          <w:tblLook w:val="00A0"/>
        </w:tblPrEx>
        <w:trPr>
          <w:trHeight w:val="600"/>
          <w:jc w:val="center"/>
        </w:trPr>
        <w:tc>
          <w:tcPr>
            <w:tcW w:w="960" w:type="dxa"/>
            <w:tcBorders>
              <w:top w:val="nil"/>
              <w:left w:val="nil"/>
              <w:bottom w:val="nil"/>
              <w:right w:val="nil"/>
            </w:tcBorders>
            <w:shd w:val="clear" w:color="000000" w:fill="FFFFFF"/>
            <w:textDirection w:val="lrTb"/>
            <w:vAlign w:val="center"/>
          </w:tcPr>
          <w:p w:rsidR="00E1754C" w:rsidRPr="0072101A" w:rsidP="00E667B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III.</w:t>
            </w:r>
          </w:p>
        </w:tc>
        <w:tc>
          <w:tcPr>
            <w:tcW w:w="4710" w:type="dxa"/>
            <w:tcBorders>
              <w:top w:val="nil"/>
              <w:left w:val="nil"/>
              <w:bottom w:val="nil"/>
              <w:right w:val="nil"/>
            </w:tcBorders>
            <w:shd w:val="clear" w:color="000000" w:fill="FFFFFF"/>
            <w:textDirection w:val="lrTb"/>
            <w:vAlign w:val="center"/>
          </w:tcPr>
          <w:p w:rsidR="00E1754C" w:rsidRPr="0072101A" w:rsidP="00856098">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Zúčtovanie rezerv a opravných položiek z prevádzkovej činnosti a finančnej činnosti </w:t>
            </w:r>
          </w:p>
        </w:tc>
        <w:tc>
          <w:tcPr>
            <w:tcW w:w="1500" w:type="dxa"/>
            <w:tcBorders>
              <w:top w:val="nil"/>
              <w:left w:val="nil"/>
              <w:bottom w:val="nil"/>
              <w:right w:val="nil"/>
            </w:tcBorders>
            <w:shd w:val="clear" w:color="000000" w:fill="FFFFFF"/>
            <w:textDirection w:val="lrTb"/>
            <w:vAlign w:val="center"/>
          </w:tcPr>
          <w:p w:rsidR="00E1754C" w:rsidRPr="0072101A" w:rsidP="00856098">
            <w:pPr>
              <w:bidi w:val="0"/>
              <w:spacing w:after="0" w:line="240" w:lineRule="auto"/>
              <w:jc w:val="right"/>
              <w:rPr>
                <w:rFonts w:ascii="Times New Roman" w:hAnsi="Times New Roman"/>
                <w:color w:val="000000"/>
                <w:sz w:val="20"/>
                <w:szCs w:val="20"/>
                <w:lang w:eastAsia="sk-SK"/>
              </w:rPr>
            </w:pPr>
            <w:r w:rsidR="007635AF">
              <w:rPr>
                <w:rFonts w:ascii="Times New Roman" w:hAnsi="Times New Roman"/>
                <w:color w:val="000000"/>
                <w:sz w:val="20"/>
                <w:szCs w:val="20"/>
                <w:lang w:eastAsia="sk-SK"/>
              </w:rPr>
              <w:t>3 367 684</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3 953 163</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IV.</w:t>
            </w:r>
          </w:p>
        </w:tc>
        <w:tc>
          <w:tcPr>
            <w:tcW w:w="471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Ostatné výnosy z prevádzkovej činnosti</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7635AF">
              <w:rPr>
                <w:rFonts w:ascii="Times New Roman" w:hAnsi="Times New Roman"/>
                <w:color w:val="000000"/>
                <w:sz w:val="20"/>
                <w:szCs w:val="20"/>
                <w:lang w:eastAsia="sk-SK"/>
              </w:rPr>
              <w:t>2 521 839</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2 195 597</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V.</w:t>
            </w:r>
          </w:p>
        </w:tc>
        <w:tc>
          <w:tcPr>
            <w:tcW w:w="471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Finančné výnosy</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7635AF">
              <w:rPr>
                <w:rFonts w:ascii="Times New Roman" w:hAnsi="Times New Roman"/>
                <w:color w:val="000000"/>
                <w:sz w:val="20"/>
                <w:szCs w:val="20"/>
                <w:lang w:eastAsia="sk-SK"/>
              </w:rPr>
              <w:t>2 162 817</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1 370 926</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VI.</w:t>
            </w:r>
          </w:p>
        </w:tc>
        <w:tc>
          <w:tcPr>
            <w:tcW w:w="471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Mimoriadne výnosy</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7635AF">
              <w:rPr>
                <w:rFonts w:ascii="Times New Roman" w:hAnsi="Times New Roman"/>
                <w:color w:val="000000"/>
                <w:sz w:val="20"/>
                <w:szCs w:val="20"/>
                <w:lang w:eastAsia="sk-SK"/>
              </w:rPr>
              <w:t>5 317</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6 220</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center"/>
              <w:rPr>
                <w:rFonts w:ascii="Times New Roman" w:hAnsi="Times New Roman"/>
                <w:color w:val="000000"/>
                <w:sz w:val="20"/>
                <w:szCs w:val="20"/>
                <w:lang w:eastAsia="sk-SK"/>
              </w:rPr>
            </w:pPr>
            <w:r w:rsidRPr="0072101A">
              <w:rPr>
                <w:rFonts w:ascii="Times New Roman" w:hAnsi="Times New Roman"/>
                <w:color w:val="000000"/>
                <w:sz w:val="20"/>
                <w:szCs w:val="20"/>
                <w:lang w:eastAsia="sk-SK"/>
              </w:rPr>
              <w:t>VII.</w:t>
            </w:r>
          </w:p>
        </w:tc>
        <w:tc>
          <w:tcPr>
            <w:tcW w:w="4710" w:type="dxa"/>
            <w:tcBorders>
              <w:top w:val="nil"/>
              <w:left w:val="nil"/>
              <w:bottom w:val="nil"/>
              <w:right w:val="nil"/>
            </w:tcBorders>
            <w:shd w:val="clear" w:color="000000" w:fill="FFFFFF"/>
            <w:textDirection w:val="lrTb"/>
            <w:vAlign w:val="center"/>
          </w:tcPr>
          <w:p w:rsidR="00E1754C" w:rsidRPr="0072101A" w:rsidP="00F76A5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Výnosy z transferov</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7635AF">
              <w:rPr>
                <w:rFonts w:ascii="Times New Roman" w:hAnsi="Times New Roman"/>
                <w:color w:val="000000"/>
                <w:sz w:val="20"/>
                <w:szCs w:val="20"/>
                <w:lang w:eastAsia="sk-SK"/>
              </w:rPr>
              <w:t>6 787 786</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4 629 929</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single" w:sz="4" w:space="0" w:color="auto"/>
              <w:right w:val="nil"/>
            </w:tcBorders>
            <w:noWrap/>
            <w:textDirection w:val="lrTb"/>
            <w:vAlign w:val="bottom"/>
          </w:tcPr>
          <w:p w:rsidR="00E1754C" w:rsidRPr="0072101A" w:rsidP="00B46D4D">
            <w:pPr>
              <w:bidi w:val="0"/>
              <w:spacing w:after="0" w:line="240" w:lineRule="auto"/>
              <w:rPr>
                <w:color w:val="000000"/>
                <w:sz w:val="20"/>
                <w:szCs w:val="20"/>
                <w:lang w:eastAsia="sk-SK"/>
              </w:rPr>
            </w:pPr>
            <w:r w:rsidRPr="0072101A">
              <w:rPr>
                <w:color w:val="000000"/>
                <w:sz w:val="20"/>
                <w:szCs w:val="20"/>
                <w:lang w:eastAsia="sk-SK"/>
              </w:rPr>
              <w:t> </w:t>
            </w:r>
          </w:p>
        </w:tc>
        <w:tc>
          <w:tcPr>
            <w:tcW w:w="4710" w:type="dxa"/>
            <w:tcBorders>
              <w:top w:val="nil"/>
              <w:left w:val="nil"/>
              <w:bottom w:val="single" w:sz="4" w:space="0" w:color="auto"/>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VÝNOSY SPOLU</w:t>
            </w:r>
          </w:p>
        </w:tc>
        <w:tc>
          <w:tcPr>
            <w:tcW w:w="1500" w:type="dxa"/>
            <w:tcBorders>
              <w:top w:val="nil"/>
              <w:left w:val="nil"/>
              <w:bottom w:val="single" w:sz="4" w:space="0" w:color="auto"/>
              <w:right w:val="nil"/>
            </w:tcBorders>
            <w:shd w:val="clear" w:color="000000" w:fill="FFFFFF"/>
            <w:textDirection w:val="lrTb"/>
            <w:vAlign w:val="center"/>
          </w:tcPr>
          <w:p w:rsidR="00E1754C" w:rsidRPr="0072101A" w:rsidP="003B770C">
            <w:pPr>
              <w:bidi w:val="0"/>
              <w:spacing w:after="0" w:line="240" w:lineRule="auto"/>
              <w:jc w:val="right"/>
              <w:rPr>
                <w:rFonts w:ascii="Times New Roman" w:hAnsi="Times New Roman"/>
                <w:b/>
                <w:bCs/>
                <w:color w:val="000000"/>
                <w:sz w:val="20"/>
                <w:szCs w:val="20"/>
                <w:lang w:eastAsia="sk-SK"/>
              </w:rPr>
            </w:pPr>
            <w:r w:rsidR="007635AF">
              <w:rPr>
                <w:rFonts w:ascii="Times New Roman" w:hAnsi="Times New Roman"/>
                <w:b/>
                <w:bCs/>
                <w:color w:val="000000"/>
                <w:sz w:val="20"/>
                <w:szCs w:val="20"/>
                <w:lang w:eastAsia="sk-SK"/>
              </w:rPr>
              <w:t>54 230 962</w:t>
            </w:r>
          </w:p>
        </w:tc>
        <w:tc>
          <w:tcPr>
            <w:tcW w:w="1740" w:type="dxa"/>
            <w:tcBorders>
              <w:top w:val="nil"/>
              <w:left w:val="nil"/>
              <w:bottom w:val="single" w:sz="4" w:space="0" w:color="auto"/>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49 627 959</w:t>
            </w:r>
          </w:p>
        </w:tc>
      </w:tr>
      <w:tr>
        <w:tblPrEx>
          <w:tblW w:w="8910" w:type="dxa"/>
          <w:jc w:val="center"/>
          <w:tblInd w:w="70" w:type="dxa"/>
          <w:tblCellMar>
            <w:left w:w="70" w:type="dxa"/>
            <w:right w:w="70" w:type="dxa"/>
          </w:tblCellMar>
          <w:tblLook w:val="00A0"/>
        </w:tblPrEx>
        <w:trPr>
          <w:trHeight w:val="330"/>
          <w:jc w:val="center"/>
        </w:trPr>
        <w:tc>
          <w:tcPr>
            <w:tcW w:w="5670" w:type="dxa"/>
            <w:gridSpan w:val="2"/>
            <w:tcBorders>
              <w:top w:val="single" w:sz="4" w:space="0" w:color="auto"/>
              <w:left w:val="nil"/>
              <w:bottom w:val="single" w:sz="4" w:space="0" w:color="auto"/>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Výsledok hospodárenia pred zdanením</w:t>
            </w:r>
          </w:p>
        </w:tc>
        <w:tc>
          <w:tcPr>
            <w:tcW w:w="1500" w:type="dxa"/>
            <w:tcBorders>
              <w:top w:val="nil"/>
              <w:left w:val="nil"/>
              <w:bottom w:val="single" w:sz="4" w:space="0" w:color="auto"/>
              <w:right w:val="nil"/>
            </w:tcBorders>
            <w:shd w:val="clear" w:color="000000" w:fill="FFFFFF"/>
            <w:textDirection w:val="lrTb"/>
            <w:vAlign w:val="center"/>
          </w:tcPr>
          <w:p w:rsidR="00E1754C" w:rsidRPr="0072101A" w:rsidP="00F623FB">
            <w:pPr>
              <w:bidi w:val="0"/>
              <w:spacing w:after="0" w:line="240" w:lineRule="auto"/>
              <w:jc w:val="right"/>
              <w:rPr>
                <w:rFonts w:ascii="Times New Roman" w:hAnsi="Times New Roman"/>
                <w:b/>
                <w:bCs/>
                <w:color w:val="000000"/>
                <w:sz w:val="20"/>
                <w:szCs w:val="20"/>
                <w:lang w:eastAsia="sk-SK"/>
              </w:rPr>
            </w:pPr>
            <w:r w:rsidR="007635AF">
              <w:rPr>
                <w:rFonts w:ascii="Times New Roman" w:hAnsi="Times New Roman"/>
                <w:b/>
                <w:bCs/>
                <w:color w:val="000000"/>
                <w:sz w:val="20"/>
                <w:szCs w:val="20"/>
                <w:lang w:eastAsia="sk-SK"/>
              </w:rPr>
              <w:t>-1 943 808</w:t>
            </w:r>
          </w:p>
        </w:tc>
        <w:tc>
          <w:tcPr>
            <w:tcW w:w="1740" w:type="dxa"/>
            <w:tcBorders>
              <w:top w:val="nil"/>
              <w:left w:val="nil"/>
              <w:bottom w:val="single" w:sz="4" w:space="0" w:color="auto"/>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-6 596 744</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color w:val="000000"/>
                <w:sz w:val="20"/>
                <w:szCs w:val="20"/>
                <w:lang w:eastAsia="sk-SK"/>
              </w:rPr>
            </w:pPr>
            <w:r w:rsidRPr="0072101A">
              <w:rPr>
                <w:color w:val="000000"/>
                <w:sz w:val="20"/>
                <w:szCs w:val="20"/>
                <w:lang w:eastAsia="sk-SK"/>
              </w:rPr>
              <w:t> </w:t>
            </w:r>
          </w:p>
        </w:tc>
        <w:tc>
          <w:tcPr>
            <w:tcW w:w="471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Splatná daň z príjmov</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7635AF">
              <w:rPr>
                <w:rFonts w:ascii="Times New Roman" w:hAnsi="Times New Roman"/>
                <w:color w:val="000000"/>
                <w:sz w:val="20"/>
                <w:szCs w:val="20"/>
                <w:lang w:eastAsia="sk-SK"/>
              </w:rPr>
              <w:t>42 497</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43 507</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color w:val="000000"/>
                <w:sz w:val="20"/>
                <w:szCs w:val="20"/>
                <w:lang w:eastAsia="sk-SK"/>
              </w:rPr>
            </w:pPr>
            <w:r w:rsidRPr="0072101A">
              <w:rPr>
                <w:color w:val="000000"/>
                <w:sz w:val="20"/>
                <w:szCs w:val="20"/>
                <w:lang w:eastAsia="sk-SK"/>
              </w:rPr>
              <w:t> </w:t>
            </w:r>
          </w:p>
        </w:tc>
        <w:tc>
          <w:tcPr>
            <w:tcW w:w="471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Dodatočne platená daň z príjmov</w:t>
            </w:r>
          </w:p>
        </w:tc>
        <w:tc>
          <w:tcPr>
            <w:tcW w:w="1500" w:type="dxa"/>
            <w:tcBorders>
              <w:top w:val="nil"/>
              <w:left w:val="nil"/>
              <w:bottom w:val="nil"/>
              <w:right w:val="nil"/>
            </w:tcBorders>
            <w:shd w:val="clear" w:color="000000" w:fill="FFFFFF"/>
            <w:textDirection w:val="lrTb"/>
            <w:vAlign w:val="center"/>
          </w:tcPr>
          <w:p w:rsidR="00E1754C" w:rsidRPr="0072101A" w:rsidP="00B46D4D">
            <w:pPr>
              <w:bidi w:val="0"/>
              <w:spacing w:after="0" w:line="240" w:lineRule="auto"/>
              <w:jc w:val="right"/>
              <w:rPr>
                <w:rFonts w:ascii="Times New Roman" w:hAnsi="Times New Roman"/>
                <w:color w:val="000000"/>
                <w:sz w:val="20"/>
                <w:szCs w:val="20"/>
                <w:lang w:eastAsia="sk-SK"/>
              </w:rPr>
            </w:pPr>
            <w:r w:rsidR="007635AF">
              <w:rPr>
                <w:rFonts w:ascii="Times New Roman" w:hAnsi="Times New Roman"/>
                <w:color w:val="000000"/>
                <w:sz w:val="20"/>
                <w:szCs w:val="20"/>
                <w:lang w:eastAsia="sk-SK"/>
              </w:rPr>
              <w:t>250</w:t>
            </w:r>
          </w:p>
        </w:tc>
        <w:tc>
          <w:tcPr>
            <w:tcW w:w="1740" w:type="dxa"/>
            <w:tcBorders>
              <w:top w:val="nil"/>
              <w:left w:val="nil"/>
              <w:bottom w:val="nil"/>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48</w:t>
            </w:r>
          </w:p>
        </w:tc>
      </w:tr>
      <w:tr>
        <w:tblPrEx>
          <w:tblW w:w="8910" w:type="dxa"/>
          <w:jc w:val="center"/>
          <w:tblInd w:w="70" w:type="dxa"/>
          <w:tblCellMar>
            <w:left w:w="70" w:type="dxa"/>
            <w:right w:w="70" w:type="dxa"/>
          </w:tblCellMar>
          <w:tblLook w:val="00A0"/>
        </w:tblPrEx>
        <w:trPr>
          <w:trHeight w:val="330"/>
          <w:jc w:val="center"/>
        </w:trPr>
        <w:tc>
          <w:tcPr>
            <w:tcW w:w="5670" w:type="dxa"/>
            <w:gridSpan w:val="2"/>
            <w:tcBorders>
              <w:top w:val="nil"/>
              <w:left w:val="nil"/>
              <w:bottom w:val="single" w:sz="4" w:space="0" w:color="auto"/>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Výsledok hospodárenia po zdanení</w:t>
            </w:r>
          </w:p>
        </w:tc>
        <w:tc>
          <w:tcPr>
            <w:tcW w:w="1500" w:type="dxa"/>
            <w:tcBorders>
              <w:top w:val="nil"/>
              <w:left w:val="nil"/>
              <w:bottom w:val="single" w:sz="4" w:space="0" w:color="auto"/>
              <w:right w:val="nil"/>
            </w:tcBorders>
            <w:shd w:val="clear" w:color="000000" w:fill="FFFFFF"/>
            <w:textDirection w:val="lrTb"/>
            <w:vAlign w:val="center"/>
          </w:tcPr>
          <w:p w:rsidR="00E1754C" w:rsidRPr="0072101A" w:rsidP="00F623FB">
            <w:pPr>
              <w:bidi w:val="0"/>
              <w:spacing w:after="0" w:line="240" w:lineRule="auto"/>
              <w:jc w:val="right"/>
              <w:rPr>
                <w:rFonts w:ascii="Times New Roman" w:hAnsi="Times New Roman"/>
                <w:b/>
                <w:bCs/>
                <w:color w:val="000000"/>
                <w:sz w:val="20"/>
                <w:szCs w:val="20"/>
                <w:lang w:eastAsia="sk-SK"/>
              </w:rPr>
            </w:pPr>
            <w:r w:rsidR="007635AF">
              <w:rPr>
                <w:rFonts w:ascii="Times New Roman" w:hAnsi="Times New Roman"/>
                <w:b/>
                <w:bCs/>
                <w:color w:val="000000"/>
                <w:sz w:val="20"/>
                <w:szCs w:val="20"/>
                <w:lang w:eastAsia="sk-SK"/>
              </w:rPr>
              <w:t>-1 986 555</w:t>
            </w:r>
          </w:p>
        </w:tc>
        <w:tc>
          <w:tcPr>
            <w:tcW w:w="1740" w:type="dxa"/>
            <w:tcBorders>
              <w:top w:val="nil"/>
              <w:left w:val="nil"/>
              <w:bottom w:val="single" w:sz="4" w:space="0" w:color="auto"/>
              <w:right w:val="nil"/>
            </w:tcBorders>
            <w:shd w:val="clear" w:color="000000" w:fill="FFFFFF"/>
            <w:textDirection w:val="lrTb"/>
            <w:vAlign w:val="center"/>
          </w:tcPr>
          <w:p w:rsidR="00E1754C" w:rsidRPr="0072101A" w:rsidP="00746081">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-6 640 299</w:t>
            </w:r>
          </w:p>
        </w:tc>
      </w:tr>
      <w:tr>
        <w:tblPrEx>
          <w:tblW w:w="8910" w:type="dxa"/>
          <w:jc w:val="center"/>
          <w:tblInd w:w="70" w:type="dxa"/>
          <w:tblCellMar>
            <w:left w:w="70" w:type="dxa"/>
            <w:right w:w="70" w:type="dxa"/>
          </w:tblCellMar>
          <w:tblLook w:val="00A0"/>
        </w:tblPrEx>
        <w:trPr>
          <w:trHeight w:val="330"/>
          <w:jc w:val="center"/>
        </w:trPr>
        <w:tc>
          <w:tcPr>
            <w:tcW w:w="960" w:type="dxa"/>
            <w:tcBorders>
              <w:top w:val="nil"/>
              <w:left w:val="nil"/>
              <w:bottom w:val="single" w:sz="4" w:space="0" w:color="auto"/>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 </w:t>
            </w:r>
          </w:p>
        </w:tc>
        <w:tc>
          <w:tcPr>
            <w:tcW w:w="4710" w:type="dxa"/>
            <w:tcBorders>
              <w:top w:val="nil"/>
              <w:left w:val="nil"/>
              <w:bottom w:val="single" w:sz="4" w:space="0" w:color="auto"/>
              <w:right w:val="nil"/>
            </w:tcBorders>
            <w:shd w:val="clear" w:color="000000" w:fill="FFFFFF"/>
            <w:textDirection w:val="lrTb"/>
            <w:vAlign w:val="center"/>
          </w:tcPr>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z toho: </w:t>
            </w:r>
          </w:p>
          <w:p w:rsidR="00E1754C" w:rsidRPr="0072101A" w:rsidP="00B46D4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pripadajúci na podiely iných účtovných jednotiek</w:t>
            </w:r>
          </w:p>
        </w:tc>
        <w:tc>
          <w:tcPr>
            <w:tcW w:w="1500" w:type="dxa"/>
            <w:tcBorders>
              <w:top w:val="nil"/>
              <w:left w:val="nil"/>
              <w:bottom w:val="single" w:sz="4" w:space="0" w:color="auto"/>
              <w:right w:val="nil"/>
            </w:tcBorders>
            <w:shd w:val="clear" w:color="000000" w:fill="FFFFFF"/>
            <w:textDirection w:val="lrTb"/>
            <w:vAlign w:val="bottom"/>
          </w:tcPr>
          <w:p w:rsidR="00E1754C" w:rsidRPr="0072101A" w:rsidP="0063597D">
            <w:pPr>
              <w:bidi w:val="0"/>
              <w:spacing w:after="0" w:line="240" w:lineRule="auto"/>
              <w:jc w:val="right"/>
              <w:rPr>
                <w:rFonts w:ascii="Times New Roman" w:hAnsi="Times New Roman"/>
                <w:color w:val="000000"/>
                <w:sz w:val="20"/>
                <w:szCs w:val="20"/>
                <w:lang w:eastAsia="sk-SK"/>
              </w:rPr>
            </w:pPr>
            <w:r w:rsidR="007635AF">
              <w:rPr>
                <w:rFonts w:ascii="Times New Roman" w:hAnsi="Times New Roman"/>
                <w:color w:val="000000"/>
                <w:sz w:val="20"/>
                <w:szCs w:val="20"/>
                <w:lang w:eastAsia="sk-SK"/>
              </w:rPr>
              <w:t>2 747</w:t>
            </w:r>
          </w:p>
        </w:tc>
        <w:tc>
          <w:tcPr>
            <w:tcW w:w="1740" w:type="dxa"/>
            <w:tcBorders>
              <w:top w:val="nil"/>
              <w:left w:val="nil"/>
              <w:bottom w:val="single" w:sz="4" w:space="0" w:color="auto"/>
              <w:right w:val="nil"/>
            </w:tcBorders>
            <w:shd w:val="clear" w:color="000000" w:fill="FFFFFF"/>
            <w:textDirection w:val="lrTb"/>
            <w:vAlign w:val="bottom"/>
          </w:tcPr>
          <w:p w:rsidR="00E1754C" w:rsidRPr="0072101A" w:rsidP="00746081">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1 200 016</w:t>
            </w:r>
          </w:p>
        </w:tc>
      </w:tr>
    </w:tbl>
    <w:p w:rsidR="002D6290" w:rsidRPr="0072101A" w:rsidP="002D6290">
      <w:pPr>
        <w:bidi w:val="0"/>
        <w:rPr>
          <w:rFonts w:ascii="Times New Roman" w:hAnsi="Times New Roman"/>
          <w:sz w:val="24"/>
          <w:szCs w:val="24"/>
        </w:rPr>
      </w:pPr>
    </w:p>
    <w:p w:rsidR="00937FBB" w:rsidRPr="0072101A">
      <w:pPr>
        <w:bidi w:val="0"/>
      </w:pPr>
    </w:p>
    <w:p w:rsidR="000C5F58" w:rsidRPr="0072101A">
      <w:pPr>
        <w:bidi w:val="0"/>
      </w:pPr>
    </w:p>
    <w:p w:rsidR="000C5F58" w:rsidRPr="0072101A">
      <w:pPr>
        <w:bidi w:val="0"/>
      </w:pPr>
    </w:p>
    <w:p w:rsidR="000C5F58" w:rsidRPr="0072101A">
      <w:pPr>
        <w:bidi w:val="0"/>
      </w:pPr>
    </w:p>
    <w:p w:rsidR="000C5F58" w:rsidRPr="0072101A">
      <w:pPr>
        <w:bidi w:val="0"/>
      </w:pPr>
    </w:p>
    <w:p w:rsidR="000C5F58" w:rsidRPr="0072101A">
      <w:pPr>
        <w:bidi w:val="0"/>
      </w:pPr>
    </w:p>
    <w:p w:rsidR="000C5F58" w:rsidRPr="0072101A">
      <w:pPr>
        <w:bidi w:val="0"/>
      </w:pPr>
    </w:p>
    <w:p w:rsidR="000C5F58" w:rsidRPr="0072101A">
      <w:pPr>
        <w:bidi w:val="0"/>
      </w:pPr>
    </w:p>
    <w:p w:rsidR="003E5CFD" w:rsidRPr="0072101A" w:rsidP="003F16C9">
      <w:pPr>
        <w:bidi w:val="0"/>
        <w:spacing w:line="336" w:lineRule="auto"/>
        <w:rPr>
          <w:rFonts w:ascii="Times New Roman" w:hAnsi="Times New Roman"/>
          <w:b/>
          <w:color w:val="000000"/>
          <w:sz w:val="26"/>
          <w:szCs w:val="26"/>
        </w:rPr>
        <w:sectPr w:rsidSect="003E7ED7">
          <w:footerReference w:type="default" r:id="rId9"/>
          <w:footerReference w:type="first" r:id="rId10"/>
          <w:pgSz w:w="11906" w:h="16838"/>
          <w:pgMar w:top="1418" w:right="1134" w:bottom="1418" w:left="1134" w:header="709" w:footer="709" w:gutter="567"/>
          <w:lnNumType w:distance="0"/>
          <w:cols w:space="708"/>
          <w:noEndnote w:val="0"/>
          <w:titlePg/>
          <w:bidi w:val="0"/>
          <w:docGrid w:linePitch="360"/>
        </w:sectPr>
      </w:pPr>
    </w:p>
    <w:p w:rsidR="002D6290" w:rsidRPr="0072101A" w:rsidP="003F16C9">
      <w:pPr>
        <w:bidi w:val="0"/>
        <w:spacing w:line="336" w:lineRule="auto"/>
        <w:rPr>
          <w:rFonts w:ascii="Times New Roman" w:hAnsi="Times New Roman"/>
          <w:b/>
          <w:caps/>
          <w:color w:val="000000"/>
          <w:sz w:val="26"/>
          <w:szCs w:val="26"/>
        </w:rPr>
      </w:pPr>
      <w:r w:rsidRPr="0072101A" w:rsidR="00E82A84">
        <w:rPr>
          <w:rFonts w:ascii="Times New Roman" w:hAnsi="Times New Roman"/>
          <w:b/>
          <w:color w:val="000000"/>
          <w:sz w:val="26"/>
          <w:szCs w:val="26"/>
        </w:rPr>
        <w:t xml:space="preserve">I. </w:t>
      </w:r>
      <w:r w:rsidRPr="0072101A" w:rsidR="00905B57">
        <w:rPr>
          <w:rFonts w:ascii="Times New Roman" w:hAnsi="Times New Roman"/>
          <w:b/>
          <w:caps/>
          <w:color w:val="000000"/>
          <w:sz w:val="26"/>
          <w:szCs w:val="26"/>
        </w:rPr>
        <w:t>VšeobeC</w:t>
      </w:r>
      <w:r w:rsidRPr="0072101A">
        <w:rPr>
          <w:rFonts w:ascii="Times New Roman" w:hAnsi="Times New Roman"/>
          <w:b/>
          <w:caps/>
          <w:color w:val="000000"/>
          <w:sz w:val="26"/>
          <w:szCs w:val="26"/>
        </w:rPr>
        <w:t>né údaje</w:t>
      </w:r>
      <w:r w:rsidRPr="0072101A" w:rsidR="006F1DBB">
        <w:rPr>
          <w:rFonts w:ascii="Times New Roman" w:hAnsi="Times New Roman"/>
          <w:b/>
          <w:caps/>
          <w:color w:val="000000"/>
          <w:sz w:val="26"/>
          <w:szCs w:val="26"/>
        </w:rPr>
        <w:t xml:space="preserve"> a zverejnenia</w:t>
      </w:r>
    </w:p>
    <w:p w:rsidR="002D6290" w:rsidRPr="0072101A" w:rsidP="003F16C9">
      <w:pPr>
        <w:bidi w:val="0"/>
        <w:spacing w:line="336" w:lineRule="auto"/>
        <w:rPr>
          <w:rFonts w:ascii="Times New Roman" w:hAnsi="Times New Roman"/>
          <w:b/>
          <w:color w:val="000000"/>
          <w:sz w:val="24"/>
          <w:szCs w:val="24"/>
        </w:rPr>
      </w:pPr>
      <w:r w:rsidRPr="0072101A">
        <w:rPr>
          <w:rFonts w:ascii="Times New Roman" w:hAnsi="Times New Roman"/>
          <w:b/>
          <w:color w:val="000000"/>
          <w:sz w:val="24"/>
          <w:szCs w:val="24"/>
        </w:rPr>
        <w:t>1.</w:t>
      </w:r>
      <w:r w:rsidRPr="0072101A" w:rsidR="00A47F31">
        <w:rPr>
          <w:rFonts w:ascii="Times New Roman" w:hAnsi="Times New Roman"/>
          <w:b/>
          <w:color w:val="000000"/>
          <w:sz w:val="24"/>
          <w:szCs w:val="24"/>
        </w:rPr>
        <w:t xml:space="preserve"> </w:t>
      </w:r>
      <w:r w:rsidRPr="0072101A">
        <w:rPr>
          <w:rFonts w:ascii="Times New Roman" w:hAnsi="Times New Roman"/>
          <w:b/>
          <w:color w:val="000000"/>
          <w:sz w:val="24"/>
          <w:szCs w:val="24"/>
        </w:rPr>
        <w:t>Právny dôvod na zostavenie súhrnnej účtovnej závierky</w:t>
      </w:r>
      <w:r w:rsidRPr="0072101A" w:rsidR="00036F71">
        <w:rPr>
          <w:rFonts w:ascii="Times New Roman" w:hAnsi="Times New Roman"/>
          <w:b/>
          <w:color w:val="000000"/>
          <w:sz w:val="24"/>
          <w:szCs w:val="24"/>
        </w:rPr>
        <w:t xml:space="preserve"> verejnej správy Slovenskej</w:t>
      </w:r>
      <w:r w:rsidRPr="0072101A" w:rsidR="00274DB1">
        <w:rPr>
          <w:rFonts w:ascii="Times New Roman" w:hAnsi="Times New Roman"/>
          <w:b/>
          <w:color w:val="000000"/>
          <w:sz w:val="24"/>
          <w:szCs w:val="24"/>
        </w:rPr>
        <w:t xml:space="preserve"> </w:t>
      </w:r>
      <w:r w:rsidRPr="0072101A" w:rsidR="00036F71">
        <w:rPr>
          <w:rFonts w:ascii="Times New Roman" w:hAnsi="Times New Roman"/>
          <w:b/>
          <w:color w:val="000000"/>
          <w:sz w:val="24"/>
          <w:szCs w:val="24"/>
        </w:rPr>
        <w:t>republiky</w:t>
      </w:r>
    </w:p>
    <w:p w:rsidR="002D6290" w:rsidRPr="0072101A" w:rsidP="003F16C9">
      <w:pPr>
        <w:bidi w:val="0"/>
        <w:spacing w:after="120" w:line="336" w:lineRule="auto"/>
        <w:jc w:val="both"/>
        <w:rPr>
          <w:rFonts w:ascii="Times New Roman" w:hAnsi="Times New Roman"/>
          <w:color w:val="000000"/>
          <w:szCs w:val="22"/>
        </w:rPr>
      </w:pPr>
      <w:r w:rsidRPr="0072101A">
        <w:rPr>
          <w:rFonts w:ascii="Times New Roman" w:hAnsi="Times New Roman"/>
          <w:color w:val="000000"/>
          <w:szCs w:val="22"/>
        </w:rPr>
        <w:t>Súhrnná účtovná závierka verejnej správy</w:t>
      </w:r>
      <w:r w:rsidRPr="0072101A" w:rsidR="00036F71">
        <w:rPr>
          <w:rFonts w:ascii="Times New Roman" w:hAnsi="Times New Roman"/>
          <w:color w:val="000000"/>
          <w:szCs w:val="22"/>
        </w:rPr>
        <w:t xml:space="preserve"> Slovenskej republiky</w:t>
      </w:r>
      <w:r w:rsidRPr="0072101A" w:rsidR="005D481B">
        <w:rPr>
          <w:rFonts w:ascii="Times New Roman" w:hAnsi="Times New Roman"/>
          <w:color w:val="000000"/>
          <w:szCs w:val="22"/>
        </w:rPr>
        <w:t xml:space="preserve"> </w:t>
      </w:r>
      <w:r w:rsidRPr="0072101A">
        <w:rPr>
          <w:rFonts w:ascii="Times New Roman" w:hAnsi="Times New Roman"/>
          <w:color w:val="000000"/>
          <w:szCs w:val="22"/>
        </w:rPr>
        <w:t>bol</w:t>
      </w:r>
      <w:r w:rsidRPr="0072101A" w:rsidR="005F45B3">
        <w:rPr>
          <w:rFonts w:ascii="Times New Roman" w:hAnsi="Times New Roman"/>
          <w:color w:val="000000"/>
          <w:szCs w:val="22"/>
        </w:rPr>
        <w:t>a zostavená v súlade so zákonom</w:t>
        <w:br/>
      </w:r>
      <w:r w:rsidRPr="0072101A">
        <w:rPr>
          <w:rFonts w:ascii="Times New Roman" w:hAnsi="Times New Roman"/>
          <w:color w:val="000000"/>
          <w:szCs w:val="22"/>
        </w:rPr>
        <w:t>č. 431/2002 Z. z. o účtovníctve v znení neskorších predpisov (ďalej len ,,zákon o účtov</w:t>
      </w:r>
      <w:r w:rsidRPr="0072101A" w:rsidR="002B7690">
        <w:rPr>
          <w:rFonts w:ascii="Times New Roman" w:hAnsi="Times New Roman"/>
          <w:color w:val="000000"/>
          <w:szCs w:val="22"/>
        </w:rPr>
        <w:t>níctve“). Primerane boli použité</w:t>
      </w:r>
      <w:r w:rsidRPr="0072101A">
        <w:rPr>
          <w:rFonts w:ascii="Times New Roman" w:hAnsi="Times New Roman"/>
          <w:color w:val="000000"/>
          <w:szCs w:val="22"/>
        </w:rPr>
        <w:t xml:space="preserve"> aj ustanovenia Opatrenia Ministerstva finan</w:t>
      </w:r>
      <w:r w:rsidRPr="0072101A" w:rsidR="005F45B3">
        <w:rPr>
          <w:rFonts w:ascii="Times New Roman" w:hAnsi="Times New Roman"/>
          <w:color w:val="000000"/>
          <w:szCs w:val="22"/>
        </w:rPr>
        <w:t>cií Slovenskej republiky zo dňa</w:t>
        <w:br/>
      </w:r>
      <w:r w:rsidRPr="0072101A">
        <w:rPr>
          <w:rFonts w:ascii="Times New Roman" w:hAnsi="Times New Roman"/>
          <w:color w:val="000000"/>
          <w:szCs w:val="22"/>
        </w:rPr>
        <w:t>17. decembra 200</w:t>
      </w:r>
      <w:r w:rsidRPr="0072101A" w:rsidR="00036F71">
        <w:rPr>
          <w:rFonts w:ascii="Times New Roman" w:hAnsi="Times New Roman"/>
          <w:color w:val="000000"/>
          <w:szCs w:val="22"/>
        </w:rPr>
        <w:t xml:space="preserve">8 č. MF/27526/2008–31 v znení </w:t>
      </w:r>
      <w:r w:rsidRPr="0072101A">
        <w:rPr>
          <w:rFonts w:ascii="Times New Roman" w:hAnsi="Times New Roman"/>
          <w:color w:val="000000"/>
          <w:szCs w:val="22"/>
        </w:rPr>
        <w:t>neskorších predpisov, ktorým sa ustanovujú podrobnosti o metódach a postupoch konsolidácie vo verejnej správe a podrobno</w:t>
      </w:r>
      <w:r w:rsidRPr="0072101A" w:rsidR="00375816">
        <w:rPr>
          <w:rFonts w:ascii="Times New Roman" w:hAnsi="Times New Roman"/>
          <w:color w:val="000000"/>
          <w:szCs w:val="22"/>
        </w:rPr>
        <w:t>sti o usporiadaní</w:t>
        <w:br/>
      </w:r>
      <w:r w:rsidRPr="0072101A">
        <w:rPr>
          <w:rFonts w:ascii="Times New Roman" w:hAnsi="Times New Roman"/>
          <w:color w:val="000000"/>
          <w:szCs w:val="22"/>
        </w:rPr>
        <w:t>a označovaní položiek konsolidovanej účtovnej závierky ústrednej správy (ďalej len ,,opatrenie</w:t>
      </w:r>
      <w:r w:rsidR="008D2E7F">
        <w:rPr>
          <w:rFonts w:ascii="Times New Roman" w:hAnsi="Times New Roman"/>
          <w:color w:val="000000"/>
          <w:szCs w:val="22"/>
        </w:rPr>
        <w:t>“</w:t>
      </w:r>
      <w:r w:rsidRPr="0072101A">
        <w:rPr>
          <w:rFonts w:ascii="Times New Roman" w:hAnsi="Times New Roman"/>
          <w:color w:val="000000"/>
          <w:szCs w:val="22"/>
        </w:rPr>
        <w:t>)</w:t>
      </w:r>
      <w:r w:rsidRPr="0072101A" w:rsidR="00036F71">
        <w:rPr>
          <w:rFonts w:ascii="Times New Roman" w:hAnsi="Times New Roman"/>
          <w:color w:val="000000"/>
          <w:szCs w:val="22"/>
        </w:rPr>
        <w:t>,</w:t>
      </w:r>
      <w:r w:rsidRPr="0072101A">
        <w:rPr>
          <w:rFonts w:ascii="Times New Roman" w:hAnsi="Times New Roman"/>
          <w:color w:val="000000"/>
          <w:szCs w:val="22"/>
        </w:rPr>
        <w:t xml:space="preserve"> a to v oblasti použitých metód konsolidácie a postupu konsolidácie. </w:t>
      </w:r>
    </w:p>
    <w:p w:rsidR="002D6290" w:rsidRPr="0072101A" w:rsidP="003F16C9">
      <w:pPr>
        <w:bidi w:val="0"/>
        <w:spacing w:after="120" w:line="336" w:lineRule="auto"/>
        <w:jc w:val="both"/>
        <w:rPr>
          <w:rFonts w:ascii="Times New Roman" w:hAnsi="Times New Roman"/>
          <w:color w:val="000000"/>
          <w:szCs w:val="22"/>
        </w:rPr>
      </w:pPr>
      <w:r w:rsidRPr="0072101A">
        <w:rPr>
          <w:rFonts w:ascii="Times New Roman" w:hAnsi="Times New Roman"/>
          <w:color w:val="000000"/>
          <w:szCs w:val="22"/>
        </w:rPr>
        <w:t>Súhrnná účtovná závierka verejnej správy je sprístupnená k nahliadnutiu v sídle konsolidujúcej účtovnej jednotky, ktorou je Ministerstvo financií S</w:t>
      </w:r>
      <w:r w:rsidRPr="0072101A" w:rsidR="009C0A7A">
        <w:rPr>
          <w:rFonts w:ascii="Times New Roman" w:hAnsi="Times New Roman"/>
          <w:color w:val="000000"/>
          <w:szCs w:val="22"/>
        </w:rPr>
        <w:t>lovenskej republiky</w:t>
      </w:r>
      <w:r w:rsidRPr="0072101A">
        <w:rPr>
          <w:rFonts w:ascii="Times New Roman" w:hAnsi="Times New Roman"/>
          <w:color w:val="000000"/>
          <w:szCs w:val="22"/>
        </w:rPr>
        <w:t>.</w:t>
      </w:r>
      <w:r w:rsidRPr="0072101A" w:rsidR="0083378A">
        <w:rPr>
          <w:rFonts w:ascii="Times New Roman" w:hAnsi="Times New Roman"/>
          <w:color w:val="000000"/>
          <w:szCs w:val="22"/>
        </w:rPr>
        <w:t xml:space="preserve"> V elektronickej podobe je súhrnná účtovná závierka uložená aj v Registri účtovných závierok na web</w:t>
      </w:r>
      <w:r w:rsidRPr="0072101A" w:rsidR="005469CF">
        <w:rPr>
          <w:rFonts w:ascii="Times New Roman" w:hAnsi="Times New Roman"/>
          <w:color w:val="000000"/>
          <w:szCs w:val="22"/>
        </w:rPr>
        <w:t>o</w:t>
      </w:r>
      <w:r w:rsidR="00746081">
        <w:rPr>
          <w:rFonts w:ascii="Times New Roman" w:hAnsi="Times New Roman"/>
          <w:color w:val="000000"/>
          <w:szCs w:val="22"/>
        </w:rPr>
        <w:t>vom</w:t>
      </w:r>
      <w:r w:rsidRPr="0072101A" w:rsidR="0083378A">
        <w:rPr>
          <w:rFonts w:ascii="Times New Roman" w:hAnsi="Times New Roman"/>
          <w:color w:val="000000"/>
          <w:szCs w:val="22"/>
        </w:rPr>
        <w:t xml:space="preserve"> </w:t>
      </w:r>
      <w:r w:rsidRPr="0072101A" w:rsidR="005469CF">
        <w:rPr>
          <w:rFonts w:ascii="Times New Roman" w:hAnsi="Times New Roman"/>
          <w:color w:val="000000"/>
          <w:szCs w:val="22"/>
        </w:rPr>
        <w:t>s</w:t>
      </w:r>
      <w:r w:rsidR="00746081">
        <w:rPr>
          <w:rFonts w:ascii="Times New Roman" w:hAnsi="Times New Roman"/>
          <w:color w:val="000000"/>
          <w:szCs w:val="22"/>
        </w:rPr>
        <w:t>ídle</w:t>
      </w:r>
      <w:r w:rsidRPr="0072101A" w:rsidR="0083378A">
        <w:rPr>
          <w:rFonts w:ascii="Times New Roman" w:hAnsi="Times New Roman"/>
          <w:color w:val="000000"/>
          <w:szCs w:val="22"/>
        </w:rPr>
        <w:t xml:space="preserve"> </w:t>
      </w:r>
      <w:hyperlink r:id="rId11" w:history="1">
        <w:r w:rsidRPr="0072101A" w:rsidR="0083378A">
          <w:rPr>
            <w:rStyle w:val="Hyperlink"/>
            <w:rFonts w:ascii="Times New Roman" w:hAnsi="Times New Roman"/>
            <w:szCs w:val="22"/>
          </w:rPr>
          <w:t>www.registeruz.sk</w:t>
        </w:r>
      </w:hyperlink>
      <w:r w:rsidRPr="0072101A" w:rsidR="0083378A">
        <w:rPr>
          <w:rFonts w:ascii="Times New Roman" w:hAnsi="Times New Roman"/>
          <w:color w:val="000000"/>
          <w:szCs w:val="22"/>
        </w:rPr>
        <w:t>.</w:t>
      </w:r>
    </w:p>
    <w:p w:rsidR="002D6290" w:rsidRPr="0072101A" w:rsidP="003F16C9">
      <w:pPr>
        <w:bidi w:val="0"/>
        <w:spacing w:after="120" w:line="336" w:lineRule="auto"/>
        <w:jc w:val="both"/>
        <w:rPr>
          <w:rFonts w:ascii="Times New Roman" w:hAnsi="Times New Roman"/>
          <w:color w:val="000000"/>
          <w:szCs w:val="22"/>
        </w:rPr>
      </w:pPr>
      <w:r w:rsidRPr="0072101A" w:rsidR="00036F71">
        <w:rPr>
          <w:rFonts w:ascii="Times New Roman" w:hAnsi="Times New Roman"/>
          <w:color w:val="000000"/>
          <w:szCs w:val="22"/>
        </w:rPr>
        <w:t>S</w:t>
      </w:r>
      <w:r w:rsidRPr="0072101A">
        <w:rPr>
          <w:rFonts w:ascii="Times New Roman" w:hAnsi="Times New Roman"/>
          <w:color w:val="000000"/>
          <w:szCs w:val="22"/>
        </w:rPr>
        <w:t xml:space="preserve">úhrnná účtovná závierka </w:t>
      </w:r>
      <w:r w:rsidRPr="0072101A" w:rsidR="002B7690">
        <w:rPr>
          <w:rFonts w:ascii="Times New Roman" w:hAnsi="Times New Roman"/>
          <w:color w:val="000000"/>
          <w:szCs w:val="22"/>
        </w:rPr>
        <w:t xml:space="preserve">verejnej správy </w:t>
      </w:r>
      <w:r w:rsidRPr="0072101A">
        <w:rPr>
          <w:rFonts w:ascii="Times New Roman" w:hAnsi="Times New Roman"/>
          <w:color w:val="000000"/>
          <w:szCs w:val="22"/>
        </w:rPr>
        <w:t>bola spracovaná v súlade s §</w:t>
      </w:r>
      <w:r w:rsidRPr="0072101A" w:rsidR="00F957A0">
        <w:rPr>
          <w:rFonts w:ascii="Times New Roman" w:hAnsi="Times New Roman"/>
          <w:color w:val="000000"/>
          <w:szCs w:val="22"/>
        </w:rPr>
        <w:t xml:space="preserve"> </w:t>
      </w:r>
      <w:r w:rsidRPr="0072101A">
        <w:rPr>
          <w:rFonts w:ascii="Times New Roman" w:hAnsi="Times New Roman"/>
          <w:color w:val="000000"/>
          <w:szCs w:val="22"/>
        </w:rPr>
        <w:t xml:space="preserve">22a zákona </w:t>
      </w:r>
      <w:r w:rsidRPr="0072101A" w:rsidR="002B7690">
        <w:rPr>
          <w:rFonts w:ascii="Times New Roman" w:hAnsi="Times New Roman"/>
          <w:color w:val="000000"/>
          <w:szCs w:val="22"/>
        </w:rPr>
        <w:t xml:space="preserve">o účtovníctve </w:t>
      </w:r>
      <w:r w:rsidRPr="0072101A">
        <w:rPr>
          <w:rFonts w:ascii="Times New Roman" w:hAnsi="Times New Roman"/>
          <w:color w:val="000000"/>
          <w:szCs w:val="22"/>
        </w:rPr>
        <w:t>na základe</w:t>
      </w:r>
      <w:r w:rsidR="008D2E7F">
        <w:rPr>
          <w:rFonts w:ascii="Times New Roman" w:hAnsi="Times New Roman"/>
          <w:color w:val="000000"/>
          <w:szCs w:val="22"/>
        </w:rPr>
        <w:t xml:space="preserve"> agregácie</w:t>
      </w:r>
      <w:r w:rsidRPr="0072101A">
        <w:rPr>
          <w:rFonts w:ascii="Times New Roman" w:hAnsi="Times New Roman"/>
          <w:color w:val="000000"/>
          <w:szCs w:val="22"/>
        </w:rPr>
        <w:t>:</w:t>
      </w:r>
    </w:p>
    <w:p w:rsidR="002D6290" w:rsidRPr="0072101A" w:rsidP="008F6F24">
      <w:pPr>
        <w:numPr>
          <w:numId w:val="18"/>
        </w:numPr>
        <w:bidi w:val="0"/>
        <w:spacing w:after="0" w:line="336" w:lineRule="auto"/>
        <w:ind w:left="714" w:hanging="357"/>
        <w:jc w:val="both"/>
        <w:rPr>
          <w:rFonts w:ascii="Times New Roman" w:hAnsi="Times New Roman"/>
          <w:color w:val="000000"/>
          <w:szCs w:val="22"/>
        </w:rPr>
      </w:pPr>
      <w:r w:rsidRPr="0072101A">
        <w:rPr>
          <w:rFonts w:ascii="Times New Roman" w:hAnsi="Times New Roman"/>
          <w:color w:val="000000"/>
          <w:szCs w:val="22"/>
        </w:rPr>
        <w:t>konsolidovanej účtovnej závierky ústrednej správy,</w:t>
      </w:r>
    </w:p>
    <w:p w:rsidR="002D6290" w:rsidRPr="0066234E" w:rsidP="008F6F24">
      <w:pPr>
        <w:numPr>
          <w:numId w:val="18"/>
        </w:numPr>
        <w:bidi w:val="0"/>
        <w:spacing w:after="0" w:line="336" w:lineRule="auto"/>
        <w:ind w:left="714" w:hanging="357"/>
        <w:jc w:val="both"/>
        <w:rPr>
          <w:rFonts w:ascii="Times New Roman" w:hAnsi="Times New Roman"/>
          <w:color w:val="000000"/>
          <w:szCs w:val="22"/>
        </w:rPr>
      </w:pPr>
      <w:r w:rsidRPr="0066234E">
        <w:rPr>
          <w:rFonts w:ascii="Times New Roman" w:hAnsi="Times New Roman"/>
          <w:color w:val="000000"/>
          <w:szCs w:val="22"/>
        </w:rPr>
        <w:t>konsolidovaných účtovných závierok obcí</w:t>
      </w:r>
      <w:r w:rsidRPr="0066234E" w:rsidR="00ED7E1A">
        <w:rPr>
          <w:rFonts w:ascii="Times New Roman" w:hAnsi="Times New Roman"/>
          <w:color w:val="000000"/>
          <w:szCs w:val="22"/>
        </w:rPr>
        <w:t xml:space="preserve"> (1 1</w:t>
      </w:r>
      <w:r w:rsidRPr="0066234E" w:rsidR="0066234E">
        <w:rPr>
          <w:rFonts w:ascii="Times New Roman" w:hAnsi="Times New Roman"/>
          <w:color w:val="000000"/>
          <w:szCs w:val="22"/>
        </w:rPr>
        <w:t>1</w:t>
      </w:r>
      <w:r w:rsidR="00A3547C">
        <w:rPr>
          <w:rFonts w:ascii="Times New Roman" w:hAnsi="Times New Roman"/>
          <w:color w:val="000000"/>
          <w:szCs w:val="22"/>
        </w:rPr>
        <w:t>6</w:t>
      </w:r>
      <w:r w:rsidRPr="0066234E" w:rsidR="00ED7E1A">
        <w:rPr>
          <w:rFonts w:ascii="Times New Roman" w:hAnsi="Times New Roman"/>
          <w:color w:val="000000"/>
          <w:szCs w:val="22"/>
        </w:rPr>
        <w:t>)</w:t>
      </w:r>
      <w:r w:rsidRPr="0066234E">
        <w:rPr>
          <w:rFonts w:ascii="Times New Roman" w:hAnsi="Times New Roman"/>
          <w:color w:val="000000"/>
          <w:szCs w:val="22"/>
        </w:rPr>
        <w:t>,</w:t>
      </w:r>
    </w:p>
    <w:p w:rsidR="002D6290" w:rsidRPr="0072101A" w:rsidP="008F6F24">
      <w:pPr>
        <w:numPr>
          <w:numId w:val="18"/>
        </w:numPr>
        <w:bidi w:val="0"/>
        <w:spacing w:after="0" w:line="336" w:lineRule="auto"/>
        <w:ind w:left="714" w:hanging="357"/>
        <w:jc w:val="both"/>
        <w:rPr>
          <w:rFonts w:ascii="Times New Roman" w:hAnsi="Times New Roman"/>
          <w:color w:val="000000"/>
          <w:szCs w:val="22"/>
        </w:rPr>
      </w:pPr>
      <w:r w:rsidRPr="0072101A">
        <w:rPr>
          <w:rFonts w:ascii="Times New Roman" w:hAnsi="Times New Roman"/>
          <w:color w:val="000000"/>
          <w:szCs w:val="22"/>
        </w:rPr>
        <w:t>konsolidovaných účtovných závierok vyšších územných celkov</w:t>
      </w:r>
      <w:r w:rsidRPr="0072101A" w:rsidR="00ED7E1A">
        <w:rPr>
          <w:rFonts w:ascii="Times New Roman" w:hAnsi="Times New Roman"/>
          <w:color w:val="000000"/>
          <w:szCs w:val="22"/>
        </w:rPr>
        <w:t xml:space="preserve"> (8)</w:t>
      </w:r>
      <w:r w:rsidRPr="0072101A">
        <w:rPr>
          <w:rFonts w:ascii="Times New Roman" w:hAnsi="Times New Roman"/>
          <w:color w:val="000000"/>
          <w:szCs w:val="22"/>
        </w:rPr>
        <w:t>,</w:t>
      </w:r>
    </w:p>
    <w:p w:rsidR="002D6290" w:rsidRPr="00C7346B" w:rsidP="008F6F24">
      <w:pPr>
        <w:numPr>
          <w:numId w:val="18"/>
        </w:numPr>
        <w:bidi w:val="0"/>
        <w:spacing w:after="0" w:line="336" w:lineRule="auto"/>
        <w:ind w:left="714" w:hanging="357"/>
        <w:jc w:val="both"/>
        <w:rPr>
          <w:rFonts w:ascii="Times New Roman" w:hAnsi="Times New Roman"/>
          <w:color w:val="000000"/>
          <w:szCs w:val="22"/>
        </w:rPr>
      </w:pPr>
      <w:r w:rsidRPr="0072101A">
        <w:rPr>
          <w:rFonts w:ascii="Times New Roman" w:hAnsi="Times New Roman"/>
          <w:color w:val="000000"/>
          <w:szCs w:val="22"/>
        </w:rPr>
        <w:t xml:space="preserve">individuálnych účtovných závierok obcí, ktoré </w:t>
      </w:r>
      <w:r w:rsidRPr="0072101A" w:rsidR="002B7690">
        <w:rPr>
          <w:rFonts w:ascii="Times New Roman" w:hAnsi="Times New Roman"/>
          <w:color w:val="000000"/>
          <w:szCs w:val="22"/>
        </w:rPr>
        <w:t xml:space="preserve">nemajú povinnosť zostavovať </w:t>
      </w:r>
      <w:r w:rsidRPr="0072101A">
        <w:rPr>
          <w:rFonts w:ascii="Times New Roman" w:hAnsi="Times New Roman"/>
          <w:color w:val="000000"/>
          <w:szCs w:val="22"/>
        </w:rPr>
        <w:t>konsolidov</w:t>
      </w:r>
      <w:r w:rsidRPr="0072101A" w:rsidR="002B7690">
        <w:rPr>
          <w:rFonts w:ascii="Times New Roman" w:hAnsi="Times New Roman"/>
          <w:color w:val="000000"/>
          <w:szCs w:val="22"/>
        </w:rPr>
        <w:t xml:space="preserve">anú </w:t>
      </w:r>
      <w:r w:rsidRPr="00C7346B" w:rsidR="002B7690">
        <w:rPr>
          <w:rFonts w:ascii="Times New Roman" w:hAnsi="Times New Roman"/>
          <w:color w:val="000000"/>
          <w:szCs w:val="22"/>
        </w:rPr>
        <w:t>účtovnú závierku</w:t>
      </w:r>
      <w:r w:rsidRPr="00C7346B" w:rsidR="00ED7E1A">
        <w:rPr>
          <w:rFonts w:ascii="Times New Roman" w:hAnsi="Times New Roman"/>
          <w:color w:val="000000"/>
          <w:szCs w:val="22"/>
        </w:rPr>
        <w:t xml:space="preserve"> (1 </w:t>
      </w:r>
      <w:r w:rsidRPr="00C7346B" w:rsidR="009C0A7A">
        <w:rPr>
          <w:rFonts w:ascii="Times New Roman" w:hAnsi="Times New Roman"/>
          <w:color w:val="000000"/>
          <w:szCs w:val="22"/>
        </w:rPr>
        <w:t>8</w:t>
      </w:r>
      <w:r w:rsidRPr="00C7346B" w:rsidR="006A33FD">
        <w:rPr>
          <w:rFonts w:ascii="Times New Roman" w:hAnsi="Times New Roman"/>
          <w:color w:val="000000"/>
          <w:szCs w:val="22"/>
        </w:rPr>
        <w:t>10</w:t>
      </w:r>
      <w:r w:rsidRPr="00C7346B" w:rsidR="00ED7E1A">
        <w:rPr>
          <w:rFonts w:ascii="Times New Roman" w:hAnsi="Times New Roman"/>
          <w:color w:val="000000"/>
          <w:szCs w:val="22"/>
        </w:rPr>
        <w:t>)</w:t>
      </w:r>
      <w:r w:rsidRPr="00C7346B" w:rsidR="002B7690">
        <w:rPr>
          <w:rFonts w:ascii="Times New Roman" w:hAnsi="Times New Roman"/>
          <w:color w:val="000000"/>
          <w:szCs w:val="22"/>
        </w:rPr>
        <w:t>,</w:t>
      </w:r>
    </w:p>
    <w:p w:rsidR="002D6290" w:rsidRPr="00C7346B" w:rsidP="008F6F24">
      <w:pPr>
        <w:numPr>
          <w:numId w:val="18"/>
        </w:numPr>
        <w:bidi w:val="0"/>
        <w:spacing w:after="0" w:line="336" w:lineRule="auto"/>
        <w:ind w:left="714" w:hanging="357"/>
        <w:jc w:val="both"/>
        <w:rPr>
          <w:rFonts w:ascii="Times New Roman" w:hAnsi="Times New Roman"/>
          <w:color w:val="000000"/>
          <w:szCs w:val="22"/>
        </w:rPr>
      </w:pPr>
      <w:r w:rsidRPr="00C7346B">
        <w:rPr>
          <w:rFonts w:ascii="Times New Roman" w:hAnsi="Times New Roman"/>
          <w:color w:val="000000"/>
          <w:szCs w:val="22"/>
        </w:rPr>
        <w:t>individuálnych účtovných závierok ostatných subjektov verejnej správy a právnických osôb s majetkovou účasťou štátu založených podľa osobitných predpisov</w:t>
      </w:r>
      <w:r>
        <w:rPr>
          <w:rFonts w:ascii="Times New Roman" w:hAnsi="Times New Roman"/>
          <w:color w:val="000000"/>
          <w:szCs w:val="22"/>
          <w:vertAlign w:val="superscript"/>
          <w:rtl w:val="0"/>
        </w:rPr>
        <w:footnoteReference w:id="2"/>
      </w:r>
      <w:r w:rsidRPr="00C7346B" w:rsidR="006A33FD">
        <w:rPr>
          <w:rFonts w:ascii="Times New Roman" w:hAnsi="Times New Roman"/>
          <w:color w:val="000000"/>
          <w:szCs w:val="22"/>
        </w:rPr>
        <w:t xml:space="preserve"> (</w:t>
      </w:r>
      <w:r w:rsidRPr="00C7346B" w:rsidR="00C7346B">
        <w:rPr>
          <w:rFonts w:ascii="Times New Roman" w:hAnsi="Times New Roman"/>
          <w:color w:val="000000"/>
          <w:szCs w:val="22"/>
        </w:rPr>
        <w:t>5</w:t>
      </w:r>
      <w:r w:rsidR="00A95B01">
        <w:rPr>
          <w:rFonts w:ascii="Times New Roman" w:hAnsi="Times New Roman"/>
          <w:color w:val="000000"/>
          <w:szCs w:val="22"/>
        </w:rPr>
        <w:t>6</w:t>
      </w:r>
      <w:r w:rsidRPr="00C7346B" w:rsidR="00ED7E1A">
        <w:rPr>
          <w:rFonts w:ascii="Times New Roman" w:hAnsi="Times New Roman"/>
          <w:color w:val="000000"/>
          <w:szCs w:val="22"/>
        </w:rPr>
        <w:t>)</w:t>
      </w:r>
      <w:r w:rsidRPr="00C7346B">
        <w:rPr>
          <w:rFonts w:ascii="Times New Roman" w:hAnsi="Times New Roman"/>
          <w:color w:val="000000"/>
          <w:szCs w:val="22"/>
        </w:rPr>
        <w:t>.</w:t>
      </w:r>
    </w:p>
    <w:p w:rsidR="008510C7" w:rsidRPr="0066234E" w:rsidP="008F6F24">
      <w:pPr>
        <w:numPr>
          <w:numId w:val="18"/>
        </w:numPr>
        <w:bidi w:val="0"/>
        <w:spacing w:after="0" w:line="336" w:lineRule="auto"/>
        <w:ind w:left="714" w:hanging="357"/>
        <w:jc w:val="both"/>
        <w:rPr>
          <w:rFonts w:ascii="Times New Roman" w:hAnsi="Times New Roman"/>
          <w:color w:val="000000"/>
          <w:szCs w:val="22"/>
        </w:rPr>
      </w:pPr>
      <w:r w:rsidRPr="0066234E" w:rsidR="006B31F2">
        <w:rPr>
          <w:rFonts w:ascii="Times New Roman" w:hAnsi="Times New Roman"/>
          <w:color w:val="000000"/>
          <w:szCs w:val="22"/>
        </w:rPr>
        <w:t>i</w:t>
      </w:r>
      <w:r w:rsidRPr="0066234E">
        <w:rPr>
          <w:rFonts w:ascii="Times New Roman" w:hAnsi="Times New Roman"/>
          <w:color w:val="000000"/>
          <w:szCs w:val="22"/>
        </w:rPr>
        <w:t>ndividuálnych účtovných závierok neziskových organizácií územnej samosprávy (40).</w:t>
      </w:r>
    </w:p>
    <w:p w:rsidR="00F47215" w:rsidRPr="0072101A" w:rsidP="00F47215">
      <w:pPr>
        <w:bidi w:val="0"/>
        <w:spacing w:before="120" w:after="120" w:line="336" w:lineRule="auto"/>
        <w:jc w:val="both"/>
        <w:rPr>
          <w:rFonts w:ascii="Times New Roman" w:hAnsi="Times New Roman"/>
          <w:color w:val="000000"/>
          <w:szCs w:val="22"/>
        </w:rPr>
      </w:pPr>
      <w:r w:rsidRPr="0072101A">
        <w:rPr>
          <w:rFonts w:ascii="Times New Roman" w:hAnsi="Times New Roman"/>
          <w:color w:val="000000"/>
          <w:szCs w:val="22"/>
          <w:u w:val="single"/>
        </w:rPr>
        <w:t>Pod ústrednou správou</w:t>
      </w:r>
      <w:r w:rsidRPr="0072101A">
        <w:rPr>
          <w:rFonts w:ascii="Times New Roman" w:hAnsi="Times New Roman"/>
          <w:color w:val="000000"/>
          <w:szCs w:val="22"/>
        </w:rPr>
        <w:t xml:space="preserve"> sa pre účely súhrnnej účtovnej závierky rozumejú štátne rozpočtové organizácie, štátne príspevkové organizácie a obchodné spoločnosti</w:t>
      </w:r>
      <w:r w:rsidRPr="0072101A" w:rsidR="006F1DBB">
        <w:rPr>
          <w:rFonts w:ascii="Times New Roman" w:hAnsi="Times New Roman"/>
          <w:color w:val="000000"/>
          <w:szCs w:val="22"/>
        </w:rPr>
        <w:t>, v ktorých majú ústredné orgány štátnej správy majetkové podiely, a</w:t>
      </w:r>
      <w:r w:rsidRPr="0072101A">
        <w:rPr>
          <w:rFonts w:ascii="Times New Roman" w:hAnsi="Times New Roman"/>
          <w:color w:val="000000"/>
          <w:szCs w:val="22"/>
        </w:rPr>
        <w:t xml:space="preserve"> ktoré sú súčasťou konsolidovanej účtovnej závierky ústrednej správy.</w:t>
      </w:r>
    </w:p>
    <w:p w:rsidR="00F47215" w:rsidRPr="0072101A" w:rsidP="00F47215">
      <w:pPr>
        <w:bidi w:val="0"/>
        <w:spacing w:after="120" w:line="336" w:lineRule="auto"/>
        <w:jc w:val="both"/>
        <w:rPr>
          <w:rFonts w:ascii="Times New Roman" w:hAnsi="Times New Roman"/>
          <w:color w:val="000000"/>
          <w:szCs w:val="22"/>
        </w:rPr>
      </w:pPr>
      <w:r w:rsidRPr="0072101A">
        <w:rPr>
          <w:rFonts w:ascii="Times New Roman" w:hAnsi="Times New Roman"/>
          <w:color w:val="000000"/>
          <w:szCs w:val="22"/>
          <w:u w:val="single"/>
        </w:rPr>
        <w:t>Pod subjektmi územnej samosprávy</w:t>
      </w:r>
      <w:r w:rsidRPr="0072101A">
        <w:rPr>
          <w:rFonts w:ascii="Times New Roman" w:hAnsi="Times New Roman"/>
          <w:color w:val="000000"/>
          <w:szCs w:val="22"/>
        </w:rPr>
        <w:t xml:space="preserve"> sa pre účely súhrnnej účtovnej závierky rozumejú obce, vyššie územné celky, rozpočtové a príspevkové organizácie obcí a vyšších územných celkov, obchodné spoločnosti obcí a vyšších územných celkov, </w:t>
      </w:r>
      <w:r w:rsidRPr="0072101A" w:rsidR="006F1DBB">
        <w:rPr>
          <w:rFonts w:ascii="Times New Roman" w:hAnsi="Times New Roman"/>
          <w:color w:val="000000"/>
          <w:szCs w:val="22"/>
        </w:rPr>
        <w:t xml:space="preserve">v ktorých majú obce alebo vyššie územné celky majetkové podiely, a </w:t>
      </w:r>
      <w:r w:rsidRPr="0072101A">
        <w:rPr>
          <w:rFonts w:ascii="Times New Roman" w:hAnsi="Times New Roman"/>
          <w:color w:val="000000"/>
          <w:szCs w:val="22"/>
        </w:rPr>
        <w:t xml:space="preserve">ktoré sú súčasťou konsolidovaných účtovných závierok obcí a vyšších územných celkov. </w:t>
      </w:r>
    </w:p>
    <w:p w:rsidR="0015607A" w:rsidRPr="0072101A" w:rsidP="00F47215">
      <w:pPr>
        <w:bidi w:val="0"/>
        <w:spacing w:after="120" w:line="336" w:lineRule="auto"/>
        <w:jc w:val="both"/>
        <w:rPr>
          <w:rFonts w:ascii="Times New Roman" w:hAnsi="Times New Roman"/>
          <w:color w:val="000000"/>
          <w:szCs w:val="22"/>
        </w:rPr>
      </w:pPr>
      <w:r w:rsidRPr="0072101A" w:rsidR="00F47215">
        <w:rPr>
          <w:rFonts w:ascii="Times New Roman" w:hAnsi="Times New Roman"/>
          <w:color w:val="000000"/>
          <w:szCs w:val="22"/>
          <w:u w:val="single"/>
        </w:rPr>
        <w:t>Pod ostatnými subjektmi</w:t>
      </w:r>
      <w:r w:rsidRPr="0072101A" w:rsidR="00F47215">
        <w:rPr>
          <w:rFonts w:ascii="Times New Roman" w:hAnsi="Times New Roman"/>
          <w:color w:val="000000"/>
          <w:szCs w:val="22"/>
        </w:rPr>
        <w:t xml:space="preserve"> sa pre účely súhrnnej účtovnej závierky rozumejú verejné vysoké školy,</w:t>
      </w:r>
      <w:r w:rsidRPr="0072101A">
        <w:rPr>
          <w:rFonts w:ascii="Times New Roman" w:hAnsi="Times New Roman"/>
          <w:color w:val="000000"/>
          <w:szCs w:val="22"/>
        </w:rPr>
        <w:t xml:space="preserve"> štátne podniky, </w:t>
      </w:r>
      <w:r w:rsidRPr="0072101A" w:rsidR="00F47215">
        <w:rPr>
          <w:rFonts w:ascii="Times New Roman" w:hAnsi="Times New Roman"/>
          <w:color w:val="000000"/>
          <w:szCs w:val="22"/>
        </w:rPr>
        <w:t xml:space="preserve">Sociálna poisťovňa, Slovenský pozemkový fond, </w:t>
      </w:r>
      <w:r w:rsidRPr="0072101A" w:rsidR="0083378A">
        <w:rPr>
          <w:rFonts w:ascii="Times New Roman" w:hAnsi="Times New Roman"/>
          <w:color w:val="000000"/>
          <w:szCs w:val="22"/>
        </w:rPr>
        <w:t>Fond národného majetku SR</w:t>
      </w:r>
      <w:r w:rsidRPr="0072101A" w:rsidR="00F47215">
        <w:rPr>
          <w:rFonts w:ascii="Times New Roman" w:hAnsi="Times New Roman"/>
          <w:color w:val="000000"/>
          <w:szCs w:val="22"/>
        </w:rPr>
        <w:t>,</w:t>
      </w:r>
      <w:r w:rsidRPr="0072101A">
        <w:rPr>
          <w:rFonts w:ascii="Times New Roman" w:hAnsi="Times New Roman"/>
          <w:color w:val="000000"/>
          <w:szCs w:val="22"/>
        </w:rPr>
        <w:t xml:space="preserve"> </w:t>
      </w:r>
      <w:r w:rsidRPr="0072101A">
        <w:rPr>
          <w:rFonts w:ascii="Times New Roman" w:hAnsi="Times New Roman"/>
          <w:color w:val="000000"/>
          <w:szCs w:val="22"/>
          <w:lang w:eastAsia="sk-SK"/>
        </w:rPr>
        <w:t>Environmentálny fond, Audiovizuálny fond, Národný jadrový fond, Štátny fond rozvoja bývania, Exportno-importná banka Slovenskej republiky</w:t>
      </w:r>
      <w:r w:rsidRPr="0072101A">
        <w:rPr>
          <w:rFonts w:ascii="Times New Roman" w:hAnsi="Times New Roman"/>
          <w:color w:val="000000"/>
          <w:szCs w:val="22"/>
        </w:rPr>
        <w:t>,</w:t>
      </w:r>
      <w:r w:rsidRPr="0072101A" w:rsidR="00F47215">
        <w:rPr>
          <w:rFonts w:ascii="Times New Roman" w:hAnsi="Times New Roman"/>
          <w:color w:val="000000"/>
          <w:szCs w:val="22"/>
        </w:rPr>
        <w:t xml:space="preserve"> </w:t>
      </w:r>
      <w:r w:rsidRPr="0072101A">
        <w:rPr>
          <w:rFonts w:ascii="Times New Roman" w:hAnsi="Times New Roman"/>
          <w:color w:val="000000"/>
          <w:szCs w:val="22"/>
          <w:lang w:eastAsia="sk-SK"/>
        </w:rPr>
        <w:t>Rada pre vysielanie a retransmisiu,</w:t>
      </w:r>
      <w:r w:rsidRPr="0072101A" w:rsidR="00B7424E">
        <w:rPr>
          <w:rFonts w:ascii="Times New Roman" w:hAnsi="Times New Roman"/>
          <w:color w:val="000000"/>
          <w:szCs w:val="22"/>
          <w:lang w:eastAsia="sk-SK"/>
        </w:rPr>
        <w:br/>
      </w:r>
      <w:r w:rsidRPr="0072101A">
        <w:rPr>
          <w:rFonts w:ascii="Times New Roman" w:hAnsi="Times New Roman"/>
          <w:color w:val="000000"/>
          <w:szCs w:val="22"/>
          <w:lang w:eastAsia="sk-SK"/>
        </w:rPr>
        <w:t>Rozhlas a</w:t>
      </w:r>
      <w:r w:rsidRPr="0072101A" w:rsidR="00B7424E">
        <w:rPr>
          <w:rFonts w:ascii="Times New Roman" w:hAnsi="Times New Roman"/>
          <w:color w:val="000000"/>
          <w:szCs w:val="22"/>
          <w:lang w:eastAsia="sk-SK"/>
        </w:rPr>
        <w:t xml:space="preserve"> </w:t>
      </w:r>
      <w:r w:rsidRPr="0072101A">
        <w:rPr>
          <w:rFonts w:ascii="Times New Roman" w:hAnsi="Times New Roman"/>
          <w:color w:val="000000"/>
          <w:szCs w:val="22"/>
          <w:lang w:eastAsia="sk-SK"/>
        </w:rPr>
        <w:t>televízia Slovenska, Slovenské národné stredisko pre ľudské práva, Tlačová agentúra Slovenskej republiky, Úrad pre dohľad nad výkonom auditu, Úrad pre dohľad nad zdravotnou starostlivosťou, Ústav pamäti národa a</w:t>
      </w:r>
      <w:r w:rsidR="008D2E7F">
        <w:rPr>
          <w:rFonts w:ascii="Times New Roman" w:hAnsi="Times New Roman"/>
          <w:color w:val="000000"/>
          <w:szCs w:val="22"/>
          <w:lang w:eastAsia="sk-SK"/>
        </w:rPr>
        <w:t xml:space="preserve"> Železnice Slovenskej republiky a neziskové organizácie územnej samosprávy.</w:t>
      </w:r>
    </w:p>
    <w:p w:rsidR="002D6290" w:rsidRPr="0072101A" w:rsidP="003F16C9">
      <w:pPr>
        <w:tabs>
          <w:tab w:val="left" w:pos="3270"/>
        </w:tabs>
        <w:bidi w:val="0"/>
        <w:spacing w:before="200" w:line="336" w:lineRule="auto"/>
        <w:jc w:val="both"/>
        <w:rPr>
          <w:rFonts w:ascii="Times New Roman" w:hAnsi="Times New Roman"/>
          <w:color w:val="000000"/>
          <w:sz w:val="24"/>
          <w:szCs w:val="24"/>
        </w:rPr>
      </w:pPr>
      <w:r w:rsidRPr="0072101A">
        <w:rPr>
          <w:rFonts w:ascii="Times New Roman" w:hAnsi="Times New Roman"/>
          <w:b/>
          <w:color w:val="000000"/>
          <w:sz w:val="24"/>
          <w:szCs w:val="24"/>
        </w:rPr>
        <w:t>2.</w:t>
      </w:r>
      <w:r w:rsidRPr="0072101A" w:rsidR="00036F71">
        <w:rPr>
          <w:rFonts w:ascii="Times New Roman" w:hAnsi="Times New Roman"/>
          <w:b/>
          <w:color w:val="000000"/>
          <w:sz w:val="24"/>
          <w:szCs w:val="24"/>
        </w:rPr>
        <w:t xml:space="preserve"> </w:t>
      </w:r>
      <w:r w:rsidRPr="0072101A">
        <w:rPr>
          <w:rFonts w:ascii="Times New Roman" w:hAnsi="Times New Roman"/>
          <w:b/>
          <w:color w:val="000000"/>
          <w:sz w:val="24"/>
          <w:szCs w:val="24"/>
        </w:rPr>
        <w:t xml:space="preserve">Informácie o súhrnnom celku verejnej správy </w:t>
      </w:r>
    </w:p>
    <w:p w:rsidR="000601BC" w:rsidRPr="00687B78" w:rsidP="000601BC">
      <w:pPr>
        <w:tabs>
          <w:tab w:val="left" w:pos="3270"/>
        </w:tabs>
        <w:bidi w:val="0"/>
        <w:spacing w:after="120" w:line="336" w:lineRule="auto"/>
        <w:jc w:val="both"/>
        <w:rPr>
          <w:rFonts w:ascii="Times New Roman" w:hAnsi="Times New Roman"/>
          <w:color w:val="000000"/>
          <w:szCs w:val="22"/>
        </w:rPr>
      </w:pPr>
      <w:r w:rsidRPr="0072101A" w:rsidR="002D6290">
        <w:rPr>
          <w:rFonts w:ascii="Times New Roman" w:hAnsi="Times New Roman"/>
          <w:color w:val="000000"/>
          <w:szCs w:val="22"/>
        </w:rPr>
        <w:t>Do súhrnného celku za rok 201</w:t>
      </w:r>
      <w:r w:rsidR="000B12CE">
        <w:rPr>
          <w:rFonts w:ascii="Times New Roman" w:hAnsi="Times New Roman"/>
          <w:color w:val="000000"/>
          <w:szCs w:val="22"/>
        </w:rPr>
        <w:t>5</w:t>
      </w:r>
      <w:r w:rsidRPr="0072101A" w:rsidR="002D6290">
        <w:rPr>
          <w:rFonts w:ascii="Times New Roman" w:hAnsi="Times New Roman"/>
          <w:color w:val="000000"/>
          <w:szCs w:val="22"/>
        </w:rPr>
        <w:t xml:space="preserve"> boli zaradené </w:t>
      </w:r>
      <w:r w:rsidRPr="0072101A" w:rsidR="00DC5090">
        <w:rPr>
          <w:rFonts w:ascii="Times New Roman" w:hAnsi="Times New Roman"/>
          <w:color w:val="000000"/>
          <w:szCs w:val="22"/>
        </w:rPr>
        <w:t>účtovné jednotky v súlade</w:t>
      </w:r>
      <w:r w:rsidRPr="0072101A" w:rsidR="002D6290">
        <w:rPr>
          <w:rFonts w:ascii="Times New Roman" w:hAnsi="Times New Roman"/>
          <w:color w:val="000000"/>
          <w:szCs w:val="22"/>
        </w:rPr>
        <w:t xml:space="preserve"> </w:t>
      </w:r>
      <w:r w:rsidRPr="0072101A" w:rsidR="00DC5090">
        <w:rPr>
          <w:rFonts w:ascii="Times New Roman" w:hAnsi="Times New Roman"/>
          <w:color w:val="000000"/>
          <w:szCs w:val="22"/>
        </w:rPr>
        <w:t xml:space="preserve">s §22a zákona o účtovníctve (viď predchádzajúce vymenovanie skupín subjektov). </w:t>
      </w:r>
      <w:r w:rsidRPr="0072101A" w:rsidR="00ED7E1A">
        <w:rPr>
          <w:rFonts w:ascii="Times New Roman" w:hAnsi="Times New Roman"/>
          <w:color w:val="000000"/>
          <w:szCs w:val="22"/>
        </w:rPr>
        <w:t>Súhrnný celok verejnej správy za rok 201</w:t>
      </w:r>
      <w:r w:rsidR="000B12CE">
        <w:rPr>
          <w:rFonts w:ascii="Times New Roman" w:hAnsi="Times New Roman"/>
          <w:color w:val="000000"/>
          <w:szCs w:val="22"/>
        </w:rPr>
        <w:t>5</w:t>
      </w:r>
      <w:r w:rsidRPr="0072101A" w:rsidR="00ED7E1A">
        <w:rPr>
          <w:rFonts w:ascii="Times New Roman" w:hAnsi="Times New Roman"/>
          <w:color w:val="000000"/>
          <w:szCs w:val="22"/>
        </w:rPr>
        <w:t xml:space="preserve"> </w:t>
      </w:r>
      <w:r w:rsidRPr="00687B78" w:rsidR="00ED7E1A">
        <w:rPr>
          <w:rFonts w:ascii="Times New Roman" w:hAnsi="Times New Roman"/>
          <w:color w:val="000000"/>
          <w:szCs w:val="22"/>
        </w:rPr>
        <w:t xml:space="preserve">tvorilo spolu 7 </w:t>
      </w:r>
      <w:r w:rsidRPr="00687B78" w:rsidR="00687B78">
        <w:rPr>
          <w:rFonts w:ascii="Times New Roman" w:hAnsi="Times New Roman"/>
          <w:color w:val="000000"/>
          <w:szCs w:val="22"/>
        </w:rPr>
        <w:t>8</w:t>
      </w:r>
      <w:r w:rsidR="007E2A10">
        <w:rPr>
          <w:rFonts w:ascii="Times New Roman" w:hAnsi="Times New Roman"/>
          <w:color w:val="000000"/>
          <w:szCs w:val="22"/>
        </w:rPr>
        <w:t>30</w:t>
      </w:r>
      <w:r w:rsidRPr="00687B78" w:rsidR="00ED7E1A">
        <w:rPr>
          <w:rFonts w:ascii="Times New Roman" w:hAnsi="Times New Roman"/>
          <w:color w:val="000000"/>
          <w:szCs w:val="22"/>
        </w:rPr>
        <w:t xml:space="preserve"> účtovných jednotiek:</w:t>
      </w:r>
    </w:p>
    <w:tbl>
      <w:tblPr>
        <w:tblStyle w:val="TableNormal"/>
        <w:tblW w:w="4756" w:type="pct"/>
        <w:jc w:val="center"/>
        <w:tblLayout w:type="fixed"/>
        <w:tblCellMar>
          <w:left w:w="70" w:type="dxa"/>
          <w:right w:w="70" w:type="dxa"/>
        </w:tblCellMar>
        <w:tblLook w:val="00A0"/>
      </w:tblPr>
      <w:tblGrid>
        <w:gridCol w:w="6449"/>
        <w:gridCol w:w="1304"/>
        <w:gridCol w:w="1009"/>
      </w:tblGrid>
      <w:tr>
        <w:tblPrEx>
          <w:tblW w:w="4756" w:type="pct"/>
          <w:jc w:val="center"/>
          <w:tblLayout w:type="fixed"/>
          <w:tblCellMar>
            <w:left w:w="70" w:type="dxa"/>
            <w:right w:w="70" w:type="dxa"/>
          </w:tblCellMar>
          <w:tblLook w:val="00A0"/>
        </w:tblPrEx>
        <w:trPr>
          <w:trHeight w:val="330"/>
          <w:jc w:val="center"/>
        </w:trPr>
        <w:tc>
          <w:tcPr>
            <w:tcW w:w="5000" w:type="pct"/>
            <w:gridSpan w:val="3"/>
            <w:tcBorders>
              <w:top w:val="single" w:sz="4" w:space="0" w:color="auto"/>
              <w:left w:val="nil"/>
              <w:bottom w:val="single" w:sz="4" w:space="0" w:color="auto"/>
              <w:right w:val="nil"/>
            </w:tcBorders>
            <w:shd w:val="clear" w:color="000000" w:fill="000000"/>
            <w:noWrap/>
            <w:textDirection w:val="lrTb"/>
            <w:vAlign w:val="center"/>
          </w:tcPr>
          <w:p w:rsidR="00ED7E1A" w:rsidRPr="00687B78" w:rsidP="000601BC">
            <w:pPr>
              <w:bidi w:val="0"/>
              <w:spacing w:after="0" w:line="336" w:lineRule="auto"/>
              <w:rPr>
                <w:rFonts w:ascii="Times New Roman" w:hAnsi="Times New Roman"/>
                <w:b/>
                <w:bCs/>
                <w:color w:val="FFFFFF"/>
                <w:sz w:val="20"/>
                <w:szCs w:val="20"/>
                <w:lang w:eastAsia="sk-SK"/>
              </w:rPr>
            </w:pPr>
            <w:r w:rsidRPr="00687B78" w:rsidR="000601BC">
              <w:rPr>
                <w:rFonts w:ascii="Times New Roman" w:hAnsi="Times New Roman"/>
                <w:color w:val="000000"/>
                <w:szCs w:val="22"/>
              </w:rPr>
              <w:br w:type="page"/>
            </w:r>
            <w:r w:rsidRPr="00687B78" w:rsidR="003F16C9">
              <w:rPr>
                <w:rFonts w:ascii="Times New Roman" w:hAnsi="Times New Roman"/>
                <w:color w:val="000000"/>
                <w:sz w:val="20"/>
                <w:szCs w:val="20"/>
              </w:rPr>
              <w:br w:type="page"/>
            </w:r>
            <w:r w:rsidRPr="00687B78">
              <w:rPr>
                <w:rFonts w:ascii="Times New Roman" w:hAnsi="Times New Roman"/>
                <w:b/>
                <w:bCs/>
                <w:color w:val="FFFFFF"/>
                <w:sz w:val="20"/>
                <w:szCs w:val="20"/>
                <w:lang w:eastAsia="sk-SK"/>
              </w:rPr>
              <w:t xml:space="preserve">Počet organizácií v súhrnnom celku </w:t>
            </w:r>
            <w:r w:rsidRPr="00687B78" w:rsidR="00E864CD">
              <w:rPr>
                <w:rFonts w:ascii="Times New Roman" w:hAnsi="Times New Roman"/>
                <w:b/>
                <w:bCs/>
                <w:color w:val="FFFFFF"/>
                <w:sz w:val="20"/>
                <w:szCs w:val="20"/>
                <w:lang w:eastAsia="sk-SK"/>
              </w:rPr>
              <w:t>podľa druhu</w:t>
            </w:r>
          </w:p>
        </w:tc>
      </w:tr>
      <w:tr>
        <w:tblPrEx>
          <w:tblW w:w="4756" w:type="pct"/>
          <w:jc w:val="center"/>
          <w:tblLayout w:type="fixed"/>
          <w:tblCellMar>
            <w:left w:w="70" w:type="dxa"/>
            <w:right w:w="70" w:type="dxa"/>
          </w:tblCellMar>
          <w:tblLook w:val="00A0"/>
        </w:tblPrEx>
        <w:trPr>
          <w:trHeight w:val="330"/>
          <w:jc w:val="center"/>
        </w:trPr>
        <w:tc>
          <w:tcPr>
            <w:tcW w:w="3680" w:type="pct"/>
            <w:tcBorders>
              <w:top w:val="nil"/>
              <w:left w:val="nil"/>
              <w:bottom w:val="single" w:sz="4" w:space="0" w:color="auto"/>
              <w:right w:val="nil"/>
            </w:tcBorders>
            <w:shd w:val="clear" w:color="000000" w:fill="BFBFBF"/>
            <w:noWrap/>
            <w:textDirection w:val="lrTb"/>
            <w:vAlign w:val="bottom"/>
          </w:tcPr>
          <w:p w:rsidR="00ED7E1A" w:rsidRPr="00687B78" w:rsidP="000601BC">
            <w:pPr>
              <w:bidi w:val="0"/>
              <w:spacing w:after="0" w:line="336" w:lineRule="auto"/>
              <w:rPr>
                <w:rFonts w:ascii="Times New Roman" w:hAnsi="Times New Roman"/>
                <w:b/>
                <w:bCs/>
                <w:sz w:val="20"/>
                <w:szCs w:val="20"/>
                <w:lang w:eastAsia="sk-SK"/>
              </w:rPr>
            </w:pPr>
            <w:r w:rsidRPr="00687B78">
              <w:rPr>
                <w:rFonts w:ascii="Times New Roman" w:hAnsi="Times New Roman"/>
                <w:b/>
                <w:bCs/>
                <w:sz w:val="20"/>
                <w:szCs w:val="20"/>
                <w:lang w:eastAsia="sk-SK"/>
              </w:rPr>
              <w:t> </w:t>
            </w:r>
          </w:p>
        </w:tc>
        <w:tc>
          <w:tcPr>
            <w:tcW w:w="744" w:type="pct"/>
            <w:tcBorders>
              <w:top w:val="nil"/>
              <w:left w:val="nil"/>
              <w:bottom w:val="single" w:sz="4" w:space="0" w:color="auto"/>
              <w:right w:val="nil"/>
            </w:tcBorders>
            <w:shd w:val="clear" w:color="000000" w:fill="BFBFBF"/>
            <w:noWrap/>
            <w:textDirection w:val="lrTb"/>
            <w:vAlign w:val="bottom"/>
          </w:tcPr>
          <w:p w:rsidR="00ED7E1A" w:rsidRPr="00687B78" w:rsidP="000601BC">
            <w:pPr>
              <w:bidi w:val="0"/>
              <w:spacing w:after="0" w:line="336" w:lineRule="auto"/>
              <w:jc w:val="center"/>
              <w:rPr>
                <w:rFonts w:ascii="Times New Roman" w:hAnsi="Times New Roman"/>
                <w:b/>
                <w:bCs/>
                <w:sz w:val="20"/>
                <w:szCs w:val="20"/>
                <w:lang w:eastAsia="sk-SK"/>
              </w:rPr>
            </w:pPr>
            <w:r w:rsidRPr="00687B78" w:rsidR="000B12CE">
              <w:rPr>
                <w:rFonts w:ascii="Times New Roman" w:hAnsi="Times New Roman"/>
                <w:b/>
                <w:bCs/>
                <w:sz w:val="20"/>
                <w:szCs w:val="20"/>
                <w:lang w:eastAsia="sk-SK"/>
              </w:rPr>
              <w:t>2015</w:t>
            </w:r>
          </w:p>
        </w:tc>
        <w:tc>
          <w:tcPr>
            <w:tcW w:w="576" w:type="pct"/>
            <w:tcBorders>
              <w:top w:val="nil"/>
              <w:left w:val="nil"/>
              <w:bottom w:val="single" w:sz="4" w:space="0" w:color="auto"/>
              <w:right w:val="nil"/>
            </w:tcBorders>
            <w:shd w:val="clear" w:color="000000" w:fill="BFBFBF"/>
            <w:noWrap/>
            <w:textDirection w:val="lrTb"/>
            <w:vAlign w:val="bottom"/>
          </w:tcPr>
          <w:p w:rsidR="00ED7E1A" w:rsidRPr="00687B78" w:rsidP="000601BC">
            <w:pPr>
              <w:bidi w:val="0"/>
              <w:spacing w:after="0" w:line="336" w:lineRule="auto"/>
              <w:jc w:val="center"/>
              <w:rPr>
                <w:rFonts w:ascii="Times New Roman" w:hAnsi="Times New Roman"/>
                <w:b/>
                <w:bCs/>
                <w:sz w:val="20"/>
                <w:szCs w:val="20"/>
                <w:lang w:eastAsia="sk-SK"/>
              </w:rPr>
            </w:pPr>
            <w:r w:rsidRPr="00687B78" w:rsidR="000B12CE">
              <w:rPr>
                <w:rFonts w:ascii="Times New Roman" w:hAnsi="Times New Roman"/>
                <w:b/>
                <w:bCs/>
                <w:sz w:val="20"/>
                <w:szCs w:val="20"/>
                <w:lang w:eastAsia="sk-SK"/>
              </w:rPr>
              <w:t>2014</w:t>
            </w:r>
          </w:p>
        </w:tc>
      </w:tr>
      <w:tr>
        <w:tblPrEx>
          <w:tblW w:w="4756" w:type="pct"/>
          <w:jc w:val="center"/>
          <w:tblLayout w:type="fixed"/>
          <w:tblCellMar>
            <w:left w:w="70" w:type="dxa"/>
            <w:right w:w="70" w:type="dxa"/>
          </w:tblCellMar>
          <w:tblLook w:val="00A0"/>
        </w:tblPrEx>
        <w:trPr>
          <w:trHeight w:val="330"/>
          <w:jc w:val="center"/>
        </w:trPr>
        <w:tc>
          <w:tcPr>
            <w:tcW w:w="3680" w:type="pct"/>
            <w:tcBorders>
              <w:top w:val="nil"/>
              <w:left w:val="nil"/>
              <w:bottom w:val="nil"/>
              <w:right w:val="nil"/>
            </w:tcBorders>
            <w:shd w:val="clear" w:color="000000" w:fill="FFFFFF"/>
            <w:textDirection w:val="lrTb"/>
            <w:vAlign w:val="top"/>
          </w:tcPr>
          <w:p w:rsidR="000B12CE" w:rsidRPr="00687B78" w:rsidP="000601BC">
            <w:pPr>
              <w:bidi w:val="0"/>
              <w:spacing w:after="0" w:line="336" w:lineRule="auto"/>
              <w:jc w:val="both"/>
              <w:rPr>
                <w:rFonts w:ascii="Times New Roman" w:hAnsi="Times New Roman"/>
                <w:b/>
                <w:bCs/>
                <w:sz w:val="20"/>
                <w:szCs w:val="20"/>
                <w:lang w:eastAsia="sk-SK"/>
              </w:rPr>
            </w:pPr>
            <w:r w:rsidRPr="00687B78">
              <w:rPr>
                <w:rFonts w:ascii="Times New Roman" w:hAnsi="Times New Roman"/>
                <w:b/>
                <w:bCs/>
                <w:sz w:val="20"/>
                <w:szCs w:val="20"/>
                <w:lang w:eastAsia="sk-SK"/>
              </w:rPr>
              <w:t>Súhrnný celok spolu</w:t>
            </w:r>
          </w:p>
        </w:tc>
        <w:tc>
          <w:tcPr>
            <w:tcW w:w="744" w:type="pct"/>
            <w:tcBorders>
              <w:top w:val="nil"/>
              <w:left w:val="nil"/>
              <w:bottom w:val="nil"/>
              <w:right w:val="nil"/>
            </w:tcBorders>
            <w:shd w:val="clear" w:color="000000" w:fill="FFFFFF"/>
            <w:textDirection w:val="lrTb"/>
            <w:vAlign w:val="bottom"/>
          </w:tcPr>
          <w:p w:rsidR="000B12CE" w:rsidRPr="00687B78" w:rsidP="00D8269C">
            <w:pPr>
              <w:bidi w:val="0"/>
              <w:spacing w:after="0" w:line="336" w:lineRule="auto"/>
              <w:jc w:val="center"/>
              <w:rPr>
                <w:rFonts w:ascii="Times New Roman" w:hAnsi="Times New Roman"/>
                <w:b/>
                <w:bCs/>
                <w:sz w:val="20"/>
                <w:szCs w:val="20"/>
                <w:lang w:eastAsia="sk-SK"/>
              </w:rPr>
            </w:pPr>
            <w:r w:rsidR="00E327BF">
              <w:rPr>
                <w:rFonts w:ascii="Times New Roman" w:hAnsi="Times New Roman"/>
                <w:b/>
                <w:bCs/>
                <w:sz w:val="20"/>
                <w:szCs w:val="20"/>
                <w:lang w:eastAsia="sk-SK"/>
              </w:rPr>
              <w:t>7 8</w:t>
            </w:r>
            <w:r w:rsidR="007E2A10">
              <w:rPr>
                <w:rFonts w:ascii="Times New Roman" w:hAnsi="Times New Roman"/>
                <w:b/>
                <w:bCs/>
                <w:sz w:val="20"/>
                <w:szCs w:val="20"/>
                <w:lang w:eastAsia="sk-SK"/>
              </w:rPr>
              <w:t>30</w:t>
            </w:r>
          </w:p>
        </w:tc>
        <w:tc>
          <w:tcPr>
            <w:tcW w:w="576" w:type="pct"/>
            <w:tcBorders>
              <w:top w:val="nil"/>
              <w:left w:val="nil"/>
              <w:bottom w:val="nil"/>
              <w:right w:val="nil"/>
            </w:tcBorders>
            <w:shd w:val="clear" w:color="000000" w:fill="FFFFFF"/>
            <w:textDirection w:val="lrTb"/>
            <w:vAlign w:val="bottom"/>
          </w:tcPr>
          <w:p w:rsidR="000B12CE" w:rsidRPr="00687B78" w:rsidP="00582E00">
            <w:pPr>
              <w:bidi w:val="0"/>
              <w:spacing w:after="0" w:line="336" w:lineRule="auto"/>
              <w:jc w:val="center"/>
              <w:rPr>
                <w:rFonts w:ascii="Times New Roman" w:hAnsi="Times New Roman"/>
                <w:b/>
                <w:bCs/>
                <w:sz w:val="20"/>
                <w:szCs w:val="20"/>
                <w:lang w:eastAsia="sk-SK"/>
              </w:rPr>
            </w:pPr>
            <w:r w:rsidRPr="00687B78">
              <w:rPr>
                <w:rFonts w:ascii="Times New Roman" w:hAnsi="Times New Roman"/>
                <w:b/>
                <w:bCs/>
                <w:sz w:val="20"/>
                <w:szCs w:val="20"/>
                <w:lang w:eastAsia="sk-SK"/>
              </w:rPr>
              <w:t>7 843</w:t>
            </w:r>
          </w:p>
        </w:tc>
      </w:tr>
      <w:tr>
        <w:tblPrEx>
          <w:tblW w:w="4756" w:type="pct"/>
          <w:jc w:val="center"/>
          <w:tblLayout w:type="fixed"/>
          <w:tblCellMar>
            <w:left w:w="70" w:type="dxa"/>
            <w:right w:w="70" w:type="dxa"/>
          </w:tblCellMar>
          <w:tblLook w:val="00A0"/>
        </w:tblPrEx>
        <w:trPr>
          <w:trHeight w:val="330"/>
          <w:jc w:val="center"/>
        </w:trPr>
        <w:tc>
          <w:tcPr>
            <w:tcW w:w="3680" w:type="pct"/>
            <w:tcBorders>
              <w:top w:val="nil"/>
              <w:left w:val="nil"/>
              <w:bottom w:val="nil"/>
              <w:right w:val="nil"/>
            </w:tcBorders>
            <w:shd w:val="clear" w:color="000000" w:fill="FFFFFF"/>
            <w:noWrap/>
            <w:textDirection w:val="lrTb"/>
            <w:vAlign w:val="bottom"/>
          </w:tcPr>
          <w:p w:rsidR="000B12CE" w:rsidRPr="00687B78" w:rsidP="000601BC">
            <w:pPr>
              <w:bidi w:val="0"/>
              <w:spacing w:after="0" w:line="336" w:lineRule="auto"/>
              <w:rPr>
                <w:rFonts w:ascii="Times New Roman" w:hAnsi="Times New Roman"/>
                <w:sz w:val="20"/>
                <w:szCs w:val="20"/>
                <w:lang w:eastAsia="sk-SK"/>
              </w:rPr>
            </w:pPr>
            <w:r w:rsidRPr="00687B78">
              <w:rPr>
                <w:rFonts w:ascii="Times New Roman" w:hAnsi="Times New Roman"/>
                <w:sz w:val="20"/>
                <w:szCs w:val="20"/>
                <w:lang w:eastAsia="sk-SK"/>
              </w:rPr>
              <w:t xml:space="preserve">     Štátne rozpočtové a príspevkové organizácie</w:t>
            </w:r>
          </w:p>
        </w:tc>
        <w:tc>
          <w:tcPr>
            <w:tcW w:w="744" w:type="pct"/>
            <w:tcBorders>
              <w:top w:val="nil"/>
              <w:left w:val="nil"/>
              <w:bottom w:val="nil"/>
              <w:right w:val="nil"/>
            </w:tcBorders>
            <w:shd w:val="clear" w:color="000000" w:fill="FFFFFF"/>
            <w:noWrap/>
            <w:textDirection w:val="lrTb"/>
            <w:vAlign w:val="bottom"/>
          </w:tcPr>
          <w:p w:rsidR="000B12CE" w:rsidRPr="00687B78" w:rsidP="003C0A90">
            <w:pPr>
              <w:bidi w:val="0"/>
              <w:spacing w:after="0" w:line="336" w:lineRule="auto"/>
              <w:jc w:val="center"/>
              <w:rPr>
                <w:rFonts w:ascii="Times New Roman" w:hAnsi="Times New Roman"/>
                <w:sz w:val="20"/>
                <w:szCs w:val="20"/>
                <w:lang w:eastAsia="sk-SK"/>
              </w:rPr>
            </w:pPr>
            <w:r w:rsidR="003F3E7F">
              <w:rPr>
                <w:rFonts w:ascii="Times New Roman" w:hAnsi="Times New Roman"/>
                <w:sz w:val="20"/>
                <w:szCs w:val="20"/>
                <w:lang w:eastAsia="sk-SK"/>
              </w:rPr>
              <w:t>837</w:t>
            </w:r>
          </w:p>
        </w:tc>
        <w:tc>
          <w:tcPr>
            <w:tcW w:w="576" w:type="pct"/>
            <w:tcBorders>
              <w:top w:val="nil"/>
              <w:left w:val="nil"/>
              <w:bottom w:val="nil"/>
              <w:right w:val="nil"/>
            </w:tcBorders>
            <w:shd w:val="clear" w:color="000000" w:fill="FFFFFF"/>
            <w:noWrap/>
            <w:textDirection w:val="lrTb"/>
            <w:vAlign w:val="bottom"/>
          </w:tcPr>
          <w:p w:rsidR="000B12CE" w:rsidRPr="00687B78" w:rsidP="00582E00">
            <w:pPr>
              <w:bidi w:val="0"/>
              <w:spacing w:after="0" w:line="336" w:lineRule="auto"/>
              <w:jc w:val="center"/>
              <w:rPr>
                <w:rFonts w:ascii="Times New Roman" w:hAnsi="Times New Roman"/>
                <w:sz w:val="20"/>
                <w:szCs w:val="20"/>
                <w:lang w:eastAsia="sk-SK"/>
              </w:rPr>
            </w:pPr>
            <w:r w:rsidRPr="00687B78">
              <w:rPr>
                <w:rFonts w:ascii="Times New Roman" w:hAnsi="Times New Roman"/>
                <w:sz w:val="20"/>
                <w:szCs w:val="20"/>
                <w:lang w:eastAsia="sk-SK"/>
              </w:rPr>
              <w:t>891</w:t>
            </w:r>
          </w:p>
        </w:tc>
      </w:tr>
      <w:tr>
        <w:tblPrEx>
          <w:tblW w:w="4756" w:type="pct"/>
          <w:jc w:val="center"/>
          <w:tblLayout w:type="fixed"/>
          <w:tblCellMar>
            <w:left w:w="70" w:type="dxa"/>
            <w:right w:w="70" w:type="dxa"/>
          </w:tblCellMar>
          <w:tblLook w:val="00A0"/>
        </w:tblPrEx>
        <w:trPr>
          <w:trHeight w:val="330"/>
          <w:jc w:val="center"/>
        </w:trPr>
        <w:tc>
          <w:tcPr>
            <w:tcW w:w="3680" w:type="pct"/>
            <w:tcBorders>
              <w:top w:val="nil"/>
              <w:left w:val="nil"/>
              <w:bottom w:val="nil"/>
              <w:right w:val="nil"/>
            </w:tcBorders>
            <w:shd w:val="clear" w:color="000000" w:fill="FFFFFF"/>
            <w:noWrap/>
            <w:textDirection w:val="lrTb"/>
            <w:vAlign w:val="bottom"/>
          </w:tcPr>
          <w:p w:rsidR="000B12CE" w:rsidRPr="00687B78" w:rsidP="000601BC">
            <w:pPr>
              <w:bidi w:val="0"/>
              <w:spacing w:after="0" w:line="336" w:lineRule="auto"/>
              <w:rPr>
                <w:rFonts w:ascii="Times New Roman" w:hAnsi="Times New Roman"/>
                <w:sz w:val="20"/>
                <w:szCs w:val="20"/>
                <w:lang w:eastAsia="sk-SK"/>
              </w:rPr>
            </w:pPr>
            <w:r w:rsidRPr="00687B78">
              <w:rPr>
                <w:rFonts w:ascii="Times New Roman" w:hAnsi="Times New Roman"/>
                <w:sz w:val="20"/>
                <w:szCs w:val="20"/>
                <w:lang w:eastAsia="sk-SK"/>
              </w:rPr>
              <w:t xml:space="preserve">     Rozpočtové a príspevkové organizácie územnej samosprávy</w:t>
            </w:r>
          </w:p>
        </w:tc>
        <w:tc>
          <w:tcPr>
            <w:tcW w:w="744" w:type="pct"/>
            <w:tcBorders>
              <w:top w:val="nil"/>
              <w:left w:val="nil"/>
              <w:bottom w:val="nil"/>
              <w:right w:val="nil"/>
            </w:tcBorders>
            <w:shd w:val="clear" w:color="000000" w:fill="FFFFFF"/>
            <w:noWrap/>
            <w:textDirection w:val="lrTb"/>
            <w:vAlign w:val="bottom"/>
          </w:tcPr>
          <w:p w:rsidR="000B12CE" w:rsidRPr="00687B78" w:rsidP="000601BC">
            <w:pPr>
              <w:bidi w:val="0"/>
              <w:spacing w:after="0" w:line="336" w:lineRule="auto"/>
              <w:jc w:val="center"/>
              <w:rPr>
                <w:rFonts w:ascii="Times New Roman" w:hAnsi="Times New Roman"/>
                <w:sz w:val="20"/>
                <w:szCs w:val="20"/>
                <w:lang w:eastAsia="sk-SK"/>
              </w:rPr>
            </w:pPr>
            <w:r w:rsidR="00687B78">
              <w:rPr>
                <w:rFonts w:ascii="Times New Roman" w:hAnsi="Times New Roman"/>
                <w:sz w:val="20"/>
                <w:szCs w:val="20"/>
                <w:lang w:eastAsia="sk-SK"/>
              </w:rPr>
              <w:t>3 345</w:t>
            </w:r>
          </w:p>
        </w:tc>
        <w:tc>
          <w:tcPr>
            <w:tcW w:w="576" w:type="pct"/>
            <w:tcBorders>
              <w:top w:val="nil"/>
              <w:left w:val="nil"/>
              <w:bottom w:val="nil"/>
              <w:right w:val="nil"/>
            </w:tcBorders>
            <w:shd w:val="clear" w:color="000000" w:fill="FFFFFF"/>
            <w:noWrap/>
            <w:textDirection w:val="lrTb"/>
            <w:vAlign w:val="bottom"/>
          </w:tcPr>
          <w:p w:rsidR="000B12CE" w:rsidRPr="00687B78" w:rsidP="00582E00">
            <w:pPr>
              <w:bidi w:val="0"/>
              <w:spacing w:after="0" w:line="336" w:lineRule="auto"/>
              <w:jc w:val="center"/>
              <w:rPr>
                <w:rFonts w:ascii="Times New Roman" w:hAnsi="Times New Roman"/>
                <w:sz w:val="20"/>
                <w:szCs w:val="20"/>
                <w:lang w:eastAsia="sk-SK"/>
              </w:rPr>
            </w:pPr>
            <w:r w:rsidRPr="00687B78">
              <w:rPr>
                <w:rFonts w:ascii="Times New Roman" w:hAnsi="Times New Roman"/>
                <w:sz w:val="20"/>
                <w:szCs w:val="20"/>
                <w:lang w:eastAsia="sk-SK"/>
              </w:rPr>
              <w:t>3 370</w:t>
            </w:r>
          </w:p>
        </w:tc>
      </w:tr>
      <w:tr>
        <w:tblPrEx>
          <w:tblW w:w="4756" w:type="pct"/>
          <w:jc w:val="center"/>
          <w:tblLayout w:type="fixed"/>
          <w:tblCellMar>
            <w:left w:w="70" w:type="dxa"/>
            <w:right w:w="70" w:type="dxa"/>
          </w:tblCellMar>
          <w:tblLook w:val="00A0"/>
        </w:tblPrEx>
        <w:trPr>
          <w:trHeight w:val="330"/>
          <w:jc w:val="center"/>
        </w:trPr>
        <w:tc>
          <w:tcPr>
            <w:tcW w:w="3680" w:type="pct"/>
            <w:tcBorders>
              <w:top w:val="nil"/>
              <w:left w:val="nil"/>
              <w:bottom w:val="nil"/>
              <w:right w:val="nil"/>
            </w:tcBorders>
            <w:shd w:val="clear" w:color="000000" w:fill="FFFFFF"/>
            <w:noWrap/>
            <w:textDirection w:val="lrTb"/>
            <w:vAlign w:val="bottom"/>
          </w:tcPr>
          <w:p w:rsidR="000B12CE" w:rsidRPr="00687B78" w:rsidP="000601BC">
            <w:pPr>
              <w:bidi w:val="0"/>
              <w:spacing w:after="0" w:line="336" w:lineRule="auto"/>
              <w:rPr>
                <w:rFonts w:ascii="Times New Roman" w:hAnsi="Times New Roman"/>
                <w:sz w:val="20"/>
                <w:szCs w:val="20"/>
                <w:lang w:eastAsia="sk-SK"/>
              </w:rPr>
            </w:pPr>
            <w:r w:rsidRPr="00687B78">
              <w:rPr>
                <w:rFonts w:ascii="Times New Roman" w:hAnsi="Times New Roman"/>
                <w:sz w:val="20"/>
                <w:szCs w:val="20"/>
                <w:lang w:eastAsia="sk-SK"/>
              </w:rPr>
              <w:t xml:space="preserve">     Obce</w:t>
            </w:r>
          </w:p>
        </w:tc>
        <w:tc>
          <w:tcPr>
            <w:tcW w:w="744" w:type="pct"/>
            <w:tcBorders>
              <w:top w:val="nil"/>
              <w:left w:val="nil"/>
              <w:bottom w:val="nil"/>
              <w:right w:val="nil"/>
            </w:tcBorders>
            <w:shd w:val="clear" w:color="000000" w:fill="FFFFFF"/>
            <w:noWrap/>
            <w:textDirection w:val="lrTb"/>
            <w:vAlign w:val="bottom"/>
          </w:tcPr>
          <w:p w:rsidR="000B12CE" w:rsidRPr="00687B78" w:rsidP="000601BC">
            <w:pPr>
              <w:bidi w:val="0"/>
              <w:spacing w:after="0" w:line="336" w:lineRule="auto"/>
              <w:jc w:val="center"/>
              <w:rPr>
                <w:rFonts w:ascii="Times New Roman" w:hAnsi="Times New Roman"/>
                <w:sz w:val="20"/>
                <w:szCs w:val="20"/>
                <w:lang w:eastAsia="sk-SK"/>
              </w:rPr>
            </w:pPr>
            <w:r w:rsidRPr="00687B78" w:rsidR="00B556F7">
              <w:rPr>
                <w:rFonts w:ascii="Times New Roman" w:hAnsi="Times New Roman"/>
                <w:sz w:val="20"/>
                <w:szCs w:val="20"/>
                <w:lang w:eastAsia="sk-SK"/>
              </w:rPr>
              <w:t>2 926</w:t>
            </w:r>
          </w:p>
        </w:tc>
        <w:tc>
          <w:tcPr>
            <w:tcW w:w="576" w:type="pct"/>
            <w:tcBorders>
              <w:top w:val="nil"/>
              <w:left w:val="nil"/>
              <w:bottom w:val="nil"/>
              <w:right w:val="nil"/>
            </w:tcBorders>
            <w:shd w:val="clear" w:color="000000" w:fill="FFFFFF"/>
            <w:noWrap/>
            <w:textDirection w:val="lrTb"/>
            <w:vAlign w:val="bottom"/>
          </w:tcPr>
          <w:p w:rsidR="000B12CE" w:rsidRPr="00687B78" w:rsidP="00582E00">
            <w:pPr>
              <w:bidi w:val="0"/>
              <w:spacing w:after="0" w:line="336" w:lineRule="auto"/>
              <w:jc w:val="center"/>
              <w:rPr>
                <w:rFonts w:ascii="Times New Roman" w:hAnsi="Times New Roman"/>
                <w:sz w:val="20"/>
                <w:szCs w:val="20"/>
                <w:lang w:eastAsia="sk-SK"/>
              </w:rPr>
            </w:pPr>
            <w:r w:rsidRPr="00687B78">
              <w:rPr>
                <w:rFonts w:ascii="Times New Roman" w:hAnsi="Times New Roman"/>
                <w:sz w:val="20"/>
                <w:szCs w:val="20"/>
                <w:lang w:eastAsia="sk-SK"/>
              </w:rPr>
              <w:t>2 926</w:t>
            </w:r>
          </w:p>
        </w:tc>
      </w:tr>
      <w:tr>
        <w:tblPrEx>
          <w:tblW w:w="4756" w:type="pct"/>
          <w:jc w:val="center"/>
          <w:tblLayout w:type="fixed"/>
          <w:tblCellMar>
            <w:left w:w="70" w:type="dxa"/>
            <w:right w:w="70" w:type="dxa"/>
          </w:tblCellMar>
          <w:tblLook w:val="00A0"/>
        </w:tblPrEx>
        <w:trPr>
          <w:trHeight w:val="330"/>
          <w:jc w:val="center"/>
        </w:trPr>
        <w:tc>
          <w:tcPr>
            <w:tcW w:w="3680" w:type="pct"/>
            <w:tcBorders>
              <w:top w:val="nil"/>
              <w:left w:val="nil"/>
              <w:bottom w:val="nil"/>
              <w:right w:val="nil"/>
            </w:tcBorders>
            <w:shd w:val="clear" w:color="000000" w:fill="FFFFFF"/>
            <w:noWrap/>
            <w:textDirection w:val="lrTb"/>
            <w:vAlign w:val="bottom"/>
          </w:tcPr>
          <w:p w:rsidR="000B12CE" w:rsidRPr="00687B78" w:rsidP="000601BC">
            <w:pPr>
              <w:bidi w:val="0"/>
              <w:spacing w:after="0" w:line="336" w:lineRule="auto"/>
              <w:rPr>
                <w:rFonts w:ascii="Times New Roman" w:hAnsi="Times New Roman"/>
                <w:sz w:val="20"/>
                <w:szCs w:val="20"/>
                <w:lang w:eastAsia="sk-SK"/>
              </w:rPr>
            </w:pPr>
            <w:r w:rsidRPr="00687B78">
              <w:rPr>
                <w:rFonts w:ascii="Times New Roman" w:hAnsi="Times New Roman"/>
                <w:sz w:val="20"/>
                <w:szCs w:val="20"/>
                <w:lang w:eastAsia="sk-SK"/>
              </w:rPr>
              <w:t xml:space="preserve">     Vyššie územné celky</w:t>
            </w:r>
          </w:p>
        </w:tc>
        <w:tc>
          <w:tcPr>
            <w:tcW w:w="744" w:type="pct"/>
            <w:tcBorders>
              <w:top w:val="nil"/>
              <w:left w:val="nil"/>
              <w:bottom w:val="nil"/>
              <w:right w:val="nil"/>
            </w:tcBorders>
            <w:shd w:val="clear" w:color="000000" w:fill="FFFFFF"/>
            <w:noWrap/>
            <w:textDirection w:val="lrTb"/>
            <w:vAlign w:val="bottom"/>
          </w:tcPr>
          <w:p w:rsidR="000B12CE" w:rsidRPr="00687B78" w:rsidP="000601BC">
            <w:pPr>
              <w:bidi w:val="0"/>
              <w:spacing w:after="0" w:line="336" w:lineRule="auto"/>
              <w:jc w:val="center"/>
              <w:rPr>
                <w:rFonts w:ascii="Times New Roman" w:hAnsi="Times New Roman"/>
                <w:sz w:val="20"/>
                <w:szCs w:val="20"/>
                <w:lang w:eastAsia="sk-SK"/>
              </w:rPr>
            </w:pPr>
            <w:r w:rsidRPr="00687B78" w:rsidR="00B556F7">
              <w:rPr>
                <w:rFonts w:ascii="Times New Roman" w:hAnsi="Times New Roman"/>
                <w:sz w:val="20"/>
                <w:szCs w:val="20"/>
                <w:lang w:eastAsia="sk-SK"/>
              </w:rPr>
              <w:t>8</w:t>
            </w:r>
          </w:p>
        </w:tc>
        <w:tc>
          <w:tcPr>
            <w:tcW w:w="576" w:type="pct"/>
            <w:tcBorders>
              <w:top w:val="nil"/>
              <w:left w:val="nil"/>
              <w:bottom w:val="nil"/>
              <w:right w:val="nil"/>
            </w:tcBorders>
            <w:shd w:val="clear" w:color="000000" w:fill="FFFFFF"/>
            <w:noWrap/>
            <w:textDirection w:val="lrTb"/>
            <w:vAlign w:val="bottom"/>
          </w:tcPr>
          <w:p w:rsidR="000B12CE" w:rsidRPr="00687B78" w:rsidP="00582E00">
            <w:pPr>
              <w:bidi w:val="0"/>
              <w:spacing w:after="0" w:line="336" w:lineRule="auto"/>
              <w:jc w:val="center"/>
              <w:rPr>
                <w:rFonts w:ascii="Times New Roman" w:hAnsi="Times New Roman"/>
                <w:sz w:val="20"/>
                <w:szCs w:val="20"/>
                <w:lang w:eastAsia="sk-SK"/>
              </w:rPr>
            </w:pPr>
            <w:r w:rsidRPr="00687B78">
              <w:rPr>
                <w:rFonts w:ascii="Times New Roman" w:hAnsi="Times New Roman"/>
                <w:sz w:val="20"/>
                <w:szCs w:val="20"/>
                <w:lang w:eastAsia="sk-SK"/>
              </w:rPr>
              <w:t>8</w:t>
            </w:r>
          </w:p>
        </w:tc>
      </w:tr>
      <w:tr>
        <w:tblPrEx>
          <w:tblW w:w="4756" w:type="pct"/>
          <w:jc w:val="center"/>
          <w:tblLayout w:type="fixed"/>
          <w:tblCellMar>
            <w:left w:w="70" w:type="dxa"/>
            <w:right w:w="70" w:type="dxa"/>
          </w:tblCellMar>
          <w:tblLook w:val="00A0"/>
        </w:tblPrEx>
        <w:trPr>
          <w:trHeight w:val="330"/>
          <w:jc w:val="center"/>
        </w:trPr>
        <w:tc>
          <w:tcPr>
            <w:tcW w:w="3680" w:type="pct"/>
            <w:tcBorders>
              <w:top w:val="nil"/>
              <w:left w:val="nil"/>
              <w:bottom w:val="nil"/>
              <w:right w:val="nil"/>
            </w:tcBorders>
            <w:shd w:val="clear" w:color="000000" w:fill="FFFFFF"/>
            <w:noWrap/>
            <w:textDirection w:val="lrTb"/>
            <w:vAlign w:val="bottom"/>
          </w:tcPr>
          <w:p w:rsidR="000B12CE" w:rsidRPr="00687B78" w:rsidP="000601BC">
            <w:pPr>
              <w:bidi w:val="0"/>
              <w:spacing w:after="0" w:line="336" w:lineRule="auto"/>
              <w:rPr>
                <w:rFonts w:ascii="Times New Roman" w:hAnsi="Times New Roman"/>
                <w:sz w:val="20"/>
                <w:szCs w:val="20"/>
                <w:lang w:eastAsia="sk-SK"/>
              </w:rPr>
            </w:pPr>
            <w:r w:rsidRPr="00687B78">
              <w:rPr>
                <w:rFonts w:ascii="Times New Roman" w:hAnsi="Times New Roman"/>
                <w:sz w:val="20"/>
                <w:szCs w:val="20"/>
                <w:lang w:eastAsia="sk-SK"/>
              </w:rPr>
              <w:t xml:space="preserve">     Ostatné subjekty </w:t>
            </w:r>
          </w:p>
        </w:tc>
        <w:tc>
          <w:tcPr>
            <w:tcW w:w="744" w:type="pct"/>
            <w:tcBorders>
              <w:top w:val="nil"/>
              <w:left w:val="nil"/>
              <w:bottom w:val="nil"/>
              <w:right w:val="nil"/>
            </w:tcBorders>
            <w:shd w:val="clear" w:color="000000" w:fill="FFFFFF"/>
            <w:noWrap/>
            <w:textDirection w:val="lrTb"/>
            <w:vAlign w:val="bottom"/>
          </w:tcPr>
          <w:p w:rsidR="000B12CE" w:rsidRPr="00687B78" w:rsidP="000601BC">
            <w:pPr>
              <w:bidi w:val="0"/>
              <w:spacing w:after="0" w:line="336" w:lineRule="auto"/>
              <w:jc w:val="center"/>
              <w:rPr>
                <w:rFonts w:ascii="Times New Roman" w:hAnsi="Times New Roman"/>
                <w:sz w:val="20"/>
                <w:szCs w:val="20"/>
                <w:lang w:eastAsia="sk-SK"/>
              </w:rPr>
            </w:pPr>
            <w:r w:rsidR="00687B78">
              <w:rPr>
                <w:rFonts w:ascii="Times New Roman" w:hAnsi="Times New Roman"/>
                <w:sz w:val="20"/>
                <w:szCs w:val="20"/>
                <w:lang w:eastAsia="sk-SK"/>
              </w:rPr>
              <w:t>96</w:t>
            </w:r>
          </w:p>
        </w:tc>
        <w:tc>
          <w:tcPr>
            <w:tcW w:w="576" w:type="pct"/>
            <w:tcBorders>
              <w:top w:val="nil"/>
              <w:left w:val="nil"/>
              <w:bottom w:val="nil"/>
              <w:right w:val="nil"/>
            </w:tcBorders>
            <w:shd w:val="clear" w:color="000000" w:fill="FFFFFF"/>
            <w:noWrap/>
            <w:textDirection w:val="lrTb"/>
            <w:vAlign w:val="bottom"/>
          </w:tcPr>
          <w:p w:rsidR="000B12CE" w:rsidRPr="00687B78" w:rsidP="00582E00">
            <w:pPr>
              <w:bidi w:val="0"/>
              <w:spacing w:after="0" w:line="336" w:lineRule="auto"/>
              <w:jc w:val="center"/>
              <w:rPr>
                <w:rFonts w:ascii="Times New Roman" w:hAnsi="Times New Roman"/>
                <w:sz w:val="20"/>
                <w:szCs w:val="20"/>
                <w:lang w:eastAsia="sk-SK"/>
              </w:rPr>
            </w:pPr>
            <w:r w:rsidRPr="00687B78">
              <w:rPr>
                <w:rFonts w:ascii="Times New Roman" w:hAnsi="Times New Roman"/>
                <w:sz w:val="20"/>
                <w:szCs w:val="20"/>
                <w:lang w:eastAsia="sk-SK"/>
              </w:rPr>
              <w:t>55</w:t>
            </w:r>
          </w:p>
        </w:tc>
      </w:tr>
      <w:tr>
        <w:tblPrEx>
          <w:tblW w:w="4756" w:type="pct"/>
          <w:jc w:val="center"/>
          <w:tblLayout w:type="fixed"/>
          <w:tblCellMar>
            <w:left w:w="70" w:type="dxa"/>
            <w:right w:w="70" w:type="dxa"/>
          </w:tblCellMar>
          <w:tblLook w:val="00A0"/>
        </w:tblPrEx>
        <w:trPr>
          <w:trHeight w:val="330"/>
          <w:jc w:val="center"/>
        </w:trPr>
        <w:tc>
          <w:tcPr>
            <w:tcW w:w="3680" w:type="pct"/>
            <w:tcBorders>
              <w:top w:val="nil"/>
              <w:left w:val="nil"/>
              <w:bottom w:val="single" w:sz="4" w:space="0" w:color="auto"/>
              <w:right w:val="nil"/>
            </w:tcBorders>
            <w:shd w:val="clear" w:color="000000" w:fill="FFFFFF"/>
            <w:noWrap/>
            <w:textDirection w:val="lrTb"/>
            <w:vAlign w:val="bottom"/>
          </w:tcPr>
          <w:p w:rsidR="000B12CE" w:rsidRPr="00687B78" w:rsidP="000601BC">
            <w:pPr>
              <w:bidi w:val="0"/>
              <w:spacing w:after="0" w:line="336" w:lineRule="auto"/>
              <w:rPr>
                <w:rFonts w:ascii="Times New Roman" w:hAnsi="Times New Roman"/>
                <w:sz w:val="20"/>
                <w:szCs w:val="20"/>
                <w:lang w:eastAsia="sk-SK"/>
              </w:rPr>
            </w:pPr>
            <w:r w:rsidRPr="00687B78">
              <w:rPr>
                <w:rFonts w:ascii="Times New Roman" w:hAnsi="Times New Roman"/>
                <w:sz w:val="20"/>
                <w:szCs w:val="20"/>
                <w:lang w:eastAsia="sk-SK"/>
              </w:rPr>
              <w:t xml:space="preserve">     Obchodné spoločnosti štátu a územnej samosprávy</w:t>
            </w:r>
          </w:p>
        </w:tc>
        <w:tc>
          <w:tcPr>
            <w:tcW w:w="744" w:type="pct"/>
            <w:tcBorders>
              <w:top w:val="nil"/>
              <w:left w:val="nil"/>
              <w:bottom w:val="single" w:sz="4" w:space="0" w:color="auto"/>
              <w:right w:val="nil"/>
            </w:tcBorders>
            <w:shd w:val="clear" w:color="000000" w:fill="FFFFFF"/>
            <w:noWrap/>
            <w:textDirection w:val="lrTb"/>
            <w:vAlign w:val="bottom"/>
          </w:tcPr>
          <w:p w:rsidR="000B12CE" w:rsidRPr="00687B78" w:rsidP="003C0A90">
            <w:pPr>
              <w:bidi w:val="0"/>
              <w:spacing w:after="0" w:line="336" w:lineRule="auto"/>
              <w:jc w:val="center"/>
              <w:rPr>
                <w:rFonts w:ascii="Times New Roman" w:hAnsi="Times New Roman"/>
                <w:sz w:val="20"/>
                <w:szCs w:val="20"/>
                <w:lang w:eastAsia="sk-SK"/>
              </w:rPr>
            </w:pPr>
            <w:r w:rsidRPr="007E2A10" w:rsidR="007E2A10">
              <w:rPr>
                <w:rFonts w:ascii="Times New Roman" w:hAnsi="Times New Roman"/>
                <w:sz w:val="20"/>
                <w:szCs w:val="20"/>
                <w:lang w:eastAsia="sk-SK"/>
              </w:rPr>
              <w:t>618</w:t>
            </w:r>
          </w:p>
        </w:tc>
        <w:tc>
          <w:tcPr>
            <w:tcW w:w="576" w:type="pct"/>
            <w:tcBorders>
              <w:top w:val="nil"/>
              <w:left w:val="nil"/>
              <w:bottom w:val="single" w:sz="4" w:space="0" w:color="auto"/>
              <w:right w:val="nil"/>
            </w:tcBorders>
            <w:shd w:val="clear" w:color="000000" w:fill="FFFFFF"/>
            <w:noWrap/>
            <w:textDirection w:val="lrTb"/>
            <w:vAlign w:val="bottom"/>
          </w:tcPr>
          <w:p w:rsidR="000B12CE" w:rsidRPr="0072101A" w:rsidP="00582E00">
            <w:pPr>
              <w:bidi w:val="0"/>
              <w:spacing w:after="0" w:line="336" w:lineRule="auto"/>
              <w:jc w:val="center"/>
              <w:rPr>
                <w:rFonts w:ascii="Times New Roman" w:hAnsi="Times New Roman"/>
                <w:sz w:val="20"/>
                <w:szCs w:val="20"/>
                <w:lang w:eastAsia="sk-SK"/>
              </w:rPr>
            </w:pPr>
            <w:r w:rsidRPr="00687B78">
              <w:rPr>
                <w:rFonts w:ascii="Times New Roman" w:hAnsi="Times New Roman"/>
                <w:sz w:val="20"/>
                <w:szCs w:val="20"/>
                <w:lang w:eastAsia="sk-SK"/>
              </w:rPr>
              <w:t>593</w:t>
            </w:r>
          </w:p>
        </w:tc>
      </w:tr>
    </w:tbl>
    <w:p w:rsidR="00A7421F" w:rsidRPr="0095793E" w:rsidP="00E327BF">
      <w:pPr>
        <w:bidi w:val="0"/>
        <w:spacing w:before="240" w:after="120" w:line="336" w:lineRule="auto"/>
        <w:jc w:val="both"/>
        <w:rPr>
          <w:rFonts w:ascii="Times New Roman" w:hAnsi="Times New Roman"/>
          <w:szCs w:val="22"/>
        </w:rPr>
      </w:pPr>
      <w:r w:rsidRPr="00D9742F">
        <w:rPr>
          <w:rFonts w:ascii="Times New Roman" w:hAnsi="Times New Roman"/>
          <w:szCs w:val="22"/>
        </w:rPr>
        <w:t>V porovnaní s rokom 201</w:t>
      </w:r>
      <w:r w:rsidRPr="00D9742F" w:rsidR="00E327BF">
        <w:rPr>
          <w:rFonts w:ascii="Times New Roman" w:hAnsi="Times New Roman"/>
          <w:szCs w:val="22"/>
        </w:rPr>
        <w:t>5</w:t>
      </w:r>
      <w:r w:rsidRPr="00D9742F">
        <w:rPr>
          <w:rFonts w:ascii="Times New Roman" w:hAnsi="Times New Roman"/>
          <w:szCs w:val="22"/>
        </w:rPr>
        <w:t xml:space="preserve"> je počet organizácií v súhrnnom celku </w:t>
      </w:r>
      <w:r w:rsidRPr="00D9742F" w:rsidR="00B81141">
        <w:rPr>
          <w:rFonts w:ascii="Times New Roman" w:hAnsi="Times New Roman"/>
          <w:szCs w:val="22"/>
        </w:rPr>
        <w:t xml:space="preserve">v absolútnom vyjadrení </w:t>
      </w:r>
      <w:r w:rsidRPr="00D9742F" w:rsidR="00E327BF">
        <w:rPr>
          <w:rFonts w:ascii="Times New Roman" w:hAnsi="Times New Roman"/>
          <w:szCs w:val="22"/>
        </w:rPr>
        <w:t>nižší</w:t>
      </w:r>
      <w:r w:rsidRPr="00D9742F">
        <w:rPr>
          <w:rFonts w:ascii="Times New Roman" w:hAnsi="Times New Roman"/>
          <w:szCs w:val="22"/>
        </w:rPr>
        <w:t xml:space="preserve"> o </w:t>
      </w:r>
      <w:r w:rsidR="007E2A10">
        <w:rPr>
          <w:rFonts w:ascii="Times New Roman" w:hAnsi="Times New Roman"/>
          <w:szCs w:val="22"/>
        </w:rPr>
        <w:t>13</w:t>
      </w:r>
      <w:r w:rsidRPr="00D9742F">
        <w:rPr>
          <w:rFonts w:ascii="Times New Roman" w:hAnsi="Times New Roman"/>
          <w:szCs w:val="22"/>
        </w:rPr>
        <w:t xml:space="preserve">. </w:t>
      </w:r>
      <w:r w:rsidRPr="00D9742F" w:rsidR="00D746E9">
        <w:rPr>
          <w:rFonts w:ascii="Times New Roman" w:hAnsi="Times New Roman"/>
          <w:szCs w:val="22"/>
        </w:rPr>
        <w:t>V</w:t>
      </w:r>
      <w:r w:rsidRPr="00D9742F">
        <w:rPr>
          <w:rFonts w:ascii="Times New Roman" w:hAnsi="Times New Roman"/>
          <w:szCs w:val="22"/>
        </w:rPr>
        <w:t xml:space="preserve"> rámci ústrednej správy došlo medziročne k zníženiu počtu </w:t>
      </w:r>
      <w:r w:rsidRPr="00D9742F" w:rsidR="006161D2">
        <w:rPr>
          <w:rFonts w:ascii="Times New Roman" w:hAnsi="Times New Roman"/>
          <w:szCs w:val="22"/>
        </w:rPr>
        <w:t xml:space="preserve">rozpočtových a príspevkových organizácií spolu </w:t>
      </w:r>
      <w:r w:rsidRPr="00D9742F">
        <w:rPr>
          <w:rFonts w:ascii="Times New Roman" w:hAnsi="Times New Roman"/>
          <w:szCs w:val="22"/>
        </w:rPr>
        <w:t>o 5</w:t>
      </w:r>
      <w:r w:rsidR="007E2A10">
        <w:rPr>
          <w:rFonts w:ascii="Times New Roman" w:hAnsi="Times New Roman"/>
          <w:szCs w:val="22"/>
        </w:rPr>
        <w:t>4</w:t>
      </w:r>
      <w:r w:rsidRPr="00D9742F">
        <w:rPr>
          <w:rFonts w:ascii="Times New Roman" w:hAnsi="Times New Roman"/>
          <w:szCs w:val="22"/>
        </w:rPr>
        <w:t>.</w:t>
      </w:r>
      <w:r w:rsidRPr="0095793E">
        <w:rPr>
          <w:rFonts w:ascii="Times New Roman" w:hAnsi="Times New Roman"/>
          <w:szCs w:val="22"/>
        </w:rPr>
        <w:t xml:space="preserve"> </w:t>
      </w:r>
      <w:r w:rsidR="006161D2">
        <w:rPr>
          <w:rFonts w:ascii="Times New Roman" w:hAnsi="Times New Roman"/>
          <w:szCs w:val="22"/>
        </w:rPr>
        <w:t>Od 1.1.2015 prestalo</w:t>
      </w:r>
      <w:r w:rsidRPr="0095793E" w:rsidR="00B81141">
        <w:rPr>
          <w:rFonts w:ascii="Times New Roman" w:hAnsi="Times New Roman"/>
          <w:szCs w:val="22"/>
        </w:rPr>
        <w:t xml:space="preserve"> byť súčasťou súhrnného celku </w:t>
      </w:r>
      <w:r w:rsidRPr="0095793E">
        <w:rPr>
          <w:rFonts w:ascii="Times New Roman" w:hAnsi="Times New Roman"/>
          <w:szCs w:val="22"/>
        </w:rPr>
        <w:t xml:space="preserve">46 </w:t>
      </w:r>
      <w:r w:rsidRPr="0095793E" w:rsidR="00B81141">
        <w:rPr>
          <w:rFonts w:ascii="Times New Roman" w:hAnsi="Times New Roman"/>
          <w:szCs w:val="22"/>
        </w:rPr>
        <w:t>ú</w:t>
      </w:r>
      <w:r w:rsidRPr="0095793E">
        <w:rPr>
          <w:rFonts w:ascii="Times New Roman" w:hAnsi="Times New Roman"/>
          <w:szCs w:val="22"/>
        </w:rPr>
        <w:t>radov práce, sociálnych vecí a rodiny SR</w:t>
      </w:r>
      <w:r w:rsidRPr="0095793E" w:rsidR="00B81141">
        <w:rPr>
          <w:rFonts w:ascii="Times New Roman" w:hAnsi="Times New Roman"/>
          <w:szCs w:val="22"/>
        </w:rPr>
        <w:t>, ktoré sa zlúčili s ústredím práce v rámci organizačnej zmeny kapitoly Ministerstva práce, sociálnych vecí a rodiny SR.</w:t>
      </w:r>
      <w:r w:rsidR="006161D2">
        <w:rPr>
          <w:rFonts w:ascii="Times New Roman" w:hAnsi="Times New Roman"/>
          <w:szCs w:val="22"/>
        </w:rPr>
        <w:t xml:space="preserve"> Zároveň vznikli 4 nové školy </w:t>
      </w:r>
      <w:r w:rsidR="00AE63F4">
        <w:rPr>
          <w:rFonts w:ascii="Times New Roman" w:hAnsi="Times New Roman"/>
          <w:szCs w:val="22"/>
        </w:rPr>
        <w:t>v</w:t>
      </w:r>
      <w:r w:rsidR="006161D2">
        <w:rPr>
          <w:rFonts w:ascii="Times New Roman" w:hAnsi="Times New Roman"/>
          <w:szCs w:val="22"/>
        </w:rPr>
        <w:t xml:space="preserve"> kapitol</w:t>
      </w:r>
      <w:r w:rsidR="00AE63F4">
        <w:rPr>
          <w:rFonts w:ascii="Times New Roman" w:hAnsi="Times New Roman"/>
          <w:szCs w:val="22"/>
        </w:rPr>
        <w:t>e</w:t>
      </w:r>
      <w:r w:rsidR="006161D2">
        <w:rPr>
          <w:rFonts w:ascii="Times New Roman" w:hAnsi="Times New Roman"/>
          <w:szCs w:val="22"/>
        </w:rPr>
        <w:t xml:space="preserve"> Ministerstva vnútra SR. Počet obchodných spoločnos</w:t>
      </w:r>
      <w:r w:rsidR="00400A64">
        <w:rPr>
          <w:rFonts w:ascii="Times New Roman" w:hAnsi="Times New Roman"/>
          <w:szCs w:val="22"/>
        </w:rPr>
        <w:t xml:space="preserve">tí ústrednej správy sa </w:t>
      </w:r>
      <w:r w:rsidR="007E2A10">
        <w:rPr>
          <w:rFonts w:ascii="Times New Roman" w:hAnsi="Times New Roman"/>
          <w:szCs w:val="22"/>
        </w:rPr>
        <w:t>zvýšil</w:t>
      </w:r>
      <w:r w:rsidR="00400A64">
        <w:rPr>
          <w:rFonts w:ascii="Times New Roman" w:hAnsi="Times New Roman"/>
          <w:szCs w:val="22"/>
        </w:rPr>
        <w:t xml:space="preserve"> celkovo o </w:t>
      </w:r>
      <w:r w:rsidR="007E2A10">
        <w:rPr>
          <w:rFonts w:ascii="Times New Roman" w:hAnsi="Times New Roman"/>
          <w:szCs w:val="22"/>
        </w:rPr>
        <w:t>5</w:t>
      </w:r>
      <w:r w:rsidR="00400A64">
        <w:rPr>
          <w:rFonts w:ascii="Times New Roman" w:hAnsi="Times New Roman"/>
          <w:szCs w:val="22"/>
        </w:rPr>
        <w:t>.</w:t>
      </w:r>
      <w:r w:rsidRPr="0095793E">
        <w:rPr>
          <w:rFonts w:ascii="Times New Roman" w:hAnsi="Times New Roman"/>
          <w:szCs w:val="22"/>
        </w:rPr>
        <w:t xml:space="preserve"> V rámci územnej samosprávy však došlo k nárastu </w:t>
      </w:r>
      <w:r w:rsidRPr="0095793E" w:rsidR="00B81141">
        <w:rPr>
          <w:rFonts w:ascii="Times New Roman" w:hAnsi="Times New Roman"/>
          <w:szCs w:val="22"/>
        </w:rPr>
        <w:t>obchodných spoločností</w:t>
      </w:r>
      <w:r w:rsidRPr="0095793E">
        <w:rPr>
          <w:rFonts w:ascii="Times New Roman" w:hAnsi="Times New Roman"/>
          <w:szCs w:val="22"/>
        </w:rPr>
        <w:t xml:space="preserve"> o </w:t>
      </w:r>
      <w:r w:rsidRPr="0095793E" w:rsidR="00B81141">
        <w:rPr>
          <w:rFonts w:ascii="Times New Roman" w:hAnsi="Times New Roman"/>
          <w:szCs w:val="22"/>
        </w:rPr>
        <w:t>21</w:t>
      </w:r>
      <w:r w:rsidRPr="0095793E">
        <w:rPr>
          <w:rFonts w:ascii="Times New Roman" w:hAnsi="Times New Roman"/>
          <w:szCs w:val="22"/>
        </w:rPr>
        <w:t xml:space="preserve">, čo čiastočne kompenzovalo zníženie </w:t>
      </w:r>
      <w:r w:rsidRPr="0095793E" w:rsidR="00B81141">
        <w:rPr>
          <w:rFonts w:ascii="Times New Roman" w:hAnsi="Times New Roman"/>
          <w:szCs w:val="22"/>
        </w:rPr>
        <w:t xml:space="preserve">počtu subjektov </w:t>
      </w:r>
      <w:r w:rsidRPr="0095793E">
        <w:rPr>
          <w:rFonts w:ascii="Times New Roman" w:hAnsi="Times New Roman"/>
          <w:szCs w:val="22"/>
        </w:rPr>
        <w:t xml:space="preserve">v ústrednej správe. </w:t>
      </w:r>
      <w:r w:rsidR="00BB57BC">
        <w:rPr>
          <w:rFonts w:ascii="Times New Roman" w:hAnsi="Times New Roman"/>
          <w:szCs w:val="22"/>
        </w:rPr>
        <w:t>Počet rozpočtových a príspevkových organizácií územnej samosprávy sa medziročne znížil o 25.</w:t>
      </w:r>
    </w:p>
    <w:p w:rsidR="008F3ED6" w:rsidP="001978EA">
      <w:pPr>
        <w:bidi w:val="0"/>
        <w:spacing w:before="120" w:after="120" w:line="336" w:lineRule="auto"/>
        <w:jc w:val="both"/>
        <w:rPr>
          <w:rFonts w:ascii="Times New Roman" w:hAnsi="Times New Roman"/>
          <w:color w:val="000000"/>
          <w:szCs w:val="22"/>
        </w:rPr>
      </w:pPr>
      <w:r w:rsidRPr="0072101A" w:rsidR="008410ED">
        <w:rPr>
          <w:rFonts w:ascii="Times New Roman" w:hAnsi="Times New Roman"/>
          <w:color w:val="000000"/>
          <w:szCs w:val="22"/>
        </w:rPr>
        <w:t xml:space="preserve">Vyššie územné celky </w:t>
      </w:r>
      <w:r w:rsidR="00AE63F4">
        <w:rPr>
          <w:rFonts w:ascii="Times New Roman" w:hAnsi="Times New Roman"/>
          <w:color w:val="000000"/>
          <w:szCs w:val="22"/>
        </w:rPr>
        <w:t>vykazovali</w:t>
      </w:r>
      <w:r w:rsidRPr="0072101A" w:rsidR="008410ED">
        <w:rPr>
          <w:rFonts w:ascii="Times New Roman" w:hAnsi="Times New Roman"/>
          <w:color w:val="000000"/>
          <w:szCs w:val="22"/>
        </w:rPr>
        <w:t xml:space="preserve"> </w:t>
      </w:r>
      <w:r w:rsidR="008D1FA5">
        <w:rPr>
          <w:rFonts w:ascii="Times New Roman" w:hAnsi="Times New Roman"/>
          <w:color w:val="000000"/>
          <w:szCs w:val="22"/>
        </w:rPr>
        <w:t xml:space="preserve">vo svojich konsolidovaných celkoch </w:t>
      </w:r>
      <w:r w:rsidRPr="0072101A" w:rsidR="00A7421F">
        <w:rPr>
          <w:rFonts w:ascii="Times New Roman" w:hAnsi="Times New Roman"/>
          <w:color w:val="000000"/>
          <w:szCs w:val="22"/>
        </w:rPr>
        <w:t>spolu 1</w:t>
      </w:r>
      <w:r w:rsidR="00B81141">
        <w:rPr>
          <w:rFonts w:ascii="Times New Roman" w:hAnsi="Times New Roman"/>
          <w:color w:val="000000"/>
          <w:szCs w:val="22"/>
        </w:rPr>
        <w:t>6</w:t>
      </w:r>
      <w:r w:rsidRPr="0072101A" w:rsidR="00A7421F">
        <w:rPr>
          <w:rFonts w:ascii="Times New Roman" w:hAnsi="Times New Roman"/>
          <w:color w:val="000000"/>
          <w:szCs w:val="22"/>
        </w:rPr>
        <w:t xml:space="preserve"> </w:t>
      </w:r>
      <w:r w:rsidR="00B81141">
        <w:rPr>
          <w:rFonts w:ascii="Times New Roman" w:hAnsi="Times New Roman"/>
          <w:color w:val="000000"/>
          <w:szCs w:val="22"/>
        </w:rPr>
        <w:t>obchodných spoločností a obce 548</w:t>
      </w:r>
      <w:r w:rsidRPr="0072101A" w:rsidR="008410ED">
        <w:rPr>
          <w:rFonts w:ascii="Times New Roman" w:hAnsi="Times New Roman"/>
          <w:color w:val="000000"/>
          <w:szCs w:val="22"/>
        </w:rPr>
        <w:t>.</w:t>
      </w:r>
      <w:r w:rsidR="00D746E9">
        <w:rPr>
          <w:rFonts w:ascii="Times New Roman" w:hAnsi="Times New Roman"/>
          <w:color w:val="000000"/>
          <w:szCs w:val="22"/>
        </w:rPr>
        <w:t xml:space="preserve"> </w:t>
      </w:r>
    </w:p>
    <w:p w:rsidR="006161D2" w:rsidRPr="0072101A" w:rsidP="001978EA">
      <w:pPr>
        <w:bidi w:val="0"/>
        <w:spacing w:before="120" w:after="120" w:line="336" w:lineRule="auto"/>
        <w:jc w:val="both"/>
        <w:rPr>
          <w:rFonts w:ascii="Times New Roman" w:hAnsi="Times New Roman"/>
          <w:color w:val="000000"/>
          <w:szCs w:val="22"/>
        </w:rPr>
      </w:pPr>
      <w:r>
        <w:rPr>
          <w:rFonts w:ascii="Times New Roman" w:hAnsi="Times New Roman"/>
          <w:color w:val="000000"/>
          <w:szCs w:val="22"/>
        </w:rPr>
        <w:t>V rámci ostatných subjektov boli do súhrnného celku zaradené aj neziskové organizácie</w:t>
      </w:r>
      <w:r w:rsidR="00D746E9">
        <w:rPr>
          <w:rFonts w:ascii="Times New Roman" w:hAnsi="Times New Roman"/>
          <w:color w:val="000000"/>
          <w:szCs w:val="22"/>
        </w:rPr>
        <w:t>, patriace štatisticky do verejnej správy.</w:t>
      </w:r>
    </w:p>
    <w:p w:rsidR="00604C4E" w:rsidRPr="0072101A" w:rsidP="000601BC">
      <w:pPr>
        <w:bidi w:val="0"/>
        <w:spacing w:after="0" w:line="336" w:lineRule="auto"/>
        <w:jc w:val="both"/>
        <w:rPr>
          <w:rFonts w:ascii="Times New Roman" w:hAnsi="Times New Roman"/>
          <w:b/>
          <w:i/>
          <w:color w:val="000000"/>
          <w:szCs w:val="22"/>
        </w:rPr>
      </w:pPr>
      <w:r w:rsidRPr="0072101A" w:rsidR="00394D14">
        <w:rPr>
          <w:rFonts w:ascii="Times New Roman" w:hAnsi="Times New Roman"/>
          <w:b/>
          <w:i/>
          <w:color w:val="000000"/>
          <w:szCs w:val="22"/>
        </w:rPr>
        <w:t>Bližší p</w:t>
      </w:r>
      <w:r w:rsidRPr="0072101A" w:rsidR="00F607B7">
        <w:rPr>
          <w:rFonts w:ascii="Times New Roman" w:hAnsi="Times New Roman"/>
          <w:b/>
          <w:i/>
          <w:color w:val="000000"/>
          <w:szCs w:val="22"/>
        </w:rPr>
        <w:t>rehľad o</w:t>
      </w:r>
      <w:r w:rsidRPr="0072101A" w:rsidR="00EE392B">
        <w:rPr>
          <w:rFonts w:ascii="Times New Roman" w:hAnsi="Times New Roman"/>
          <w:b/>
          <w:i/>
          <w:color w:val="000000"/>
          <w:szCs w:val="22"/>
        </w:rPr>
        <w:t xml:space="preserve"> počte </w:t>
      </w:r>
      <w:r w:rsidRPr="0072101A" w:rsidR="00F607B7">
        <w:rPr>
          <w:rFonts w:ascii="Times New Roman" w:hAnsi="Times New Roman"/>
          <w:b/>
          <w:i/>
          <w:color w:val="000000"/>
          <w:szCs w:val="22"/>
        </w:rPr>
        <w:t>subjekto</w:t>
      </w:r>
      <w:r w:rsidRPr="0072101A" w:rsidR="00EE392B">
        <w:rPr>
          <w:rFonts w:ascii="Times New Roman" w:hAnsi="Times New Roman"/>
          <w:b/>
          <w:i/>
          <w:color w:val="000000"/>
          <w:szCs w:val="22"/>
        </w:rPr>
        <w:t>v</w:t>
      </w:r>
      <w:r w:rsidRPr="0072101A" w:rsidR="00F607B7">
        <w:rPr>
          <w:rFonts w:ascii="Times New Roman" w:hAnsi="Times New Roman"/>
          <w:b/>
          <w:i/>
          <w:color w:val="000000"/>
          <w:szCs w:val="22"/>
        </w:rPr>
        <w:t xml:space="preserve"> súhrnného celku je uvedený v</w:t>
      </w:r>
      <w:r w:rsidR="00BE31A0">
        <w:rPr>
          <w:rFonts w:ascii="Times New Roman" w:hAnsi="Times New Roman"/>
          <w:b/>
          <w:i/>
          <w:color w:val="000000"/>
          <w:szCs w:val="22"/>
        </w:rPr>
        <w:t> </w:t>
      </w:r>
      <w:r w:rsidRPr="0072101A" w:rsidR="00621522">
        <w:rPr>
          <w:rFonts w:ascii="Times New Roman" w:hAnsi="Times New Roman"/>
          <w:b/>
          <w:i/>
          <w:color w:val="000000"/>
          <w:szCs w:val="22"/>
        </w:rPr>
        <w:t>prílohe</w:t>
      </w:r>
      <w:r w:rsidR="00BE31A0">
        <w:rPr>
          <w:rFonts w:ascii="Times New Roman" w:hAnsi="Times New Roman"/>
          <w:b/>
          <w:i/>
          <w:color w:val="000000"/>
          <w:szCs w:val="22"/>
        </w:rPr>
        <w:t xml:space="preserve"> č. 1</w:t>
      </w:r>
      <w:r w:rsidRPr="0072101A" w:rsidR="00F607B7">
        <w:rPr>
          <w:rFonts w:ascii="Times New Roman" w:hAnsi="Times New Roman"/>
          <w:b/>
          <w:i/>
          <w:color w:val="000000"/>
          <w:szCs w:val="22"/>
        </w:rPr>
        <w:t xml:space="preserve"> poznámok súhrnnej účtovnej závierky.</w:t>
      </w:r>
    </w:p>
    <w:p w:rsidR="00624D5B" w:rsidRPr="0072101A" w:rsidP="00604C4E">
      <w:pPr>
        <w:bidi w:val="0"/>
        <w:spacing w:after="0" w:line="336" w:lineRule="auto"/>
        <w:jc w:val="both"/>
        <w:rPr>
          <w:rFonts w:ascii="Times New Roman" w:hAnsi="Times New Roman"/>
          <w:b/>
          <w:color w:val="000000"/>
          <w:sz w:val="24"/>
          <w:szCs w:val="24"/>
        </w:rPr>
        <w:sectPr w:rsidSect="003E7ED7">
          <w:footerReference w:type="default" r:id="rId12"/>
          <w:headerReference w:type="first" r:id="rId13"/>
          <w:footerReference w:type="first" r:id="rId14"/>
          <w:pgSz w:w="11906" w:h="16838"/>
          <w:pgMar w:top="1418" w:right="1134" w:bottom="1418" w:left="1134" w:header="709" w:footer="709" w:gutter="567"/>
          <w:lnNumType w:distance="0"/>
          <w:pgNumType w:start="1"/>
          <w:cols w:space="708"/>
          <w:noEndnote w:val="0"/>
          <w:titlePg/>
          <w:bidi w:val="0"/>
          <w:docGrid w:linePitch="360"/>
        </w:sectPr>
      </w:pPr>
    </w:p>
    <w:p w:rsidR="002D6290" w:rsidRPr="0072101A" w:rsidP="00604C4E">
      <w:pPr>
        <w:bidi w:val="0"/>
        <w:spacing w:after="0" w:line="336" w:lineRule="auto"/>
        <w:jc w:val="both"/>
        <w:rPr>
          <w:rFonts w:ascii="Times New Roman" w:hAnsi="Times New Roman"/>
          <w:b/>
          <w:color w:val="000000"/>
          <w:sz w:val="24"/>
          <w:szCs w:val="24"/>
        </w:rPr>
      </w:pPr>
      <w:r w:rsidRPr="0072101A">
        <w:rPr>
          <w:rFonts w:ascii="Times New Roman" w:hAnsi="Times New Roman"/>
          <w:b/>
          <w:color w:val="000000"/>
          <w:sz w:val="24"/>
          <w:szCs w:val="24"/>
        </w:rPr>
        <w:t>3.</w:t>
      </w:r>
      <w:r w:rsidRPr="0072101A" w:rsidR="00036F71">
        <w:rPr>
          <w:rFonts w:ascii="Times New Roman" w:hAnsi="Times New Roman"/>
          <w:b/>
          <w:color w:val="000000"/>
          <w:sz w:val="24"/>
          <w:szCs w:val="24"/>
        </w:rPr>
        <w:t xml:space="preserve"> </w:t>
      </w:r>
      <w:r w:rsidRPr="0072101A">
        <w:rPr>
          <w:rFonts w:ascii="Times New Roman" w:hAnsi="Times New Roman"/>
          <w:b/>
          <w:color w:val="000000"/>
          <w:sz w:val="24"/>
          <w:szCs w:val="24"/>
        </w:rPr>
        <w:t>Informácie o účtovných zásadách a účtovných metódach</w:t>
      </w:r>
    </w:p>
    <w:p w:rsidR="008D2E7F" w:rsidP="000601BC">
      <w:pPr>
        <w:bidi w:val="0"/>
        <w:spacing w:after="120" w:line="336" w:lineRule="auto"/>
        <w:jc w:val="both"/>
        <w:rPr>
          <w:rFonts w:ascii="Times New Roman" w:hAnsi="Times New Roman"/>
          <w:color w:val="000000"/>
          <w:szCs w:val="22"/>
          <w:lang w:eastAsia="sk-SK"/>
        </w:rPr>
      </w:pPr>
      <w:r w:rsidRPr="0072101A" w:rsidR="002D6290">
        <w:rPr>
          <w:rFonts w:ascii="Times New Roman" w:hAnsi="Times New Roman"/>
          <w:color w:val="000000"/>
          <w:szCs w:val="22"/>
          <w:lang w:eastAsia="sk-SK"/>
        </w:rPr>
        <w:t>Účtovné zásady a účtovné metódy sú v </w:t>
      </w:r>
      <w:r w:rsidRPr="0072101A" w:rsidR="002B7690">
        <w:rPr>
          <w:rFonts w:ascii="Times New Roman" w:hAnsi="Times New Roman"/>
          <w:color w:val="000000"/>
          <w:szCs w:val="22"/>
          <w:lang w:eastAsia="sk-SK"/>
        </w:rPr>
        <w:t>konsolidovanom</w:t>
      </w:r>
      <w:r w:rsidRPr="0072101A" w:rsidR="002D6290">
        <w:rPr>
          <w:rFonts w:ascii="Times New Roman" w:hAnsi="Times New Roman"/>
          <w:color w:val="000000"/>
          <w:szCs w:val="22"/>
          <w:lang w:eastAsia="sk-SK"/>
        </w:rPr>
        <w:t xml:space="preserve"> celku ústrednej správy uplatňované na základe zákona o účtovníctve a</w:t>
      </w:r>
      <w:r w:rsidR="00AE63F4">
        <w:rPr>
          <w:rFonts w:ascii="Times New Roman" w:hAnsi="Times New Roman"/>
          <w:color w:val="000000"/>
          <w:szCs w:val="22"/>
          <w:lang w:eastAsia="sk-SK"/>
        </w:rPr>
        <w:t> postupov účtovania pre jednotlivé právne formy subjektov súhrnného celku</w:t>
      </w:r>
      <w:r>
        <w:rPr>
          <w:rFonts w:ascii="Times New Roman" w:hAnsi="Times New Roman"/>
          <w:color w:val="000000"/>
          <w:szCs w:val="22"/>
          <w:lang w:eastAsia="sk-SK"/>
        </w:rPr>
        <w:t>:</w:t>
      </w:r>
    </w:p>
    <w:p w:rsidR="008D2E7F" w:rsidP="008D2E7F">
      <w:pPr>
        <w:pStyle w:val="ListParagraph"/>
        <w:numPr>
          <w:numId w:val="32"/>
        </w:numPr>
        <w:bidi w:val="0"/>
        <w:spacing w:after="120" w:line="336" w:lineRule="auto"/>
        <w:jc w:val="both"/>
        <w:rPr>
          <w:rFonts w:ascii="Times New Roman" w:hAnsi="Times New Roman"/>
          <w:color w:val="000000"/>
          <w:szCs w:val="22"/>
          <w:lang w:eastAsia="sk-SK"/>
        </w:rPr>
      </w:pPr>
      <w:r w:rsidRPr="008D2E7F" w:rsidR="002D6290">
        <w:rPr>
          <w:rFonts w:ascii="Times New Roman" w:hAnsi="Times New Roman"/>
          <w:color w:val="000000"/>
          <w:szCs w:val="22"/>
          <w:lang w:eastAsia="sk-SK"/>
        </w:rPr>
        <w:t>opatrenia MF SR č. MF/16786/2007-31, ktorým sa ustanovujú podrobnosti o postupoch účtovania a rámcovej účtovej osnove pre rozpočtové organizácie, príspevkové organizácie, štátne fondy, obce a vyššie územné celk</w:t>
      </w:r>
      <w:r>
        <w:rPr>
          <w:rFonts w:ascii="Times New Roman" w:hAnsi="Times New Roman"/>
          <w:color w:val="000000"/>
          <w:szCs w:val="22"/>
          <w:lang w:eastAsia="sk-SK"/>
        </w:rPr>
        <w:t>y v znení neskorších predpisov,</w:t>
      </w:r>
    </w:p>
    <w:p w:rsidR="008D2E7F" w:rsidP="008D2E7F">
      <w:pPr>
        <w:pStyle w:val="ListParagraph"/>
        <w:numPr>
          <w:numId w:val="32"/>
        </w:numPr>
        <w:bidi w:val="0"/>
        <w:spacing w:after="120" w:line="336" w:lineRule="auto"/>
        <w:jc w:val="both"/>
        <w:rPr>
          <w:rFonts w:ascii="Times New Roman" w:hAnsi="Times New Roman"/>
          <w:color w:val="000000"/>
          <w:szCs w:val="22"/>
          <w:lang w:eastAsia="sk-SK"/>
        </w:rPr>
      </w:pPr>
      <w:r w:rsidRPr="008D2E7F" w:rsidR="002D6290">
        <w:rPr>
          <w:rFonts w:ascii="Times New Roman" w:hAnsi="Times New Roman"/>
          <w:color w:val="000000"/>
          <w:szCs w:val="22"/>
          <w:lang w:eastAsia="sk-SK"/>
        </w:rPr>
        <w:t>opatrenia MF SR č. MF/23054/2002-92, ktorým sa ustanovujú podrobnosti o postupoch účtovania a rámcovej účtovej osnove pre podnikateľov účtujúcich v sústave podvojného účtovníctv</w:t>
      </w:r>
      <w:r>
        <w:rPr>
          <w:rFonts w:ascii="Times New Roman" w:hAnsi="Times New Roman"/>
          <w:color w:val="000000"/>
          <w:szCs w:val="22"/>
          <w:lang w:eastAsia="sk-SK"/>
        </w:rPr>
        <w:t>a v znení neskorších predpisov,</w:t>
      </w:r>
    </w:p>
    <w:p w:rsidR="008D2E7F" w:rsidP="008D2E7F">
      <w:pPr>
        <w:pStyle w:val="ListParagraph"/>
        <w:numPr>
          <w:numId w:val="32"/>
        </w:numPr>
        <w:bidi w:val="0"/>
        <w:spacing w:after="120" w:line="336" w:lineRule="auto"/>
        <w:jc w:val="both"/>
        <w:rPr>
          <w:rFonts w:ascii="Times New Roman" w:hAnsi="Times New Roman"/>
          <w:color w:val="000000"/>
          <w:szCs w:val="22"/>
          <w:lang w:eastAsia="sk-SK"/>
        </w:rPr>
      </w:pPr>
      <w:r w:rsidRPr="008D2E7F" w:rsidR="002D6290">
        <w:rPr>
          <w:rFonts w:ascii="Times New Roman" w:hAnsi="Times New Roman"/>
          <w:color w:val="000000"/>
          <w:szCs w:val="22"/>
          <w:lang w:eastAsia="sk-SK"/>
        </w:rPr>
        <w:t>opatrenia MF SR č. MF/22930/2005-74, ktorým sa ustanovujú podrobnosti o postupo</w:t>
      </w:r>
      <w:r w:rsidRPr="008D2E7F" w:rsidR="00A47F31">
        <w:rPr>
          <w:rFonts w:ascii="Times New Roman" w:hAnsi="Times New Roman"/>
          <w:color w:val="000000"/>
          <w:szCs w:val="22"/>
          <w:lang w:eastAsia="sk-SK"/>
        </w:rPr>
        <w:t>ch účtovania a rámcovej účtovej</w:t>
      </w:r>
      <w:r w:rsidRPr="008D2E7F" w:rsidR="002D6290">
        <w:rPr>
          <w:rFonts w:ascii="Times New Roman" w:hAnsi="Times New Roman"/>
          <w:color w:val="000000"/>
          <w:szCs w:val="22"/>
          <w:lang w:eastAsia="sk-SK"/>
        </w:rPr>
        <w:t xml:space="preserve"> osnove pre zdravotné poisťovne a</w:t>
      </w:r>
    </w:p>
    <w:p w:rsidR="002D6290" w:rsidRPr="008D2E7F" w:rsidP="008D2E7F">
      <w:pPr>
        <w:pStyle w:val="ListParagraph"/>
        <w:numPr>
          <w:numId w:val="32"/>
        </w:numPr>
        <w:bidi w:val="0"/>
        <w:spacing w:after="120" w:line="336" w:lineRule="auto"/>
        <w:jc w:val="both"/>
        <w:rPr>
          <w:rFonts w:ascii="Times New Roman" w:hAnsi="Times New Roman"/>
          <w:color w:val="000000"/>
          <w:szCs w:val="22"/>
          <w:lang w:eastAsia="sk-SK"/>
        </w:rPr>
      </w:pPr>
      <w:r w:rsidRPr="008D2E7F">
        <w:rPr>
          <w:rFonts w:ascii="Times New Roman" w:hAnsi="Times New Roman"/>
          <w:color w:val="000000"/>
          <w:szCs w:val="22"/>
          <w:lang w:eastAsia="sk-SK"/>
        </w:rPr>
        <w:t>v prípade niektorých obchodných spoločností podľa medzinárodných štandardov pre finančné výkazníctvo IFRS.</w:t>
      </w:r>
    </w:p>
    <w:p w:rsidR="003C7875" w:rsidRPr="0072101A" w:rsidP="000601BC">
      <w:pPr>
        <w:bidi w:val="0"/>
        <w:spacing w:after="0" w:line="336" w:lineRule="auto"/>
        <w:jc w:val="both"/>
        <w:rPr>
          <w:rFonts w:ascii="Times New Roman" w:hAnsi="Times New Roman"/>
          <w:color w:val="000000"/>
          <w:szCs w:val="22"/>
          <w:lang w:eastAsia="sk-SK"/>
        </w:rPr>
      </w:pPr>
      <w:r w:rsidRPr="0072101A" w:rsidR="002D6290">
        <w:rPr>
          <w:rFonts w:ascii="Times New Roman" w:hAnsi="Times New Roman"/>
          <w:color w:val="000000"/>
          <w:szCs w:val="22"/>
          <w:lang w:eastAsia="sk-SK"/>
        </w:rPr>
        <w:t>Pre účely zostavenia</w:t>
      </w:r>
      <w:r w:rsidRPr="0072101A" w:rsidR="00FD1D26">
        <w:rPr>
          <w:rFonts w:ascii="Times New Roman" w:hAnsi="Times New Roman"/>
          <w:color w:val="000000"/>
          <w:szCs w:val="22"/>
          <w:lang w:eastAsia="sk-SK"/>
        </w:rPr>
        <w:t xml:space="preserve"> súhrnnej účtovnej závierky si </w:t>
      </w:r>
      <w:r w:rsidRPr="0072101A" w:rsidR="002D6290">
        <w:rPr>
          <w:rFonts w:ascii="Times New Roman" w:hAnsi="Times New Roman"/>
          <w:color w:val="000000"/>
          <w:szCs w:val="22"/>
          <w:lang w:eastAsia="sk-SK"/>
        </w:rPr>
        <w:t>účtovné jednotky</w:t>
      </w:r>
      <w:r w:rsidRPr="0072101A" w:rsidR="00FD1D26">
        <w:rPr>
          <w:rFonts w:ascii="Times New Roman" w:hAnsi="Times New Roman"/>
          <w:color w:val="000000"/>
          <w:szCs w:val="22"/>
          <w:lang w:eastAsia="sk-SK"/>
        </w:rPr>
        <w:t>, ktorých právna forma je iná než</w:t>
      </w:r>
      <w:r w:rsidRPr="0072101A" w:rsidR="002D6290">
        <w:rPr>
          <w:rFonts w:ascii="Times New Roman" w:hAnsi="Times New Roman"/>
          <w:color w:val="000000"/>
          <w:szCs w:val="22"/>
          <w:lang w:eastAsia="sk-SK"/>
        </w:rPr>
        <w:t xml:space="preserve"> rozpočtov</w:t>
      </w:r>
      <w:r w:rsidRPr="0072101A" w:rsidR="00FD1D26">
        <w:rPr>
          <w:rFonts w:ascii="Times New Roman" w:hAnsi="Times New Roman"/>
          <w:color w:val="000000"/>
          <w:szCs w:val="22"/>
          <w:lang w:eastAsia="sk-SK"/>
        </w:rPr>
        <w:t>á</w:t>
      </w:r>
      <w:r w:rsidRPr="0072101A" w:rsidR="002D6290">
        <w:rPr>
          <w:rFonts w:ascii="Times New Roman" w:hAnsi="Times New Roman"/>
          <w:color w:val="000000"/>
          <w:szCs w:val="22"/>
          <w:lang w:eastAsia="sk-SK"/>
        </w:rPr>
        <w:t xml:space="preserve"> </w:t>
      </w:r>
      <w:r w:rsidRPr="0072101A" w:rsidR="00FD1D26">
        <w:rPr>
          <w:rFonts w:ascii="Times New Roman" w:hAnsi="Times New Roman"/>
          <w:color w:val="000000"/>
          <w:szCs w:val="22"/>
          <w:lang w:eastAsia="sk-SK"/>
        </w:rPr>
        <w:t xml:space="preserve">resp. </w:t>
      </w:r>
      <w:r w:rsidRPr="0072101A" w:rsidR="002D6290">
        <w:rPr>
          <w:rFonts w:ascii="Times New Roman" w:hAnsi="Times New Roman"/>
          <w:color w:val="000000"/>
          <w:szCs w:val="22"/>
          <w:lang w:eastAsia="sk-SK"/>
        </w:rPr>
        <w:t>príspevkov</w:t>
      </w:r>
      <w:r w:rsidRPr="0072101A" w:rsidR="00FD1D26">
        <w:rPr>
          <w:rFonts w:ascii="Times New Roman" w:hAnsi="Times New Roman"/>
          <w:color w:val="000000"/>
          <w:szCs w:val="22"/>
          <w:lang w:eastAsia="sk-SK"/>
        </w:rPr>
        <w:t>á</w:t>
      </w:r>
      <w:r w:rsidRPr="0072101A" w:rsidR="002D6290">
        <w:rPr>
          <w:rFonts w:ascii="Times New Roman" w:hAnsi="Times New Roman"/>
          <w:color w:val="000000"/>
          <w:szCs w:val="22"/>
          <w:lang w:eastAsia="sk-SK"/>
        </w:rPr>
        <w:t xml:space="preserve"> organizáci</w:t>
      </w:r>
      <w:r w:rsidRPr="0072101A" w:rsidR="00FD1D26">
        <w:rPr>
          <w:rFonts w:ascii="Times New Roman" w:hAnsi="Times New Roman"/>
          <w:color w:val="000000"/>
          <w:szCs w:val="22"/>
          <w:lang w:eastAsia="sk-SK"/>
        </w:rPr>
        <w:t>a</w:t>
      </w:r>
      <w:r w:rsidRPr="0072101A" w:rsidR="002D6290">
        <w:rPr>
          <w:rFonts w:ascii="Times New Roman" w:hAnsi="Times New Roman"/>
          <w:color w:val="000000"/>
          <w:szCs w:val="22"/>
          <w:lang w:eastAsia="sk-SK"/>
        </w:rPr>
        <w:t>, štátn</w:t>
      </w:r>
      <w:r w:rsidRPr="0072101A" w:rsidR="00FD1D26">
        <w:rPr>
          <w:rFonts w:ascii="Times New Roman" w:hAnsi="Times New Roman"/>
          <w:color w:val="000000"/>
          <w:szCs w:val="22"/>
          <w:lang w:eastAsia="sk-SK"/>
        </w:rPr>
        <w:t>y</w:t>
      </w:r>
      <w:r w:rsidRPr="0072101A" w:rsidR="002D6290">
        <w:rPr>
          <w:rFonts w:ascii="Times New Roman" w:hAnsi="Times New Roman"/>
          <w:color w:val="000000"/>
          <w:szCs w:val="22"/>
          <w:lang w:eastAsia="sk-SK"/>
        </w:rPr>
        <w:t xml:space="preserve"> fond, ob</w:t>
      </w:r>
      <w:r w:rsidRPr="0072101A" w:rsidR="00FD1D26">
        <w:rPr>
          <w:rFonts w:ascii="Times New Roman" w:hAnsi="Times New Roman"/>
          <w:color w:val="000000"/>
          <w:szCs w:val="22"/>
          <w:lang w:eastAsia="sk-SK"/>
        </w:rPr>
        <w:t>ec</w:t>
      </w:r>
      <w:r w:rsidRPr="0072101A" w:rsidR="002D6290">
        <w:rPr>
          <w:rFonts w:ascii="Times New Roman" w:hAnsi="Times New Roman"/>
          <w:color w:val="000000"/>
          <w:szCs w:val="22"/>
          <w:lang w:eastAsia="sk-SK"/>
        </w:rPr>
        <w:t xml:space="preserve"> a</w:t>
      </w:r>
      <w:r w:rsidR="008D2E7F">
        <w:rPr>
          <w:rFonts w:ascii="Times New Roman" w:hAnsi="Times New Roman"/>
          <w:color w:val="000000"/>
          <w:szCs w:val="22"/>
          <w:lang w:eastAsia="sk-SK"/>
        </w:rPr>
        <w:t>lebo</w:t>
      </w:r>
      <w:r w:rsidRPr="0072101A" w:rsidR="00FD1D26">
        <w:rPr>
          <w:rFonts w:ascii="Times New Roman" w:hAnsi="Times New Roman"/>
          <w:color w:val="000000"/>
          <w:szCs w:val="22"/>
          <w:lang w:eastAsia="sk-SK"/>
        </w:rPr>
        <w:t> </w:t>
      </w:r>
      <w:r w:rsidRPr="0072101A" w:rsidR="002D6290">
        <w:rPr>
          <w:rFonts w:ascii="Times New Roman" w:hAnsi="Times New Roman"/>
          <w:color w:val="000000"/>
          <w:szCs w:val="22"/>
          <w:lang w:eastAsia="sk-SK"/>
        </w:rPr>
        <w:t>vyšš</w:t>
      </w:r>
      <w:r w:rsidRPr="0072101A" w:rsidR="00FD1D26">
        <w:rPr>
          <w:rFonts w:ascii="Times New Roman" w:hAnsi="Times New Roman"/>
          <w:color w:val="000000"/>
          <w:szCs w:val="22"/>
          <w:lang w:eastAsia="sk-SK"/>
        </w:rPr>
        <w:t xml:space="preserve">í </w:t>
      </w:r>
      <w:r w:rsidRPr="0072101A" w:rsidR="002D6290">
        <w:rPr>
          <w:rFonts w:ascii="Times New Roman" w:hAnsi="Times New Roman"/>
          <w:color w:val="000000"/>
          <w:szCs w:val="22"/>
          <w:lang w:eastAsia="sk-SK"/>
        </w:rPr>
        <w:t>územn</w:t>
      </w:r>
      <w:r w:rsidRPr="0072101A" w:rsidR="00FD1D26">
        <w:rPr>
          <w:rFonts w:ascii="Times New Roman" w:hAnsi="Times New Roman"/>
          <w:color w:val="000000"/>
          <w:szCs w:val="22"/>
          <w:lang w:eastAsia="sk-SK"/>
        </w:rPr>
        <w:t>ý</w:t>
      </w:r>
      <w:r w:rsidRPr="0072101A" w:rsidR="002D6290">
        <w:rPr>
          <w:rFonts w:ascii="Times New Roman" w:hAnsi="Times New Roman"/>
          <w:color w:val="000000"/>
          <w:szCs w:val="22"/>
          <w:lang w:eastAsia="sk-SK"/>
        </w:rPr>
        <w:t xml:space="preserve"> cel</w:t>
      </w:r>
      <w:r w:rsidRPr="0072101A" w:rsidR="00FD1D26">
        <w:rPr>
          <w:rFonts w:ascii="Times New Roman" w:hAnsi="Times New Roman"/>
          <w:color w:val="000000"/>
          <w:szCs w:val="22"/>
          <w:lang w:eastAsia="sk-SK"/>
        </w:rPr>
        <w:t>o</w:t>
      </w:r>
      <w:r w:rsidRPr="0072101A" w:rsidR="002D6290">
        <w:rPr>
          <w:rFonts w:ascii="Times New Roman" w:hAnsi="Times New Roman"/>
          <w:color w:val="000000"/>
          <w:szCs w:val="22"/>
          <w:lang w:eastAsia="sk-SK"/>
        </w:rPr>
        <w:t>k</w:t>
      </w:r>
      <w:r w:rsidRPr="0072101A" w:rsidR="008603A1">
        <w:rPr>
          <w:rFonts w:ascii="Times New Roman" w:hAnsi="Times New Roman"/>
          <w:color w:val="000000"/>
          <w:szCs w:val="22"/>
          <w:lang w:eastAsia="sk-SK"/>
        </w:rPr>
        <w:t>,</w:t>
      </w:r>
      <w:r w:rsidRPr="0072101A" w:rsidR="002D6290">
        <w:rPr>
          <w:rFonts w:ascii="Times New Roman" w:hAnsi="Times New Roman"/>
          <w:color w:val="000000"/>
          <w:szCs w:val="22"/>
          <w:lang w:eastAsia="sk-SK"/>
        </w:rPr>
        <w:t xml:space="preserve"> upravili účtovné výkazy prostredníctvom </w:t>
      </w:r>
      <w:r w:rsidRPr="008D2E7F" w:rsidR="002D6290">
        <w:rPr>
          <w:rFonts w:ascii="Times New Roman" w:hAnsi="Times New Roman"/>
          <w:i/>
          <w:color w:val="000000"/>
          <w:szCs w:val="22"/>
          <w:lang w:eastAsia="sk-SK"/>
        </w:rPr>
        <w:t>prevodových mostíkov</w:t>
      </w:r>
      <w:r w:rsidRPr="0072101A" w:rsidR="00FD1D26">
        <w:rPr>
          <w:rFonts w:ascii="Times New Roman" w:hAnsi="Times New Roman"/>
          <w:color w:val="000000"/>
          <w:szCs w:val="22"/>
          <w:lang w:eastAsia="sk-SK"/>
        </w:rPr>
        <w:t xml:space="preserve"> na </w:t>
      </w:r>
      <w:r w:rsidRPr="0072101A" w:rsidR="005469CF">
        <w:rPr>
          <w:rFonts w:ascii="Times New Roman" w:hAnsi="Times New Roman"/>
          <w:color w:val="000000"/>
          <w:szCs w:val="22"/>
          <w:lang w:eastAsia="sk-SK"/>
        </w:rPr>
        <w:t xml:space="preserve">štruktúru </w:t>
      </w:r>
      <w:r w:rsidRPr="0072101A" w:rsidR="00FD1D26">
        <w:rPr>
          <w:rFonts w:ascii="Times New Roman" w:hAnsi="Times New Roman"/>
          <w:color w:val="000000"/>
          <w:szCs w:val="22"/>
          <w:lang w:eastAsia="sk-SK"/>
        </w:rPr>
        <w:t>výkaz</w:t>
      </w:r>
      <w:r w:rsidRPr="0072101A" w:rsidR="005469CF">
        <w:rPr>
          <w:rFonts w:ascii="Times New Roman" w:hAnsi="Times New Roman"/>
          <w:color w:val="000000"/>
          <w:szCs w:val="22"/>
          <w:lang w:eastAsia="sk-SK"/>
        </w:rPr>
        <w:t>ov</w:t>
      </w:r>
      <w:r w:rsidRPr="0072101A" w:rsidR="00FD1D26">
        <w:rPr>
          <w:rFonts w:ascii="Times New Roman" w:hAnsi="Times New Roman"/>
          <w:color w:val="000000"/>
          <w:szCs w:val="22"/>
          <w:lang w:eastAsia="sk-SK"/>
        </w:rPr>
        <w:t xml:space="preserve"> uvedenej skupiny účtovných jednotiek</w:t>
      </w:r>
      <w:r w:rsidRPr="0072101A" w:rsidR="002D6290">
        <w:rPr>
          <w:rFonts w:ascii="Times New Roman" w:hAnsi="Times New Roman"/>
          <w:color w:val="000000"/>
          <w:szCs w:val="22"/>
          <w:lang w:eastAsia="sk-SK"/>
        </w:rPr>
        <w:t>. T</w:t>
      </w:r>
      <w:r w:rsidRPr="0072101A" w:rsidR="00A61E52">
        <w:rPr>
          <w:rFonts w:ascii="Times New Roman" w:hAnsi="Times New Roman"/>
          <w:color w:val="000000"/>
          <w:szCs w:val="22"/>
          <w:lang w:eastAsia="sk-SK"/>
        </w:rPr>
        <w:t>ým je</w:t>
      </w:r>
      <w:r w:rsidRPr="0072101A" w:rsidR="002D6290">
        <w:rPr>
          <w:rFonts w:ascii="Times New Roman" w:hAnsi="Times New Roman"/>
          <w:color w:val="000000"/>
          <w:szCs w:val="22"/>
          <w:lang w:eastAsia="sk-SK"/>
        </w:rPr>
        <w:t xml:space="preserve"> zabezpečená agregácia </w:t>
      </w:r>
      <w:r w:rsidRPr="0072101A" w:rsidR="00FD1D26">
        <w:rPr>
          <w:rFonts w:ascii="Times New Roman" w:hAnsi="Times New Roman"/>
          <w:color w:val="000000"/>
          <w:szCs w:val="22"/>
          <w:lang w:eastAsia="sk-SK"/>
        </w:rPr>
        <w:t>údajov</w:t>
      </w:r>
      <w:r w:rsidRPr="0072101A" w:rsidR="002D6290">
        <w:rPr>
          <w:rFonts w:ascii="Times New Roman" w:hAnsi="Times New Roman"/>
          <w:color w:val="000000"/>
          <w:szCs w:val="22"/>
          <w:lang w:eastAsia="sk-SK"/>
        </w:rPr>
        <w:t xml:space="preserve"> vo</w:t>
      </w:r>
      <w:r w:rsidRPr="0072101A" w:rsidR="00FD1D26">
        <w:rPr>
          <w:rFonts w:ascii="Times New Roman" w:hAnsi="Times New Roman"/>
          <w:color w:val="000000"/>
          <w:szCs w:val="22"/>
          <w:lang w:eastAsia="sk-SK"/>
        </w:rPr>
        <w:t xml:space="preserve"> forme </w:t>
      </w:r>
      <w:r w:rsidRPr="0072101A" w:rsidR="002D6290">
        <w:rPr>
          <w:rFonts w:ascii="Times New Roman" w:hAnsi="Times New Roman"/>
          <w:color w:val="000000"/>
          <w:szCs w:val="22"/>
          <w:lang w:eastAsia="sk-SK"/>
        </w:rPr>
        <w:t xml:space="preserve">výkazov platných pre </w:t>
      </w:r>
      <w:r w:rsidRPr="0072101A" w:rsidR="00161693">
        <w:rPr>
          <w:rFonts w:ascii="Times New Roman" w:hAnsi="Times New Roman"/>
          <w:color w:val="000000"/>
          <w:szCs w:val="22"/>
          <w:lang w:eastAsia="sk-SK"/>
        </w:rPr>
        <w:t>účtovnú jednotku zostavujúcu súhrnnú účtovnú závierku</w:t>
      </w:r>
      <w:r w:rsidRPr="0072101A" w:rsidR="00A61E52">
        <w:rPr>
          <w:rFonts w:ascii="Times New Roman" w:hAnsi="Times New Roman"/>
          <w:color w:val="000000"/>
          <w:szCs w:val="22"/>
          <w:lang w:eastAsia="sk-SK"/>
        </w:rPr>
        <w:t xml:space="preserve"> – Ministerstvo financií SR.</w:t>
      </w:r>
    </w:p>
    <w:p w:rsidR="00144CAB" w:rsidRPr="0072101A" w:rsidP="003C7875">
      <w:pPr>
        <w:bidi w:val="0"/>
        <w:spacing w:before="120" w:after="0" w:line="336" w:lineRule="auto"/>
        <w:jc w:val="both"/>
        <w:rPr>
          <w:rFonts w:ascii="Times New Roman" w:hAnsi="Times New Roman"/>
          <w:color w:val="000000"/>
          <w:szCs w:val="22"/>
          <w:lang w:eastAsia="sk-SK"/>
        </w:rPr>
      </w:pPr>
      <w:r w:rsidRPr="0072101A">
        <w:rPr>
          <w:rFonts w:ascii="Times New Roman" w:hAnsi="Times New Roman"/>
          <w:color w:val="000000"/>
          <w:szCs w:val="22"/>
          <w:lang w:eastAsia="sk-SK"/>
        </w:rPr>
        <w:t>Číselné údaje v poznámkach súhrnnej účtovnej závierk</w:t>
      </w:r>
      <w:r w:rsidRPr="0072101A" w:rsidR="00007A84">
        <w:rPr>
          <w:rFonts w:ascii="Times New Roman" w:hAnsi="Times New Roman"/>
          <w:color w:val="000000"/>
          <w:szCs w:val="22"/>
          <w:lang w:eastAsia="sk-SK"/>
        </w:rPr>
        <w:t>y</w:t>
      </w:r>
      <w:r w:rsidRPr="0072101A">
        <w:rPr>
          <w:rFonts w:ascii="Times New Roman" w:hAnsi="Times New Roman"/>
          <w:color w:val="000000"/>
          <w:szCs w:val="22"/>
          <w:lang w:eastAsia="sk-SK"/>
        </w:rPr>
        <w:t xml:space="preserve"> sú vykazované v mene euro, zaokrúhlené na tisíce.</w:t>
      </w:r>
    </w:p>
    <w:p w:rsidR="002D6290" w:rsidRPr="0072101A" w:rsidP="00DC627F">
      <w:pPr>
        <w:numPr>
          <w:numId w:val="22"/>
        </w:numPr>
        <w:bidi w:val="0"/>
        <w:spacing w:before="200" w:line="336" w:lineRule="auto"/>
        <w:ind w:left="426" w:hanging="426"/>
        <w:rPr>
          <w:rFonts w:ascii="Times New Roman" w:hAnsi="Times New Roman"/>
          <w:b/>
          <w:caps/>
          <w:color w:val="000000"/>
          <w:sz w:val="24"/>
          <w:szCs w:val="24"/>
        </w:rPr>
      </w:pPr>
      <w:r w:rsidRPr="0072101A">
        <w:rPr>
          <w:rFonts w:ascii="Times New Roman" w:hAnsi="Times New Roman"/>
          <w:b/>
          <w:caps/>
          <w:color w:val="000000"/>
          <w:sz w:val="24"/>
          <w:szCs w:val="24"/>
        </w:rPr>
        <w:t>Informácie</w:t>
      </w:r>
      <w:r w:rsidRPr="0072101A" w:rsidR="0049438C">
        <w:rPr>
          <w:rFonts w:ascii="Times New Roman" w:hAnsi="Times New Roman"/>
          <w:b/>
          <w:caps/>
          <w:color w:val="000000"/>
          <w:sz w:val="24"/>
          <w:szCs w:val="24"/>
        </w:rPr>
        <w:t xml:space="preserve"> </w:t>
      </w:r>
      <w:r w:rsidRPr="0072101A">
        <w:rPr>
          <w:rFonts w:ascii="Times New Roman" w:hAnsi="Times New Roman"/>
          <w:b/>
          <w:caps/>
          <w:color w:val="000000"/>
          <w:sz w:val="24"/>
          <w:szCs w:val="24"/>
        </w:rPr>
        <w:t>o</w:t>
      </w:r>
      <w:r w:rsidRPr="0072101A" w:rsidR="0049438C">
        <w:rPr>
          <w:rFonts w:ascii="Times New Roman" w:hAnsi="Times New Roman"/>
          <w:b/>
          <w:caps/>
          <w:color w:val="000000"/>
          <w:sz w:val="24"/>
          <w:szCs w:val="24"/>
        </w:rPr>
        <w:t xml:space="preserve"> </w:t>
      </w:r>
      <w:r w:rsidRPr="0072101A">
        <w:rPr>
          <w:rFonts w:ascii="Times New Roman" w:hAnsi="Times New Roman"/>
          <w:b/>
          <w:caps/>
          <w:color w:val="000000"/>
          <w:sz w:val="24"/>
          <w:szCs w:val="24"/>
        </w:rPr>
        <w:t>metódach</w:t>
      </w:r>
      <w:r w:rsidRPr="0072101A" w:rsidR="0049438C">
        <w:rPr>
          <w:rFonts w:ascii="Times New Roman" w:hAnsi="Times New Roman"/>
          <w:b/>
          <w:caps/>
          <w:color w:val="000000"/>
          <w:sz w:val="24"/>
          <w:szCs w:val="24"/>
        </w:rPr>
        <w:t xml:space="preserve"> </w:t>
      </w:r>
      <w:r w:rsidRPr="0072101A">
        <w:rPr>
          <w:rFonts w:ascii="Times New Roman" w:hAnsi="Times New Roman"/>
          <w:b/>
          <w:caps/>
          <w:color w:val="000000"/>
          <w:sz w:val="24"/>
          <w:szCs w:val="24"/>
        </w:rPr>
        <w:t>a</w:t>
      </w:r>
      <w:r w:rsidRPr="0072101A" w:rsidR="0049438C">
        <w:rPr>
          <w:rFonts w:ascii="Times New Roman" w:hAnsi="Times New Roman"/>
          <w:b/>
          <w:caps/>
          <w:color w:val="000000"/>
          <w:sz w:val="24"/>
          <w:szCs w:val="24"/>
        </w:rPr>
        <w:t xml:space="preserve"> </w:t>
      </w:r>
      <w:r w:rsidRPr="0072101A">
        <w:rPr>
          <w:rFonts w:ascii="Times New Roman" w:hAnsi="Times New Roman"/>
          <w:b/>
          <w:caps/>
          <w:color w:val="000000"/>
          <w:sz w:val="24"/>
          <w:szCs w:val="24"/>
        </w:rPr>
        <w:t>postupoch konsolidácie</w:t>
      </w:r>
    </w:p>
    <w:p w:rsidR="002D6290" w:rsidRPr="0072101A" w:rsidP="00AE63F4">
      <w:pPr>
        <w:tabs>
          <w:tab w:val="left" w:pos="284"/>
        </w:tabs>
        <w:bidi w:val="0"/>
        <w:spacing w:before="120" w:after="120" w:line="336" w:lineRule="auto"/>
        <w:jc w:val="both"/>
        <w:rPr>
          <w:rFonts w:ascii="Times New Roman" w:hAnsi="Times New Roman"/>
          <w:b/>
          <w:color w:val="000000"/>
          <w:sz w:val="24"/>
          <w:szCs w:val="24"/>
        </w:rPr>
      </w:pPr>
      <w:r w:rsidRPr="0072101A">
        <w:rPr>
          <w:rFonts w:ascii="Times New Roman" w:hAnsi="Times New Roman"/>
          <w:b/>
          <w:color w:val="000000"/>
          <w:sz w:val="24"/>
          <w:szCs w:val="24"/>
        </w:rPr>
        <w:t>1.</w:t>
        <w:tab/>
        <w:t>Informácie o použitých metódach konsolidácie</w:t>
      </w:r>
    </w:p>
    <w:p w:rsidR="002D6290" w:rsidRPr="0072101A" w:rsidP="00701477">
      <w:pPr>
        <w:bidi w:val="0"/>
        <w:spacing w:after="120" w:line="336" w:lineRule="auto"/>
        <w:jc w:val="both"/>
        <w:rPr>
          <w:rFonts w:ascii="Times New Roman" w:hAnsi="Times New Roman"/>
          <w:color w:val="000000"/>
          <w:szCs w:val="22"/>
        </w:rPr>
      </w:pPr>
      <w:r w:rsidRPr="0072101A">
        <w:rPr>
          <w:rFonts w:ascii="Times New Roman" w:hAnsi="Times New Roman"/>
          <w:color w:val="000000"/>
          <w:szCs w:val="22"/>
        </w:rPr>
        <w:t xml:space="preserve">Na </w:t>
      </w:r>
      <w:r w:rsidRPr="0072101A" w:rsidR="0096476C">
        <w:rPr>
          <w:rFonts w:ascii="Times New Roman" w:hAnsi="Times New Roman"/>
          <w:color w:val="000000"/>
          <w:szCs w:val="22"/>
        </w:rPr>
        <w:t xml:space="preserve">zostavenie </w:t>
      </w:r>
      <w:r w:rsidRPr="0072101A">
        <w:rPr>
          <w:rFonts w:ascii="Times New Roman" w:hAnsi="Times New Roman"/>
          <w:color w:val="000000"/>
          <w:szCs w:val="22"/>
        </w:rPr>
        <w:t>súhrnn</w:t>
      </w:r>
      <w:r w:rsidRPr="0072101A" w:rsidR="0096476C">
        <w:rPr>
          <w:rFonts w:ascii="Times New Roman" w:hAnsi="Times New Roman"/>
          <w:color w:val="000000"/>
          <w:szCs w:val="22"/>
        </w:rPr>
        <w:t>ej</w:t>
      </w:r>
      <w:r w:rsidRPr="0072101A">
        <w:rPr>
          <w:rFonts w:ascii="Times New Roman" w:hAnsi="Times New Roman"/>
          <w:color w:val="000000"/>
          <w:szCs w:val="22"/>
        </w:rPr>
        <w:t xml:space="preserve"> účtovn</w:t>
      </w:r>
      <w:r w:rsidRPr="0072101A" w:rsidR="0096476C">
        <w:rPr>
          <w:rFonts w:ascii="Times New Roman" w:hAnsi="Times New Roman"/>
          <w:color w:val="000000"/>
          <w:szCs w:val="22"/>
        </w:rPr>
        <w:t>ej</w:t>
      </w:r>
      <w:r w:rsidRPr="0072101A">
        <w:rPr>
          <w:rFonts w:ascii="Times New Roman" w:hAnsi="Times New Roman"/>
          <w:color w:val="000000"/>
          <w:szCs w:val="22"/>
        </w:rPr>
        <w:t xml:space="preserve"> závierk</w:t>
      </w:r>
      <w:r w:rsidRPr="0072101A" w:rsidR="0096476C">
        <w:rPr>
          <w:rFonts w:ascii="Times New Roman" w:hAnsi="Times New Roman"/>
          <w:color w:val="000000"/>
          <w:szCs w:val="22"/>
        </w:rPr>
        <w:t>y</w:t>
      </w:r>
      <w:r w:rsidRPr="0072101A">
        <w:rPr>
          <w:rFonts w:ascii="Times New Roman" w:hAnsi="Times New Roman"/>
          <w:color w:val="000000"/>
          <w:szCs w:val="22"/>
        </w:rPr>
        <w:t xml:space="preserve"> boli primerane použité metódy a postupy konsolidácie podľa opatrenia </w:t>
      </w:r>
      <w:r w:rsidRPr="0072101A" w:rsidR="00701477">
        <w:rPr>
          <w:rFonts w:ascii="Times New Roman" w:hAnsi="Times New Roman"/>
          <w:color w:val="000000"/>
          <w:szCs w:val="22"/>
        </w:rPr>
        <w:t>ku konsolidácii vo verejnej správe</w:t>
      </w:r>
      <w:r w:rsidRPr="0072101A">
        <w:rPr>
          <w:rFonts w:ascii="Times New Roman" w:hAnsi="Times New Roman"/>
          <w:color w:val="000000"/>
          <w:szCs w:val="22"/>
        </w:rPr>
        <w:t>.</w:t>
      </w:r>
      <w:r w:rsidRPr="0072101A" w:rsidR="00701477">
        <w:rPr>
          <w:rFonts w:ascii="Times New Roman" w:hAnsi="Times New Roman"/>
          <w:color w:val="000000"/>
          <w:szCs w:val="22"/>
        </w:rPr>
        <w:t xml:space="preserve"> </w:t>
      </w:r>
      <w:r w:rsidRPr="0072101A">
        <w:rPr>
          <w:rFonts w:ascii="Times New Roman" w:hAnsi="Times New Roman"/>
          <w:color w:val="000000"/>
          <w:szCs w:val="22"/>
        </w:rPr>
        <w:t xml:space="preserve">Účtovné jednotky boli zahrnuté do súhrnnej účtovnej závierky nasledovnými metódami: </w:t>
      </w:r>
    </w:p>
    <w:tbl>
      <w:tblPr>
        <w:tblStyle w:val="TableNormal"/>
        <w:tblW w:w="4501" w:type="pct"/>
        <w:jc w:val="center"/>
        <w:tblLayout w:type="fixed"/>
        <w:tblCellMar>
          <w:left w:w="70" w:type="dxa"/>
          <w:right w:w="70" w:type="dxa"/>
        </w:tblCellMar>
        <w:tblLook w:val="00A0"/>
      </w:tblPr>
      <w:tblGrid>
        <w:gridCol w:w="5221"/>
        <w:gridCol w:w="3071"/>
      </w:tblGrid>
      <w:tr>
        <w:tblPrEx>
          <w:tblW w:w="4501" w:type="pct"/>
          <w:jc w:val="center"/>
          <w:tblLayout w:type="fixed"/>
          <w:tblCellMar>
            <w:left w:w="70" w:type="dxa"/>
            <w:right w:w="70" w:type="dxa"/>
          </w:tblCellMar>
          <w:tblLook w:val="00A0"/>
        </w:tblPrEx>
        <w:trPr>
          <w:trHeight w:val="330"/>
          <w:jc w:val="center"/>
        </w:trPr>
        <w:tc>
          <w:tcPr>
            <w:tcW w:w="5000" w:type="pct"/>
            <w:gridSpan w:val="2"/>
            <w:tcBorders>
              <w:top w:val="single" w:sz="4" w:space="0" w:color="auto"/>
              <w:left w:val="nil"/>
              <w:bottom w:val="single" w:sz="4" w:space="0" w:color="auto"/>
              <w:right w:val="nil"/>
            </w:tcBorders>
            <w:shd w:val="clear" w:color="000000" w:fill="000000"/>
            <w:noWrap/>
            <w:textDirection w:val="lrTb"/>
            <w:vAlign w:val="center"/>
          </w:tcPr>
          <w:p w:rsidR="00686453" w:rsidRPr="0072101A" w:rsidP="00D766F1">
            <w:pPr>
              <w:bidi w:val="0"/>
              <w:spacing w:after="0" w:line="240" w:lineRule="auto"/>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Metóda zahrnutia účtovných jednotiek do súhrnného celku</w:t>
            </w:r>
          </w:p>
        </w:tc>
      </w:tr>
      <w:tr>
        <w:tblPrEx>
          <w:tblW w:w="4501" w:type="pct"/>
          <w:jc w:val="center"/>
          <w:tblLayout w:type="fixed"/>
          <w:tblCellMar>
            <w:left w:w="70" w:type="dxa"/>
            <w:right w:w="70" w:type="dxa"/>
          </w:tblCellMar>
          <w:tblLook w:val="00A0"/>
        </w:tblPrEx>
        <w:trPr>
          <w:trHeight w:val="330"/>
          <w:jc w:val="center"/>
        </w:trPr>
        <w:tc>
          <w:tcPr>
            <w:tcW w:w="3148" w:type="pct"/>
            <w:tcBorders>
              <w:top w:val="nil"/>
              <w:left w:val="nil"/>
              <w:bottom w:val="single" w:sz="4" w:space="0" w:color="auto"/>
              <w:right w:val="nil"/>
            </w:tcBorders>
            <w:shd w:val="clear" w:color="000000" w:fill="BFBFBF"/>
            <w:noWrap/>
            <w:textDirection w:val="lrTb"/>
            <w:vAlign w:val="bottom"/>
          </w:tcPr>
          <w:p w:rsidR="00AD2668" w:rsidRPr="0072101A" w:rsidP="00D766F1">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 Druh účtovnej jednotky</w:t>
            </w:r>
          </w:p>
        </w:tc>
        <w:tc>
          <w:tcPr>
            <w:tcW w:w="1852" w:type="pct"/>
            <w:tcBorders>
              <w:top w:val="nil"/>
              <w:left w:val="nil"/>
              <w:bottom w:val="single" w:sz="4" w:space="0" w:color="auto"/>
              <w:right w:val="nil"/>
            </w:tcBorders>
            <w:shd w:val="clear" w:color="000000" w:fill="BFBFBF"/>
            <w:noWrap/>
            <w:textDirection w:val="lrTb"/>
            <w:vAlign w:val="bottom"/>
          </w:tcPr>
          <w:p w:rsidR="00AD2668" w:rsidRPr="0072101A" w:rsidP="00AD2668">
            <w:pPr>
              <w:bidi w:val="0"/>
              <w:spacing w:after="0" w:line="240" w:lineRule="auto"/>
              <w:ind w:firstLine="335"/>
              <w:jc w:val="center"/>
              <w:rPr>
                <w:rFonts w:ascii="Times New Roman" w:hAnsi="Times New Roman"/>
                <w:b/>
                <w:bCs/>
                <w:sz w:val="20"/>
                <w:szCs w:val="20"/>
                <w:lang w:eastAsia="sk-SK"/>
              </w:rPr>
            </w:pPr>
            <w:r w:rsidRPr="0072101A">
              <w:rPr>
                <w:rFonts w:ascii="Times New Roman" w:hAnsi="Times New Roman"/>
                <w:b/>
                <w:bCs/>
                <w:sz w:val="20"/>
                <w:szCs w:val="20"/>
                <w:lang w:eastAsia="sk-SK"/>
              </w:rPr>
              <w:t>Metóda</w:t>
            </w:r>
          </w:p>
        </w:tc>
      </w:tr>
      <w:tr>
        <w:tblPrEx>
          <w:tblW w:w="4501" w:type="pct"/>
          <w:jc w:val="center"/>
          <w:tblLayout w:type="fixed"/>
          <w:tblCellMar>
            <w:left w:w="70" w:type="dxa"/>
            <w:right w:w="70" w:type="dxa"/>
          </w:tblCellMar>
          <w:tblLook w:val="00A0"/>
        </w:tblPrEx>
        <w:trPr>
          <w:trHeight w:val="330"/>
          <w:jc w:val="center"/>
        </w:trPr>
        <w:tc>
          <w:tcPr>
            <w:tcW w:w="3148" w:type="pct"/>
            <w:tcBorders>
              <w:top w:val="nil"/>
              <w:left w:val="nil"/>
              <w:bottom w:val="nil"/>
              <w:right w:val="nil"/>
            </w:tcBorders>
            <w:shd w:val="clear" w:color="000000" w:fill="FFFFFF"/>
            <w:textDirection w:val="lrTb"/>
            <w:vAlign w:val="center"/>
          </w:tcPr>
          <w:p w:rsidR="00686453" w:rsidRPr="0072101A" w:rsidP="000601BC">
            <w:pPr>
              <w:bidi w:val="0"/>
              <w:spacing w:after="0" w:line="336" w:lineRule="auto"/>
              <w:rPr>
                <w:rFonts w:ascii="Times New Roman" w:hAnsi="Times New Roman"/>
                <w:sz w:val="20"/>
                <w:szCs w:val="20"/>
              </w:rPr>
            </w:pPr>
            <w:r w:rsidRPr="0072101A">
              <w:rPr>
                <w:rFonts w:ascii="Times New Roman" w:hAnsi="Times New Roman"/>
                <w:sz w:val="20"/>
                <w:szCs w:val="20"/>
              </w:rPr>
              <w:t>Rozpočtové a príspevkové organizácie</w:t>
            </w:r>
          </w:p>
        </w:tc>
        <w:tc>
          <w:tcPr>
            <w:tcW w:w="1852" w:type="pct"/>
            <w:tcBorders>
              <w:top w:val="nil"/>
              <w:left w:val="nil"/>
              <w:bottom w:val="nil"/>
              <w:right w:val="none" w:sz="0" w:space="0" w:color="auto"/>
            </w:tcBorders>
            <w:shd w:val="clear" w:color="000000" w:fill="FFFFFF"/>
            <w:textDirection w:val="lrTb"/>
            <w:vAlign w:val="center"/>
          </w:tcPr>
          <w:p w:rsidR="00686453" w:rsidRPr="0072101A" w:rsidP="000601BC">
            <w:pPr>
              <w:bidi w:val="0"/>
              <w:spacing w:after="0" w:line="336" w:lineRule="auto"/>
              <w:jc w:val="center"/>
              <w:rPr>
                <w:rFonts w:ascii="Times New Roman" w:hAnsi="Times New Roman"/>
                <w:b/>
                <w:bCs/>
                <w:sz w:val="20"/>
                <w:szCs w:val="20"/>
                <w:lang w:eastAsia="sk-SK"/>
              </w:rPr>
            </w:pPr>
            <w:r w:rsidRPr="0072101A">
              <w:rPr>
                <w:rFonts w:ascii="Times New Roman" w:hAnsi="Times New Roman"/>
                <w:sz w:val="20"/>
                <w:szCs w:val="20"/>
              </w:rPr>
              <w:t>metóda úplnej konsolidácie</w:t>
            </w:r>
          </w:p>
        </w:tc>
      </w:tr>
      <w:tr>
        <w:tblPrEx>
          <w:tblW w:w="4501" w:type="pct"/>
          <w:jc w:val="center"/>
          <w:tblLayout w:type="fixed"/>
          <w:tblCellMar>
            <w:left w:w="70" w:type="dxa"/>
            <w:right w:w="70" w:type="dxa"/>
          </w:tblCellMar>
          <w:tblLook w:val="00A0"/>
        </w:tblPrEx>
        <w:trPr>
          <w:trHeight w:val="330"/>
          <w:jc w:val="center"/>
        </w:trPr>
        <w:tc>
          <w:tcPr>
            <w:tcW w:w="3148" w:type="pct"/>
            <w:tcBorders>
              <w:top w:val="nil"/>
              <w:left w:val="nil"/>
              <w:bottom w:val="nil"/>
              <w:right w:val="nil"/>
            </w:tcBorders>
            <w:shd w:val="clear" w:color="000000" w:fill="FFFFFF"/>
            <w:noWrap/>
            <w:textDirection w:val="lrTb"/>
            <w:vAlign w:val="center"/>
          </w:tcPr>
          <w:p w:rsidR="00686453" w:rsidRPr="0072101A" w:rsidP="000601BC">
            <w:pPr>
              <w:bidi w:val="0"/>
              <w:spacing w:after="0" w:line="336" w:lineRule="auto"/>
              <w:rPr>
                <w:rFonts w:ascii="Times New Roman" w:hAnsi="Times New Roman"/>
                <w:sz w:val="20"/>
                <w:szCs w:val="20"/>
              </w:rPr>
            </w:pPr>
            <w:r w:rsidRPr="0072101A">
              <w:rPr>
                <w:rFonts w:ascii="Times New Roman" w:hAnsi="Times New Roman"/>
                <w:sz w:val="20"/>
                <w:szCs w:val="20"/>
              </w:rPr>
              <w:t>Obce a vyššie územné celky</w:t>
            </w:r>
          </w:p>
        </w:tc>
        <w:tc>
          <w:tcPr>
            <w:tcW w:w="1852" w:type="pct"/>
            <w:tcBorders>
              <w:top w:val="nil"/>
              <w:left w:val="nil"/>
              <w:bottom w:val="nil"/>
              <w:right w:val="nil"/>
            </w:tcBorders>
            <w:shd w:val="clear" w:color="000000" w:fill="FFFFFF"/>
            <w:noWrap/>
            <w:textDirection w:val="lrTb"/>
            <w:vAlign w:val="center"/>
          </w:tcPr>
          <w:p w:rsidR="00686453" w:rsidRPr="0072101A" w:rsidP="000601BC">
            <w:pPr>
              <w:bidi w:val="0"/>
              <w:spacing w:after="0" w:line="336" w:lineRule="auto"/>
              <w:jc w:val="center"/>
              <w:rPr>
                <w:rFonts w:ascii="Times New Roman" w:hAnsi="Times New Roman"/>
                <w:sz w:val="20"/>
                <w:szCs w:val="20"/>
                <w:lang w:eastAsia="sk-SK"/>
              </w:rPr>
            </w:pPr>
            <w:r w:rsidRPr="0072101A">
              <w:rPr>
                <w:rFonts w:ascii="Times New Roman" w:hAnsi="Times New Roman"/>
                <w:sz w:val="20"/>
                <w:szCs w:val="20"/>
              </w:rPr>
              <w:t>metóda úplnej konsolidácie</w:t>
            </w:r>
          </w:p>
        </w:tc>
      </w:tr>
      <w:tr>
        <w:tblPrEx>
          <w:tblW w:w="4501" w:type="pct"/>
          <w:jc w:val="center"/>
          <w:tblLayout w:type="fixed"/>
          <w:tblCellMar>
            <w:left w:w="70" w:type="dxa"/>
            <w:right w:w="70" w:type="dxa"/>
          </w:tblCellMar>
          <w:tblLook w:val="00A0"/>
        </w:tblPrEx>
        <w:trPr>
          <w:trHeight w:val="330"/>
          <w:jc w:val="center"/>
        </w:trPr>
        <w:tc>
          <w:tcPr>
            <w:tcW w:w="3148" w:type="pct"/>
            <w:tcBorders>
              <w:top w:val="nil"/>
              <w:left w:val="nil"/>
              <w:bottom w:val="nil"/>
              <w:right w:val="nil"/>
            </w:tcBorders>
            <w:shd w:val="clear" w:color="000000" w:fill="FFFFFF"/>
            <w:noWrap/>
            <w:textDirection w:val="lrTb"/>
            <w:vAlign w:val="center"/>
          </w:tcPr>
          <w:p w:rsidR="00686453" w:rsidRPr="0072101A" w:rsidP="000601BC">
            <w:pPr>
              <w:bidi w:val="0"/>
              <w:spacing w:after="0" w:line="336" w:lineRule="auto"/>
              <w:rPr>
                <w:rFonts w:ascii="Times New Roman" w:hAnsi="Times New Roman"/>
                <w:sz w:val="20"/>
                <w:szCs w:val="20"/>
              </w:rPr>
            </w:pPr>
            <w:r w:rsidRPr="0072101A">
              <w:rPr>
                <w:rFonts w:ascii="Times New Roman" w:hAnsi="Times New Roman"/>
                <w:sz w:val="20"/>
                <w:szCs w:val="20"/>
              </w:rPr>
              <w:t xml:space="preserve">Štátne fondy </w:t>
            </w:r>
          </w:p>
        </w:tc>
        <w:tc>
          <w:tcPr>
            <w:tcW w:w="1852" w:type="pct"/>
            <w:tcBorders>
              <w:top w:val="nil"/>
              <w:left w:val="nil"/>
              <w:bottom w:val="nil"/>
              <w:right w:val="nil"/>
            </w:tcBorders>
            <w:shd w:val="clear" w:color="000000" w:fill="FFFFFF"/>
            <w:noWrap/>
            <w:textDirection w:val="lrTb"/>
            <w:vAlign w:val="center"/>
          </w:tcPr>
          <w:p w:rsidR="00686453" w:rsidRPr="0072101A" w:rsidP="000601BC">
            <w:pPr>
              <w:bidi w:val="0"/>
              <w:spacing w:after="0" w:line="336" w:lineRule="auto"/>
              <w:jc w:val="center"/>
              <w:rPr>
                <w:rFonts w:ascii="Times New Roman" w:hAnsi="Times New Roman"/>
                <w:sz w:val="20"/>
                <w:szCs w:val="20"/>
                <w:lang w:eastAsia="sk-SK"/>
              </w:rPr>
            </w:pPr>
            <w:r w:rsidRPr="0072101A">
              <w:rPr>
                <w:rFonts w:ascii="Times New Roman" w:hAnsi="Times New Roman"/>
                <w:sz w:val="20"/>
                <w:szCs w:val="20"/>
              </w:rPr>
              <w:t>metóda úplnej konsolidácie</w:t>
            </w:r>
          </w:p>
        </w:tc>
      </w:tr>
      <w:tr>
        <w:tblPrEx>
          <w:tblW w:w="4501" w:type="pct"/>
          <w:jc w:val="center"/>
          <w:tblLayout w:type="fixed"/>
          <w:tblCellMar>
            <w:left w:w="70" w:type="dxa"/>
            <w:right w:w="70" w:type="dxa"/>
          </w:tblCellMar>
          <w:tblLook w:val="00A0"/>
        </w:tblPrEx>
        <w:trPr>
          <w:trHeight w:val="330"/>
          <w:jc w:val="center"/>
        </w:trPr>
        <w:tc>
          <w:tcPr>
            <w:tcW w:w="3148" w:type="pct"/>
            <w:tcBorders>
              <w:top w:val="nil"/>
              <w:left w:val="nil"/>
              <w:bottom w:val="nil"/>
              <w:right w:val="nil"/>
            </w:tcBorders>
            <w:shd w:val="clear" w:color="000000" w:fill="FFFFFF"/>
            <w:noWrap/>
            <w:textDirection w:val="lrTb"/>
            <w:vAlign w:val="center"/>
          </w:tcPr>
          <w:p w:rsidR="00686453" w:rsidRPr="0072101A" w:rsidP="000601BC">
            <w:pPr>
              <w:bidi w:val="0"/>
              <w:spacing w:after="0" w:line="336" w:lineRule="auto"/>
              <w:rPr>
                <w:rFonts w:ascii="Times New Roman" w:hAnsi="Times New Roman"/>
                <w:sz w:val="20"/>
                <w:szCs w:val="20"/>
              </w:rPr>
            </w:pPr>
            <w:r w:rsidRPr="0072101A">
              <w:rPr>
                <w:rFonts w:ascii="Times New Roman" w:hAnsi="Times New Roman"/>
                <w:sz w:val="20"/>
                <w:szCs w:val="20"/>
              </w:rPr>
              <w:t>Štátne podniky a dcérske obchodné spoločnosti štátu</w:t>
            </w:r>
          </w:p>
        </w:tc>
        <w:tc>
          <w:tcPr>
            <w:tcW w:w="1852" w:type="pct"/>
            <w:tcBorders>
              <w:top w:val="nil"/>
              <w:left w:val="nil"/>
              <w:bottom w:val="nil"/>
              <w:right w:val="nil"/>
            </w:tcBorders>
            <w:shd w:val="clear" w:color="000000" w:fill="FFFFFF"/>
            <w:noWrap/>
            <w:textDirection w:val="lrTb"/>
            <w:vAlign w:val="center"/>
          </w:tcPr>
          <w:p w:rsidR="00686453" w:rsidRPr="0072101A" w:rsidP="000601BC">
            <w:pPr>
              <w:bidi w:val="0"/>
              <w:spacing w:after="0" w:line="336" w:lineRule="auto"/>
              <w:jc w:val="center"/>
              <w:rPr>
                <w:rFonts w:ascii="Times New Roman" w:hAnsi="Times New Roman"/>
                <w:sz w:val="20"/>
                <w:szCs w:val="20"/>
                <w:lang w:eastAsia="sk-SK"/>
              </w:rPr>
            </w:pPr>
            <w:r w:rsidRPr="0072101A">
              <w:rPr>
                <w:rFonts w:ascii="Times New Roman" w:hAnsi="Times New Roman"/>
                <w:sz w:val="20"/>
                <w:szCs w:val="20"/>
              </w:rPr>
              <w:t>metóda úplnej konsolidácie</w:t>
            </w:r>
          </w:p>
        </w:tc>
      </w:tr>
      <w:tr>
        <w:tblPrEx>
          <w:tblW w:w="4501" w:type="pct"/>
          <w:jc w:val="center"/>
          <w:tblLayout w:type="fixed"/>
          <w:tblCellMar>
            <w:left w:w="70" w:type="dxa"/>
            <w:right w:w="70" w:type="dxa"/>
          </w:tblCellMar>
          <w:tblLook w:val="00A0"/>
        </w:tblPrEx>
        <w:trPr>
          <w:trHeight w:val="330"/>
          <w:jc w:val="center"/>
        </w:trPr>
        <w:tc>
          <w:tcPr>
            <w:tcW w:w="3148" w:type="pct"/>
            <w:tcBorders>
              <w:top w:val="nil"/>
              <w:left w:val="nil"/>
              <w:bottom w:val="nil"/>
              <w:right w:val="nil"/>
            </w:tcBorders>
            <w:shd w:val="clear" w:color="000000" w:fill="FFFFFF"/>
            <w:noWrap/>
            <w:textDirection w:val="lrTb"/>
            <w:vAlign w:val="center"/>
          </w:tcPr>
          <w:p w:rsidR="00686453" w:rsidRPr="0072101A" w:rsidP="000601BC">
            <w:pPr>
              <w:bidi w:val="0"/>
              <w:spacing w:after="0" w:line="336" w:lineRule="auto"/>
              <w:rPr>
                <w:rFonts w:ascii="Times New Roman" w:hAnsi="Times New Roman"/>
                <w:sz w:val="20"/>
                <w:szCs w:val="20"/>
              </w:rPr>
            </w:pPr>
            <w:r w:rsidRPr="0072101A">
              <w:rPr>
                <w:rFonts w:ascii="Times New Roman" w:hAnsi="Times New Roman"/>
                <w:sz w:val="20"/>
                <w:szCs w:val="20"/>
              </w:rPr>
              <w:t>Verejné vysoké školy</w:t>
            </w:r>
          </w:p>
        </w:tc>
        <w:tc>
          <w:tcPr>
            <w:tcW w:w="1852" w:type="pct"/>
            <w:tcBorders>
              <w:top w:val="nil"/>
              <w:left w:val="nil"/>
              <w:bottom w:val="nil"/>
              <w:right w:val="nil"/>
            </w:tcBorders>
            <w:shd w:val="clear" w:color="000000" w:fill="FFFFFF"/>
            <w:noWrap/>
            <w:textDirection w:val="lrTb"/>
            <w:vAlign w:val="center"/>
          </w:tcPr>
          <w:p w:rsidR="00686453" w:rsidRPr="0072101A" w:rsidP="000601BC">
            <w:pPr>
              <w:bidi w:val="0"/>
              <w:spacing w:after="0" w:line="336" w:lineRule="auto"/>
              <w:jc w:val="center"/>
              <w:rPr>
                <w:rFonts w:ascii="Times New Roman" w:hAnsi="Times New Roman"/>
                <w:sz w:val="20"/>
                <w:szCs w:val="20"/>
                <w:lang w:eastAsia="sk-SK"/>
              </w:rPr>
            </w:pPr>
            <w:r w:rsidRPr="0072101A">
              <w:rPr>
                <w:rFonts w:ascii="Times New Roman" w:hAnsi="Times New Roman"/>
                <w:sz w:val="20"/>
                <w:szCs w:val="20"/>
              </w:rPr>
              <w:t>metóda úplnej konsolidácie</w:t>
            </w:r>
          </w:p>
        </w:tc>
      </w:tr>
      <w:tr>
        <w:tblPrEx>
          <w:tblW w:w="4501" w:type="pct"/>
          <w:jc w:val="center"/>
          <w:tblLayout w:type="fixed"/>
          <w:tblCellMar>
            <w:left w:w="70" w:type="dxa"/>
            <w:right w:w="70" w:type="dxa"/>
          </w:tblCellMar>
          <w:tblLook w:val="00A0"/>
        </w:tblPrEx>
        <w:trPr>
          <w:trHeight w:val="330"/>
          <w:jc w:val="center"/>
        </w:trPr>
        <w:tc>
          <w:tcPr>
            <w:tcW w:w="3148" w:type="pct"/>
            <w:tcBorders>
              <w:top w:val="nil"/>
              <w:left w:val="nil"/>
              <w:bottom w:val="nil"/>
              <w:right w:val="nil"/>
            </w:tcBorders>
            <w:shd w:val="clear" w:color="000000" w:fill="FFFFFF"/>
            <w:noWrap/>
            <w:textDirection w:val="lrTb"/>
            <w:vAlign w:val="center"/>
          </w:tcPr>
          <w:p w:rsidR="00686453" w:rsidRPr="0072101A" w:rsidP="000601BC">
            <w:pPr>
              <w:bidi w:val="0"/>
              <w:spacing w:after="0" w:line="336" w:lineRule="auto"/>
              <w:rPr>
                <w:rFonts w:ascii="Times New Roman" w:hAnsi="Times New Roman"/>
                <w:sz w:val="20"/>
                <w:szCs w:val="20"/>
              </w:rPr>
            </w:pPr>
            <w:r w:rsidRPr="0072101A">
              <w:rPr>
                <w:rFonts w:ascii="Times New Roman" w:hAnsi="Times New Roman"/>
                <w:sz w:val="20"/>
                <w:szCs w:val="20"/>
              </w:rPr>
              <w:t>Ostatné subjekty podľa osobitného zákona</w:t>
            </w:r>
          </w:p>
        </w:tc>
        <w:tc>
          <w:tcPr>
            <w:tcW w:w="1852" w:type="pct"/>
            <w:tcBorders>
              <w:top w:val="nil"/>
              <w:left w:val="nil"/>
              <w:bottom w:val="nil"/>
              <w:right w:val="nil"/>
            </w:tcBorders>
            <w:shd w:val="clear" w:color="000000" w:fill="FFFFFF"/>
            <w:noWrap/>
            <w:textDirection w:val="lrTb"/>
            <w:vAlign w:val="center"/>
          </w:tcPr>
          <w:p w:rsidR="00686453" w:rsidRPr="0072101A" w:rsidP="000601BC">
            <w:pPr>
              <w:bidi w:val="0"/>
              <w:spacing w:after="0" w:line="336" w:lineRule="auto"/>
              <w:jc w:val="center"/>
              <w:rPr>
                <w:rFonts w:ascii="Times New Roman" w:hAnsi="Times New Roman"/>
                <w:sz w:val="20"/>
                <w:szCs w:val="20"/>
                <w:lang w:eastAsia="sk-SK"/>
              </w:rPr>
            </w:pPr>
            <w:r w:rsidRPr="0072101A">
              <w:rPr>
                <w:rFonts w:ascii="Times New Roman" w:hAnsi="Times New Roman"/>
                <w:sz w:val="20"/>
                <w:szCs w:val="20"/>
              </w:rPr>
              <w:t>metóda úplnej konsolidácie</w:t>
            </w:r>
          </w:p>
        </w:tc>
      </w:tr>
      <w:tr>
        <w:tblPrEx>
          <w:tblW w:w="4501" w:type="pct"/>
          <w:jc w:val="center"/>
          <w:tblLayout w:type="fixed"/>
          <w:tblCellMar>
            <w:left w:w="70" w:type="dxa"/>
            <w:right w:w="70" w:type="dxa"/>
          </w:tblCellMar>
          <w:tblLook w:val="00A0"/>
        </w:tblPrEx>
        <w:trPr>
          <w:trHeight w:val="330"/>
          <w:jc w:val="center"/>
        </w:trPr>
        <w:tc>
          <w:tcPr>
            <w:tcW w:w="3148" w:type="pct"/>
            <w:tcBorders>
              <w:top w:val="nil"/>
              <w:left w:val="nil"/>
              <w:bottom w:val="none" w:sz="0" w:space="0" w:color="auto"/>
              <w:right w:val="nil"/>
            </w:tcBorders>
            <w:shd w:val="clear" w:color="000000" w:fill="FFFFFF"/>
            <w:noWrap/>
            <w:textDirection w:val="lrTb"/>
            <w:vAlign w:val="center"/>
          </w:tcPr>
          <w:p w:rsidR="00686453" w:rsidRPr="0072101A" w:rsidP="000601BC">
            <w:pPr>
              <w:bidi w:val="0"/>
              <w:spacing w:after="0" w:line="336" w:lineRule="auto"/>
              <w:rPr>
                <w:rFonts w:ascii="Times New Roman" w:hAnsi="Times New Roman"/>
                <w:sz w:val="20"/>
                <w:szCs w:val="20"/>
              </w:rPr>
            </w:pPr>
            <w:r w:rsidRPr="0072101A">
              <w:rPr>
                <w:rFonts w:ascii="Times New Roman" w:hAnsi="Times New Roman"/>
                <w:sz w:val="20"/>
                <w:szCs w:val="20"/>
              </w:rPr>
              <w:t>Spoločné účtovné jednotky</w:t>
            </w:r>
          </w:p>
        </w:tc>
        <w:tc>
          <w:tcPr>
            <w:tcW w:w="1852" w:type="pct"/>
            <w:tcBorders>
              <w:top w:val="nil"/>
              <w:left w:val="nil"/>
              <w:bottom w:val="none" w:sz="0" w:space="0" w:color="auto"/>
              <w:right w:val="nil"/>
            </w:tcBorders>
            <w:shd w:val="clear" w:color="000000" w:fill="FFFFFF"/>
            <w:noWrap/>
            <w:textDirection w:val="lrTb"/>
            <w:vAlign w:val="center"/>
          </w:tcPr>
          <w:p w:rsidR="00686453" w:rsidRPr="0072101A" w:rsidP="000601BC">
            <w:pPr>
              <w:bidi w:val="0"/>
              <w:spacing w:after="0" w:line="336" w:lineRule="auto"/>
              <w:jc w:val="center"/>
              <w:rPr>
                <w:rFonts w:ascii="Times New Roman" w:hAnsi="Times New Roman"/>
                <w:sz w:val="20"/>
                <w:szCs w:val="20"/>
                <w:lang w:eastAsia="sk-SK"/>
              </w:rPr>
            </w:pPr>
            <w:r w:rsidRPr="0072101A">
              <w:rPr>
                <w:rFonts w:ascii="Times New Roman" w:hAnsi="Times New Roman"/>
                <w:color w:val="000000"/>
                <w:sz w:val="20"/>
                <w:szCs w:val="20"/>
              </w:rPr>
              <w:t>metóda podielovej konsolidácie</w:t>
            </w:r>
          </w:p>
        </w:tc>
      </w:tr>
      <w:tr>
        <w:tblPrEx>
          <w:tblW w:w="4501" w:type="pct"/>
          <w:jc w:val="center"/>
          <w:tblLayout w:type="fixed"/>
          <w:tblCellMar>
            <w:left w:w="70" w:type="dxa"/>
            <w:right w:w="70" w:type="dxa"/>
          </w:tblCellMar>
          <w:tblLook w:val="00A0"/>
        </w:tblPrEx>
        <w:trPr>
          <w:trHeight w:val="330"/>
          <w:jc w:val="center"/>
        </w:trPr>
        <w:tc>
          <w:tcPr>
            <w:tcW w:w="3148" w:type="pct"/>
            <w:tcBorders>
              <w:top w:val="nil"/>
              <w:left w:val="nil"/>
              <w:bottom w:val="single" w:sz="4" w:space="0" w:color="auto"/>
              <w:right w:val="nil"/>
            </w:tcBorders>
            <w:shd w:val="clear" w:color="000000" w:fill="FFFFFF"/>
            <w:noWrap/>
            <w:textDirection w:val="lrTb"/>
            <w:vAlign w:val="center"/>
          </w:tcPr>
          <w:p w:rsidR="00686453" w:rsidRPr="0072101A" w:rsidP="000601BC">
            <w:pPr>
              <w:bidi w:val="0"/>
              <w:spacing w:after="0" w:line="336" w:lineRule="auto"/>
              <w:rPr>
                <w:rFonts w:ascii="Times New Roman" w:hAnsi="Times New Roman"/>
                <w:color w:val="000000"/>
                <w:sz w:val="20"/>
                <w:szCs w:val="20"/>
              </w:rPr>
            </w:pPr>
            <w:r w:rsidRPr="0072101A">
              <w:rPr>
                <w:rFonts w:ascii="Times New Roman" w:hAnsi="Times New Roman"/>
                <w:color w:val="000000"/>
                <w:sz w:val="20"/>
                <w:szCs w:val="20"/>
              </w:rPr>
              <w:t>Pridružené účtovné jednotky</w:t>
            </w:r>
          </w:p>
        </w:tc>
        <w:tc>
          <w:tcPr>
            <w:tcW w:w="1852" w:type="pct"/>
            <w:tcBorders>
              <w:top w:val="nil"/>
              <w:left w:val="nil"/>
              <w:bottom w:val="single" w:sz="4" w:space="0" w:color="auto"/>
              <w:right w:val="nil"/>
            </w:tcBorders>
            <w:shd w:val="clear" w:color="000000" w:fill="FFFFFF"/>
            <w:noWrap/>
            <w:textDirection w:val="lrTb"/>
            <w:vAlign w:val="center"/>
          </w:tcPr>
          <w:p w:rsidR="00686453" w:rsidRPr="0072101A" w:rsidP="000601BC">
            <w:pPr>
              <w:bidi w:val="0"/>
              <w:spacing w:after="0" w:line="336" w:lineRule="auto"/>
              <w:jc w:val="center"/>
              <w:rPr>
                <w:rFonts w:ascii="Times New Roman" w:hAnsi="Times New Roman"/>
                <w:sz w:val="20"/>
                <w:szCs w:val="20"/>
                <w:lang w:eastAsia="sk-SK"/>
              </w:rPr>
            </w:pPr>
            <w:r w:rsidRPr="0072101A">
              <w:rPr>
                <w:rFonts w:ascii="Times New Roman" w:hAnsi="Times New Roman"/>
                <w:color w:val="000000"/>
                <w:sz w:val="20"/>
                <w:szCs w:val="20"/>
              </w:rPr>
              <w:t xml:space="preserve">  metóda vlastného imania</w:t>
            </w:r>
          </w:p>
        </w:tc>
      </w:tr>
    </w:tbl>
    <w:p w:rsidR="00EA240F" w:rsidRPr="0072101A" w:rsidP="00E55273">
      <w:pPr>
        <w:bidi w:val="0"/>
        <w:spacing w:after="0" w:line="336" w:lineRule="auto"/>
        <w:jc w:val="both"/>
        <w:rPr>
          <w:rFonts w:ascii="Times New Roman" w:hAnsi="Times New Roman"/>
          <w:b/>
          <w:color w:val="000000"/>
          <w:szCs w:val="22"/>
        </w:rPr>
      </w:pPr>
      <w:r w:rsidRPr="0072101A" w:rsidR="001F0E4E">
        <w:rPr>
          <w:rFonts w:ascii="Times New Roman" w:hAnsi="Times New Roman"/>
          <w:b/>
          <w:color w:val="000000"/>
          <w:szCs w:val="22"/>
        </w:rPr>
        <w:br w:type="page"/>
      </w:r>
      <w:r w:rsidRPr="0072101A" w:rsidR="009253B1">
        <w:rPr>
          <w:rFonts w:ascii="Times New Roman" w:hAnsi="Times New Roman"/>
          <w:b/>
          <w:color w:val="000000"/>
          <w:szCs w:val="22"/>
        </w:rPr>
        <w:t>Popis metód konsolidácie</w:t>
      </w:r>
    </w:p>
    <w:p w:rsidR="00624D5B" w:rsidRPr="0072101A" w:rsidP="00E55273">
      <w:pPr>
        <w:numPr>
          <w:numId w:val="26"/>
        </w:numPr>
        <w:bidi w:val="0"/>
        <w:spacing w:before="120" w:after="0" w:line="336" w:lineRule="auto"/>
        <w:ind w:left="714" w:hanging="357"/>
        <w:jc w:val="both"/>
        <w:rPr>
          <w:rFonts w:ascii="Times New Roman" w:hAnsi="Times New Roman"/>
          <w:color w:val="000000"/>
          <w:szCs w:val="22"/>
          <w:u w:val="single"/>
        </w:rPr>
      </w:pPr>
      <w:r w:rsidRPr="0072101A" w:rsidR="009253B1">
        <w:rPr>
          <w:rFonts w:ascii="Times New Roman" w:hAnsi="Times New Roman"/>
          <w:i/>
          <w:color w:val="000000"/>
          <w:szCs w:val="22"/>
          <w:u w:val="single"/>
        </w:rPr>
        <w:t>Metóda úplnej konsolidácie</w:t>
      </w:r>
    </w:p>
    <w:p w:rsidR="008F6F24" w:rsidRPr="0072101A" w:rsidP="00E55273">
      <w:pPr>
        <w:bidi w:val="0"/>
        <w:spacing w:before="120" w:after="0" w:line="336" w:lineRule="auto"/>
        <w:jc w:val="both"/>
        <w:rPr>
          <w:rFonts w:ascii="Times New Roman" w:hAnsi="Times New Roman"/>
          <w:color w:val="000000"/>
          <w:szCs w:val="22"/>
          <w:u w:val="single"/>
        </w:rPr>
      </w:pPr>
      <w:r w:rsidRPr="0072101A" w:rsidR="009253B1">
        <w:rPr>
          <w:rFonts w:ascii="Times New Roman" w:hAnsi="Times New Roman"/>
          <w:color w:val="000000"/>
          <w:szCs w:val="22"/>
        </w:rPr>
        <w:t>Pri tejto metóde sa prispôsobujú účtovné výkazy všetkých účtovných jednotiek na štruktúru výkazov účtovnej závierky pre rozpočtov</w:t>
      </w:r>
      <w:r w:rsidRPr="0072101A">
        <w:rPr>
          <w:rFonts w:ascii="Times New Roman" w:hAnsi="Times New Roman"/>
          <w:color w:val="000000"/>
          <w:szCs w:val="22"/>
        </w:rPr>
        <w:t>é</w:t>
      </w:r>
      <w:r w:rsidRPr="0072101A" w:rsidR="009253B1">
        <w:rPr>
          <w:rFonts w:ascii="Times New Roman" w:hAnsi="Times New Roman"/>
          <w:color w:val="000000"/>
          <w:szCs w:val="22"/>
        </w:rPr>
        <w:t xml:space="preserve"> organizáci</w:t>
      </w:r>
      <w:r w:rsidRPr="0072101A">
        <w:rPr>
          <w:rFonts w:ascii="Times New Roman" w:hAnsi="Times New Roman"/>
          <w:color w:val="000000"/>
          <w:szCs w:val="22"/>
        </w:rPr>
        <w:t>e</w:t>
      </w:r>
      <w:r w:rsidRPr="0072101A" w:rsidR="009253B1">
        <w:rPr>
          <w:rFonts w:ascii="Times New Roman" w:hAnsi="Times New Roman"/>
          <w:color w:val="000000"/>
          <w:szCs w:val="22"/>
        </w:rPr>
        <w:t xml:space="preserve">. </w:t>
      </w:r>
      <w:r w:rsidRPr="0072101A" w:rsidR="00A86242">
        <w:rPr>
          <w:rFonts w:ascii="Times New Roman" w:hAnsi="Times New Roman"/>
          <w:color w:val="000000"/>
          <w:szCs w:val="22"/>
        </w:rPr>
        <w:t>Položky</w:t>
      </w:r>
      <w:r w:rsidRPr="0072101A" w:rsidR="009253B1">
        <w:rPr>
          <w:rFonts w:ascii="Times New Roman" w:hAnsi="Times New Roman"/>
          <w:color w:val="000000"/>
          <w:szCs w:val="22"/>
        </w:rPr>
        <w:t xml:space="preserve"> účtovných výkazov sa do </w:t>
      </w:r>
      <w:r w:rsidRPr="0072101A" w:rsidR="003C7875">
        <w:rPr>
          <w:rFonts w:ascii="Times New Roman" w:hAnsi="Times New Roman"/>
          <w:color w:val="000000"/>
          <w:szCs w:val="22"/>
        </w:rPr>
        <w:t>agregácie</w:t>
      </w:r>
      <w:r w:rsidRPr="0072101A" w:rsidR="009253B1">
        <w:rPr>
          <w:rFonts w:ascii="Times New Roman" w:hAnsi="Times New Roman"/>
          <w:color w:val="000000"/>
          <w:szCs w:val="22"/>
        </w:rPr>
        <w:t xml:space="preserve"> preberajú v plnej miere a identifikované vzájomné vzťahy v rámci súhrnného celku sa vylučujú </w:t>
      </w:r>
      <w:r w:rsidRPr="0072101A">
        <w:rPr>
          <w:rFonts w:ascii="Times New Roman" w:hAnsi="Times New Roman"/>
          <w:color w:val="000000"/>
          <w:szCs w:val="22"/>
        </w:rPr>
        <w:t>v plnej výške.</w:t>
      </w:r>
    </w:p>
    <w:p w:rsidR="008F6F24" w:rsidRPr="0072101A" w:rsidP="00E55273">
      <w:pPr>
        <w:numPr>
          <w:numId w:val="26"/>
        </w:numPr>
        <w:bidi w:val="0"/>
        <w:spacing w:before="120" w:after="0" w:line="336" w:lineRule="auto"/>
        <w:ind w:left="714" w:hanging="357"/>
        <w:jc w:val="both"/>
        <w:rPr>
          <w:rFonts w:ascii="Times New Roman" w:hAnsi="Times New Roman"/>
          <w:color w:val="000000"/>
          <w:szCs w:val="22"/>
          <w:u w:val="single"/>
        </w:rPr>
      </w:pPr>
      <w:r w:rsidRPr="0072101A" w:rsidR="009253B1">
        <w:rPr>
          <w:rFonts w:ascii="Times New Roman" w:hAnsi="Times New Roman"/>
          <w:color w:val="000000"/>
          <w:szCs w:val="22"/>
        </w:rPr>
        <w:t xml:space="preserve"> </w:t>
      </w:r>
      <w:r w:rsidRPr="0072101A">
        <w:rPr>
          <w:rFonts w:ascii="Times New Roman" w:hAnsi="Times New Roman"/>
          <w:i/>
          <w:color w:val="000000"/>
          <w:szCs w:val="22"/>
          <w:u w:val="single"/>
        </w:rPr>
        <w:t>Metóda podielovej konsolidácie</w:t>
      </w:r>
    </w:p>
    <w:p w:rsidR="009253B1" w:rsidRPr="0072101A" w:rsidP="00E55273">
      <w:pPr>
        <w:bidi w:val="0"/>
        <w:spacing w:before="120" w:after="0" w:line="336" w:lineRule="auto"/>
        <w:jc w:val="both"/>
        <w:rPr>
          <w:rFonts w:ascii="Times New Roman" w:hAnsi="Times New Roman"/>
          <w:szCs w:val="22"/>
        </w:rPr>
      </w:pPr>
      <w:r w:rsidRPr="0072101A" w:rsidR="008F6F24">
        <w:rPr>
          <w:rFonts w:ascii="Times New Roman" w:hAnsi="Times New Roman"/>
          <w:color w:val="000000"/>
          <w:szCs w:val="22"/>
        </w:rPr>
        <w:t xml:space="preserve">Pri tejto metóde sa prispôsobujú účtovné výkazy spoločných účtovných jednotiek na štruktúru výkazov účtovnej závierky pre rozpočtové organizácie. </w:t>
      </w:r>
      <w:r w:rsidRPr="0072101A" w:rsidR="00A86242">
        <w:rPr>
          <w:rFonts w:ascii="Times New Roman" w:hAnsi="Times New Roman"/>
          <w:color w:val="000000"/>
          <w:szCs w:val="22"/>
        </w:rPr>
        <w:t>Položky</w:t>
      </w:r>
      <w:r w:rsidRPr="0072101A" w:rsidR="008F6F24">
        <w:rPr>
          <w:rFonts w:ascii="Times New Roman" w:hAnsi="Times New Roman"/>
          <w:color w:val="000000"/>
          <w:szCs w:val="22"/>
        </w:rPr>
        <w:t xml:space="preserve"> účtovných výkazov sa do </w:t>
      </w:r>
      <w:r w:rsidRPr="0072101A" w:rsidR="003C7875">
        <w:rPr>
          <w:rFonts w:ascii="Times New Roman" w:hAnsi="Times New Roman"/>
          <w:color w:val="000000"/>
          <w:szCs w:val="22"/>
        </w:rPr>
        <w:t>agregácie</w:t>
      </w:r>
      <w:r w:rsidRPr="0072101A" w:rsidR="008F6F24">
        <w:rPr>
          <w:rFonts w:ascii="Times New Roman" w:hAnsi="Times New Roman"/>
          <w:color w:val="000000"/>
          <w:szCs w:val="22"/>
        </w:rPr>
        <w:t xml:space="preserve"> preberajú </w:t>
      </w:r>
      <w:r w:rsidRPr="0072101A" w:rsidR="00A86242">
        <w:rPr>
          <w:rFonts w:ascii="Times New Roman" w:hAnsi="Times New Roman"/>
          <w:color w:val="000000"/>
          <w:szCs w:val="22"/>
        </w:rPr>
        <w:t>vo výške percentuálneho podielu materskej účtovnej jednotk</w:t>
      </w:r>
      <w:r w:rsidR="00C224B6">
        <w:rPr>
          <w:rFonts w:ascii="Times New Roman" w:hAnsi="Times New Roman"/>
          <w:color w:val="000000"/>
          <w:szCs w:val="22"/>
        </w:rPr>
        <w:t>y</w:t>
      </w:r>
      <w:r w:rsidRPr="0072101A" w:rsidR="00A86242">
        <w:rPr>
          <w:rFonts w:ascii="Times New Roman" w:hAnsi="Times New Roman"/>
          <w:color w:val="000000"/>
          <w:szCs w:val="22"/>
        </w:rPr>
        <w:t xml:space="preserve"> na základnom imaní spoločnej účtovnej jednotky. I</w:t>
      </w:r>
      <w:r w:rsidRPr="0072101A" w:rsidR="008F6F24">
        <w:rPr>
          <w:rFonts w:ascii="Times New Roman" w:hAnsi="Times New Roman"/>
          <w:color w:val="000000"/>
          <w:szCs w:val="22"/>
        </w:rPr>
        <w:t xml:space="preserve">dentifikované vzájomné vzťahy v rámci súhrnného celku sa vylučujú </w:t>
      </w:r>
      <w:r w:rsidRPr="0072101A" w:rsidR="00A86242">
        <w:rPr>
          <w:rFonts w:ascii="Times New Roman" w:hAnsi="Times New Roman"/>
          <w:szCs w:val="22"/>
        </w:rPr>
        <w:t>vo výške, ktorá zodpovedá percentuálnemu podielu konsolidujúcej účtovnej jednotky na základnom imaní spoločnej účtovnej jednotky.</w:t>
      </w:r>
    </w:p>
    <w:p w:rsidR="00A86242" w:rsidRPr="0072101A" w:rsidP="00E55273">
      <w:pPr>
        <w:numPr>
          <w:numId w:val="26"/>
        </w:numPr>
        <w:bidi w:val="0"/>
        <w:spacing w:before="120" w:after="0" w:line="336" w:lineRule="auto"/>
        <w:ind w:left="714" w:hanging="357"/>
        <w:jc w:val="both"/>
        <w:rPr>
          <w:rFonts w:ascii="Times New Roman" w:hAnsi="Times New Roman"/>
          <w:color w:val="000000"/>
          <w:szCs w:val="22"/>
          <w:u w:val="single"/>
        </w:rPr>
      </w:pPr>
      <w:r w:rsidRPr="0072101A">
        <w:rPr>
          <w:rFonts w:ascii="Times New Roman" w:hAnsi="Times New Roman"/>
          <w:i/>
          <w:color w:val="000000"/>
          <w:szCs w:val="22"/>
          <w:u w:val="single"/>
        </w:rPr>
        <w:t>Metóda vlastného imania</w:t>
      </w:r>
    </w:p>
    <w:p w:rsidR="00A86242" w:rsidRPr="0072101A" w:rsidP="00E55273">
      <w:pPr>
        <w:bidi w:val="0"/>
        <w:spacing w:before="120" w:after="0" w:line="336" w:lineRule="auto"/>
        <w:jc w:val="both"/>
        <w:rPr>
          <w:rFonts w:ascii="Times New Roman" w:hAnsi="Times New Roman"/>
          <w:color w:val="000000"/>
          <w:szCs w:val="22"/>
        </w:rPr>
      </w:pPr>
      <w:r w:rsidRPr="0072101A">
        <w:rPr>
          <w:rFonts w:ascii="Times New Roman" w:hAnsi="Times New Roman"/>
          <w:color w:val="000000"/>
          <w:szCs w:val="22"/>
        </w:rPr>
        <w:t>Pri tejto metóde sa</w:t>
      </w:r>
      <w:r w:rsidR="00C224B6">
        <w:rPr>
          <w:rFonts w:ascii="Times New Roman" w:hAnsi="Times New Roman"/>
          <w:color w:val="000000"/>
          <w:szCs w:val="22"/>
        </w:rPr>
        <w:t xml:space="preserve"> p</w:t>
      </w:r>
      <w:r w:rsidRPr="0072101A">
        <w:rPr>
          <w:rFonts w:ascii="Times New Roman" w:hAnsi="Times New Roman"/>
          <w:color w:val="000000"/>
          <w:szCs w:val="22"/>
        </w:rPr>
        <w:t xml:space="preserve">oložky účtovných výkazov do </w:t>
      </w:r>
      <w:r w:rsidRPr="0072101A" w:rsidR="003C7875">
        <w:rPr>
          <w:rFonts w:ascii="Times New Roman" w:hAnsi="Times New Roman"/>
          <w:color w:val="000000"/>
          <w:szCs w:val="22"/>
        </w:rPr>
        <w:t>agregácie</w:t>
      </w:r>
      <w:r w:rsidRPr="0072101A">
        <w:rPr>
          <w:rFonts w:ascii="Times New Roman" w:hAnsi="Times New Roman"/>
          <w:color w:val="000000"/>
          <w:szCs w:val="22"/>
        </w:rPr>
        <w:t xml:space="preserve"> </w:t>
      </w:r>
      <w:r w:rsidRPr="0072101A" w:rsidR="009E27CE">
        <w:rPr>
          <w:rFonts w:ascii="Times New Roman" w:hAnsi="Times New Roman"/>
          <w:color w:val="000000"/>
          <w:szCs w:val="22"/>
        </w:rPr>
        <w:t>ne</w:t>
      </w:r>
      <w:r w:rsidRPr="0072101A">
        <w:rPr>
          <w:rFonts w:ascii="Times New Roman" w:hAnsi="Times New Roman"/>
          <w:color w:val="000000"/>
          <w:szCs w:val="22"/>
        </w:rPr>
        <w:t>preberajú</w:t>
      </w:r>
      <w:r w:rsidRPr="0072101A" w:rsidR="009E27CE">
        <w:rPr>
          <w:rFonts w:ascii="Times New Roman" w:hAnsi="Times New Roman"/>
          <w:color w:val="000000"/>
          <w:szCs w:val="22"/>
        </w:rPr>
        <w:t>.</w:t>
      </w:r>
      <w:r w:rsidRPr="0072101A">
        <w:rPr>
          <w:rFonts w:ascii="Times New Roman" w:hAnsi="Times New Roman"/>
          <w:color w:val="000000"/>
          <w:szCs w:val="22"/>
        </w:rPr>
        <w:t xml:space="preserve"> </w:t>
      </w:r>
      <w:r w:rsidR="00C224B6">
        <w:rPr>
          <w:rFonts w:ascii="Times New Roman" w:hAnsi="Times New Roman"/>
          <w:color w:val="000000"/>
          <w:szCs w:val="22"/>
        </w:rPr>
        <w:t>Z</w:t>
      </w:r>
      <w:r w:rsidRPr="0072101A" w:rsidR="00391472">
        <w:rPr>
          <w:rFonts w:ascii="Times New Roman" w:hAnsi="Times New Roman"/>
          <w:szCs w:val="22"/>
        </w:rPr>
        <w:t xml:space="preserve">osúladí </w:t>
      </w:r>
      <w:r w:rsidR="00C224B6">
        <w:rPr>
          <w:rFonts w:ascii="Times New Roman" w:hAnsi="Times New Roman"/>
          <w:szCs w:val="22"/>
        </w:rPr>
        <w:t xml:space="preserve">sa </w:t>
      </w:r>
      <w:r w:rsidRPr="0072101A" w:rsidR="00391472">
        <w:rPr>
          <w:rFonts w:ascii="Times New Roman" w:hAnsi="Times New Roman"/>
          <w:szCs w:val="22"/>
        </w:rPr>
        <w:t>hodnota podielov</w:t>
      </w:r>
      <w:r w:rsidRPr="0072101A" w:rsidR="00CA1346">
        <w:rPr>
          <w:rFonts w:ascii="Times New Roman" w:hAnsi="Times New Roman"/>
          <w:szCs w:val="22"/>
        </w:rPr>
        <w:t> konsolidujúcej účtovnej jednotky na pridruženej účtovnej jednotke s tou časťou reálnej hodnoty majetku a záväzkov pridruženej účtovnej jednotky, ktorá na tieto podiely pripadá.</w:t>
      </w:r>
    </w:p>
    <w:p w:rsidR="002D6290" w:rsidRPr="0072101A" w:rsidP="00B22E8D">
      <w:pPr>
        <w:bidi w:val="0"/>
        <w:spacing w:before="200" w:after="0" w:line="336" w:lineRule="auto"/>
        <w:jc w:val="both"/>
        <w:rPr>
          <w:rFonts w:ascii="Times New Roman" w:hAnsi="Times New Roman"/>
          <w:b/>
          <w:color w:val="000000"/>
          <w:szCs w:val="22"/>
        </w:rPr>
      </w:pPr>
      <w:r w:rsidRPr="0072101A">
        <w:rPr>
          <w:rFonts w:ascii="Times New Roman" w:hAnsi="Times New Roman"/>
          <w:b/>
          <w:color w:val="000000"/>
          <w:szCs w:val="22"/>
        </w:rPr>
        <w:t>Postup pri zosta</w:t>
      </w:r>
      <w:r w:rsidRPr="0072101A" w:rsidR="0083378A">
        <w:rPr>
          <w:rFonts w:ascii="Times New Roman" w:hAnsi="Times New Roman"/>
          <w:b/>
          <w:color w:val="000000"/>
          <w:szCs w:val="22"/>
        </w:rPr>
        <w:t>vení súhrnnej účtovnej závierky</w:t>
      </w:r>
    </w:p>
    <w:p w:rsidR="002D6290" w:rsidRPr="0072101A" w:rsidP="008F6F24">
      <w:pPr>
        <w:numPr>
          <w:numId w:val="19"/>
        </w:numPr>
        <w:bidi w:val="0"/>
        <w:spacing w:before="120" w:after="120" w:line="336" w:lineRule="auto"/>
        <w:ind w:left="425" w:hanging="425"/>
        <w:jc w:val="both"/>
        <w:rPr>
          <w:rFonts w:ascii="Times New Roman" w:hAnsi="Times New Roman"/>
          <w:i/>
          <w:color w:val="000000"/>
          <w:szCs w:val="22"/>
          <w:u w:val="single"/>
        </w:rPr>
      </w:pPr>
      <w:r w:rsidRPr="0072101A">
        <w:rPr>
          <w:rFonts w:ascii="Times New Roman" w:hAnsi="Times New Roman"/>
          <w:i/>
          <w:color w:val="000000"/>
          <w:szCs w:val="22"/>
          <w:u w:val="single"/>
        </w:rPr>
        <w:t>Prevod účtovných výkazov na rovnaký základ a štruktúru</w:t>
      </w:r>
    </w:p>
    <w:p w:rsidR="002D6290" w:rsidRPr="0072101A" w:rsidP="00B22E8D">
      <w:pPr>
        <w:bidi w:val="0"/>
        <w:spacing w:after="0" w:line="336" w:lineRule="auto"/>
        <w:jc w:val="both"/>
        <w:rPr>
          <w:rFonts w:ascii="Times New Roman" w:hAnsi="Times New Roman"/>
          <w:color w:val="000000"/>
          <w:szCs w:val="22"/>
        </w:rPr>
      </w:pPr>
      <w:r w:rsidRPr="0072101A">
        <w:rPr>
          <w:rFonts w:ascii="Times New Roman" w:hAnsi="Times New Roman"/>
          <w:color w:val="000000"/>
          <w:szCs w:val="22"/>
        </w:rPr>
        <w:t xml:space="preserve">Za spoločný základ účtovných výkazov bola použitá </w:t>
      </w:r>
      <w:r w:rsidRPr="0072101A" w:rsidR="0049438C">
        <w:rPr>
          <w:rFonts w:ascii="Times New Roman" w:hAnsi="Times New Roman"/>
          <w:color w:val="000000"/>
          <w:szCs w:val="22"/>
        </w:rPr>
        <w:t>štruktúra individuálnej účtovnej závierky</w:t>
      </w:r>
      <w:r w:rsidRPr="0072101A">
        <w:rPr>
          <w:rFonts w:ascii="Times New Roman" w:hAnsi="Times New Roman"/>
          <w:color w:val="000000"/>
          <w:szCs w:val="22"/>
        </w:rPr>
        <w:t xml:space="preserve"> pre rozpočtové organizácie, príspevkové organizácie, štátne fondy, obce a vyššie územné celky. Týkalo sa to všetkých obchodných spoločností, štátnych podn</w:t>
      </w:r>
      <w:r w:rsidRPr="0072101A" w:rsidR="0049438C">
        <w:rPr>
          <w:rFonts w:ascii="Times New Roman" w:hAnsi="Times New Roman"/>
          <w:color w:val="000000"/>
          <w:szCs w:val="22"/>
        </w:rPr>
        <w:t>ikov, verejných vysokých škôl, Sociálnej poisťovne, F</w:t>
      </w:r>
      <w:r w:rsidRPr="0072101A">
        <w:rPr>
          <w:rFonts w:ascii="Times New Roman" w:hAnsi="Times New Roman"/>
          <w:color w:val="000000"/>
          <w:szCs w:val="22"/>
        </w:rPr>
        <w:t xml:space="preserve">ondu národného majetku </w:t>
      </w:r>
      <w:r w:rsidRPr="0072101A" w:rsidR="000B437B">
        <w:rPr>
          <w:rFonts w:ascii="Times New Roman" w:hAnsi="Times New Roman"/>
          <w:color w:val="000000"/>
          <w:szCs w:val="22"/>
        </w:rPr>
        <w:t xml:space="preserve">SR </w:t>
      </w:r>
      <w:r w:rsidRPr="0072101A">
        <w:rPr>
          <w:rFonts w:ascii="Times New Roman" w:hAnsi="Times New Roman"/>
          <w:color w:val="000000"/>
          <w:szCs w:val="22"/>
        </w:rPr>
        <w:t xml:space="preserve">a ostatných subjektov verejnej správy. Prevod údajov sa zabezpečil použitím prevodových mostíkov, ktoré vypracovalo </w:t>
      </w:r>
      <w:r w:rsidRPr="0072101A" w:rsidR="002D36F3">
        <w:rPr>
          <w:rFonts w:ascii="Times New Roman" w:hAnsi="Times New Roman"/>
          <w:color w:val="000000"/>
          <w:szCs w:val="22"/>
        </w:rPr>
        <w:t>M</w:t>
      </w:r>
      <w:r w:rsidRPr="0072101A">
        <w:rPr>
          <w:rFonts w:ascii="Times New Roman" w:hAnsi="Times New Roman"/>
          <w:color w:val="000000"/>
          <w:szCs w:val="22"/>
        </w:rPr>
        <w:t>inisterstvo</w:t>
      </w:r>
      <w:r w:rsidRPr="0072101A" w:rsidR="0049438C">
        <w:rPr>
          <w:rFonts w:ascii="Times New Roman" w:hAnsi="Times New Roman"/>
          <w:color w:val="000000"/>
          <w:szCs w:val="22"/>
        </w:rPr>
        <w:t xml:space="preserve"> financií</w:t>
      </w:r>
      <w:r w:rsidRPr="0072101A" w:rsidR="002D36F3">
        <w:rPr>
          <w:rFonts w:ascii="Times New Roman" w:hAnsi="Times New Roman"/>
          <w:color w:val="000000"/>
          <w:szCs w:val="22"/>
        </w:rPr>
        <w:t xml:space="preserve"> SR </w:t>
      </w:r>
      <w:r w:rsidRPr="0072101A" w:rsidR="0049438C">
        <w:rPr>
          <w:rFonts w:ascii="Times New Roman" w:hAnsi="Times New Roman"/>
          <w:color w:val="000000"/>
          <w:szCs w:val="22"/>
        </w:rPr>
        <w:t>ako zostavovateľ súhrnnej účtovnej závierky verejnej správy</w:t>
      </w:r>
      <w:r w:rsidRPr="0072101A">
        <w:rPr>
          <w:rFonts w:ascii="Times New Roman" w:hAnsi="Times New Roman"/>
          <w:color w:val="000000"/>
          <w:szCs w:val="22"/>
        </w:rPr>
        <w:t xml:space="preserve">. </w:t>
      </w:r>
    </w:p>
    <w:p w:rsidR="000B437B" w:rsidRPr="0072101A" w:rsidP="008F6F24">
      <w:pPr>
        <w:numPr>
          <w:numId w:val="19"/>
        </w:numPr>
        <w:bidi w:val="0"/>
        <w:spacing w:before="120" w:after="120" w:line="336" w:lineRule="auto"/>
        <w:ind w:left="425" w:hanging="425"/>
        <w:jc w:val="both"/>
        <w:rPr>
          <w:rFonts w:ascii="Times New Roman" w:hAnsi="Times New Roman"/>
          <w:i/>
          <w:color w:val="000000"/>
          <w:szCs w:val="22"/>
          <w:u w:val="single"/>
        </w:rPr>
      </w:pPr>
      <w:r w:rsidRPr="0072101A" w:rsidR="002D6290">
        <w:rPr>
          <w:rFonts w:ascii="Times New Roman" w:hAnsi="Times New Roman"/>
          <w:i/>
          <w:color w:val="000000"/>
          <w:szCs w:val="22"/>
          <w:u w:val="single"/>
        </w:rPr>
        <w:t>Agregácia údajov</w:t>
      </w:r>
    </w:p>
    <w:p w:rsidR="002D6290" w:rsidRPr="0072101A" w:rsidP="00B22E8D">
      <w:pPr>
        <w:bidi w:val="0"/>
        <w:spacing w:after="0" w:line="336" w:lineRule="auto"/>
        <w:jc w:val="both"/>
        <w:rPr>
          <w:rFonts w:ascii="Times New Roman" w:hAnsi="Times New Roman"/>
          <w:color w:val="000000"/>
          <w:szCs w:val="22"/>
        </w:rPr>
      </w:pPr>
      <w:r w:rsidRPr="0072101A" w:rsidR="0049438C">
        <w:rPr>
          <w:rFonts w:ascii="Times New Roman" w:hAnsi="Times New Roman"/>
          <w:color w:val="000000"/>
          <w:szCs w:val="22"/>
        </w:rPr>
        <w:t>Agregovali sa konsolidované účtovné závier</w:t>
      </w:r>
      <w:r w:rsidRPr="0072101A">
        <w:rPr>
          <w:rFonts w:ascii="Times New Roman" w:hAnsi="Times New Roman"/>
          <w:color w:val="000000"/>
          <w:szCs w:val="22"/>
        </w:rPr>
        <w:t>k</w:t>
      </w:r>
      <w:r w:rsidRPr="0072101A" w:rsidR="0049438C">
        <w:rPr>
          <w:rFonts w:ascii="Times New Roman" w:hAnsi="Times New Roman"/>
          <w:color w:val="000000"/>
          <w:szCs w:val="22"/>
        </w:rPr>
        <w:t>y, individuálne účtovné závier</w:t>
      </w:r>
      <w:r w:rsidRPr="0072101A">
        <w:rPr>
          <w:rFonts w:ascii="Times New Roman" w:hAnsi="Times New Roman"/>
          <w:color w:val="000000"/>
          <w:szCs w:val="22"/>
        </w:rPr>
        <w:t>k</w:t>
      </w:r>
      <w:r w:rsidRPr="0072101A" w:rsidR="0049438C">
        <w:rPr>
          <w:rFonts w:ascii="Times New Roman" w:hAnsi="Times New Roman"/>
          <w:color w:val="000000"/>
          <w:szCs w:val="22"/>
        </w:rPr>
        <w:t>y a podklady</w:t>
      </w:r>
      <w:r w:rsidRPr="0072101A">
        <w:rPr>
          <w:rFonts w:ascii="Times New Roman" w:hAnsi="Times New Roman"/>
          <w:color w:val="000000"/>
          <w:szCs w:val="22"/>
        </w:rPr>
        <w:t xml:space="preserve"> pre identifikáciu vzájomných vzťahov.</w:t>
      </w:r>
      <w:r w:rsidRPr="0072101A" w:rsidR="0049438C">
        <w:rPr>
          <w:rFonts w:ascii="Times New Roman" w:hAnsi="Times New Roman"/>
          <w:color w:val="000000"/>
          <w:szCs w:val="22"/>
        </w:rPr>
        <w:t xml:space="preserve"> Ak bola</w:t>
      </w:r>
      <w:r w:rsidRPr="0072101A">
        <w:rPr>
          <w:rFonts w:ascii="Times New Roman" w:hAnsi="Times New Roman"/>
          <w:color w:val="000000"/>
          <w:szCs w:val="22"/>
        </w:rPr>
        <w:t xml:space="preserve"> účtovná jednotka súčasťou konsolidovaného celku na nižšej úrovni, bola započítaná v rámci konsolidovaných výkazov materskej účtovnej jednot</w:t>
      </w:r>
      <w:r w:rsidRPr="0072101A" w:rsidR="0049438C">
        <w:rPr>
          <w:rFonts w:ascii="Times New Roman" w:hAnsi="Times New Roman"/>
          <w:color w:val="000000"/>
          <w:szCs w:val="22"/>
        </w:rPr>
        <w:t>ky</w:t>
      </w:r>
      <w:r w:rsidRPr="0072101A" w:rsidR="00375816">
        <w:rPr>
          <w:rFonts w:ascii="Times New Roman" w:hAnsi="Times New Roman"/>
          <w:color w:val="000000"/>
          <w:szCs w:val="22"/>
        </w:rPr>
        <w:br/>
      </w:r>
      <w:r w:rsidRPr="0072101A" w:rsidR="0049438C">
        <w:rPr>
          <w:rFonts w:ascii="Times New Roman" w:hAnsi="Times New Roman"/>
          <w:color w:val="000000"/>
          <w:szCs w:val="22"/>
        </w:rPr>
        <w:t>(napr. obec alebo kapitola štátneho rozpočtu</w:t>
      </w:r>
      <w:r w:rsidRPr="0072101A">
        <w:rPr>
          <w:rFonts w:ascii="Times New Roman" w:hAnsi="Times New Roman"/>
          <w:color w:val="000000"/>
          <w:szCs w:val="22"/>
        </w:rPr>
        <w:t>).</w:t>
      </w:r>
    </w:p>
    <w:p w:rsidR="00624D5B" w:rsidRPr="0072101A" w:rsidP="00624D5B">
      <w:pPr>
        <w:numPr>
          <w:numId w:val="19"/>
        </w:numPr>
        <w:bidi w:val="0"/>
        <w:spacing w:before="120" w:after="120" w:line="336" w:lineRule="auto"/>
        <w:ind w:left="425" w:hanging="425"/>
        <w:jc w:val="both"/>
        <w:rPr>
          <w:rFonts w:ascii="Times New Roman" w:hAnsi="Times New Roman"/>
          <w:i/>
          <w:color w:val="000000"/>
          <w:szCs w:val="22"/>
          <w:u w:val="single"/>
        </w:rPr>
        <w:sectPr w:rsidSect="003E7ED7">
          <w:pgSz w:w="11906" w:h="16838"/>
          <w:pgMar w:top="1418" w:right="1134" w:bottom="1418" w:left="1134" w:header="709" w:footer="709" w:gutter="567"/>
          <w:lnNumType w:distance="0"/>
          <w:cols w:space="708"/>
          <w:noEndnote w:val="0"/>
          <w:titlePg/>
          <w:bidi w:val="0"/>
          <w:docGrid w:linePitch="360"/>
        </w:sectPr>
      </w:pPr>
    </w:p>
    <w:p w:rsidR="002D6290" w:rsidRPr="0072101A" w:rsidP="00624D5B">
      <w:pPr>
        <w:numPr>
          <w:numId w:val="19"/>
        </w:numPr>
        <w:bidi w:val="0"/>
        <w:spacing w:before="120" w:after="120" w:line="336" w:lineRule="auto"/>
        <w:ind w:left="425" w:hanging="425"/>
        <w:jc w:val="both"/>
        <w:rPr>
          <w:rFonts w:ascii="Times New Roman" w:hAnsi="Times New Roman"/>
          <w:i/>
          <w:color w:val="000000"/>
          <w:szCs w:val="22"/>
          <w:u w:val="single"/>
        </w:rPr>
      </w:pPr>
      <w:r w:rsidRPr="0072101A">
        <w:rPr>
          <w:rFonts w:ascii="Times New Roman" w:hAnsi="Times New Roman"/>
          <w:i/>
          <w:color w:val="000000"/>
          <w:szCs w:val="22"/>
          <w:u w:val="single"/>
        </w:rPr>
        <w:t>Konsolidačné operácie</w:t>
      </w:r>
    </w:p>
    <w:p w:rsidR="002D6290" w:rsidRPr="0072101A" w:rsidP="00B22E8D">
      <w:pPr>
        <w:bidi w:val="0"/>
        <w:spacing w:after="120" w:line="336" w:lineRule="auto"/>
        <w:jc w:val="both"/>
        <w:rPr>
          <w:rFonts w:ascii="Times New Roman" w:hAnsi="Times New Roman"/>
          <w:color w:val="000000"/>
          <w:szCs w:val="22"/>
        </w:rPr>
      </w:pPr>
      <w:r w:rsidRPr="0072101A">
        <w:rPr>
          <w:rFonts w:ascii="Times New Roman" w:hAnsi="Times New Roman"/>
          <w:color w:val="000000"/>
          <w:szCs w:val="22"/>
        </w:rPr>
        <w:t xml:space="preserve">V rámci súhrnného celku boli vykonané konsolidačné operácie v oblasti pohľadávok a záväzkov, nákladov a výnosov. V prípade </w:t>
      </w:r>
      <w:r w:rsidRPr="0072101A" w:rsidR="0049438C">
        <w:rPr>
          <w:rFonts w:ascii="Times New Roman" w:hAnsi="Times New Roman"/>
          <w:color w:val="000000"/>
          <w:szCs w:val="22"/>
        </w:rPr>
        <w:t xml:space="preserve">nekonzistentne </w:t>
      </w:r>
      <w:r w:rsidRPr="0072101A">
        <w:rPr>
          <w:rFonts w:ascii="Times New Roman" w:hAnsi="Times New Roman"/>
          <w:color w:val="000000"/>
          <w:szCs w:val="22"/>
        </w:rPr>
        <w:t>vykázaných vzájomných vzťahov</w:t>
      </w:r>
      <w:r w:rsidRPr="0072101A" w:rsidR="0049438C">
        <w:rPr>
          <w:rFonts w:ascii="Times New Roman" w:hAnsi="Times New Roman"/>
          <w:color w:val="000000"/>
          <w:szCs w:val="22"/>
        </w:rPr>
        <w:t xml:space="preserve"> sa pred elimináciou </w:t>
      </w:r>
      <w:r w:rsidRPr="0072101A" w:rsidR="000B437B">
        <w:rPr>
          <w:rFonts w:ascii="Times New Roman" w:hAnsi="Times New Roman"/>
          <w:color w:val="000000"/>
          <w:szCs w:val="22"/>
        </w:rPr>
        <w:t>vykonal</w:t>
      </w:r>
      <w:r w:rsidRPr="0072101A" w:rsidR="0049438C">
        <w:rPr>
          <w:rFonts w:ascii="Times New Roman" w:hAnsi="Times New Roman"/>
          <w:color w:val="000000"/>
          <w:szCs w:val="22"/>
        </w:rPr>
        <w:t xml:space="preserve">a ich úprava. </w:t>
      </w:r>
      <w:r w:rsidRPr="0072101A">
        <w:rPr>
          <w:rFonts w:ascii="Times New Roman" w:hAnsi="Times New Roman"/>
          <w:color w:val="000000"/>
          <w:szCs w:val="22"/>
        </w:rPr>
        <w:t xml:space="preserve">Na identifikáciu vzájomných vzťahov boli spracované </w:t>
      </w:r>
      <w:r w:rsidRPr="00C224B6">
        <w:rPr>
          <w:rFonts w:ascii="Times New Roman" w:hAnsi="Times New Roman"/>
          <w:i/>
          <w:color w:val="000000"/>
          <w:szCs w:val="22"/>
        </w:rPr>
        <w:t>konsolidačné balíky</w:t>
      </w:r>
      <w:r w:rsidRPr="0072101A">
        <w:rPr>
          <w:rFonts w:ascii="Times New Roman" w:hAnsi="Times New Roman"/>
          <w:color w:val="000000"/>
          <w:szCs w:val="22"/>
        </w:rPr>
        <w:t xml:space="preserve"> a za obce a ich organizácie </w:t>
      </w:r>
      <w:r w:rsidRPr="0072101A" w:rsidR="002D36F3">
        <w:rPr>
          <w:rFonts w:ascii="Times New Roman" w:hAnsi="Times New Roman"/>
          <w:color w:val="000000"/>
          <w:szCs w:val="22"/>
        </w:rPr>
        <w:t xml:space="preserve">boli spracované </w:t>
      </w:r>
      <w:r w:rsidRPr="0072101A">
        <w:rPr>
          <w:rFonts w:ascii="Times New Roman" w:hAnsi="Times New Roman"/>
          <w:color w:val="000000"/>
          <w:szCs w:val="22"/>
        </w:rPr>
        <w:t>formuláre vzájomných vzťahov.</w:t>
      </w:r>
    </w:p>
    <w:p w:rsidR="002D6290" w:rsidRPr="0072101A" w:rsidP="00660D52">
      <w:pPr>
        <w:bidi w:val="0"/>
        <w:spacing w:after="120" w:line="336" w:lineRule="auto"/>
        <w:jc w:val="both"/>
        <w:rPr>
          <w:rFonts w:ascii="Times New Roman" w:hAnsi="Times New Roman"/>
          <w:color w:val="000000"/>
          <w:szCs w:val="22"/>
        </w:rPr>
      </w:pPr>
      <w:r w:rsidRPr="0072101A">
        <w:rPr>
          <w:rFonts w:ascii="Times New Roman" w:hAnsi="Times New Roman"/>
          <w:color w:val="000000"/>
          <w:szCs w:val="22"/>
        </w:rPr>
        <w:t xml:space="preserve">V rámci súhrnného celku nebola vykonaná konsolidácia kapitálu a ani </w:t>
      </w:r>
      <w:r w:rsidRPr="0072101A" w:rsidR="0049438C">
        <w:rPr>
          <w:rFonts w:ascii="Times New Roman" w:hAnsi="Times New Roman"/>
          <w:color w:val="000000"/>
          <w:szCs w:val="22"/>
        </w:rPr>
        <w:t xml:space="preserve">konsolidácia </w:t>
      </w:r>
      <w:r w:rsidRPr="0072101A">
        <w:rPr>
          <w:rFonts w:ascii="Times New Roman" w:hAnsi="Times New Roman"/>
          <w:color w:val="000000"/>
          <w:szCs w:val="22"/>
        </w:rPr>
        <w:t>medzivýsledku.</w:t>
      </w:r>
    </w:p>
    <w:p w:rsidR="002D6290" w:rsidRPr="0072101A" w:rsidP="00B22E8D">
      <w:pPr>
        <w:bidi w:val="0"/>
        <w:spacing w:after="0" w:line="336" w:lineRule="auto"/>
        <w:jc w:val="both"/>
        <w:rPr>
          <w:rFonts w:ascii="Times New Roman" w:hAnsi="Times New Roman"/>
          <w:color w:val="000000"/>
          <w:szCs w:val="22"/>
        </w:rPr>
      </w:pPr>
      <w:r w:rsidRPr="0072101A">
        <w:rPr>
          <w:rFonts w:ascii="Times New Roman" w:hAnsi="Times New Roman"/>
          <w:color w:val="000000"/>
          <w:szCs w:val="22"/>
        </w:rPr>
        <w:t>Z dôvodu odlišnej metodiky účtovania niektorých transakcií</w:t>
      </w:r>
      <w:r w:rsidRPr="0072101A" w:rsidR="000B437B">
        <w:rPr>
          <w:rFonts w:ascii="Times New Roman" w:hAnsi="Times New Roman"/>
          <w:color w:val="000000"/>
          <w:szCs w:val="22"/>
        </w:rPr>
        <w:t>,</w:t>
      </w:r>
      <w:r w:rsidRPr="0072101A" w:rsidR="003C7875">
        <w:rPr>
          <w:rFonts w:ascii="Times New Roman" w:hAnsi="Times New Roman"/>
          <w:color w:val="000000"/>
          <w:szCs w:val="22"/>
        </w:rPr>
        <w:t xml:space="preserve"> časového posunu vykázania vzájomných hodnôt</w:t>
      </w:r>
      <w:r w:rsidRPr="0072101A" w:rsidR="008A599D">
        <w:rPr>
          <w:rFonts w:ascii="Times New Roman" w:hAnsi="Times New Roman"/>
          <w:color w:val="000000"/>
          <w:szCs w:val="22"/>
        </w:rPr>
        <w:t>,</w:t>
      </w:r>
      <w:r w:rsidRPr="0072101A" w:rsidR="000B437B">
        <w:rPr>
          <w:rFonts w:ascii="Times New Roman" w:hAnsi="Times New Roman"/>
          <w:color w:val="000000"/>
          <w:szCs w:val="22"/>
        </w:rPr>
        <w:t xml:space="preserve"> </w:t>
      </w:r>
      <w:r w:rsidRPr="0072101A">
        <w:rPr>
          <w:rFonts w:ascii="Times New Roman" w:hAnsi="Times New Roman"/>
          <w:color w:val="000000"/>
          <w:szCs w:val="22"/>
        </w:rPr>
        <w:t>ako aj z dôvodu neidentifikovaných vzájomných vzťahov v rovnakej hodnote neboli na úrovni súhrnnej účtovnej závierky eliminované nasledovné vzťahy:</w:t>
      </w:r>
    </w:p>
    <w:p w:rsidR="007D79A3" w:rsidRPr="0072101A" w:rsidP="00B22E8D">
      <w:pPr>
        <w:numPr>
          <w:numId w:val="23"/>
        </w:numPr>
        <w:bidi w:val="0"/>
        <w:spacing w:after="0" w:line="336" w:lineRule="auto"/>
        <w:jc w:val="both"/>
        <w:rPr>
          <w:rFonts w:ascii="Times New Roman" w:hAnsi="Times New Roman"/>
          <w:szCs w:val="22"/>
        </w:rPr>
      </w:pPr>
      <w:r w:rsidRPr="0072101A">
        <w:rPr>
          <w:rFonts w:ascii="Times New Roman" w:hAnsi="Times New Roman"/>
          <w:szCs w:val="22"/>
        </w:rPr>
        <w:t>daň z príjmu právnických osôb, fyzických osôb, daň z pridanej hodnoty,</w:t>
      </w:r>
    </w:p>
    <w:p w:rsidR="007D79A3" w:rsidRPr="0072101A" w:rsidP="00B22E8D">
      <w:pPr>
        <w:numPr>
          <w:numId w:val="23"/>
        </w:numPr>
        <w:bidi w:val="0"/>
        <w:spacing w:after="0" w:line="336" w:lineRule="auto"/>
        <w:jc w:val="both"/>
        <w:rPr>
          <w:rFonts w:ascii="Times New Roman" w:hAnsi="Times New Roman"/>
          <w:szCs w:val="22"/>
        </w:rPr>
      </w:pPr>
      <w:r w:rsidRPr="0072101A">
        <w:rPr>
          <w:rFonts w:ascii="Times New Roman" w:hAnsi="Times New Roman"/>
          <w:szCs w:val="22"/>
        </w:rPr>
        <w:t>sociálne a zdravotné poistenie v oblasti pohľadávok, záväzkov, nákladov a výnosov,</w:t>
      </w:r>
    </w:p>
    <w:p w:rsidR="007D79A3" w:rsidRPr="0072101A" w:rsidP="00B22E8D">
      <w:pPr>
        <w:numPr>
          <w:numId w:val="23"/>
        </w:numPr>
        <w:bidi w:val="0"/>
        <w:spacing w:after="0" w:line="336" w:lineRule="auto"/>
        <w:jc w:val="both"/>
        <w:rPr>
          <w:rFonts w:ascii="Times New Roman" w:hAnsi="Times New Roman"/>
          <w:szCs w:val="22"/>
        </w:rPr>
      </w:pPr>
      <w:r w:rsidRPr="0072101A">
        <w:rPr>
          <w:rFonts w:ascii="Times New Roman" w:hAnsi="Times New Roman"/>
          <w:szCs w:val="22"/>
        </w:rPr>
        <w:t>ostatné pohľadávky, záväzky, náklady a výnosy s rozdielnou hodnotou vykázanou v podkladoch pre eliminácie za jednotlivé účtovné jednotky.</w:t>
      </w:r>
    </w:p>
    <w:p w:rsidR="002D6290" w:rsidRPr="0072101A" w:rsidP="008F6F24">
      <w:pPr>
        <w:numPr>
          <w:numId w:val="19"/>
        </w:numPr>
        <w:bidi w:val="0"/>
        <w:spacing w:before="120" w:after="120" w:line="336" w:lineRule="auto"/>
        <w:ind w:left="425" w:hanging="425"/>
        <w:jc w:val="both"/>
        <w:rPr>
          <w:rFonts w:ascii="Times New Roman" w:hAnsi="Times New Roman"/>
          <w:i/>
          <w:color w:val="000000"/>
          <w:szCs w:val="22"/>
          <w:u w:val="single"/>
        </w:rPr>
      </w:pPr>
      <w:r w:rsidRPr="0072101A">
        <w:rPr>
          <w:rFonts w:ascii="Times New Roman" w:hAnsi="Times New Roman"/>
          <w:i/>
          <w:color w:val="000000"/>
          <w:szCs w:val="22"/>
          <w:u w:val="single"/>
        </w:rPr>
        <w:t xml:space="preserve"> Spracovanie výkazov súhrnnej účtovnej závierky</w:t>
      </w:r>
    </w:p>
    <w:p w:rsidR="002D6290" w:rsidRPr="0072101A" w:rsidP="00B22E8D">
      <w:pPr>
        <w:bidi w:val="0"/>
        <w:spacing w:after="0" w:line="336" w:lineRule="auto"/>
        <w:jc w:val="both"/>
        <w:rPr>
          <w:rFonts w:ascii="Times New Roman" w:hAnsi="Times New Roman"/>
          <w:color w:val="000000"/>
          <w:szCs w:val="22"/>
        </w:rPr>
      </w:pPr>
      <w:r w:rsidRPr="0072101A">
        <w:rPr>
          <w:rFonts w:ascii="Times New Roman" w:hAnsi="Times New Roman"/>
          <w:color w:val="000000"/>
          <w:szCs w:val="22"/>
        </w:rPr>
        <w:t xml:space="preserve">Výkazy </w:t>
      </w:r>
      <w:r w:rsidRPr="0072101A" w:rsidR="000B437B">
        <w:rPr>
          <w:rFonts w:ascii="Times New Roman" w:hAnsi="Times New Roman"/>
          <w:color w:val="000000"/>
          <w:szCs w:val="22"/>
        </w:rPr>
        <w:t>s</w:t>
      </w:r>
      <w:r w:rsidRPr="0072101A">
        <w:rPr>
          <w:rFonts w:ascii="Times New Roman" w:hAnsi="Times New Roman"/>
          <w:color w:val="000000"/>
          <w:szCs w:val="22"/>
        </w:rPr>
        <w:t>úhrnnej účto</w:t>
      </w:r>
      <w:r w:rsidRPr="0072101A" w:rsidR="0049438C">
        <w:rPr>
          <w:rFonts w:ascii="Times New Roman" w:hAnsi="Times New Roman"/>
          <w:color w:val="000000"/>
          <w:szCs w:val="22"/>
        </w:rPr>
        <w:t>vnej závierky verejnej správy</w:t>
      </w:r>
      <w:r w:rsidRPr="0072101A">
        <w:rPr>
          <w:rFonts w:ascii="Times New Roman" w:hAnsi="Times New Roman"/>
          <w:color w:val="000000"/>
          <w:szCs w:val="22"/>
        </w:rPr>
        <w:t xml:space="preserve"> za rok 201</w:t>
      </w:r>
      <w:r w:rsidR="009C3C9D">
        <w:rPr>
          <w:rFonts w:ascii="Times New Roman" w:hAnsi="Times New Roman"/>
          <w:color w:val="000000"/>
          <w:szCs w:val="22"/>
        </w:rPr>
        <w:t>5</w:t>
      </w:r>
      <w:r w:rsidRPr="0072101A">
        <w:rPr>
          <w:rFonts w:ascii="Times New Roman" w:hAnsi="Times New Roman"/>
          <w:color w:val="000000"/>
          <w:szCs w:val="22"/>
        </w:rPr>
        <w:t xml:space="preserve"> sa predkladajú v skrátenej štruktúre. Vzhľadom na to, že štruktúra nie je predpísaná žiadnym</w:t>
      </w:r>
      <w:r w:rsidRPr="0072101A" w:rsidR="00F957A0">
        <w:rPr>
          <w:rFonts w:ascii="Times New Roman" w:hAnsi="Times New Roman"/>
          <w:color w:val="000000"/>
          <w:szCs w:val="22"/>
        </w:rPr>
        <w:t xml:space="preserve"> vš</w:t>
      </w:r>
      <w:r w:rsidRPr="0072101A" w:rsidR="00CC6BA5">
        <w:rPr>
          <w:rFonts w:ascii="Times New Roman" w:hAnsi="Times New Roman"/>
          <w:color w:val="000000"/>
          <w:szCs w:val="22"/>
        </w:rPr>
        <w:t>eobecne záväzným právnym predpi</w:t>
      </w:r>
      <w:r w:rsidRPr="0072101A" w:rsidR="00F957A0">
        <w:rPr>
          <w:rFonts w:ascii="Times New Roman" w:hAnsi="Times New Roman"/>
          <w:color w:val="000000"/>
          <w:szCs w:val="22"/>
        </w:rPr>
        <w:t>som</w:t>
      </w:r>
      <w:r w:rsidRPr="0072101A">
        <w:rPr>
          <w:rFonts w:ascii="Times New Roman" w:hAnsi="Times New Roman"/>
          <w:color w:val="000000"/>
          <w:szCs w:val="22"/>
        </w:rPr>
        <w:t xml:space="preserve">, boli použité princípy medzinárodných účtovných štandardov </w:t>
      </w:r>
      <w:r w:rsidRPr="0072101A" w:rsidR="002D36F3">
        <w:rPr>
          <w:rFonts w:ascii="Times New Roman" w:hAnsi="Times New Roman"/>
          <w:color w:val="000000"/>
          <w:szCs w:val="22"/>
        </w:rPr>
        <w:t>pre verejný sektor (</w:t>
      </w:r>
      <w:r w:rsidRPr="0072101A">
        <w:rPr>
          <w:rFonts w:ascii="Times New Roman" w:hAnsi="Times New Roman"/>
          <w:color w:val="000000"/>
          <w:szCs w:val="22"/>
        </w:rPr>
        <w:t>IPSAS</w:t>
      </w:r>
      <w:r w:rsidRPr="0072101A" w:rsidR="002D36F3">
        <w:rPr>
          <w:rFonts w:ascii="Times New Roman" w:hAnsi="Times New Roman"/>
          <w:color w:val="000000"/>
          <w:szCs w:val="22"/>
        </w:rPr>
        <w:t>)</w:t>
      </w:r>
      <w:r w:rsidRPr="0072101A">
        <w:rPr>
          <w:rFonts w:ascii="Times New Roman" w:hAnsi="Times New Roman"/>
          <w:color w:val="000000"/>
          <w:szCs w:val="22"/>
        </w:rPr>
        <w:t xml:space="preserve">, ktoré kladú dôraz na významnosť a prehľadnosť údajov. V prípade, že </w:t>
      </w:r>
      <w:r w:rsidRPr="0072101A" w:rsidR="002D36F3">
        <w:rPr>
          <w:rFonts w:ascii="Times New Roman" w:hAnsi="Times New Roman"/>
          <w:color w:val="000000"/>
          <w:szCs w:val="22"/>
        </w:rPr>
        <w:t xml:space="preserve">v budúcnosti </w:t>
      </w:r>
      <w:r w:rsidRPr="0072101A">
        <w:rPr>
          <w:rFonts w:ascii="Times New Roman" w:hAnsi="Times New Roman"/>
          <w:color w:val="000000"/>
          <w:szCs w:val="22"/>
        </w:rPr>
        <w:t>dôjde k zmene štruktúry súhrnnej účtovnej závierky bude zabezpečené porovnanie medzi jednotlivými účtovnými obdobiami.</w:t>
      </w:r>
    </w:p>
    <w:p w:rsidR="002D6290" w:rsidRPr="0072101A" w:rsidP="00377E7E">
      <w:pPr>
        <w:bidi w:val="0"/>
        <w:spacing w:before="240" w:line="336" w:lineRule="auto"/>
        <w:rPr>
          <w:rFonts w:ascii="Times New Roman" w:hAnsi="Times New Roman"/>
          <w:b/>
          <w:bCs/>
          <w:sz w:val="24"/>
          <w:szCs w:val="24"/>
        </w:rPr>
      </w:pPr>
      <w:r w:rsidRPr="0072101A">
        <w:rPr>
          <w:rFonts w:ascii="Times New Roman" w:hAnsi="Times New Roman"/>
          <w:b/>
          <w:bCs/>
          <w:sz w:val="24"/>
          <w:szCs w:val="24"/>
        </w:rPr>
        <w:t xml:space="preserve">III. </w:t>
      </w:r>
      <w:r w:rsidRPr="0072101A">
        <w:rPr>
          <w:rFonts w:ascii="Times New Roman" w:hAnsi="Times New Roman"/>
          <w:b/>
          <w:bCs/>
          <w:caps/>
          <w:sz w:val="24"/>
          <w:szCs w:val="24"/>
        </w:rPr>
        <w:t>Informácie o údajoch na strane aktív a pasív súvahy</w:t>
      </w:r>
      <w:r w:rsidRPr="0072101A">
        <w:rPr>
          <w:rFonts w:ascii="Times New Roman" w:hAnsi="Times New Roman"/>
          <w:b/>
          <w:bCs/>
          <w:sz w:val="24"/>
          <w:szCs w:val="24"/>
        </w:rPr>
        <w:t xml:space="preserve"> </w:t>
      </w:r>
    </w:p>
    <w:p w:rsidR="002D6290" w:rsidRPr="0072101A" w:rsidP="00377E7E">
      <w:pPr>
        <w:bidi w:val="0"/>
        <w:spacing w:after="180" w:line="336" w:lineRule="auto"/>
        <w:ind w:left="425" w:hanging="425"/>
        <w:rPr>
          <w:rFonts w:ascii="Times New Roman" w:hAnsi="Times New Roman"/>
          <w:b/>
          <w:sz w:val="24"/>
          <w:szCs w:val="24"/>
          <w:lang w:eastAsia="sk-SK"/>
        </w:rPr>
      </w:pPr>
      <w:r w:rsidRPr="0072101A" w:rsidR="00300B3C">
        <w:rPr>
          <w:rFonts w:ascii="Times New Roman" w:hAnsi="Times New Roman"/>
          <w:b/>
          <w:sz w:val="24"/>
          <w:szCs w:val="24"/>
          <w:lang w:eastAsia="sk-SK"/>
        </w:rPr>
        <w:t>AKTÍVA</w:t>
      </w:r>
    </w:p>
    <w:p w:rsidR="002D6290" w:rsidRPr="0072101A" w:rsidP="00660D52">
      <w:pPr>
        <w:bidi w:val="0"/>
        <w:spacing w:after="120" w:line="336" w:lineRule="auto"/>
        <w:jc w:val="both"/>
        <w:rPr>
          <w:rFonts w:ascii="Times New Roman" w:hAnsi="Times New Roman"/>
          <w:szCs w:val="22"/>
          <w:lang w:eastAsia="sk-SK"/>
        </w:rPr>
      </w:pPr>
      <w:r w:rsidRPr="0072101A">
        <w:rPr>
          <w:rFonts w:ascii="Times New Roman" w:hAnsi="Times New Roman"/>
          <w:szCs w:val="22"/>
          <w:lang w:eastAsia="sk-SK"/>
        </w:rPr>
        <w:t>Celkové aktíva dosiahli k 31.12.201</w:t>
      </w:r>
      <w:r w:rsidR="00BC26DF">
        <w:rPr>
          <w:rFonts w:ascii="Times New Roman" w:hAnsi="Times New Roman"/>
          <w:szCs w:val="22"/>
          <w:lang w:eastAsia="sk-SK"/>
        </w:rPr>
        <w:t>5</w:t>
      </w:r>
      <w:r w:rsidRPr="0072101A">
        <w:rPr>
          <w:rFonts w:ascii="Times New Roman" w:hAnsi="Times New Roman"/>
          <w:szCs w:val="22"/>
          <w:lang w:eastAsia="sk-SK"/>
        </w:rPr>
        <w:t xml:space="preserve"> hodnotu </w:t>
      </w:r>
      <w:r w:rsidR="00BC26DF">
        <w:rPr>
          <w:rFonts w:ascii="Times New Roman" w:hAnsi="Times New Roman"/>
          <w:szCs w:val="22"/>
          <w:lang w:eastAsia="sk-SK"/>
        </w:rPr>
        <w:t>63 037 442 tis. eur</w:t>
      </w:r>
      <w:r w:rsidRPr="0072101A">
        <w:rPr>
          <w:rFonts w:ascii="Times New Roman" w:hAnsi="Times New Roman"/>
          <w:szCs w:val="22"/>
          <w:lang w:eastAsia="sk-SK"/>
        </w:rPr>
        <w:t>, čo je v porovnaní s rokom 201</w:t>
      </w:r>
      <w:r w:rsidR="00BC26DF">
        <w:rPr>
          <w:rFonts w:ascii="Times New Roman" w:hAnsi="Times New Roman"/>
          <w:szCs w:val="22"/>
          <w:lang w:eastAsia="sk-SK"/>
        </w:rPr>
        <w:t>4</w:t>
      </w:r>
      <w:r w:rsidRPr="0072101A">
        <w:rPr>
          <w:rFonts w:ascii="Times New Roman" w:hAnsi="Times New Roman"/>
          <w:szCs w:val="22"/>
          <w:lang w:eastAsia="sk-SK"/>
        </w:rPr>
        <w:t xml:space="preserve"> viac o</w:t>
      </w:r>
      <w:r w:rsidR="00BC26DF">
        <w:rPr>
          <w:rFonts w:ascii="Times New Roman" w:hAnsi="Times New Roman"/>
          <w:szCs w:val="22"/>
          <w:lang w:eastAsia="sk-SK"/>
        </w:rPr>
        <w:t> 2 201 283</w:t>
      </w:r>
      <w:r w:rsidRPr="0072101A" w:rsidR="000967C3">
        <w:rPr>
          <w:rFonts w:ascii="Times New Roman" w:hAnsi="Times New Roman"/>
          <w:szCs w:val="22"/>
          <w:lang w:eastAsia="sk-SK"/>
        </w:rPr>
        <w:t> </w:t>
      </w:r>
      <w:r w:rsidRPr="0072101A" w:rsidR="00EF3F31">
        <w:rPr>
          <w:rFonts w:ascii="Times New Roman" w:hAnsi="Times New Roman"/>
          <w:szCs w:val="22"/>
          <w:lang w:eastAsia="sk-SK"/>
        </w:rPr>
        <w:t>tis</w:t>
      </w:r>
      <w:r w:rsidRPr="0072101A">
        <w:rPr>
          <w:rFonts w:ascii="Times New Roman" w:hAnsi="Times New Roman"/>
          <w:szCs w:val="22"/>
          <w:lang w:eastAsia="sk-SK"/>
        </w:rPr>
        <w:t>. eur</w:t>
      </w:r>
      <w:r w:rsidRPr="0072101A" w:rsidR="000967C3">
        <w:rPr>
          <w:rFonts w:ascii="Times New Roman" w:hAnsi="Times New Roman"/>
          <w:szCs w:val="22"/>
          <w:lang w:eastAsia="sk-SK"/>
        </w:rPr>
        <w:t xml:space="preserve">. </w:t>
      </w:r>
      <w:r w:rsidRPr="0072101A">
        <w:rPr>
          <w:rFonts w:ascii="Times New Roman" w:hAnsi="Times New Roman"/>
          <w:szCs w:val="22"/>
          <w:lang w:eastAsia="sk-SK"/>
        </w:rPr>
        <w:t>Celkové aktíva sú tvorené najmä dlhodobým hmotným majetkom (</w:t>
      </w:r>
      <w:r w:rsidRPr="0072101A" w:rsidR="00BC1462">
        <w:rPr>
          <w:rFonts w:ascii="Times New Roman" w:hAnsi="Times New Roman"/>
          <w:szCs w:val="22"/>
          <w:lang w:eastAsia="sk-SK"/>
        </w:rPr>
        <w:t>6</w:t>
      </w:r>
      <w:r w:rsidR="00873AAB">
        <w:rPr>
          <w:rFonts w:ascii="Times New Roman" w:hAnsi="Times New Roman"/>
          <w:szCs w:val="22"/>
          <w:lang w:eastAsia="sk-SK"/>
        </w:rPr>
        <w:t>8</w:t>
      </w:r>
      <w:r w:rsidRPr="0072101A" w:rsidR="000967C3">
        <w:rPr>
          <w:rFonts w:ascii="Times New Roman" w:hAnsi="Times New Roman"/>
          <w:szCs w:val="22"/>
          <w:lang w:eastAsia="sk-SK"/>
        </w:rPr>
        <w:t xml:space="preserve"> </w:t>
      </w:r>
      <w:r w:rsidRPr="0072101A">
        <w:rPr>
          <w:rFonts w:ascii="Times New Roman" w:hAnsi="Times New Roman"/>
          <w:szCs w:val="22"/>
          <w:lang w:eastAsia="sk-SK"/>
        </w:rPr>
        <w:t>%),</w:t>
      </w:r>
      <w:r w:rsidRPr="0072101A" w:rsidR="000967C3">
        <w:rPr>
          <w:rFonts w:ascii="Times New Roman" w:hAnsi="Times New Roman"/>
          <w:szCs w:val="22"/>
          <w:lang w:eastAsia="sk-SK"/>
        </w:rPr>
        <w:t xml:space="preserve"> dlhodobým finančným majetkom (</w:t>
      </w:r>
      <w:r w:rsidRPr="0072101A" w:rsidR="00BC1462">
        <w:rPr>
          <w:rFonts w:ascii="Times New Roman" w:hAnsi="Times New Roman"/>
          <w:szCs w:val="22"/>
          <w:lang w:eastAsia="sk-SK"/>
        </w:rPr>
        <w:t>1</w:t>
      </w:r>
      <w:r w:rsidRPr="0072101A" w:rsidR="00DC17D0">
        <w:rPr>
          <w:rFonts w:ascii="Times New Roman" w:hAnsi="Times New Roman"/>
          <w:szCs w:val="22"/>
          <w:lang w:eastAsia="sk-SK"/>
        </w:rPr>
        <w:t>4</w:t>
      </w:r>
      <w:r w:rsidRPr="0072101A" w:rsidR="000967C3">
        <w:rPr>
          <w:rFonts w:ascii="Times New Roman" w:hAnsi="Times New Roman"/>
          <w:szCs w:val="22"/>
          <w:lang w:eastAsia="sk-SK"/>
        </w:rPr>
        <w:t xml:space="preserve"> %</w:t>
      </w:r>
      <w:r w:rsidRPr="0072101A" w:rsidR="002D36F3">
        <w:rPr>
          <w:rFonts w:ascii="Times New Roman" w:hAnsi="Times New Roman"/>
          <w:szCs w:val="22"/>
          <w:lang w:eastAsia="sk-SK"/>
        </w:rPr>
        <w:t>)</w:t>
      </w:r>
      <w:r w:rsidRPr="0072101A" w:rsidR="00DC17D0">
        <w:rPr>
          <w:rFonts w:ascii="Times New Roman" w:hAnsi="Times New Roman"/>
          <w:szCs w:val="22"/>
          <w:lang w:eastAsia="sk-SK"/>
        </w:rPr>
        <w:t>,</w:t>
      </w:r>
      <w:r w:rsidRPr="0072101A">
        <w:rPr>
          <w:rFonts w:ascii="Times New Roman" w:hAnsi="Times New Roman"/>
          <w:szCs w:val="22"/>
          <w:lang w:eastAsia="sk-SK"/>
        </w:rPr>
        <w:t xml:space="preserve"> </w:t>
      </w:r>
      <w:r w:rsidRPr="0072101A" w:rsidR="00DA22CB">
        <w:rPr>
          <w:rFonts w:ascii="Times New Roman" w:hAnsi="Times New Roman"/>
          <w:szCs w:val="22"/>
          <w:lang w:eastAsia="sk-SK"/>
        </w:rPr>
        <w:t>pohľadávkami (</w:t>
      </w:r>
      <w:r w:rsidR="00873AAB">
        <w:rPr>
          <w:rFonts w:ascii="Times New Roman" w:hAnsi="Times New Roman"/>
          <w:szCs w:val="22"/>
          <w:lang w:eastAsia="sk-SK"/>
        </w:rPr>
        <w:t>9</w:t>
      </w:r>
      <w:r w:rsidRPr="0072101A" w:rsidR="00DC17D0">
        <w:rPr>
          <w:rFonts w:ascii="Times New Roman" w:hAnsi="Times New Roman"/>
          <w:szCs w:val="22"/>
          <w:lang w:eastAsia="sk-SK"/>
        </w:rPr>
        <w:t>,</w:t>
      </w:r>
      <w:r w:rsidR="00873AAB">
        <w:rPr>
          <w:rFonts w:ascii="Times New Roman" w:hAnsi="Times New Roman"/>
          <w:szCs w:val="22"/>
          <w:lang w:eastAsia="sk-SK"/>
        </w:rPr>
        <w:t>6</w:t>
      </w:r>
      <w:r w:rsidRPr="0072101A" w:rsidR="006C118B">
        <w:rPr>
          <w:rFonts w:ascii="Times New Roman" w:hAnsi="Times New Roman"/>
          <w:szCs w:val="22"/>
          <w:lang w:eastAsia="sk-SK"/>
        </w:rPr>
        <w:t xml:space="preserve"> %)</w:t>
      </w:r>
      <w:r w:rsidRPr="0072101A" w:rsidR="00DC17D0">
        <w:rPr>
          <w:rFonts w:ascii="Times New Roman" w:hAnsi="Times New Roman"/>
          <w:szCs w:val="22"/>
          <w:lang w:eastAsia="sk-SK"/>
        </w:rPr>
        <w:t xml:space="preserve"> a finančnými účtami (</w:t>
      </w:r>
      <w:r w:rsidR="00873AAB">
        <w:rPr>
          <w:rFonts w:ascii="Times New Roman" w:hAnsi="Times New Roman"/>
          <w:szCs w:val="22"/>
          <w:lang w:eastAsia="sk-SK"/>
        </w:rPr>
        <w:t>4</w:t>
      </w:r>
      <w:r w:rsidRPr="0072101A" w:rsidR="00DC17D0">
        <w:rPr>
          <w:rFonts w:ascii="Times New Roman" w:hAnsi="Times New Roman"/>
          <w:szCs w:val="22"/>
          <w:lang w:eastAsia="sk-SK"/>
        </w:rPr>
        <w:t xml:space="preserve"> %)</w:t>
      </w:r>
      <w:r w:rsidRPr="0072101A">
        <w:rPr>
          <w:rFonts w:ascii="Times New Roman" w:hAnsi="Times New Roman"/>
          <w:szCs w:val="22"/>
          <w:lang w:eastAsia="sk-SK"/>
        </w:rPr>
        <w:t xml:space="preserve">. </w:t>
      </w:r>
    </w:p>
    <w:p w:rsidR="00BC1462" w:rsidRPr="0072101A" w:rsidP="00E9050A">
      <w:pPr>
        <w:bidi w:val="0"/>
        <w:spacing w:after="120" w:line="336" w:lineRule="auto"/>
        <w:jc w:val="both"/>
        <w:rPr>
          <w:rFonts w:ascii="Times New Roman" w:hAnsi="Times New Roman"/>
          <w:b/>
          <w:szCs w:val="22"/>
          <w:lang w:eastAsia="sk-SK"/>
        </w:rPr>
      </w:pPr>
      <w:r w:rsidRPr="0072101A">
        <w:rPr>
          <w:rFonts w:ascii="Times New Roman" w:hAnsi="Times New Roman"/>
          <w:b/>
          <w:szCs w:val="22"/>
          <w:lang w:eastAsia="sk-SK"/>
        </w:rPr>
        <w:t>V medziročnom porovnaní vzrástol neobežný majetok o</w:t>
      </w:r>
      <w:r w:rsidRPr="0072101A" w:rsidR="00DA22CB">
        <w:rPr>
          <w:rFonts w:ascii="Times New Roman" w:hAnsi="Times New Roman"/>
          <w:b/>
          <w:szCs w:val="22"/>
          <w:lang w:eastAsia="sk-SK"/>
        </w:rPr>
        <w:t> </w:t>
      </w:r>
      <w:r w:rsidR="00873AAB">
        <w:rPr>
          <w:rFonts w:ascii="Times New Roman" w:hAnsi="Times New Roman"/>
          <w:b/>
          <w:szCs w:val="22"/>
          <w:lang w:eastAsia="sk-SK"/>
        </w:rPr>
        <w:t>1 939 840</w:t>
      </w:r>
      <w:r w:rsidRPr="0072101A" w:rsidR="00DA22CB">
        <w:rPr>
          <w:rFonts w:ascii="Times New Roman" w:hAnsi="Times New Roman"/>
          <w:b/>
          <w:szCs w:val="22"/>
          <w:lang w:eastAsia="sk-SK"/>
        </w:rPr>
        <w:t xml:space="preserve"> tis. eur, obežný majetok </w:t>
      </w:r>
      <w:r w:rsidR="00873AAB">
        <w:rPr>
          <w:rFonts w:ascii="Times New Roman" w:hAnsi="Times New Roman"/>
          <w:b/>
          <w:szCs w:val="22"/>
          <w:lang w:eastAsia="sk-SK"/>
        </w:rPr>
        <w:t>vzrástol</w:t>
      </w:r>
      <w:r w:rsidRPr="0072101A" w:rsidR="00DA22CB">
        <w:rPr>
          <w:rFonts w:ascii="Times New Roman" w:hAnsi="Times New Roman"/>
          <w:b/>
          <w:szCs w:val="22"/>
          <w:lang w:eastAsia="sk-SK"/>
        </w:rPr>
        <w:t xml:space="preserve"> o</w:t>
      </w:r>
      <w:r w:rsidR="00873AAB">
        <w:rPr>
          <w:rFonts w:ascii="Times New Roman" w:hAnsi="Times New Roman"/>
          <w:b/>
          <w:szCs w:val="22"/>
          <w:lang w:eastAsia="sk-SK"/>
        </w:rPr>
        <w:t> 304 872</w:t>
      </w:r>
      <w:r w:rsidRPr="0072101A">
        <w:rPr>
          <w:rFonts w:ascii="Times New Roman" w:hAnsi="Times New Roman"/>
          <w:b/>
          <w:szCs w:val="22"/>
          <w:lang w:eastAsia="sk-SK"/>
        </w:rPr>
        <w:t xml:space="preserve"> tis. eur a účty časového rozlíšeni</w:t>
      </w:r>
      <w:r w:rsidRPr="0072101A" w:rsidR="008A599D">
        <w:rPr>
          <w:rFonts w:ascii="Times New Roman" w:hAnsi="Times New Roman"/>
          <w:b/>
          <w:szCs w:val="22"/>
          <w:lang w:eastAsia="sk-SK"/>
        </w:rPr>
        <w:t>a</w:t>
      </w:r>
      <w:r w:rsidRPr="0072101A">
        <w:rPr>
          <w:rFonts w:ascii="Times New Roman" w:hAnsi="Times New Roman"/>
          <w:b/>
          <w:szCs w:val="22"/>
          <w:lang w:eastAsia="sk-SK"/>
        </w:rPr>
        <w:t xml:space="preserve"> </w:t>
      </w:r>
      <w:r w:rsidRPr="0072101A" w:rsidR="001612EE">
        <w:rPr>
          <w:rFonts w:ascii="Times New Roman" w:hAnsi="Times New Roman"/>
          <w:b/>
          <w:szCs w:val="22"/>
          <w:lang w:eastAsia="sk-SK"/>
        </w:rPr>
        <w:t>po</w:t>
      </w:r>
      <w:r w:rsidRPr="0072101A">
        <w:rPr>
          <w:rFonts w:ascii="Times New Roman" w:hAnsi="Times New Roman"/>
          <w:b/>
          <w:szCs w:val="22"/>
          <w:lang w:eastAsia="sk-SK"/>
        </w:rPr>
        <w:t>klesli o</w:t>
      </w:r>
      <w:r w:rsidRPr="0072101A" w:rsidR="001612EE">
        <w:rPr>
          <w:rFonts w:ascii="Times New Roman" w:hAnsi="Times New Roman"/>
          <w:b/>
          <w:szCs w:val="22"/>
          <w:lang w:eastAsia="sk-SK"/>
        </w:rPr>
        <w:t> </w:t>
      </w:r>
      <w:r w:rsidR="00873AAB">
        <w:rPr>
          <w:rFonts w:ascii="Times New Roman" w:hAnsi="Times New Roman"/>
          <w:b/>
          <w:szCs w:val="22"/>
          <w:lang w:eastAsia="sk-SK"/>
        </w:rPr>
        <w:t>4</w:t>
      </w:r>
      <w:r w:rsidRPr="0072101A" w:rsidR="001612EE">
        <w:rPr>
          <w:rFonts w:ascii="Times New Roman" w:hAnsi="Times New Roman"/>
          <w:b/>
          <w:szCs w:val="22"/>
          <w:lang w:eastAsia="sk-SK"/>
        </w:rPr>
        <w:t xml:space="preserve">3 </w:t>
      </w:r>
      <w:r w:rsidR="00873AAB">
        <w:rPr>
          <w:rFonts w:ascii="Times New Roman" w:hAnsi="Times New Roman"/>
          <w:b/>
          <w:szCs w:val="22"/>
          <w:lang w:eastAsia="sk-SK"/>
        </w:rPr>
        <w:t>429</w:t>
      </w:r>
      <w:r w:rsidRPr="0072101A">
        <w:rPr>
          <w:rFonts w:ascii="Times New Roman" w:hAnsi="Times New Roman"/>
          <w:b/>
          <w:szCs w:val="22"/>
          <w:lang w:eastAsia="sk-SK"/>
        </w:rPr>
        <w:t xml:space="preserve"> tis. eur.</w:t>
      </w:r>
    </w:p>
    <w:p w:rsidR="00AA2BEE" w:rsidP="001F0E4E">
      <w:pPr>
        <w:bidi w:val="0"/>
        <w:spacing w:after="120" w:line="336" w:lineRule="auto"/>
        <w:jc w:val="both"/>
        <w:rPr>
          <w:rFonts w:ascii="Times New Roman" w:hAnsi="Times New Roman"/>
          <w:szCs w:val="22"/>
          <w:lang w:eastAsia="sk-SK"/>
        </w:rPr>
      </w:pPr>
      <w:r>
        <w:rPr>
          <w:rFonts w:ascii="Times New Roman" w:hAnsi="Times New Roman"/>
          <w:szCs w:val="22"/>
          <w:lang w:eastAsia="sk-SK"/>
        </w:rPr>
        <w:t xml:space="preserve">V rámci neobežného majetku zaznamenali nárast najmä stavby o 1 029 718 tis. eur, samostatné hnuteľné veci o 418 307 tis. eur, pozemky o 355 995 tis. eur, dopravné prostriedky o 289 937 tis. eur, ostatný dlhodobý hmotný majetok o 245 586 tis. eur.  </w:t>
      </w:r>
    </w:p>
    <w:p w:rsidR="001226DE" w:rsidRPr="0072101A" w:rsidP="001F0E4E">
      <w:pPr>
        <w:bidi w:val="0"/>
        <w:spacing w:after="120" w:line="336" w:lineRule="auto"/>
        <w:jc w:val="both"/>
        <w:rPr>
          <w:rFonts w:ascii="Times New Roman" w:hAnsi="Times New Roman"/>
          <w:szCs w:val="22"/>
          <w:lang w:eastAsia="sk-SK"/>
        </w:rPr>
      </w:pPr>
      <w:r w:rsidRPr="0072101A" w:rsidR="00B408CD">
        <w:rPr>
          <w:rFonts w:ascii="Times New Roman" w:hAnsi="Times New Roman"/>
          <w:szCs w:val="22"/>
          <w:lang w:eastAsia="sk-SK"/>
        </w:rPr>
        <w:t xml:space="preserve">V </w:t>
      </w:r>
      <w:r w:rsidRPr="0072101A" w:rsidR="003378F3">
        <w:rPr>
          <w:rFonts w:ascii="Times New Roman" w:hAnsi="Times New Roman"/>
          <w:szCs w:val="22"/>
          <w:lang w:eastAsia="sk-SK"/>
        </w:rPr>
        <w:t>obežn</w:t>
      </w:r>
      <w:r w:rsidRPr="0072101A" w:rsidR="00B408CD">
        <w:rPr>
          <w:rFonts w:ascii="Times New Roman" w:hAnsi="Times New Roman"/>
          <w:szCs w:val="22"/>
          <w:lang w:eastAsia="sk-SK"/>
        </w:rPr>
        <w:t>om</w:t>
      </w:r>
      <w:r w:rsidRPr="0072101A" w:rsidR="003378F3">
        <w:rPr>
          <w:rFonts w:ascii="Times New Roman" w:hAnsi="Times New Roman"/>
          <w:szCs w:val="22"/>
          <w:lang w:eastAsia="sk-SK"/>
        </w:rPr>
        <w:t xml:space="preserve"> majetk</w:t>
      </w:r>
      <w:r w:rsidRPr="0072101A" w:rsidR="00B408CD">
        <w:rPr>
          <w:rFonts w:ascii="Times New Roman" w:hAnsi="Times New Roman"/>
          <w:szCs w:val="22"/>
          <w:lang w:eastAsia="sk-SK"/>
        </w:rPr>
        <w:t>u</w:t>
      </w:r>
      <w:r w:rsidRPr="0072101A" w:rsidR="00940C1D">
        <w:rPr>
          <w:rFonts w:ascii="Times New Roman" w:hAnsi="Times New Roman"/>
          <w:szCs w:val="22"/>
          <w:lang w:eastAsia="sk-SK"/>
        </w:rPr>
        <w:t xml:space="preserve"> </w:t>
      </w:r>
      <w:r w:rsidRPr="0072101A" w:rsidR="003378F3">
        <w:rPr>
          <w:rFonts w:ascii="Times New Roman" w:hAnsi="Times New Roman"/>
          <w:szCs w:val="22"/>
          <w:lang w:eastAsia="sk-SK"/>
        </w:rPr>
        <w:t>sa zvýšil</w:t>
      </w:r>
      <w:r w:rsidRPr="0072101A" w:rsidR="00617637">
        <w:rPr>
          <w:rFonts w:ascii="Times New Roman" w:hAnsi="Times New Roman"/>
          <w:szCs w:val="22"/>
          <w:lang w:eastAsia="sk-SK"/>
        </w:rPr>
        <w:t>a</w:t>
      </w:r>
      <w:r w:rsidRPr="0072101A">
        <w:rPr>
          <w:rFonts w:ascii="Times New Roman" w:hAnsi="Times New Roman"/>
          <w:szCs w:val="22"/>
          <w:lang w:eastAsia="sk-SK"/>
        </w:rPr>
        <w:t xml:space="preserve"> najmä </w:t>
      </w:r>
      <w:r w:rsidRPr="0072101A" w:rsidR="00B408CD">
        <w:rPr>
          <w:rFonts w:ascii="Times New Roman" w:hAnsi="Times New Roman"/>
          <w:szCs w:val="22"/>
          <w:lang w:eastAsia="sk-SK"/>
        </w:rPr>
        <w:t xml:space="preserve"> hodnota </w:t>
      </w:r>
      <w:r w:rsidR="004A0505">
        <w:rPr>
          <w:rFonts w:ascii="Times New Roman" w:hAnsi="Times New Roman"/>
          <w:szCs w:val="22"/>
          <w:lang w:eastAsia="sk-SK"/>
        </w:rPr>
        <w:t xml:space="preserve">pohľadávok </w:t>
      </w:r>
      <w:r w:rsidRPr="0072101A">
        <w:rPr>
          <w:rFonts w:ascii="Times New Roman" w:hAnsi="Times New Roman"/>
          <w:szCs w:val="22"/>
          <w:lang w:eastAsia="sk-SK"/>
        </w:rPr>
        <w:t>o</w:t>
      </w:r>
      <w:r w:rsidRPr="0072101A" w:rsidR="00DC17D0">
        <w:rPr>
          <w:rFonts w:ascii="Times New Roman" w:hAnsi="Times New Roman"/>
          <w:szCs w:val="22"/>
          <w:lang w:eastAsia="sk-SK"/>
        </w:rPr>
        <w:t> </w:t>
      </w:r>
      <w:r w:rsidR="00AA2BEE">
        <w:rPr>
          <w:rFonts w:ascii="Times New Roman" w:hAnsi="Times New Roman"/>
          <w:szCs w:val="22"/>
          <w:lang w:eastAsia="sk-SK"/>
        </w:rPr>
        <w:t>1 341 750</w:t>
      </w:r>
      <w:r w:rsidRPr="0072101A">
        <w:rPr>
          <w:rFonts w:ascii="Times New Roman" w:hAnsi="Times New Roman"/>
          <w:szCs w:val="22"/>
          <w:lang w:eastAsia="sk-SK"/>
        </w:rPr>
        <w:t xml:space="preserve"> tis. eur,  ale tieto prírastky boli </w:t>
      </w:r>
      <w:r w:rsidR="00C224B6">
        <w:rPr>
          <w:rFonts w:ascii="Times New Roman" w:hAnsi="Times New Roman"/>
          <w:szCs w:val="22"/>
          <w:lang w:eastAsia="sk-SK"/>
        </w:rPr>
        <w:t xml:space="preserve">vo veľkej miere </w:t>
      </w:r>
      <w:r w:rsidRPr="0072101A">
        <w:rPr>
          <w:rFonts w:ascii="Times New Roman" w:hAnsi="Times New Roman"/>
          <w:szCs w:val="22"/>
          <w:lang w:eastAsia="sk-SK"/>
        </w:rPr>
        <w:t>absorbované úbytkom finančných účtov o</w:t>
      </w:r>
      <w:r w:rsidR="00AA2BEE">
        <w:rPr>
          <w:rFonts w:ascii="Times New Roman" w:hAnsi="Times New Roman"/>
          <w:szCs w:val="22"/>
          <w:lang w:eastAsia="sk-SK"/>
        </w:rPr>
        <w:t> 631 969 tis. eur, úbytkom zúčtovacích vzťahov o 277 600 tis. eur a poklesom hodnoty zásob o 127 442 tis. eur.</w:t>
      </w:r>
    </w:p>
    <w:p w:rsidR="00F05E1F">
      <w:pPr>
        <w:bidi w:val="0"/>
        <w:spacing w:after="0" w:line="240" w:lineRule="auto"/>
        <w:rPr>
          <w:rFonts w:ascii="Times New Roman" w:hAnsi="Times New Roman"/>
          <w:b/>
          <w:sz w:val="24"/>
          <w:szCs w:val="24"/>
          <w:lang w:eastAsia="sk-SK"/>
        </w:rPr>
      </w:pPr>
      <w:r>
        <w:rPr>
          <w:rFonts w:ascii="Times New Roman" w:hAnsi="Times New Roman"/>
          <w:b/>
          <w:sz w:val="24"/>
          <w:szCs w:val="24"/>
          <w:lang w:eastAsia="sk-SK"/>
        </w:rPr>
        <w:br w:type="page"/>
      </w:r>
    </w:p>
    <w:p w:rsidR="00A970C0" w:rsidRPr="0072101A" w:rsidP="001226DE">
      <w:pPr>
        <w:bidi w:val="0"/>
        <w:spacing w:before="240" w:after="120" w:line="336" w:lineRule="auto"/>
        <w:jc w:val="both"/>
        <w:rPr>
          <w:rFonts w:ascii="Times New Roman" w:hAnsi="Times New Roman"/>
          <w:b/>
          <w:sz w:val="24"/>
          <w:szCs w:val="24"/>
          <w:lang w:eastAsia="sk-SK"/>
        </w:rPr>
      </w:pPr>
      <w:r w:rsidRPr="0072101A">
        <w:rPr>
          <w:rFonts w:ascii="Times New Roman" w:hAnsi="Times New Roman"/>
          <w:b/>
          <w:sz w:val="24"/>
          <w:szCs w:val="24"/>
          <w:lang w:eastAsia="sk-SK"/>
        </w:rPr>
        <w:t>A. Neobežný majetok</w:t>
      </w:r>
    </w:p>
    <w:p w:rsidR="002D6290" w:rsidRPr="0072101A" w:rsidP="00A970C0">
      <w:pPr>
        <w:bidi w:val="0"/>
        <w:spacing w:before="120" w:after="180" w:line="360" w:lineRule="auto"/>
        <w:jc w:val="both"/>
        <w:rPr>
          <w:rFonts w:ascii="Times New Roman" w:hAnsi="Times New Roman"/>
          <w:b/>
          <w:sz w:val="24"/>
          <w:szCs w:val="24"/>
          <w:lang w:eastAsia="sk-SK"/>
        </w:rPr>
      </w:pPr>
      <w:r w:rsidRPr="0072101A">
        <w:rPr>
          <w:rFonts w:ascii="Times New Roman" w:hAnsi="Times New Roman"/>
          <w:b/>
          <w:sz w:val="24"/>
          <w:szCs w:val="24"/>
          <w:lang w:eastAsia="sk-SK"/>
        </w:rPr>
        <w:t>A.I. Dlhodobý nehmotný majetok</w:t>
      </w:r>
    </w:p>
    <w:p w:rsidR="002D6290" w:rsidRPr="0072101A" w:rsidP="007B3693">
      <w:pPr>
        <w:tabs>
          <w:tab w:val="num" w:pos="0"/>
        </w:tabs>
        <w:bidi w:val="0"/>
        <w:spacing w:after="120" w:line="336" w:lineRule="auto"/>
        <w:jc w:val="both"/>
        <w:rPr>
          <w:rFonts w:ascii="Times New Roman" w:hAnsi="Times New Roman"/>
          <w:szCs w:val="22"/>
          <w:lang w:eastAsia="sk-SK"/>
        </w:rPr>
      </w:pPr>
      <w:r w:rsidRPr="0072101A">
        <w:rPr>
          <w:rFonts w:ascii="Times New Roman" w:hAnsi="Times New Roman"/>
          <w:szCs w:val="22"/>
          <w:lang w:eastAsia="sk-SK"/>
        </w:rPr>
        <w:t>Dlhodobý nehmotný majetok súhrnného celku dosiahol k 31.12.201</w:t>
      </w:r>
      <w:r w:rsidR="006B401A">
        <w:rPr>
          <w:rFonts w:ascii="Times New Roman" w:hAnsi="Times New Roman"/>
          <w:szCs w:val="22"/>
          <w:lang w:eastAsia="sk-SK"/>
        </w:rPr>
        <w:t>5</w:t>
      </w:r>
      <w:r w:rsidRPr="0072101A">
        <w:rPr>
          <w:rFonts w:ascii="Times New Roman" w:hAnsi="Times New Roman"/>
          <w:szCs w:val="22"/>
          <w:lang w:eastAsia="sk-SK"/>
        </w:rPr>
        <w:t xml:space="preserve"> hodnotu </w:t>
      </w:r>
      <w:r w:rsidR="00421B09">
        <w:rPr>
          <w:rFonts w:ascii="Times New Roman" w:hAnsi="Times New Roman"/>
          <w:szCs w:val="22"/>
          <w:lang w:eastAsia="sk-SK"/>
        </w:rPr>
        <w:t>1 04</w:t>
      </w:r>
      <w:r w:rsidR="00AE63F4">
        <w:rPr>
          <w:rFonts w:ascii="Times New Roman" w:hAnsi="Times New Roman"/>
          <w:szCs w:val="22"/>
          <w:lang w:eastAsia="sk-SK"/>
        </w:rPr>
        <w:t>4</w:t>
      </w:r>
      <w:r w:rsidR="00421B09">
        <w:rPr>
          <w:rFonts w:ascii="Times New Roman" w:hAnsi="Times New Roman"/>
          <w:szCs w:val="22"/>
          <w:lang w:eastAsia="sk-SK"/>
        </w:rPr>
        <w:t> </w:t>
      </w:r>
      <w:r w:rsidR="00AE63F4">
        <w:rPr>
          <w:rFonts w:ascii="Times New Roman" w:hAnsi="Times New Roman"/>
          <w:szCs w:val="22"/>
          <w:lang w:eastAsia="sk-SK"/>
        </w:rPr>
        <w:t>127</w:t>
      </w:r>
      <w:r w:rsidR="00421B09">
        <w:rPr>
          <w:rFonts w:ascii="Times New Roman" w:hAnsi="Times New Roman"/>
          <w:szCs w:val="22"/>
          <w:lang w:eastAsia="sk-SK"/>
        </w:rPr>
        <w:t xml:space="preserve"> tis. eur</w:t>
      </w:r>
      <w:r w:rsidRPr="0072101A">
        <w:rPr>
          <w:rFonts w:ascii="Times New Roman" w:hAnsi="Times New Roman"/>
          <w:szCs w:val="22"/>
          <w:lang w:eastAsia="sk-SK"/>
        </w:rPr>
        <w:t>. Najväčší podiel tvorí softvér (</w:t>
      </w:r>
      <w:r w:rsidR="00421B09">
        <w:rPr>
          <w:rFonts w:ascii="Times New Roman" w:hAnsi="Times New Roman"/>
          <w:szCs w:val="22"/>
          <w:lang w:eastAsia="sk-SK"/>
        </w:rPr>
        <w:t>716 292</w:t>
      </w:r>
      <w:r w:rsidRPr="0072101A">
        <w:rPr>
          <w:rFonts w:ascii="Times New Roman" w:hAnsi="Times New Roman"/>
          <w:szCs w:val="22"/>
          <w:lang w:eastAsia="sk-SK"/>
        </w:rPr>
        <w:t xml:space="preserve"> </w:t>
      </w:r>
      <w:r w:rsidRPr="0072101A" w:rsidR="00EF3F31">
        <w:rPr>
          <w:rFonts w:ascii="Times New Roman" w:hAnsi="Times New Roman"/>
          <w:szCs w:val="22"/>
          <w:lang w:eastAsia="sk-SK"/>
        </w:rPr>
        <w:t>tis</w:t>
      </w:r>
      <w:r w:rsidRPr="0072101A">
        <w:rPr>
          <w:rFonts w:ascii="Times New Roman" w:hAnsi="Times New Roman"/>
          <w:szCs w:val="22"/>
          <w:lang w:eastAsia="sk-SK"/>
        </w:rPr>
        <w:t>. eur)</w:t>
      </w:r>
      <w:r w:rsidRPr="0072101A" w:rsidR="00660D52">
        <w:rPr>
          <w:rFonts w:ascii="Times New Roman" w:hAnsi="Times New Roman"/>
          <w:szCs w:val="22"/>
          <w:lang w:eastAsia="sk-SK"/>
        </w:rPr>
        <w:t xml:space="preserve"> a</w:t>
      </w:r>
      <w:r w:rsidRPr="0072101A">
        <w:rPr>
          <w:rFonts w:ascii="Times New Roman" w:hAnsi="Times New Roman"/>
          <w:szCs w:val="22"/>
          <w:lang w:eastAsia="sk-SK"/>
        </w:rPr>
        <w:t xml:space="preserve"> obstaranie dl</w:t>
      </w:r>
      <w:r w:rsidRPr="0072101A" w:rsidR="00375816">
        <w:rPr>
          <w:rFonts w:ascii="Times New Roman" w:hAnsi="Times New Roman"/>
          <w:szCs w:val="22"/>
          <w:lang w:eastAsia="sk-SK"/>
        </w:rPr>
        <w:t>hodobého nehmotného majetku</w:t>
        <w:br/>
      </w:r>
      <w:r w:rsidRPr="0072101A">
        <w:rPr>
          <w:rFonts w:ascii="Times New Roman" w:hAnsi="Times New Roman"/>
          <w:szCs w:val="22"/>
          <w:lang w:eastAsia="sk-SK"/>
        </w:rPr>
        <w:t>(</w:t>
      </w:r>
      <w:r w:rsidR="00421B09">
        <w:rPr>
          <w:rFonts w:ascii="Times New Roman" w:hAnsi="Times New Roman"/>
          <w:szCs w:val="22"/>
          <w:lang w:eastAsia="sk-SK"/>
        </w:rPr>
        <w:t>195 618</w:t>
      </w:r>
      <w:r w:rsidRPr="0072101A" w:rsidR="00B73F85">
        <w:rPr>
          <w:rFonts w:ascii="Times New Roman" w:hAnsi="Times New Roman"/>
          <w:szCs w:val="22"/>
          <w:lang w:eastAsia="sk-SK"/>
        </w:rPr>
        <w:t xml:space="preserve"> </w:t>
      </w:r>
      <w:r w:rsidRPr="0072101A" w:rsidR="00EF3F31">
        <w:rPr>
          <w:rFonts w:ascii="Times New Roman" w:hAnsi="Times New Roman"/>
          <w:szCs w:val="22"/>
          <w:lang w:eastAsia="sk-SK"/>
        </w:rPr>
        <w:t>tis</w:t>
      </w:r>
      <w:r w:rsidRPr="0072101A">
        <w:rPr>
          <w:rFonts w:ascii="Times New Roman" w:hAnsi="Times New Roman"/>
          <w:szCs w:val="22"/>
          <w:lang w:eastAsia="sk-SK"/>
        </w:rPr>
        <w:t>. eur)</w:t>
      </w:r>
      <w:r w:rsidRPr="0072101A" w:rsidR="007B3693">
        <w:rPr>
          <w:rFonts w:ascii="Times New Roman" w:hAnsi="Times New Roman"/>
          <w:szCs w:val="22"/>
          <w:lang w:eastAsia="sk-SK"/>
        </w:rPr>
        <w:t>.</w:t>
      </w:r>
      <w:r w:rsidRPr="0072101A">
        <w:rPr>
          <w:rFonts w:ascii="Times New Roman" w:hAnsi="Times New Roman"/>
          <w:szCs w:val="22"/>
          <w:lang w:eastAsia="sk-SK"/>
        </w:rPr>
        <w:t xml:space="preserve"> </w:t>
      </w:r>
    </w:p>
    <w:tbl>
      <w:tblPr>
        <w:tblStyle w:val="TableNormal"/>
        <w:tblW w:w="4596" w:type="pct"/>
        <w:jc w:val="center"/>
        <w:tblInd w:w="70" w:type="dxa"/>
        <w:tblLayout w:type="fixed"/>
        <w:tblCellMar>
          <w:left w:w="70" w:type="dxa"/>
          <w:right w:w="70" w:type="dxa"/>
        </w:tblCellMar>
        <w:tblLook w:val="00A0"/>
      </w:tblPr>
      <w:tblGrid>
        <w:gridCol w:w="5654"/>
        <w:gridCol w:w="1419"/>
        <w:gridCol w:w="1394"/>
      </w:tblGrid>
      <w:tr>
        <w:tblPrEx>
          <w:tblW w:w="4596" w:type="pct"/>
          <w:jc w:val="center"/>
          <w:tblInd w:w="70" w:type="dxa"/>
          <w:tblLayout w:type="fixed"/>
          <w:tblCellMar>
            <w:left w:w="70" w:type="dxa"/>
            <w:right w:w="70" w:type="dxa"/>
          </w:tblCellMar>
          <w:tblLook w:val="00A0"/>
        </w:tblPrEx>
        <w:trPr>
          <w:trHeight w:val="330"/>
          <w:jc w:val="center"/>
        </w:trPr>
        <w:tc>
          <w:tcPr>
            <w:tcW w:w="4177" w:type="pct"/>
            <w:gridSpan w:val="2"/>
            <w:tcBorders>
              <w:top w:val="single" w:sz="4" w:space="0" w:color="auto"/>
              <w:left w:val="nil"/>
              <w:bottom w:val="single" w:sz="4" w:space="0" w:color="auto"/>
              <w:right w:val="nil"/>
            </w:tcBorders>
            <w:shd w:val="clear" w:color="000000" w:fill="000000"/>
            <w:noWrap/>
            <w:textDirection w:val="lrTb"/>
            <w:vAlign w:val="center"/>
          </w:tcPr>
          <w:p w:rsidR="002978BC" w:rsidRPr="0072101A" w:rsidP="0002612E">
            <w:pPr>
              <w:bidi w:val="0"/>
              <w:spacing w:after="0" w:line="240" w:lineRule="auto"/>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Dlhodobý nehmotný majetok súhrnného celku (v tis. eur)</w:t>
            </w:r>
          </w:p>
        </w:tc>
        <w:tc>
          <w:tcPr>
            <w:tcW w:w="823" w:type="pct"/>
            <w:tcBorders>
              <w:top w:val="single" w:sz="4" w:space="0" w:color="auto"/>
              <w:left w:val="nil"/>
              <w:bottom w:val="single" w:sz="4" w:space="0" w:color="auto"/>
              <w:right w:val="nil"/>
            </w:tcBorders>
            <w:shd w:val="clear" w:color="000000" w:fill="000000"/>
            <w:textDirection w:val="lrTb"/>
            <w:vAlign w:val="center"/>
          </w:tcPr>
          <w:p w:rsidR="002978BC" w:rsidRPr="0072101A" w:rsidP="009A2941">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r>
      <w:tr>
        <w:tblPrEx>
          <w:tblW w:w="4596" w:type="pct"/>
          <w:jc w:val="center"/>
          <w:tblInd w:w="70" w:type="dxa"/>
          <w:tblLayout w:type="fixed"/>
          <w:tblCellMar>
            <w:left w:w="70" w:type="dxa"/>
            <w:right w:w="70" w:type="dxa"/>
          </w:tblCellMar>
          <w:tblLook w:val="00A0"/>
        </w:tblPrEx>
        <w:trPr>
          <w:trHeight w:val="330"/>
          <w:jc w:val="center"/>
        </w:trPr>
        <w:tc>
          <w:tcPr>
            <w:tcW w:w="3339" w:type="pct"/>
            <w:tcBorders>
              <w:top w:val="nil"/>
              <w:left w:val="nil"/>
              <w:bottom w:val="single" w:sz="4" w:space="0" w:color="auto"/>
              <w:right w:val="nil"/>
            </w:tcBorders>
            <w:shd w:val="clear" w:color="000000" w:fill="BFBFBF"/>
            <w:noWrap/>
            <w:textDirection w:val="lrTb"/>
            <w:vAlign w:val="bottom"/>
          </w:tcPr>
          <w:p w:rsidR="002978BC" w:rsidRPr="0072101A" w:rsidP="009A2941">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Druh nehmotného majetku</w:t>
            </w:r>
          </w:p>
        </w:tc>
        <w:tc>
          <w:tcPr>
            <w:tcW w:w="838" w:type="pct"/>
            <w:tcBorders>
              <w:top w:val="nil"/>
              <w:left w:val="nil"/>
              <w:bottom w:val="single" w:sz="4" w:space="0" w:color="auto"/>
              <w:right w:val="nil"/>
            </w:tcBorders>
            <w:shd w:val="clear" w:color="000000" w:fill="BFBFBF"/>
            <w:noWrap/>
            <w:textDirection w:val="lrTb"/>
            <w:vAlign w:val="bottom"/>
          </w:tcPr>
          <w:p w:rsidR="002978BC" w:rsidRPr="0072101A" w:rsidP="006B401A">
            <w:pPr>
              <w:bidi w:val="0"/>
              <w:spacing w:after="0" w:line="240" w:lineRule="auto"/>
              <w:jc w:val="center"/>
              <w:rPr>
                <w:rFonts w:ascii="Times New Roman" w:hAnsi="Times New Roman"/>
                <w:b/>
                <w:bCs/>
                <w:sz w:val="20"/>
                <w:szCs w:val="20"/>
                <w:lang w:eastAsia="sk-SK"/>
              </w:rPr>
            </w:pPr>
            <w:r w:rsidR="00280A29">
              <w:rPr>
                <w:rFonts w:ascii="Times New Roman" w:hAnsi="Times New Roman"/>
                <w:b/>
                <w:bCs/>
                <w:sz w:val="20"/>
                <w:szCs w:val="20"/>
                <w:lang w:eastAsia="sk-SK"/>
              </w:rPr>
              <w:t xml:space="preserve">           </w:t>
            </w:r>
            <w:r w:rsidRPr="0072101A" w:rsidR="001226DE">
              <w:rPr>
                <w:rFonts w:ascii="Times New Roman" w:hAnsi="Times New Roman"/>
                <w:b/>
                <w:bCs/>
                <w:sz w:val="20"/>
                <w:szCs w:val="20"/>
                <w:lang w:eastAsia="sk-SK"/>
              </w:rPr>
              <w:t>201</w:t>
            </w:r>
            <w:r w:rsidR="006B401A">
              <w:rPr>
                <w:rFonts w:ascii="Times New Roman" w:hAnsi="Times New Roman"/>
                <w:b/>
                <w:bCs/>
                <w:sz w:val="20"/>
                <w:szCs w:val="20"/>
                <w:lang w:eastAsia="sk-SK"/>
              </w:rPr>
              <w:t>5</w:t>
            </w:r>
          </w:p>
        </w:tc>
        <w:tc>
          <w:tcPr>
            <w:tcW w:w="823" w:type="pct"/>
            <w:tcBorders>
              <w:top w:val="nil"/>
              <w:left w:val="nil"/>
              <w:bottom w:val="single" w:sz="4" w:space="0" w:color="auto"/>
              <w:right w:val="nil"/>
            </w:tcBorders>
            <w:shd w:val="clear" w:color="000000" w:fill="BFBFBF"/>
            <w:noWrap/>
            <w:textDirection w:val="lrTb"/>
            <w:vAlign w:val="bottom"/>
          </w:tcPr>
          <w:p w:rsidR="002978BC" w:rsidRPr="0072101A" w:rsidP="006B401A">
            <w:pPr>
              <w:bidi w:val="0"/>
              <w:spacing w:after="0" w:line="240" w:lineRule="auto"/>
              <w:jc w:val="center"/>
              <w:rPr>
                <w:rFonts w:ascii="Times New Roman" w:hAnsi="Times New Roman"/>
                <w:b/>
                <w:bCs/>
                <w:sz w:val="20"/>
                <w:szCs w:val="20"/>
                <w:lang w:eastAsia="sk-SK"/>
              </w:rPr>
            </w:pPr>
            <w:r w:rsidR="00280A29">
              <w:rPr>
                <w:rFonts w:ascii="Times New Roman" w:hAnsi="Times New Roman"/>
                <w:b/>
                <w:bCs/>
                <w:sz w:val="20"/>
                <w:szCs w:val="20"/>
                <w:lang w:eastAsia="sk-SK"/>
              </w:rPr>
              <w:t xml:space="preserve">           </w:t>
            </w:r>
            <w:r w:rsidRPr="0072101A" w:rsidR="001226DE">
              <w:rPr>
                <w:rFonts w:ascii="Times New Roman" w:hAnsi="Times New Roman"/>
                <w:b/>
                <w:bCs/>
                <w:sz w:val="20"/>
                <w:szCs w:val="20"/>
                <w:lang w:eastAsia="sk-SK"/>
              </w:rPr>
              <w:t>201</w:t>
            </w:r>
            <w:r w:rsidR="006B401A">
              <w:rPr>
                <w:rFonts w:ascii="Times New Roman" w:hAnsi="Times New Roman"/>
                <w:b/>
                <w:bCs/>
                <w:sz w:val="20"/>
                <w:szCs w:val="20"/>
                <w:lang w:eastAsia="sk-SK"/>
              </w:rPr>
              <w:t>4</w:t>
            </w:r>
          </w:p>
        </w:tc>
      </w:tr>
      <w:tr>
        <w:tblPrEx>
          <w:tblW w:w="4596" w:type="pct"/>
          <w:jc w:val="center"/>
          <w:tblInd w:w="70" w:type="dxa"/>
          <w:tblLayout w:type="fixed"/>
          <w:tblCellMar>
            <w:left w:w="70" w:type="dxa"/>
            <w:right w:w="70" w:type="dxa"/>
          </w:tblCellMar>
          <w:tblLook w:val="00A0"/>
        </w:tblPrEx>
        <w:trPr>
          <w:trHeight w:hRule="exact" w:val="330"/>
          <w:jc w:val="center"/>
        </w:trPr>
        <w:tc>
          <w:tcPr>
            <w:tcW w:w="3339" w:type="pct"/>
            <w:tcBorders>
              <w:top w:val="nil"/>
              <w:left w:val="nil"/>
              <w:bottom w:val="nil"/>
              <w:right w:val="nil"/>
            </w:tcBorders>
            <w:textDirection w:val="lrTb"/>
            <w:vAlign w:val="center"/>
          </w:tcPr>
          <w:p w:rsidR="006B401A" w:rsidRPr="0072101A" w:rsidP="0014570E">
            <w:pPr>
              <w:bidi w:val="0"/>
              <w:spacing w:after="0" w:line="336"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Softvér</w:t>
            </w:r>
          </w:p>
        </w:tc>
        <w:tc>
          <w:tcPr>
            <w:tcW w:w="838" w:type="pct"/>
            <w:tcBorders>
              <w:top w:val="nil"/>
              <w:left w:val="nil"/>
              <w:bottom w:val="nil"/>
              <w:right w:val="nil"/>
            </w:tcBorders>
            <w:textDirection w:val="lrTb"/>
            <w:vAlign w:val="center"/>
          </w:tcPr>
          <w:p w:rsidR="006B401A" w:rsidRPr="0072101A" w:rsidP="001226DE">
            <w:pPr>
              <w:bidi w:val="0"/>
              <w:spacing w:after="0" w:line="336" w:lineRule="auto"/>
              <w:jc w:val="right"/>
              <w:rPr>
                <w:rFonts w:ascii="Times New Roman" w:hAnsi="Times New Roman"/>
                <w:color w:val="000000"/>
                <w:sz w:val="20"/>
                <w:szCs w:val="20"/>
                <w:lang w:eastAsia="sk-SK"/>
              </w:rPr>
            </w:pPr>
            <w:r w:rsidR="00421B09">
              <w:rPr>
                <w:rFonts w:ascii="Times New Roman" w:hAnsi="Times New Roman"/>
                <w:color w:val="000000"/>
                <w:sz w:val="20"/>
                <w:szCs w:val="20"/>
                <w:lang w:eastAsia="sk-SK"/>
              </w:rPr>
              <w:t>716 292</w:t>
            </w:r>
          </w:p>
        </w:tc>
        <w:tc>
          <w:tcPr>
            <w:tcW w:w="823" w:type="pct"/>
            <w:tcBorders>
              <w:top w:val="nil"/>
              <w:left w:val="nil"/>
              <w:bottom w:val="nil"/>
              <w:right w:val="nil"/>
            </w:tcBorders>
            <w:textDirection w:val="lrTb"/>
            <w:vAlign w:val="center"/>
          </w:tcPr>
          <w:p w:rsidR="006B401A" w:rsidRPr="0072101A" w:rsidP="00582E00">
            <w:pPr>
              <w:bidi w:val="0"/>
              <w:spacing w:after="0" w:line="336"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425 784</w:t>
            </w:r>
          </w:p>
        </w:tc>
      </w:tr>
      <w:tr>
        <w:tblPrEx>
          <w:tblW w:w="4596" w:type="pct"/>
          <w:jc w:val="center"/>
          <w:tblInd w:w="70" w:type="dxa"/>
          <w:tblLayout w:type="fixed"/>
          <w:tblCellMar>
            <w:left w:w="70" w:type="dxa"/>
            <w:right w:w="70" w:type="dxa"/>
          </w:tblCellMar>
          <w:tblLook w:val="00A0"/>
        </w:tblPrEx>
        <w:trPr>
          <w:trHeight w:hRule="exact" w:val="330"/>
          <w:jc w:val="center"/>
        </w:trPr>
        <w:tc>
          <w:tcPr>
            <w:tcW w:w="3339" w:type="pct"/>
            <w:tcBorders>
              <w:top w:val="nil"/>
              <w:left w:val="nil"/>
              <w:bottom w:val="none" w:sz="0" w:space="0" w:color="auto"/>
              <w:right w:val="nil"/>
            </w:tcBorders>
            <w:shd w:val="clear" w:color="000000" w:fill="auto"/>
            <w:textDirection w:val="lrTb"/>
            <w:vAlign w:val="center"/>
          </w:tcPr>
          <w:p w:rsidR="006B401A" w:rsidRPr="0072101A" w:rsidP="0014570E">
            <w:pPr>
              <w:bidi w:val="0"/>
              <w:spacing w:after="0" w:line="336"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Obstaranie nehmotného majetku</w:t>
            </w:r>
          </w:p>
        </w:tc>
        <w:tc>
          <w:tcPr>
            <w:tcW w:w="838" w:type="pct"/>
            <w:tcBorders>
              <w:top w:val="nil"/>
              <w:left w:val="nil"/>
              <w:bottom w:val="none" w:sz="0" w:space="0" w:color="auto"/>
              <w:right w:val="nil"/>
            </w:tcBorders>
            <w:shd w:val="clear" w:color="000000" w:fill="auto"/>
            <w:textDirection w:val="lrTb"/>
            <w:vAlign w:val="center"/>
          </w:tcPr>
          <w:p w:rsidR="006B401A" w:rsidRPr="0072101A" w:rsidP="001226DE">
            <w:pPr>
              <w:bidi w:val="0"/>
              <w:spacing w:after="0" w:line="336" w:lineRule="auto"/>
              <w:jc w:val="right"/>
              <w:rPr>
                <w:rFonts w:ascii="Times New Roman" w:hAnsi="Times New Roman"/>
                <w:bCs/>
                <w:color w:val="000000"/>
                <w:sz w:val="20"/>
                <w:szCs w:val="20"/>
                <w:lang w:eastAsia="sk-SK"/>
              </w:rPr>
            </w:pPr>
            <w:r w:rsidR="00421B09">
              <w:rPr>
                <w:rFonts w:ascii="Times New Roman" w:hAnsi="Times New Roman"/>
                <w:bCs/>
                <w:color w:val="000000"/>
                <w:sz w:val="20"/>
                <w:szCs w:val="20"/>
                <w:lang w:eastAsia="sk-SK"/>
              </w:rPr>
              <w:t>195 618</w:t>
            </w:r>
          </w:p>
        </w:tc>
        <w:tc>
          <w:tcPr>
            <w:tcW w:w="823" w:type="pct"/>
            <w:tcBorders>
              <w:top w:val="nil"/>
              <w:left w:val="nil"/>
              <w:bottom w:val="none" w:sz="0" w:space="0" w:color="auto"/>
              <w:right w:val="nil"/>
            </w:tcBorders>
            <w:shd w:val="clear" w:color="000000" w:fill="auto"/>
            <w:textDirection w:val="lrTb"/>
            <w:vAlign w:val="center"/>
          </w:tcPr>
          <w:p w:rsidR="006B401A" w:rsidRPr="0072101A" w:rsidP="00582E00">
            <w:pPr>
              <w:bidi w:val="0"/>
              <w:spacing w:after="0" w:line="336"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324 265</w:t>
            </w:r>
          </w:p>
        </w:tc>
      </w:tr>
      <w:tr>
        <w:tblPrEx>
          <w:tblW w:w="4596" w:type="pct"/>
          <w:jc w:val="center"/>
          <w:tblInd w:w="70" w:type="dxa"/>
          <w:tblLayout w:type="fixed"/>
          <w:tblCellMar>
            <w:left w:w="70" w:type="dxa"/>
            <w:right w:w="70" w:type="dxa"/>
          </w:tblCellMar>
          <w:tblLook w:val="00A0"/>
        </w:tblPrEx>
        <w:trPr>
          <w:trHeight w:hRule="exact" w:val="292"/>
          <w:jc w:val="center"/>
        </w:trPr>
        <w:tc>
          <w:tcPr>
            <w:tcW w:w="3339" w:type="pct"/>
            <w:tcBorders>
              <w:top w:val="nil"/>
              <w:left w:val="nil"/>
              <w:bottom w:val="nil"/>
              <w:right w:val="nil"/>
            </w:tcBorders>
            <w:textDirection w:val="lrTb"/>
            <w:vAlign w:val="center"/>
          </w:tcPr>
          <w:p w:rsidR="006B401A" w:rsidRPr="0072101A" w:rsidP="0014570E">
            <w:pPr>
              <w:bidi w:val="0"/>
              <w:spacing w:after="0" w:line="336"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Oceniteľné práva</w:t>
            </w:r>
          </w:p>
        </w:tc>
        <w:tc>
          <w:tcPr>
            <w:tcW w:w="838" w:type="pct"/>
            <w:tcBorders>
              <w:top w:val="nil"/>
              <w:left w:val="nil"/>
              <w:bottom w:val="nil"/>
              <w:right w:val="nil"/>
            </w:tcBorders>
            <w:textDirection w:val="lrTb"/>
            <w:vAlign w:val="center"/>
          </w:tcPr>
          <w:p w:rsidR="006B401A" w:rsidRPr="0072101A" w:rsidP="001226DE">
            <w:pPr>
              <w:bidi w:val="0"/>
              <w:spacing w:after="0" w:line="336" w:lineRule="auto"/>
              <w:jc w:val="right"/>
              <w:rPr>
                <w:rFonts w:ascii="Times New Roman" w:hAnsi="Times New Roman"/>
                <w:color w:val="000000"/>
                <w:sz w:val="20"/>
                <w:szCs w:val="20"/>
                <w:lang w:eastAsia="sk-SK"/>
              </w:rPr>
            </w:pPr>
            <w:r w:rsidR="00421B09">
              <w:rPr>
                <w:rFonts w:ascii="Times New Roman" w:hAnsi="Times New Roman"/>
                <w:color w:val="000000"/>
                <w:sz w:val="20"/>
                <w:szCs w:val="20"/>
                <w:lang w:eastAsia="sk-SK"/>
              </w:rPr>
              <w:t>102 712</w:t>
            </w:r>
          </w:p>
        </w:tc>
        <w:tc>
          <w:tcPr>
            <w:tcW w:w="823" w:type="pct"/>
            <w:tcBorders>
              <w:top w:val="nil"/>
              <w:left w:val="nil"/>
              <w:bottom w:val="nil"/>
              <w:right w:val="nil"/>
            </w:tcBorders>
            <w:textDirection w:val="lrTb"/>
            <w:vAlign w:val="center"/>
          </w:tcPr>
          <w:p w:rsidR="006B401A" w:rsidRPr="0072101A" w:rsidP="00582E00">
            <w:pPr>
              <w:bidi w:val="0"/>
              <w:spacing w:after="0" w:line="336"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23 756</w:t>
            </w:r>
          </w:p>
        </w:tc>
      </w:tr>
      <w:tr>
        <w:tblPrEx>
          <w:tblW w:w="4596" w:type="pct"/>
          <w:jc w:val="center"/>
          <w:tblInd w:w="70" w:type="dxa"/>
          <w:tblLayout w:type="fixed"/>
          <w:tblCellMar>
            <w:left w:w="70" w:type="dxa"/>
            <w:right w:w="70" w:type="dxa"/>
          </w:tblCellMar>
          <w:tblLook w:val="00A0"/>
        </w:tblPrEx>
        <w:trPr>
          <w:trHeight w:hRule="exact" w:val="330"/>
          <w:jc w:val="center"/>
        </w:trPr>
        <w:tc>
          <w:tcPr>
            <w:tcW w:w="3339" w:type="pct"/>
            <w:tcBorders>
              <w:top w:val="nil"/>
              <w:left w:val="nil"/>
              <w:bottom w:val="none" w:sz="0" w:space="0" w:color="auto"/>
              <w:right w:val="nil"/>
            </w:tcBorders>
            <w:shd w:val="clear" w:color="000000" w:fill="auto"/>
            <w:textDirection w:val="lrTb"/>
            <w:vAlign w:val="center"/>
          </w:tcPr>
          <w:p w:rsidR="006B401A" w:rsidRPr="0072101A" w:rsidP="0014570E">
            <w:pPr>
              <w:bidi w:val="0"/>
              <w:spacing w:after="0" w:line="336"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Ostatný dlhodobý nehmotný majetok</w:t>
            </w:r>
          </w:p>
        </w:tc>
        <w:tc>
          <w:tcPr>
            <w:tcW w:w="838" w:type="pct"/>
            <w:tcBorders>
              <w:top w:val="nil"/>
              <w:left w:val="nil"/>
              <w:bottom w:val="none" w:sz="0" w:space="0" w:color="auto"/>
              <w:right w:val="nil"/>
            </w:tcBorders>
            <w:shd w:val="clear" w:color="000000" w:fill="auto"/>
            <w:textDirection w:val="lrTb"/>
            <w:vAlign w:val="center"/>
          </w:tcPr>
          <w:p w:rsidR="006B401A" w:rsidRPr="0072101A" w:rsidP="00573EBD">
            <w:pPr>
              <w:bidi w:val="0"/>
              <w:spacing w:after="0" w:line="336" w:lineRule="auto"/>
              <w:jc w:val="right"/>
              <w:rPr>
                <w:rFonts w:ascii="Times New Roman" w:hAnsi="Times New Roman"/>
                <w:bCs/>
                <w:color w:val="000000"/>
                <w:sz w:val="20"/>
                <w:szCs w:val="20"/>
                <w:lang w:eastAsia="sk-SK"/>
              </w:rPr>
            </w:pPr>
            <w:r w:rsidR="00573EBD">
              <w:rPr>
                <w:rFonts w:ascii="Times New Roman" w:hAnsi="Times New Roman"/>
                <w:bCs/>
                <w:color w:val="000000"/>
                <w:sz w:val="20"/>
                <w:szCs w:val="20"/>
                <w:lang w:eastAsia="sk-SK"/>
              </w:rPr>
              <w:t>29 505</w:t>
            </w:r>
          </w:p>
        </w:tc>
        <w:tc>
          <w:tcPr>
            <w:tcW w:w="823" w:type="pct"/>
            <w:tcBorders>
              <w:top w:val="nil"/>
              <w:left w:val="nil"/>
              <w:bottom w:val="none" w:sz="0" w:space="0" w:color="auto"/>
              <w:right w:val="nil"/>
            </w:tcBorders>
            <w:shd w:val="clear" w:color="000000" w:fill="auto"/>
            <w:textDirection w:val="lrTb"/>
            <w:vAlign w:val="center"/>
          </w:tcPr>
          <w:p w:rsidR="006B401A" w:rsidRPr="0072101A" w:rsidP="00582E00">
            <w:pPr>
              <w:bidi w:val="0"/>
              <w:spacing w:after="0" w:line="336"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19 271</w:t>
            </w:r>
          </w:p>
        </w:tc>
      </w:tr>
      <w:tr>
        <w:tblPrEx>
          <w:tblW w:w="4596" w:type="pct"/>
          <w:jc w:val="center"/>
          <w:tblInd w:w="70" w:type="dxa"/>
          <w:tblLayout w:type="fixed"/>
          <w:tblCellMar>
            <w:left w:w="70" w:type="dxa"/>
            <w:right w:w="70" w:type="dxa"/>
          </w:tblCellMar>
          <w:tblLook w:val="00A0"/>
        </w:tblPrEx>
        <w:trPr>
          <w:trHeight w:hRule="exact" w:val="330"/>
          <w:jc w:val="center"/>
        </w:trPr>
        <w:tc>
          <w:tcPr>
            <w:tcW w:w="3339" w:type="pct"/>
            <w:tcBorders>
              <w:top w:val="nil"/>
              <w:left w:val="nil"/>
              <w:bottom w:val="single" w:sz="4" w:space="0" w:color="000000"/>
              <w:right w:val="nil"/>
            </w:tcBorders>
            <w:shd w:val="clear" w:color="000000" w:fill="auto"/>
            <w:textDirection w:val="lrTb"/>
            <w:vAlign w:val="center"/>
          </w:tcPr>
          <w:p w:rsidR="006B401A" w:rsidRPr="0072101A" w:rsidP="0014570E">
            <w:pPr>
              <w:bidi w:val="0"/>
              <w:spacing w:after="0" w:line="336"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Spolu</w:t>
            </w:r>
          </w:p>
        </w:tc>
        <w:tc>
          <w:tcPr>
            <w:tcW w:w="838" w:type="pct"/>
            <w:tcBorders>
              <w:top w:val="nil"/>
              <w:left w:val="nil"/>
              <w:bottom w:val="single" w:sz="4" w:space="0" w:color="000000"/>
              <w:right w:val="nil"/>
            </w:tcBorders>
            <w:shd w:val="clear" w:color="000000" w:fill="auto"/>
            <w:textDirection w:val="lrTb"/>
            <w:vAlign w:val="center"/>
          </w:tcPr>
          <w:p w:rsidR="006B401A" w:rsidRPr="0072101A" w:rsidP="00573EBD">
            <w:pPr>
              <w:bidi w:val="0"/>
              <w:spacing w:after="0" w:line="336" w:lineRule="auto"/>
              <w:jc w:val="right"/>
              <w:rPr>
                <w:rFonts w:ascii="Times New Roman" w:hAnsi="Times New Roman"/>
                <w:b/>
                <w:bCs/>
                <w:color w:val="000000"/>
                <w:sz w:val="20"/>
                <w:szCs w:val="20"/>
                <w:lang w:eastAsia="sk-SK"/>
              </w:rPr>
            </w:pPr>
            <w:r w:rsidR="00421B09">
              <w:rPr>
                <w:rFonts w:ascii="Times New Roman" w:hAnsi="Times New Roman"/>
                <w:b/>
                <w:bCs/>
                <w:color w:val="000000"/>
                <w:sz w:val="20"/>
                <w:szCs w:val="20"/>
                <w:lang w:eastAsia="sk-SK"/>
              </w:rPr>
              <w:t>1 04</w:t>
            </w:r>
            <w:r w:rsidR="00573EBD">
              <w:rPr>
                <w:rFonts w:ascii="Times New Roman" w:hAnsi="Times New Roman"/>
                <w:b/>
                <w:bCs/>
                <w:color w:val="000000"/>
                <w:sz w:val="20"/>
                <w:szCs w:val="20"/>
                <w:lang w:eastAsia="sk-SK"/>
              </w:rPr>
              <w:t>4</w:t>
            </w:r>
            <w:r w:rsidR="00421B09">
              <w:rPr>
                <w:rFonts w:ascii="Times New Roman" w:hAnsi="Times New Roman"/>
                <w:b/>
                <w:bCs/>
                <w:color w:val="000000"/>
                <w:sz w:val="20"/>
                <w:szCs w:val="20"/>
                <w:lang w:eastAsia="sk-SK"/>
              </w:rPr>
              <w:t xml:space="preserve"> </w:t>
            </w:r>
            <w:r w:rsidR="00573EBD">
              <w:rPr>
                <w:rFonts w:ascii="Times New Roman" w:hAnsi="Times New Roman"/>
                <w:b/>
                <w:bCs/>
                <w:color w:val="000000"/>
                <w:sz w:val="20"/>
                <w:szCs w:val="20"/>
                <w:lang w:eastAsia="sk-SK"/>
              </w:rPr>
              <w:t>127</w:t>
            </w:r>
          </w:p>
        </w:tc>
        <w:tc>
          <w:tcPr>
            <w:tcW w:w="823" w:type="pct"/>
            <w:tcBorders>
              <w:top w:val="nil"/>
              <w:left w:val="nil"/>
              <w:bottom w:val="single" w:sz="4" w:space="0" w:color="000000"/>
              <w:right w:val="nil"/>
            </w:tcBorders>
            <w:shd w:val="clear" w:color="000000" w:fill="auto"/>
            <w:textDirection w:val="lrTb"/>
            <w:vAlign w:val="center"/>
          </w:tcPr>
          <w:p w:rsidR="006B401A" w:rsidRPr="0072101A" w:rsidP="00582E00">
            <w:pPr>
              <w:bidi w:val="0"/>
              <w:spacing w:after="0" w:line="336"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793 076</w:t>
            </w:r>
          </w:p>
        </w:tc>
      </w:tr>
    </w:tbl>
    <w:p w:rsidR="002D6290" w:rsidRPr="0072101A" w:rsidP="00AD2668">
      <w:pPr>
        <w:tabs>
          <w:tab w:val="num" w:pos="0"/>
        </w:tabs>
        <w:bidi w:val="0"/>
        <w:spacing w:before="180" w:after="120" w:line="336" w:lineRule="auto"/>
        <w:jc w:val="both"/>
        <w:rPr>
          <w:rFonts w:ascii="Times New Roman" w:hAnsi="Times New Roman"/>
          <w:szCs w:val="22"/>
          <w:lang w:eastAsia="sk-SK"/>
        </w:rPr>
      </w:pPr>
      <w:r w:rsidRPr="0072101A">
        <w:rPr>
          <w:rFonts w:ascii="Times New Roman" w:hAnsi="Times New Roman"/>
          <w:szCs w:val="22"/>
          <w:lang w:eastAsia="sk-SK"/>
        </w:rPr>
        <w:t>Dlhodobý nehmotný majetok</w:t>
      </w:r>
      <w:r w:rsidRPr="0072101A" w:rsidR="00EF3F31">
        <w:rPr>
          <w:rFonts w:ascii="Times New Roman" w:hAnsi="Times New Roman"/>
          <w:szCs w:val="22"/>
          <w:lang w:eastAsia="sk-SK"/>
        </w:rPr>
        <w:t xml:space="preserve"> oproti roku 201</w:t>
      </w:r>
      <w:r w:rsidR="00327AE1">
        <w:rPr>
          <w:rFonts w:ascii="Times New Roman" w:hAnsi="Times New Roman"/>
          <w:szCs w:val="22"/>
          <w:lang w:eastAsia="sk-SK"/>
        </w:rPr>
        <w:t>4</w:t>
      </w:r>
      <w:r w:rsidRPr="0072101A" w:rsidR="00EF3F31">
        <w:rPr>
          <w:rFonts w:ascii="Times New Roman" w:hAnsi="Times New Roman"/>
          <w:szCs w:val="22"/>
          <w:lang w:eastAsia="sk-SK"/>
        </w:rPr>
        <w:t xml:space="preserve"> vzrástol o</w:t>
      </w:r>
      <w:r w:rsidR="00327AE1">
        <w:rPr>
          <w:rFonts w:ascii="Times New Roman" w:hAnsi="Times New Roman"/>
          <w:szCs w:val="22"/>
          <w:lang w:eastAsia="sk-SK"/>
        </w:rPr>
        <w:t> 25</w:t>
      </w:r>
      <w:r w:rsidR="0010458B">
        <w:rPr>
          <w:rFonts w:ascii="Times New Roman" w:hAnsi="Times New Roman"/>
          <w:szCs w:val="22"/>
          <w:lang w:eastAsia="sk-SK"/>
        </w:rPr>
        <w:t>1</w:t>
      </w:r>
      <w:r w:rsidR="00327AE1">
        <w:rPr>
          <w:rFonts w:ascii="Times New Roman" w:hAnsi="Times New Roman"/>
          <w:szCs w:val="22"/>
          <w:lang w:eastAsia="sk-SK"/>
        </w:rPr>
        <w:t> </w:t>
      </w:r>
      <w:r w:rsidR="0010458B">
        <w:rPr>
          <w:rFonts w:ascii="Times New Roman" w:hAnsi="Times New Roman"/>
          <w:szCs w:val="22"/>
          <w:lang w:eastAsia="sk-SK"/>
        </w:rPr>
        <w:t>0</w:t>
      </w:r>
      <w:r w:rsidR="00327AE1">
        <w:rPr>
          <w:rFonts w:ascii="Times New Roman" w:hAnsi="Times New Roman"/>
          <w:szCs w:val="22"/>
          <w:lang w:eastAsia="sk-SK"/>
        </w:rPr>
        <w:t>5</w:t>
      </w:r>
      <w:r w:rsidR="0010458B">
        <w:rPr>
          <w:rFonts w:ascii="Times New Roman" w:hAnsi="Times New Roman"/>
          <w:szCs w:val="22"/>
          <w:lang w:eastAsia="sk-SK"/>
        </w:rPr>
        <w:t>1</w:t>
      </w:r>
      <w:r w:rsidR="00327AE1">
        <w:rPr>
          <w:rFonts w:ascii="Times New Roman" w:hAnsi="Times New Roman"/>
          <w:szCs w:val="22"/>
          <w:lang w:eastAsia="sk-SK"/>
        </w:rPr>
        <w:t xml:space="preserve"> tis. eur, čo je takmer dvojnásobok prírastku za rok 2014. Najväčší prírastok zaznamenal softvér, a to o 290 508 tis. eur a oceniteľné práva o 78 955 tis. eur. Medziročný úbytok dosiahlo obstaranie dlhodobého nehmotného majetku</w:t>
      </w:r>
      <w:r w:rsidR="000F5AFC">
        <w:rPr>
          <w:rFonts w:ascii="Times New Roman" w:hAnsi="Times New Roman"/>
          <w:szCs w:val="22"/>
          <w:lang w:eastAsia="sk-SK"/>
        </w:rPr>
        <w:t xml:space="preserve"> o 128 646 </w:t>
      </w:r>
      <w:r w:rsidR="00327AE1">
        <w:rPr>
          <w:rFonts w:ascii="Times New Roman" w:hAnsi="Times New Roman"/>
          <w:szCs w:val="22"/>
          <w:lang w:eastAsia="sk-SK"/>
        </w:rPr>
        <w:t>tis. eur</w:t>
      </w:r>
      <w:r w:rsidR="0093534F">
        <w:rPr>
          <w:rFonts w:ascii="Times New Roman" w:hAnsi="Times New Roman"/>
          <w:szCs w:val="22"/>
          <w:lang w:eastAsia="sk-SK"/>
        </w:rPr>
        <w:t>.</w:t>
      </w:r>
      <w:r w:rsidR="00F403FF">
        <w:rPr>
          <w:rFonts w:ascii="Times New Roman" w:hAnsi="Times New Roman"/>
          <w:szCs w:val="22"/>
          <w:lang w:eastAsia="sk-SK"/>
        </w:rPr>
        <w:t xml:space="preserve"> Na prírastku nehmotného majetku sa podieľala </w:t>
      </w:r>
      <w:r w:rsidR="00564E85">
        <w:rPr>
          <w:rFonts w:ascii="Times New Roman" w:hAnsi="Times New Roman"/>
          <w:szCs w:val="22"/>
          <w:lang w:eastAsia="sk-SK"/>
        </w:rPr>
        <w:t>najmä ústredná správa o 207 586 </w:t>
      </w:r>
      <w:r w:rsidR="00F403FF">
        <w:rPr>
          <w:rFonts w:ascii="Times New Roman" w:hAnsi="Times New Roman"/>
          <w:szCs w:val="22"/>
          <w:lang w:eastAsia="sk-SK"/>
        </w:rPr>
        <w:t>tis.</w:t>
      </w:r>
      <w:r w:rsidR="00564E85">
        <w:rPr>
          <w:rFonts w:ascii="Times New Roman" w:hAnsi="Times New Roman"/>
          <w:szCs w:val="22"/>
          <w:lang w:eastAsia="sk-SK"/>
        </w:rPr>
        <w:t> </w:t>
      </w:r>
      <w:r w:rsidR="0099658A">
        <w:rPr>
          <w:rFonts w:ascii="Times New Roman" w:hAnsi="Times New Roman"/>
          <w:szCs w:val="22"/>
          <w:lang w:eastAsia="sk-SK"/>
        </w:rPr>
        <w:t>eur a</w:t>
      </w:r>
      <w:r w:rsidR="00F403FF">
        <w:rPr>
          <w:rFonts w:ascii="Times New Roman" w:hAnsi="Times New Roman"/>
          <w:szCs w:val="22"/>
          <w:lang w:eastAsia="sk-SK"/>
        </w:rPr>
        <w:t xml:space="preserve"> ostatné subjekty súhrnného celku o 16 472 tis. eur. </w:t>
      </w:r>
    </w:p>
    <w:p w:rsidR="00B21BDF" w:rsidRPr="0072101A" w:rsidP="00955CCD">
      <w:pPr>
        <w:pStyle w:val="Pismenka"/>
        <w:tabs>
          <w:tab w:val="num" w:pos="0"/>
          <w:tab w:val="clear" w:pos="426"/>
        </w:tabs>
        <w:bidi w:val="0"/>
        <w:spacing w:after="120" w:line="336" w:lineRule="auto"/>
        <w:ind w:left="0" w:firstLine="0"/>
        <w:rPr>
          <w:rFonts w:ascii="Times New Roman" w:hAnsi="Times New Roman"/>
          <w:b w:val="0"/>
          <w:bCs w:val="0"/>
          <w:i/>
          <w:sz w:val="22"/>
          <w:szCs w:val="22"/>
          <w:u w:val="single"/>
        </w:rPr>
      </w:pPr>
      <w:r w:rsidRPr="0072101A">
        <w:rPr>
          <w:rFonts w:ascii="Times New Roman" w:hAnsi="Times New Roman"/>
          <w:b w:val="0"/>
          <w:bCs w:val="0"/>
          <w:i/>
          <w:sz w:val="22"/>
          <w:szCs w:val="22"/>
          <w:u w:val="single"/>
        </w:rPr>
        <w:t>Softvér</w:t>
      </w:r>
    </w:p>
    <w:p w:rsidR="00055AA2" w:rsidP="00931D30">
      <w:pPr>
        <w:pStyle w:val="Pismenka"/>
        <w:tabs>
          <w:tab w:val="num" w:pos="0"/>
          <w:tab w:val="clear" w:pos="426"/>
        </w:tabs>
        <w:bidi w:val="0"/>
        <w:spacing w:after="120" w:line="336" w:lineRule="auto"/>
        <w:ind w:left="0" w:firstLine="0"/>
        <w:rPr>
          <w:rFonts w:ascii="Times New Roman" w:hAnsi="Times New Roman"/>
          <w:b w:val="0"/>
          <w:bCs w:val="0"/>
          <w:sz w:val="22"/>
          <w:szCs w:val="22"/>
        </w:rPr>
      </w:pPr>
      <w:r w:rsidRPr="0072101A" w:rsidR="00931D30">
        <w:rPr>
          <w:rFonts w:ascii="Times New Roman" w:hAnsi="Times New Roman"/>
          <w:b w:val="0"/>
          <w:bCs w:val="0"/>
          <w:sz w:val="22"/>
          <w:szCs w:val="22"/>
        </w:rPr>
        <w:t>Softvér ústrednej správy tvorí z</w:t>
      </w:r>
      <w:r w:rsidR="000F5AFC">
        <w:rPr>
          <w:rFonts w:ascii="Times New Roman" w:hAnsi="Times New Roman"/>
          <w:b w:val="0"/>
          <w:bCs w:val="0"/>
          <w:sz w:val="22"/>
          <w:szCs w:val="22"/>
        </w:rPr>
        <w:t xml:space="preserve"> jeho</w:t>
      </w:r>
      <w:r w:rsidRPr="0072101A" w:rsidR="00931D30">
        <w:rPr>
          <w:rFonts w:ascii="Times New Roman" w:hAnsi="Times New Roman"/>
          <w:b w:val="0"/>
          <w:bCs w:val="0"/>
          <w:sz w:val="22"/>
          <w:szCs w:val="22"/>
        </w:rPr>
        <w:t xml:space="preserve"> celkovej hodnoty </w:t>
      </w:r>
      <w:r w:rsidR="000F5AFC">
        <w:rPr>
          <w:rFonts w:ascii="Times New Roman" w:hAnsi="Times New Roman"/>
          <w:b w:val="0"/>
          <w:bCs w:val="0"/>
          <w:sz w:val="22"/>
          <w:szCs w:val="22"/>
        </w:rPr>
        <w:t>v súhrnnom celku</w:t>
      </w:r>
      <w:r w:rsidRPr="0072101A" w:rsidR="00931D30">
        <w:rPr>
          <w:rFonts w:ascii="Times New Roman" w:hAnsi="Times New Roman"/>
          <w:b w:val="0"/>
          <w:bCs w:val="0"/>
          <w:sz w:val="22"/>
          <w:szCs w:val="22"/>
        </w:rPr>
        <w:t xml:space="preserve"> </w:t>
      </w:r>
      <w:r w:rsidR="00D94765">
        <w:rPr>
          <w:rFonts w:ascii="Times New Roman" w:hAnsi="Times New Roman"/>
          <w:b w:val="0"/>
          <w:bCs w:val="0"/>
          <w:sz w:val="22"/>
          <w:szCs w:val="22"/>
        </w:rPr>
        <w:t>86</w:t>
      </w:r>
      <w:r w:rsidRPr="0072101A" w:rsidR="00931D30">
        <w:rPr>
          <w:rFonts w:ascii="Times New Roman" w:hAnsi="Times New Roman"/>
          <w:b w:val="0"/>
          <w:bCs w:val="0"/>
          <w:sz w:val="22"/>
          <w:szCs w:val="22"/>
        </w:rPr>
        <w:t xml:space="preserve"> %</w:t>
      </w:r>
      <w:r w:rsidRPr="0072101A" w:rsidR="00D36E1E">
        <w:rPr>
          <w:rFonts w:ascii="Times New Roman" w:hAnsi="Times New Roman"/>
          <w:b w:val="0"/>
          <w:bCs w:val="0"/>
          <w:sz w:val="22"/>
          <w:szCs w:val="22"/>
        </w:rPr>
        <w:t xml:space="preserve"> (</w:t>
      </w:r>
      <w:r w:rsidR="00D94765">
        <w:rPr>
          <w:rFonts w:ascii="Times New Roman" w:hAnsi="Times New Roman"/>
          <w:b w:val="0"/>
          <w:bCs w:val="0"/>
          <w:sz w:val="22"/>
          <w:szCs w:val="22"/>
        </w:rPr>
        <w:t>úbytok o</w:t>
      </w:r>
      <w:r w:rsidRPr="0072101A" w:rsidR="00D36E1E">
        <w:rPr>
          <w:rFonts w:ascii="Times New Roman" w:hAnsi="Times New Roman"/>
          <w:b w:val="0"/>
          <w:bCs w:val="0"/>
          <w:sz w:val="22"/>
          <w:szCs w:val="22"/>
        </w:rPr>
        <w:t> </w:t>
      </w:r>
      <w:r w:rsidR="00D94765">
        <w:rPr>
          <w:rFonts w:ascii="Times New Roman" w:hAnsi="Times New Roman"/>
          <w:b w:val="0"/>
          <w:bCs w:val="0"/>
          <w:sz w:val="22"/>
          <w:szCs w:val="22"/>
        </w:rPr>
        <w:t>4</w:t>
      </w:r>
      <w:r w:rsidRPr="0072101A" w:rsidR="00D36E1E">
        <w:rPr>
          <w:rFonts w:ascii="Times New Roman" w:hAnsi="Times New Roman"/>
          <w:b w:val="0"/>
          <w:bCs w:val="0"/>
          <w:sz w:val="22"/>
          <w:szCs w:val="22"/>
        </w:rPr>
        <w:t xml:space="preserve"> %)</w:t>
      </w:r>
      <w:r w:rsidRPr="0072101A" w:rsidR="00931D30">
        <w:rPr>
          <w:rFonts w:ascii="Times New Roman" w:hAnsi="Times New Roman"/>
          <w:b w:val="0"/>
          <w:bCs w:val="0"/>
          <w:sz w:val="22"/>
          <w:szCs w:val="22"/>
        </w:rPr>
        <w:t>, v absolútnej hodnote je to</w:t>
      </w:r>
      <w:r w:rsidRPr="0072101A" w:rsidR="00D36E1E">
        <w:rPr>
          <w:rFonts w:ascii="Times New Roman" w:hAnsi="Times New Roman"/>
          <w:b w:val="0"/>
          <w:bCs w:val="0"/>
          <w:sz w:val="22"/>
          <w:szCs w:val="22"/>
        </w:rPr>
        <w:t xml:space="preserve"> </w:t>
      </w:r>
      <w:r w:rsidR="009F0518">
        <w:rPr>
          <w:rFonts w:ascii="Times New Roman" w:hAnsi="Times New Roman"/>
          <w:b w:val="0"/>
          <w:bCs w:val="0"/>
          <w:sz w:val="22"/>
          <w:szCs w:val="22"/>
        </w:rPr>
        <w:t>614 858</w:t>
      </w:r>
      <w:r w:rsidRPr="0072101A" w:rsidR="00931D30">
        <w:rPr>
          <w:rFonts w:ascii="Times New Roman" w:hAnsi="Times New Roman"/>
          <w:b w:val="0"/>
          <w:bCs w:val="0"/>
          <w:sz w:val="22"/>
          <w:szCs w:val="22"/>
        </w:rPr>
        <w:t xml:space="preserve"> tis. eur.</w:t>
      </w:r>
      <w:r w:rsidR="003B2588">
        <w:rPr>
          <w:rFonts w:ascii="Times New Roman" w:hAnsi="Times New Roman"/>
          <w:b w:val="0"/>
          <w:bCs w:val="0"/>
          <w:sz w:val="22"/>
          <w:szCs w:val="22"/>
        </w:rPr>
        <w:t xml:space="preserve"> V rozhodujúcej miere ide o informačné systémy jednotlivých ministerstiev a ostatných kapitol štátneho rozpočtu, ktoré sú budované s cieľom </w:t>
      </w:r>
      <w:r w:rsidR="00BA57FB">
        <w:rPr>
          <w:rFonts w:ascii="Times New Roman" w:hAnsi="Times New Roman"/>
          <w:b w:val="0"/>
          <w:bCs w:val="0"/>
          <w:sz w:val="22"/>
          <w:szCs w:val="22"/>
        </w:rPr>
        <w:t xml:space="preserve">postupnej </w:t>
      </w:r>
      <w:r w:rsidR="003B2588">
        <w:rPr>
          <w:rFonts w:ascii="Times New Roman" w:hAnsi="Times New Roman"/>
          <w:b w:val="0"/>
          <w:bCs w:val="0"/>
          <w:sz w:val="22"/>
          <w:szCs w:val="22"/>
        </w:rPr>
        <w:t>elektronizácie verejnej správy, zjednodušovanie komunikácie občanov so štátnymi úradmi, zabezpečenie nových úloh a kompetencií štátnych organizácií a</w:t>
      </w:r>
      <w:r w:rsidR="00BA57FB">
        <w:rPr>
          <w:rFonts w:ascii="Times New Roman" w:hAnsi="Times New Roman"/>
          <w:b w:val="0"/>
          <w:bCs w:val="0"/>
          <w:sz w:val="22"/>
          <w:szCs w:val="22"/>
        </w:rPr>
        <w:t> </w:t>
      </w:r>
      <w:r w:rsidR="003B2588">
        <w:rPr>
          <w:rFonts w:ascii="Times New Roman" w:hAnsi="Times New Roman"/>
          <w:b w:val="0"/>
          <w:bCs w:val="0"/>
          <w:sz w:val="22"/>
          <w:szCs w:val="22"/>
        </w:rPr>
        <w:t>elektronizácia ich súčasných procesov. Medzi tieto projekty patrí napríklad elektronizácia súdnych</w:t>
      </w:r>
      <w:r w:rsidR="00ED3C71">
        <w:rPr>
          <w:rFonts w:ascii="Times New Roman" w:hAnsi="Times New Roman"/>
          <w:b w:val="0"/>
          <w:bCs w:val="0"/>
          <w:sz w:val="22"/>
          <w:szCs w:val="22"/>
        </w:rPr>
        <w:t xml:space="preserve"> služieb,</w:t>
      </w:r>
      <w:r w:rsidR="003B2588">
        <w:rPr>
          <w:rFonts w:ascii="Times New Roman" w:hAnsi="Times New Roman"/>
          <w:b w:val="0"/>
          <w:bCs w:val="0"/>
          <w:sz w:val="22"/>
          <w:szCs w:val="22"/>
        </w:rPr>
        <w:t xml:space="preserve">  poskytovanie </w:t>
      </w:r>
      <w:r w:rsidRPr="00ED3C71" w:rsidR="003B2588">
        <w:rPr>
          <w:rFonts w:ascii="Times New Roman" w:hAnsi="Times New Roman"/>
          <w:b w:val="0"/>
          <w:bCs w:val="0"/>
          <w:sz w:val="22"/>
          <w:szCs w:val="22"/>
        </w:rPr>
        <w:t xml:space="preserve">služieb verejnosti a podnikateľským subjektom cez elektronický priečinok, </w:t>
      </w:r>
      <w:r w:rsidRPr="00ED3C71" w:rsidR="00145CA5">
        <w:rPr>
          <w:rFonts w:ascii="Times New Roman" w:hAnsi="Times New Roman"/>
          <w:b w:val="0"/>
          <w:bCs w:val="0"/>
          <w:sz w:val="22"/>
          <w:szCs w:val="22"/>
        </w:rPr>
        <w:t xml:space="preserve"> jednotný informačný systém cestnej dopravy</w:t>
      </w:r>
      <w:r w:rsidRPr="00ED3C71">
        <w:rPr>
          <w:rFonts w:ascii="Times New Roman" w:hAnsi="Times New Roman"/>
          <w:b w:val="0"/>
          <w:bCs w:val="0"/>
          <w:sz w:val="22"/>
          <w:szCs w:val="22"/>
        </w:rPr>
        <w:t>,</w:t>
      </w:r>
      <w:r w:rsidRPr="00ED3C71" w:rsidR="00ED3C71">
        <w:rPr>
          <w:rFonts w:ascii="Times New Roman" w:hAnsi="Times New Roman"/>
          <w:b w:val="0"/>
          <w:bCs w:val="0"/>
          <w:sz w:val="22"/>
          <w:szCs w:val="22"/>
        </w:rPr>
        <w:t xml:space="preserve"> elektronizácia vzdelávacieho systému regionálneho školstva,</w:t>
      </w:r>
      <w:r w:rsidRPr="00ED3C71">
        <w:rPr>
          <w:rFonts w:ascii="Times New Roman" w:hAnsi="Times New Roman"/>
          <w:b w:val="0"/>
          <w:bCs w:val="0"/>
          <w:sz w:val="22"/>
          <w:szCs w:val="22"/>
        </w:rPr>
        <w:t xml:space="preserve"> </w:t>
      </w:r>
      <w:r w:rsidRPr="00ED3C71" w:rsidR="00ED3C71">
        <w:rPr>
          <w:rFonts w:ascii="Times New Roman" w:hAnsi="Times New Roman"/>
          <w:b w:val="0"/>
          <w:bCs w:val="0"/>
          <w:sz w:val="22"/>
          <w:szCs w:val="22"/>
        </w:rPr>
        <w:t>internetizácia Národného emisného informačného systému, povodňový a predpovedný systém, elektronické služby katastra nehnuteľností,</w:t>
      </w:r>
      <w:r w:rsidRPr="00ED3C71" w:rsidR="00C44636">
        <w:rPr>
          <w:rFonts w:ascii="Times New Roman" w:hAnsi="Times New Roman"/>
          <w:b w:val="0"/>
          <w:bCs w:val="0"/>
          <w:sz w:val="22"/>
          <w:szCs w:val="22"/>
        </w:rPr>
        <w:t xml:space="preserve"> informačný systém Finančnej správy</w:t>
      </w:r>
      <w:r w:rsidRPr="00ED3C71" w:rsidR="00ED3C71">
        <w:rPr>
          <w:rFonts w:ascii="Times New Roman" w:hAnsi="Times New Roman"/>
          <w:b w:val="0"/>
          <w:bCs w:val="0"/>
          <w:sz w:val="22"/>
          <w:szCs w:val="22"/>
        </w:rPr>
        <w:t xml:space="preserve"> a</w:t>
      </w:r>
      <w:r w:rsidR="00BA57FB">
        <w:rPr>
          <w:rFonts w:ascii="Times New Roman" w:hAnsi="Times New Roman"/>
          <w:b w:val="0"/>
          <w:bCs w:val="0"/>
          <w:sz w:val="22"/>
          <w:szCs w:val="22"/>
        </w:rPr>
        <w:t xml:space="preserve"> mnohé </w:t>
      </w:r>
      <w:r w:rsidRPr="00ED3C71" w:rsidR="00ED3C71">
        <w:rPr>
          <w:rFonts w:ascii="Times New Roman" w:hAnsi="Times New Roman"/>
          <w:b w:val="0"/>
          <w:bCs w:val="0"/>
          <w:sz w:val="22"/>
          <w:szCs w:val="22"/>
        </w:rPr>
        <w:t>ďalšie.</w:t>
      </w:r>
    </w:p>
    <w:p w:rsidR="00931D30" w:rsidRPr="0072101A" w:rsidP="00102CEE">
      <w:pPr>
        <w:pStyle w:val="Pismenka"/>
        <w:tabs>
          <w:tab w:val="num" w:pos="0"/>
          <w:tab w:val="clear" w:pos="426"/>
        </w:tabs>
        <w:bidi w:val="0"/>
        <w:spacing w:line="336" w:lineRule="auto"/>
        <w:ind w:left="0" w:firstLine="0"/>
        <w:rPr>
          <w:rFonts w:ascii="Times New Roman" w:hAnsi="Times New Roman"/>
          <w:b w:val="0"/>
          <w:bCs w:val="0"/>
          <w:sz w:val="22"/>
          <w:szCs w:val="22"/>
        </w:rPr>
      </w:pPr>
      <w:r w:rsidR="00055AA2">
        <w:rPr>
          <w:rFonts w:ascii="Times New Roman" w:hAnsi="Times New Roman"/>
          <w:b w:val="0"/>
          <w:bCs w:val="0"/>
          <w:sz w:val="22"/>
          <w:szCs w:val="22"/>
        </w:rPr>
        <w:t xml:space="preserve">Do </w:t>
      </w:r>
      <w:r w:rsidR="00BA57FB">
        <w:rPr>
          <w:rFonts w:ascii="Times New Roman" w:hAnsi="Times New Roman"/>
          <w:b w:val="0"/>
          <w:bCs w:val="0"/>
          <w:sz w:val="22"/>
          <w:szCs w:val="22"/>
        </w:rPr>
        <w:t>druhej</w:t>
      </w:r>
      <w:r w:rsidR="00055AA2">
        <w:rPr>
          <w:rFonts w:ascii="Times New Roman" w:hAnsi="Times New Roman"/>
          <w:b w:val="0"/>
          <w:bCs w:val="0"/>
          <w:sz w:val="22"/>
          <w:szCs w:val="22"/>
        </w:rPr>
        <w:t xml:space="preserve"> kategórie softvérov môžeme zaradiť systémy, ktoré majú za </w:t>
      </w:r>
      <w:r w:rsidR="00BA57FB">
        <w:rPr>
          <w:rFonts w:ascii="Times New Roman" w:hAnsi="Times New Roman"/>
          <w:b w:val="0"/>
          <w:bCs w:val="0"/>
          <w:sz w:val="22"/>
          <w:szCs w:val="22"/>
        </w:rPr>
        <w:t>slúžiť na</w:t>
      </w:r>
      <w:r w:rsidR="00055AA2">
        <w:rPr>
          <w:rFonts w:ascii="Times New Roman" w:hAnsi="Times New Roman"/>
          <w:b w:val="0"/>
          <w:bCs w:val="0"/>
          <w:sz w:val="22"/>
          <w:szCs w:val="22"/>
        </w:rPr>
        <w:t xml:space="preserve"> zber, analýzu a vyhodnocovanie dát od fyzických a právnických </w:t>
      </w:r>
      <w:r w:rsidR="00102CEE">
        <w:rPr>
          <w:rFonts w:ascii="Times New Roman" w:hAnsi="Times New Roman"/>
          <w:b w:val="0"/>
          <w:bCs w:val="0"/>
          <w:sz w:val="22"/>
          <w:szCs w:val="22"/>
        </w:rPr>
        <w:t>osôb</w:t>
      </w:r>
      <w:r w:rsidR="00055AA2">
        <w:rPr>
          <w:rFonts w:ascii="Times New Roman" w:hAnsi="Times New Roman"/>
          <w:b w:val="0"/>
          <w:bCs w:val="0"/>
          <w:sz w:val="22"/>
          <w:szCs w:val="22"/>
        </w:rPr>
        <w:t xml:space="preserve">, napríklad Register obyvateľov, </w:t>
      </w:r>
      <w:r w:rsidR="00ED3C71">
        <w:rPr>
          <w:rFonts w:ascii="Times New Roman" w:hAnsi="Times New Roman"/>
          <w:b w:val="0"/>
          <w:bCs w:val="0"/>
          <w:sz w:val="22"/>
          <w:szCs w:val="22"/>
        </w:rPr>
        <w:t>R</w:t>
      </w:r>
      <w:r w:rsidR="00AE63F4">
        <w:rPr>
          <w:rFonts w:ascii="Times New Roman" w:hAnsi="Times New Roman"/>
          <w:b w:val="0"/>
          <w:bCs w:val="0"/>
          <w:sz w:val="22"/>
          <w:szCs w:val="22"/>
        </w:rPr>
        <w:t>ezortný informačný systém</w:t>
      </w:r>
      <w:r w:rsidR="00ED3C71">
        <w:rPr>
          <w:rFonts w:ascii="Times New Roman" w:hAnsi="Times New Roman"/>
          <w:b w:val="0"/>
          <w:bCs w:val="0"/>
          <w:sz w:val="22"/>
          <w:szCs w:val="22"/>
        </w:rPr>
        <w:t xml:space="preserve"> pod rezortom </w:t>
      </w:r>
      <w:r w:rsidRPr="00ED3C71" w:rsidR="00055AA2">
        <w:rPr>
          <w:rFonts w:ascii="Times New Roman" w:hAnsi="Times New Roman"/>
          <w:b w:val="0"/>
          <w:bCs w:val="0"/>
          <w:sz w:val="22"/>
          <w:szCs w:val="22"/>
        </w:rPr>
        <w:t>školstva</w:t>
      </w:r>
      <w:r w:rsidR="00055AA2">
        <w:rPr>
          <w:rFonts w:ascii="Times New Roman" w:hAnsi="Times New Roman"/>
          <w:b w:val="0"/>
          <w:bCs w:val="0"/>
          <w:sz w:val="22"/>
          <w:szCs w:val="22"/>
        </w:rPr>
        <w:t>,</w:t>
      </w:r>
      <w:r w:rsidR="00BA57FB">
        <w:rPr>
          <w:rFonts w:ascii="Times New Roman" w:hAnsi="Times New Roman"/>
          <w:b w:val="0"/>
          <w:bCs w:val="0"/>
          <w:sz w:val="22"/>
          <w:szCs w:val="22"/>
        </w:rPr>
        <w:t xml:space="preserve"> </w:t>
      </w:r>
      <w:r w:rsidR="00ED3C71">
        <w:rPr>
          <w:rFonts w:ascii="Times New Roman" w:hAnsi="Times New Roman"/>
          <w:b w:val="0"/>
          <w:bCs w:val="0"/>
          <w:sz w:val="22"/>
          <w:szCs w:val="22"/>
        </w:rPr>
        <w:t>regist</w:t>
      </w:r>
      <w:r w:rsidR="00BA57FB">
        <w:rPr>
          <w:rFonts w:ascii="Times New Roman" w:hAnsi="Times New Roman"/>
          <w:b w:val="0"/>
          <w:bCs w:val="0"/>
          <w:sz w:val="22"/>
          <w:szCs w:val="22"/>
        </w:rPr>
        <w:t>e</w:t>
      </w:r>
      <w:r w:rsidR="00ED3C71">
        <w:rPr>
          <w:rFonts w:ascii="Times New Roman" w:hAnsi="Times New Roman"/>
          <w:b w:val="0"/>
          <w:bCs w:val="0"/>
          <w:sz w:val="22"/>
          <w:szCs w:val="22"/>
        </w:rPr>
        <w:t xml:space="preserve">r úpadcov v rezorte spravodlivosti, </w:t>
      </w:r>
      <w:r w:rsidR="00055AA2">
        <w:rPr>
          <w:rFonts w:ascii="Times New Roman" w:hAnsi="Times New Roman"/>
          <w:b w:val="0"/>
          <w:bCs w:val="0"/>
          <w:sz w:val="22"/>
          <w:szCs w:val="22"/>
        </w:rPr>
        <w:t>Centrálny konsolidačný systém</w:t>
      </w:r>
      <w:r w:rsidR="00ED3C71">
        <w:rPr>
          <w:rFonts w:ascii="Times New Roman" w:hAnsi="Times New Roman"/>
          <w:b w:val="0"/>
          <w:bCs w:val="0"/>
          <w:sz w:val="22"/>
          <w:szCs w:val="22"/>
        </w:rPr>
        <w:t xml:space="preserve"> a</w:t>
      </w:r>
      <w:r w:rsidR="00055AA2">
        <w:rPr>
          <w:rFonts w:ascii="Times New Roman" w:hAnsi="Times New Roman"/>
          <w:b w:val="0"/>
          <w:bCs w:val="0"/>
          <w:sz w:val="22"/>
          <w:szCs w:val="22"/>
        </w:rPr>
        <w:t xml:space="preserve"> Rozpočtový informačný systém Ministerstva financií SR, informačný systém Štátnej pokladnice, Register účtovných závierok, ekonomické softvéry ministerstiev a organizácií štátnej správy.</w:t>
      </w:r>
      <w:r w:rsidR="00102CEE">
        <w:rPr>
          <w:rFonts w:ascii="Times New Roman" w:hAnsi="Times New Roman"/>
          <w:b w:val="0"/>
          <w:bCs w:val="0"/>
          <w:sz w:val="22"/>
          <w:szCs w:val="22"/>
        </w:rPr>
        <w:t xml:space="preserve"> </w:t>
      </w:r>
    </w:p>
    <w:p w:rsidR="0097751E" w:rsidRPr="00A061CC" w:rsidP="00AA2E57">
      <w:pPr>
        <w:pStyle w:val="Pismenka"/>
        <w:tabs>
          <w:tab w:val="num" w:pos="0"/>
          <w:tab w:val="clear" w:pos="426"/>
        </w:tabs>
        <w:bidi w:val="0"/>
        <w:spacing w:after="120" w:line="336" w:lineRule="auto"/>
        <w:ind w:left="0" w:firstLine="0"/>
        <w:rPr>
          <w:rFonts w:ascii="Times New Roman" w:hAnsi="Times New Roman"/>
          <w:b w:val="0"/>
          <w:bCs w:val="0"/>
          <w:sz w:val="22"/>
          <w:szCs w:val="22"/>
        </w:rPr>
      </w:pPr>
      <w:r w:rsidRPr="00A061CC" w:rsidR="00AA2E57">
        <w:rPr>
          <w:rFonts w:ascii="Times New Roman" w:hAnsi="Times New Roman"/>
          <w:b w:val="0"/>
          <w:bCs w:val="0"/>
          <w:sz w:val="22"/>
          <w:szCs w:val="22"/>
        </w:rPr>
        <w:t>V ústrednej správe došlo medziročne k prírastku najmä u</w:t>
      </w:r>
      <w:r w:rsidRPr="00A061CC">
        <w:rPr>
          <w:rFonts w:ascii="Times New Roman" w:hAnsi="Times New Roman"/>
          <w:b w:val="0"/>
          <w:bCs w:val="0"/>
          <w:sz w:val="22"/>
          <w:szCs w:val="22"/>
        </w:rPr>
        <w:t> Ministerstva financií SR o 55 177 tis. eur</w:t>
      </w:r>
      <w:r w:rsidRPr="00A061CC" w:rsidR="00A061CC">
        <w:rPr>
          <w:rFonts w:ascii="Times New Roman" w:hAnsi="Times New Roman"/>
          <w:b w:val="0"/>
          <w:bCs w:val="0"/>
          <w:sz w:val="22"/>
          <w:szCs w:val="22"/>
        </w:rPr>
        <w:t>, u</w:t>
      </w:r>
      <w:r w:rsidR="00BA57FB">
        <w:rPr>
          <w:rFonts w:ascii="Times New Roman" w:hAnsi="Times New Roman"/>
          <w:b w:val="0"/>
          <w:bCs w:val="0"/>
          <w:sz w:val="22"/>
          <w:szCs w:val="22"/>
        </w:rPr>
        <w:t> </w:t>
      </w:r>
      <w:r w:rsidRPr="00A061CC" w:rsidR="00A061CC">
        <w:rPr>
          <w:rFonts w:ascii="Times New Roman" w:hAnsi="Times New Roman"/>
          <w:b w:val="0"/>
          <w:bCs w:val="0"/>
          <w:sz w:val="22"/>
          <w:szCs w:val="22"/>
        </w:rPr>
        <w:t xml:space="preserve">Ministerstva spravodlivosti SR o 41 018 tis. eur, u Národnej agentúry pre sieťové a elektronické služby o 23 913 tis. eur. </w:t>
      </w:r>
      <w:r w:rsidRPr="00A061CC">
        <w:rPr>
          <w:rFonts w:ascii="Times New Roman" w:hAnsi="Times New Roman"/>
          <w:b w:val="0"/>
          <w:bCs w:val="0"/>
          <w:sz w:val="22"/>
          <w:szCs w:val="22"/>
        </w:rPr>
        <w:t xml:space="preserve"> </w:t>
      </w:r>
    </w:p>
    <w:p w:rsidR="00B21BDF" w:rsidRPr="0072101A" w:rsidP="00AE63F4">
      <w:pPr>
        <w:bidi w:val="0"/>
        <w:spacing w:after="0" w:line="240" w:lineRule="auto"/>
        <w:rPr>
          <w:rFonts w:ascii="Times New Roman" w:hAnsi="Times New Roman"/>
          <w:i/>
          <w:szCs w:val="22"/>
          <w:u w:val="single"/>
          <w:lang w:eastAsia="sk-SK"/>
        </w:rPr>
      </w:pPr>
      <w:r w:rsidR="00F05E1F">
        <w:rPr>
          <w:rFonts w:ascii="Times New Roman" w:hAnsi="Times New Roman"/>
          <w:i/>
          <w:szCs w:val="22"/>
          <w:u w:val="single"/>
          <w:lang w:eastAsia="sk-SK"/>
        </w:rPr>
        <w:br w:type="page"/>
      </w:r>
      <w:r w:rsidRPr="0072101A">
        <w:rPr>
          <w:rFonts w:ascii="Times New Roman" w:hAnsi="Times New Roman"/>
          <w:i/>
          <w:szCs w:val="22"/>
          <w:u w:val="single"/>
          <w:lang w:eastAsia="sk-SK"/>
        </w:rPr>
        <w:t>Obstaranie dlhodobého nehmotného majetku</w:t>
      </w:r>
    </w:p>
    <w:p w:rsidR="000E2E96" w:rsidRPr="0072101A" w:rsidP="00E9050A">
      <w:pPr>
        <w:tabs>
          <w:tab w:val="num" w:pos="0"/>
        </w:tabs>
        <w:bidi w:val="0"/>
        <w:spacing w:after="0" w:line="336" w:lineRule="auto"/>
        <w:jc w:val="both"/>
        <w:rPr>
          <w:rFonts w:ascii="Times New Roman" w:hAnsi="Times New Roman"/>
          <w:szCs w:val="22"/>
          <w:lang w:eastAsia="sk-SK"/>
        </w:rPr>
      </w:pPr>
      <w:r w:rsidRPr="0072101A" w:rsidR="00B21BDF">
        <w:rPr>
          <w:rFonts w:ascii="Times New Roman" w:hAnsi="Times New Roman"/>
          <w:szCs w:val="22"/>
          <w:lang w:eastAsia="sk-SK"/>
        </w:rPr>
        <w:t xml:space="preserve">Hodnota nehmotného majetku </w:t>
      </w:r>
      <w:r w:rsidRPr="0072101A" w:rsidR="00F71220">
        <w:rPr>
          <w:rFonts w:ascii="Times New Roman" w:hAnsi="Times New Roman"/>
          <w:szCs w:val="22"/>
          <w:lang w:eastAsia="sk-SK"/>
        </w:rPr>
        <w:t>zatiaľ nezaradeného do používania</w:t>
      </w:r>
      <w:r w:rsidRPr="0072101A" w:rsidR="002D6290">
        <w:rPr>
          <w:rFonts w:ascii="Times New Roman" w:hAnsi="Times New Roman"/>
          <w:szCs w:val="22"/>
          <w:lang w:eastAsia="sk-SK"/>
        </w:rPr>
        <w:t xml:space="preserve"> dosiahl</w:t>
      </w:r>
      <w:r w:rsidRPr="0072101A" w:rsidR="00B21BDF">
        <w:rPr>
          <w:rFonts w:ascii="Times New Roman" w:hAnsi="Times New Roman"/>
          <w:szCs w:val="22"/>
          <w:lang w:eastAsia="sk-SK"/>
        </w:rPr>
        <w:t>a</w:t>
      </w:r>
      <w:r w:rsidRPr="0072101A" w:rsidR="002D6290">
        <w:rPr>
          <w:rFonts w:ascii="Times New Roman" w:hAnsi="Times New Roman"/>
          <w:szCs w:val="22"/>
          <w:lang w:eastAsia="sk-SK"/>
        </w:rPr>
        <w:t xml:space="preserve"> k 31.</w:t>
      </w:r>
      <w:r w:rsidRPr="0072101A" w:rsidR="00CC6BA5">
        <w:rPr>
          <w:rFonts w:ascii="Times New Roman" w:hAnsi="Times New Roman"/>
          <w:szCs w:val="22"/>
          <w:lang w:eastAsia="sk-SK"/>
        </w:rPr>
        <w:t>12.201</w:t>
      </w:r>
      <w:r w:rsidR="002A5432">
        <w:rPr>
          <w:rFonts w:ascii="Times New Roman" w:hAnsi="Times New Roman"/>
          <w:szCs w:val="22"/>
          <w:lang w:eastAsia="sk-SK"/>
        </w:rPr>
        <w:t>5</w:t>
      </w:r>
      <w:r w:rsidRPr="0072101A" w:rsidR="0083378A">
        <w:rPr>
          <w:rFonts w:ascii="Times New Roman" w:hAnsi="Times New Roman"/>
          <w:szCs w:val="22"/>
          <w:lang w:eastAsia="sk-SK"/>
        </w:rPr>
        <w:t xml:space="preserve"> sumu</w:t>
        <w:br/>
      </w:r>
      <w:r w:rsidR="006F0B73">
        <w:rPr>
          <w:rFonts w:ascii="Times New Roman" w:hAnsi="Times New Roman"/>
          <w:szCs w:val="22"/>
          <w:lang w:eastAsia="sk-SK"/>
        </w:rPr>
        <w:t>195 618 t</w:t>
      </w:r>
      <w:r w:rsidR="002A5432">
        <w:rPr>
          <w:rFonts w:ascii="Times New Roman" w:hAnsi="Times New Roman"/>
          <w:szCs w:val="22"/>
          <w:lang w:eastAsia="sk-SK"/>
        </w:rPr>
        <w:t>i</w:t>
      </w:r>
      <w:r w:rsidR="006F0B73">
        <w:rPr>
          <w:rFonts w:ascii="Times New Roman" w:hAnsi="Times New Roman"/>
          <w:szCs w:val="22"/>
          <w:lang w:eastAsia="sk-SK"/>
        </w:rPr>
        <w:t>s</w:t>
      </w:r>
      <w:r w:rsidR="002A5432">
        <w:rPr>
          <w:rFonts w:ascii="Times New Roman" w:hAnsi="Times New Roman"/>
          <w:szCs w:val="22"/>
          <w:lang w:eastAsia="sk-SK"/>
        </w:rPr>
        <w:t xml:space="preserve">. eur </w:t>
      </w:r>
      <w:r w:rsidRPr="0072101A" w:rsidR="00C5400B">
        <w:rPr>
          <w:rFonts w:ascii="Times New Roman" w:hAnsi="Times New Roman"/>
          <w:szCs w:val="22"/>
          <w:lang w:eastAsia="sk-SK"/>
        </w:rPr>
        <w:t xml:space="preserve">a medziročne je </w:t>
      </w:r>
      <w:r w:rsidR="002A5432">
        <w:rPr>
          <w:rFonts w:ascii="Times New Roman" w:hAnsi="Times New Roman"/>
          <w:szCs w:val="22"/>
          <w:lang w:eastAsia="sk-SK"/>
        </w:rPr>
        <w:t>nižšia</w:t>
      </w:r>
      <w:r w:rsidRPr="0072101A" w:rsidR="00C5400B">
        <w:rPr>
          <w:rFonts w:ascii="Times New Roman" w:hAnsi="Times New Roman"/>
          <w:szCs w:val="22"/>
          <w:lang w:eastAsia="sk-SK"/>
        </w:rPr>
        <w:t xml:space="preserve"> o</w:t>
      </w:r>
      <w:r w:rsidR="002A5432">
        <w:rPr>
          <w:rFonts w:ascii="Times New Roman" w:hAnsi="Times New Roman"/>
          <w:szCs w:val="22"/>
          <w:lang w:eastAsia="sk-SK"/>
        </w:rPr>
        <w:t> 128 645 tis. eur, z dôvodu postupného zaraďovania obstarávaných informačných systémov do používania (položka softvér).</w:t>
      </w:r>
      <w:r w:rsidRPr="0072101A" w:rsidR="00C5400B">
        <w:rPr>
          <w:rFonts w:ascii="Times New Roman" w:hAnsi="Times New Roman"/>
          <w:szCs w:val="22"/>
          <w:lang w:eastAsia="sk-SK"/>
        </w:rPr>
        <w:t xml:space="preserve"> </w:t>
      </w:r>
      <w:r w:rsidRPr="0072101A" w:rsidR="002D6290">
        <w:rPr>
          <w:rFonts w:ascii="Times New Roman" w:hAnsi="Times New Roman"/>
          <w:szCs w:val="22"/>
          <w:lang w:eastAsia="sk-SK"/>
        </w:rPr>
        <w:t>V rámci obstarania dlhodobého nehmotného majetku vykázali organ</w:t>
      </w:r>
      <w:r w:rsidRPr="0072101A" w:rsidR="00F71220">
        <w:rPr>
          <w:rFonts w:ascii="Times New Roman" w:hAnsi="Times New Roman"/>
          <w:szCs w:val="22"/>
          <w:lang w:eastAsia="sk-SK"/>
        </w:rPr>
        <w:t xml:space="preserve">izácie ústrednej štátnej správy </w:t>
      </w:r>
      <w:r w:rsidRPr="0072101A" w:rsidR="00EB7769">
        <w:rPr>
          <w:rFonts w:ascii="Times New Roman" w:hAnsi="Times New Roman"/>
          <w:szCs w:val="22"/>
          <w:lang w:eastAsia="sk-SK"/>
        </w:rPr>
        <w:t xml:space="preserve">ku koncu roka </w:t>
      </w:r>
      <w:r w:rsidRPr="0072101A" w:rsidR="00F71220">
        <w:rPr>
          <w:rFonts w:ascii="Times New Roman" w:hAnsi="Times New Roman"/>
          <w:szCs w:val="22"/>
          <w:lang w:eastAsia="sk-SK"/>
        </w:rPr>
        <w:t xml:space="preserve">sumu </w:t>
      </w:r>
      <w:r w:rsidR="00557FCF">
        <w:rPr>
          <w:rFonts w:ascii="Times New Roman" w:hAnsi="Times New Roman"/>
          <w:szCs w:val="22"/>
          <w:lang w:eastAsia="sk-SK"/>
        </w:rPr>
        <w:t>178 042 tis. eur (pokles o 105 235</w:t>
      </w:r>
      <w:r w:rsidRPr="0072101A" w:rsidR="002D6290">
        <w:rPr>
          <w:rFonts w:ascii="Times New Roman" w:hAnsi="Times New Roman"/>
          <w:szCs w:val="22"/>
          <w:lang w:eastAsia="sk-SK"/>
        </w:rPr>
        <w:t xml:space="preserve"> </w:t>
      </w:r>
      <w:r w:rsidRPr="0072101A" w:rsidR="00B67875">
        <w:rPr>
          <w:rFonts w:ascii="Times New Roman" w:hAnsi="Times New Roman"/>
          <w:szCs w:val="22"/>
          <w:lang w:eastAsia="sk-SK"/>
        </w:rPr>
        <w:t>tis</w:t>
      </w:r>
      <w:r w:rsidRPr="0072101A" w:rsidR="002D6290">
        <w:rPr>
          <w:rFonts w:ascii="Times New Roman" w:hAnsi="Times New Roman"/>
          <w:szCs w:val="22"/>
          <w:lang w:eastAsia="sk-SK"/>
        </w:rPr>
        <w:t>. eur</w:t>
      </w:r>
      <w:r w:rsidR="00557FCF">
        <w:rPr>
          <w:rFonts w:ascii="Times New Roman" w:hAnsi="Times New Roman"/>
          <w:szCs w:val="22"/>
          <w:lang w:eastAsia="sk-SK"/>
        </w:rPr>
        <w:t>)</w:t>
      </w:r>
      <w:r w:rsidRPr="0072101A" w:rsidR="002D6290">
        <w:rPr>
          <w:rFonts w:ascii="Times New Roman" w:hAnsi="Times New Roman"/>
          <w:szCs w:val="22"/>
          <w:lang w:eastAsia="sk-SK"/>
        </w:rPr>
        <w:t xml:space="preserve">, územná samospráva spolu </w:t>
      </w:r>
      <w:r w:rsidR="003915FD">
        <w:rPr>
          <w:rFonts w:ascii="Times New Roman" w:hAnsi="Times New Roman"/>
          <w:szCs w:val="22"/>
          <w:lang w:eastAsia="sk-SK"/>
        </w:rPr>
        <w:t>9 441</w:t>
      </w:r>
      <w:r w:rsidRPr="0072101A" w:rsidR="002D6290">
        <w:rPr>
          <w:rFonts w:ascii="Times New Roman" w:hAnsi="Times New Roman"/>
          <w:szCs w:val="22"/>
          <w:lang w:eastAsia="sk-SK"/>
        </w:rPr>
        <w:t xml:space="preserve"> </w:t>
      </w:r>
      <w:r w:rsidRPr="0072101A" w:rsidR="00B67875">
        <w:rPr>
          <w:rFonts w:ascii="Times New Roman" w:hAnsi="Times New Roman"/>
          <w:szCs w:val="22"/>
          <w:lang w:eastAsia="sk-SK"/>
        </w:rPr>
        <w:t>tis</w:t>
      </w:r>
      <w:r w:rsidRPr="0072101A" w:rsidR="002D6290">
        <w:rPr>
          <w:rFonts w:ascii="Times New Roman" w:hAnsi="Times New Roman"/>
          <w:szCs w:val="22"/>
          <w:lang w:eastAsia="sk-SK"/>
        </w:rPr>
        <w:t xml:space="preserve">. eur a ostatné subjekty </w:t>
      </w:r>
      <w:r w:rsidR="003915FD">
        <w:rPr>
          <w:rFonts w:ascii="Times New Roman" w:hAnsi="Times New Roman"/>
          <w:szCs w:val="22"/>
          <w:lang w:eastAsia="sk-SK"/>
        </w:rPr>
        <w:t>8 135</w:t>
      </w:r>
      <w:r w:rsidRPr="0072101A" w:rsidR="00120F88">
        <w:rPr>
          <w:rFonts w:ascii="Times New Roman" w:hAnsi="Times New Roman"/>
          <w:szCs w:val="22"/>
          <w:lang w:eastAsia="sk-SK"/>
        </w:rPr>
        <w:t xml:space="preserve"> tis.</w:t>
      </w:r>
      <w:r w:rsidRPr="0072101A" w:rsidR="002D6290">
        <w:rPr>
          <w:rFonts w:ascii="Times New Roman" w:hAnsi="Times New Roman"/>
          <w:szCs w:val="22"/>
          <w:lang w:eastAsia="sk-SK"/>
        </w:rPr>
        <w:t xml:space="preserve"> eur. V rámci prírastkov išlo najmä o</w:t>
      </w:r>
      <w:r w:rsidRPr="0072101A" w:rsidR="000B437B">
        <w:rPr>
          <w:rFonts w:ascii="Times New Roman" w:hAnsi="Times New Roman"/>
          <w:szCs w:val="22"/>
          <w:lang w:eastAsia="sk-SK"/>
        </w:rPr>
        <w:t> </w:t>
      </w:r>
      <w:r w:rsidR="003915FD">
        <w:rPr>
          <w:rFonts w:ascii="Times New Roman" w:hAnsi="Times New Roman"/>
          <w:szCs w:val="22"/>
          <w:lang w:eastAsia="sk-SK"/>
        </w:rPr>
        <w:t>obstaranie</w:t>
      </w:r>
      <w:r w:rsidRPr="0072101A" w:rsidR="000B437B">
        <w:rPr>
          <w:rFonts w:ascii="Times New Roman" w:hAnsi="Times New Roman"/>
          <w:szCs w:val="22"/>
          <w:lang w:eastAsia="sk-SK"/>
        </w:rPr>
        <w:t xml:space="preserve"> </w:t>
      </w:r>
      <w:r w:rsidRPr="0072101A" w:rsidR="002D6290">
        <w:rPr>
          <w:rFonts w:ascii="Times New Roman" w:hAnsi="Times New Roman"/>
          <w:szCs w:val="22"/>
          <w:lang w:eastAsia="sk-SK"/>
        </w:rPr>
        <w:t>softvér</w:t>
      </w:r>
      <w:r w:rsidRPr="0072101A" w:rsidR="000B437B">
        <w:rPr>
          <w:rFonts w:ascii="Times New Roman" w:hAnsi="Times New Roman"/>
          <w:szCs w:val="22"/>
          <w:lang w:eastAsia="sk-SK"/>
        </w:rPr>
        <w:t>u</w:t>
      </w:r>
      <w:r w:rsidRPr="0072101A" w:rsidR="002D6290">
        <w:rPr>
          <w:rFonts w:ascii="Times New Roman" w:hAnsi="Times New Roman"/>
          <w:szCs w:val="22"/>
          <w:lang w:eastAsia="sk-SK"/>
        </w:rPr>
        <w:t>, licencií a ostatného nehmotného majetku.</w:t>
      </w:r>
    </w:p>
    <w:p w:rsidR="002D6290" w:rsidRPr="0072101A" w:rsidP="001B4409">
      <w:pPr>
        <w:tabs>
          <w:tab w:val="num" w:pos="0"/>
        </w:tabs>
        <w:bidi w:val="0"/>
        <w:spacing w:before="240" w:line="336" w:lineRule="auto"/>
        <w:jc w:val="both"/>
        <w:rPr>
          <w:rFonts w:ascii="Times New Roman" w:hAnsi="Times New Roman"/>
          <w:sz w:val="24"/>
          <w:szCs w:val="24"/>
          <w:lang w:eastAsia="sk-SK"/>
        </w:rPr>
      </w:pPr>
      <w:r w:rsidRPr="0072101A">
        <w:rPr>
          <w:rFonts w:ascii="Times New Roman" w:hAnsi="Times New Roman"/>
          <w:b/>
          <w:sz w:val="24"/>
          <w:szCs w:val="24"/>
          <w:lang w:eastAsia="sk-SK"/>
        </w:rPr>
        <w:t>A.II. Dlhodobý hmotný majetok</w:t>
      </w:r>
    </w:p>
    <w:p w:rsidR="00973881" w:rsidRPr="0072101A" w:rsidP="006632D0">
      <w:pPr>
        <w:tabs>
          <w:tab w:val="num" w:pos="0"/>
        </w:tabs>
        <w:bidi w:val="0"/>
        <w:spacing w:after="120" w:line="336" w:lineRule="auto"/>
        <w:jc w:val="both"/>
        <w:rPr>
          <w:rFonts w:ascii="Times New Roman" w:hAnsi="Times New Roman"/>
          <w:szCs w:val="22"/>
          <w:lang w:eastAsia="sk-SK"/>
        </w:rPr>
      </w:pPr>
      <w:r w:rsidRPr="0072101A" w:rsidR="002D6290">
        <w:rPr>
          <w:rFonts w:ascii="Times New Roman" w:hAnsi="Times New Roman"/>
          <w:szCs w:val="22"/>
          <w:lang w:eastAsia="sk-SK"/>
        </w:rPr>
        <w:t>Dlhodobý hmotný majetok súhrnného celku dosiahol k 31.</w:t>
      </w:r>
      <w:r w:rsidRPr="0072101A" w:rsidR="000B52AF">
        <w:rPr>
          <w:rFonts w:ascii="Times New Roman" w:hAnsi="Times New Roman"/>
          <w:szCs w:val="22"/>
          <w:lang w:eastAsia="sk-SK"/>
        </w:rPr>
        <w:t>12.2</w:t>
      </w:r>
      <w:r w:rsidRPr="0072101A" w:rsidR="002D6290">
        <w:rPr>
          <w:rFonts w:ascii="Times New Roman" w:hAnsi="Times New Roman"/>
          <w:szCs w:val="22"/>
          <w:lang w:eastAsia="sk-SK"/>
        </w:rPr>
        <w:t>01</w:t>
      </w:r>
      <w:r w:rsidR="001D244F">
        <w:rPr>
          <w:rFonts w:ascii="Times New Roman" w:hAnsi="Times New Roman"/>
          <w:szCs w:val="22"/>
          <w:lang w:eastAsia="sk-SK"/>
        </w:rPr>
        <w:t>5</w:t>
      </w:r>
      <w:r w:rsidRPr="0072101A" w:rsidR="00F71220">
        <w:rPr>
          <w:rFonts w:ascii="Times New Roman" w:hAnsi="Times New Roman"/>
          <w:szCs w:val="22"/>
          <w:lang w:eastAsia="sk-SK"/>
        </w:rPr>
        <w:t xml:space="preserve"> hodnotu </w:t>
      </w:r>
      <w:r w:rsidR="001D244F">
        <w:rPr>
          <w:rFonts w:ascii="Times New Roman" w:hAnsi="Times New Roman"/>
          <w:szCs w:val="22"/>
          <w:lang w:eastAsia="sk-SK"/>
        </w:rPr>
        <w:t>42 9</w:t>
      </w:r>
      <w:r w:rsidR="00AE63F4">
        <w:rPr>
          <w:rFonts w:ascii="Times New Roman" w:hAnsi="Times New Roman"/>
          <w:szCs w:val="22"/>
          <w:lang w:eastAsia="sk-SK"/>
        </w:rPr>
        <w:t>60</w:t>
      </w:r>
      <w:r w:rsidR="001D244F">
        <w:rPr>
          <w:rFonts w:ascii="Times New Roman" w:hAnsi="Times New Roman"/>
          <w:szCs w:val="22"/>
          <w:lang w:eastAsia="sk-SK"/>
        </w:rPr>
        <w:t> </w:t>
      </w:r>
      <w:r w:rsidR="00AE63F4">
        <w:rPr>
          <w:rFonts w:ascii="Times New Roman" w:hAnsi="Times New Roman"/>
          <w:szCs w:val="22"/>
          <w:lang w:eastAsia="sk-SK"/>
        </w:rPr>
        <w:t>181</w:t>
      </w:r>
      <w:r w:rsidR="001D244F">
        <w:rPr>
          <w:rFonts w:ascii="Times New Roman" w:hAnsi="Times New Roman"/>
          <w:szCs w:val="22"/>
          <w:lang w:eastAsia="sk-SK"/>
        </w:rPr>
        <w:t xml:space="preserve"> tis. eur</w:t>
      </w:r>
      <w:r w:rsidRPr="0072101A" w:rsidR="002D6290">
        <w:rPr>
          <w:rFonts w:ascii="Times New Roman" w:hAnsi="Times New Roman"/>
          <w:szCs w:val="22"/>
          <w:lang w:eastAsia="sk-SK"/>
        </w:rPr>
        <w:t>. Najväčší podiel tvoria stavby (</w:t>
      </w:r>
      <w:r w:rsidR="001D244F">
        <w:rPr>
          <w:rFonts w:ascii="Times New Roman" w:hAnsi="Times New Roman"/>
          <w:szCs w:val="22"/>
          <w:lang w:eastAsia="sk-SK"/>
        </w:rPr>
        <w:t xml:space="preserve">24 644 231 </w:t>
      </w:r>
      <w:r w:rsidRPr="0072101A" w:rsidR="00136D7C">
        <w:rPr>
          <w:rFonts w:ascii="Times New Roman" w:hAnsi="Times New Roman"/>
          <w:szCs w:val="22"/>
          <w:lang w:eastAsia="sk-SK"/>
        </w:rPr>
        <w:t>tis</w:t>
      </w:r>
      <w:r w:rsidRPr="0072101A" w:rsidR="00F71220">
        <w:rPr>
          <w:rFonts w:ascii="Times New Roman" w:hAnsi="Times New Roman"/>
          <w:szCs w:val="22"/>
          <w:lang w:eastAsia="sk-SK"/>
        </w:rPr>
        <w:t>. eur)</w:t>
      </w:r>
      <w:r w:rsidRPr="0072101A" w:rsidR="00706051">
        <w:rPr>
          <w:rFonts w:ascii="Times New Roman" w:hAnsi="Times New Roman"/>
          <w:szCs w:val="22"/>
          <w:lang w:eastAsia="sk-SK"/>
        </w:rPr>
        <w:t>,</w:t>
      </w:r>
      <w:r w:rsidRPr="0072101A" w:rsidR="00F71220">
        <w:rPr>
          <w:rFonts w:ascii="Times New Roman" w:hAnsi="Times New Roman"/>
          <w:szCs w:val="22"/>
          <w:lang w:eastAsia="sk-SK"/>
        </w:rPr>
        <w:t xml:space="preserve"> </w:t>
      </w:r>
      <w:r w:rsidRPr="0072101A" w:rsidR="002D6290">
        <w:rPr>
          <w:rFonts w:ascii="Times New Roman" w:hAnsi="Times New Roman"/>
          <w:szCs w:val="22"/>
          <w:lang w:eastAsia="sk-SK"/>
        </w:rPr>
        <w:t>pozemky</w:t>
      </w:r>
      <w:r w:rsidRPr="0072101A" w:rsidR="00F71220">
        <w:rPr>
          <w:rFonts w:ascii="Times New Roman" w:hAnsi="Times New Roman"/>
          <w:szCs w:val="22"/>
          <w:lang w:eastAsia="sk-SK"/>
        </w:rPr>
        <w:t xml:space="preserve"> </w:t>
      </w:r>
      <w:r w:rsidRPr="0072101A" w:rsidR="002D6290">
        <w:rPr>
          <w:rFonts w:ascii="Times New Roman" w:hAnsi="Times New Roman"/>
          <w:szCs w:val="22"/>
          <w:lang w:eastAsia="sk-SK"/>
        </w:rPr>
        <w:t>(</w:t>
      </w:r>
      <w:r w:rsidR="001D244F">
        <w:rPr>
          <w:rFonts w:ascii="Times New Roman" w:hAnsi="Times New Roman"/>
          <w:szCs w:val="22"/>
          <w:lang w:eastAsia="sk-SK"/>
        </w:rPr>
        <w:t>9 123 185</w:t>
      </w:r>
      <w:r w:rsidRPr="0072101A" w:rsidR="002D6290">
        <w:rPr>
          <w:rFonts w:ascii="Times New Roman" w:hAnsi="Times New Roman"/>
          <w:szCs w:val="22"/>
          <w:lang w:eastAsia="sk-SK"/>
        </w:rPr>
        <w:t xml:space="preserve"> </w:t>
      </w:r>
      <w:r w:rsidRPr="0072101A" w:rsidR="00136D7C">
        <w:rPr>
          <w:rFonts w:ascii="Times New Roman" w:hAnsi="Times New Roman"/>
          <w:szCs w:val="22"/>
          <w:lang w:eastAsia="sk-SK"/>
        </w:rPr>
        <w:t>tis</w:t>
      </w:r>
      <w:r w:rsidRPr="0072101A" w:rsidR="002D6290">
        <w:rPr>
          <w:rFonts w:ascii="Times New Roman" w:hAnsi="Times New Roman"/>
          <w:szCs w:val="22"/>
          <w:lang w:eastAsia="sk-SK"/>
        </w:rPr>
        <w:t>. eur)</w:t>
      </w:r>
      <w:r w:rsidRPr="0072101A" w:rsidR="00706051">
        <w:rPr>
          <w:rFonts w:ascii="Times New Roman" w:hAnsi="Times New Roman"/>
          <w:szCs w:val="22"/>
          <w:lang w:eastAsia="sk-SK"/>
        </w:rPr>
        <w:t xml:space="preserve"> a obstaranie majetku (</w:t>
      </w:r>
      <w:r w:rsidR="001D244F">
        <w:rPr>
          <w:rFonts w:ascii="Times New Roman" w:hAnsi="Times New Roman"/>
          <w:szCs w:val="22"/>
          <w:lang w:eastAsia="sk-SK"/>
        </w:rPr>
        <w:t xml:space="preserve">4 338 520 </w:t>
      </w:r>
      <w:r w:rsidRPr="0072101A" w:rsidR="00706051">
        <w:rPr>
          <w:rFonts w:ascii="Times New Roman" w:hAnsi="Times New Roman"/>
          <w:szCs w:val="22"/>
          <w:lang w:eastAsia="sk-SK"/>
        </w:rPr>
        <w:t>tis. eur).</w:t>
      </w:r>
      <w:r w:rsidRPr="0072101A" w:rsidR="00B27A93">
        <w:rPr>
          <w:rFonts w:ascii="Times New Roman" w:hAnsi="Times New Roman"/>
          <w:szCs w:val="22"/>
          <w:lang w:eastAsia="sk-SK"/>
        </w:rPr>
        <w:t xml:space="preserve"> </w:t>
      </w:r>
    </w:p>
    <w:tbl>
      <w:tblPr>
        <w:tblStyle w:val="TableNormal"/>
        <w:tblW w:w="4605" w:type="pct"/>
        <w:jc w:val="center"/>
        <w:tblInd w:w="70" w:type="dxa"/>
        <w:tblLayout w:type="fixed"/>
        <w:tblCellMar>
          <w:left w:w="70" w:type="dxa"/>
          <w:right w:w="70" w:type="dxa"/>
        </w:tblCellMar>
        <w:tblLook w:val="00A0"/>
      </w:tblPr>
      <w:tblGrid>
        <w:gridCol w:w="5670"/>
        <w:gridCol w:w="1418"/>
        <w:gridCol w:w="1395"/>
      </w:tblGrid>
      <w:tr>
        <w:tblPrEx>
          <w:tblW w:w="4605" w:type="pct"/>
          <w:jc w:val="center"/>
          <w:tblInd w:w="70" w:type="dxa"/>
          <w:tblLayout w:type="fixed"/>
          <w:tblCellMar>
            <w:left w:w="70" w:type="dxa"/>
            <w:right w:w="70" w:type="dxa"/>
          </w:tblCellMar>
          <w:tblLook w:val="00A0"/>
        </w:tblPrEx>
        <w:trPr>
          <w:trHeight w:val="330"/>
          <w:jc w:val="center"/>
        </w:trPr>
        <w:tc>
          <w:tcPr>
            <w:tcW w:w="4178" w:type="pct"/>
            <w:gridSpan w:val="2"/>
            <w:tcBorders>
              <w:top w:val="single" w:sz="4" w:space="0" w:color="auto"/>
              <w:left w:val="nil"/>
              <w:bottom w:val="single" w:sz="4" w:space="0" w:color="auto"/>
              <w:right w:val="nil"/>
            </w:tcBorders>
            <w:shd w:val="clear" w:color="000000" w:fill="000000"/>
            <w:noWrap/>
            <w:textDirection w:val="lrTb"/>
            <w:vAlign w:val="center"/>
          </w:tcPr>
          <w:p w:rsidR="002978BC" w:rsidRPr="0072101A" w:rsidP="0002612E">
            <w:pPr>
              <w:bidi w:val="0"/>
              <w:spacing w:after="0" w:line="240" w:lineRule="auto"/>
            </w:pPr>
            <w:r w:rsidRPr="0072101A" w:rsidR="004A0973">
              <w:br w:type="page"/>
              <w:br w:type="page"/>
            </w:r>
            <w:r w:rsidRPr="0072101A" w:rsidR="00D87DC7">
              <w:rPr>
                <w:rFonts w:ascii="Times New Roman" w:hAnsi="Times New Roman"/>
                <w:szCs w:val="22"/>
                <w:lang w:eastAsia="sk-SK"/>
              </w:rPr>
              <w:br w:type="page"/>
            </w:r>
            <w:r w:rsidRPr="0072101A" w:rsidR="00E9050A">
              <w:br w:type="page"/>
            </w:r>
            <w:r w:rsidRPr="0072101A" w:rsidR="00E9050A">
              <w:rPr>
                <w:rFonts w:ascii="Times New Roman" w:hAnsi="Times New Roman"/>
                <w:szCs w:val="22"/>
                <w:lang w:eastAsia="sk-SK"/>
              </w:rPr>
              <w:br w:type="page"/>
            </w:r>
            <w:r w:rsidRPr="0072101A">
              <w:rPr>
                <w:rFonts w:ascii="Times New Roman" w:hAnsi="Times New Roman"/>
                <w:b/>
                <w:bCs/>
                <w:color w:val="FFFFFF"/>
                <w:sz w:val="20"/>
                <w:szCs w:val="20"/>
                <w:lang w:eastAsia="sk-SK"/>
              </w:rPr>
              <w:t>Dlhodobý hmotný majetok súhrnného celku (v tis. eur)</w:t>
            </w:r>
          </w:p>
        </w:tc>
        <w:tc>
          <w:tcPr>
            <w:tcW w:w="822" w:type="pct"/>
            <w:tcBorders>
              <w:top w:val="single" w:sz="4" w:space="0" w:color="auto"/>
              <w:left w:val="nil"/>
              <w:bottom w:val="single" w:sz="4" w:space="0" w:color="auto"/>
              <w:right w:val="nil"/>
            </w:tcBorders>
            <w:shd w:val="clear" w:color="000000" w:fill="000000"/>
            <w:textDirection w:val="lrTb"/>
            <w:vAlign w:val="center"/>
          </w:tcPr>
          <w:p w:rsidR="002978BC" w:rsidRPr="0072101A" w:rsidP="009A2941">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r>
      <w:tr>
        <w:tblPrEx>
          <w:tblW w:w="4605" w:type="pct"/>
          <w:jc w:val="center"/>
          <w:tblInd w:w="70" w:type="dxa"/>
          <w:tblLayout w:type="fixed"/>
          <w:tblCellMar>
            <w:left w:w="70" w:type="dxa"/>
            <w:right w:w="70" w:type="dxa"/>
          </w:tblCellMar>
          <w:tblLook w:val="00A0"/>
        </w:tblPrEx>
        <w:trPr>
          <w:trHeight w:val="330"/>
          <w:jc w:val="center"/>
        </w:trPr>
        <w:tc>
          <w:tcPr>
            <w:tcW w:w="3342" w:type="pct"/>
            <w:tcBorders>
              <w:top w:val="nil"/>
              <w:left w:val="nil"/>
              <w:bottom w:val="single" w:sz="4" w:space="0" w:color="auto"/>
              <w:right w:val="nil"/>
            </w:tcBorders>
            <w:shd w:val="clear" w:color="000000" w:fill="BFBFBF"/>
            <w:noWrap/>
            <w:textDirection w:val="lrTb"/>
            <w:vAlign w:val="bottom"/>
          </w:tcPr>
          <w:p w:rsidR="002978BC" w:rsidRPr="0072101A" w:rsidP="002978BC">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Druh hmotného majetku</w:t>
            </w:r>
          </w:p>
        </w:tc>
        <w:tc>
          <w:tcPr>
            <w:tcW w:w="836" w:type="pct"/>
            <w:tcBorders>
              <w:top w:val="nil"/>
              <w:left w:val="nil"/>
              <w:bottom w:val="single" w:sz="4" w:space="0" w:color="auto"/>
              <w:right w:val="nil"/>
            </w:tcBorders>
            <w:shd w:val="clear" w:color="000000" w:fill="BFBFBF"/>
            <w:noWrap/>
            <w:textDirection w:val="lrTb"/>
            <w:vAlign w:val="bottom"/>
          </w:tcPr>
          <w:p w:rsidR="002978BC" w:rsidRPr="0072101A" w:rsidP="009A2941">
            <w:pPr>
              <w:bidi w:val="0"/>
              <w:spacing w:after="0" w:line="240" w:lineRule="auto"/>
              <w:jc w:val="center"/>
              <w:rPr>
                <w:rFonts w:ascii="Times New Roman" w:hAnsi="Times New Roman"/>
                <w:b/>
                <w:bCs/>
                <w:sz w:val="20"/>
                <w:szCs w:val="20"/>
                <w:lang w:eastAsia="sk-SK"/>
              </w:rPr>
            </w:pPr>
            <w:r w:rsidR="001D244F">
              <w:rPr>
                <w:rFonts w:ascii="Times New Roman" w:hAnsi="Times New Roman"/>
                <w:b/>
                <w:bCs/>
                <w:sz w:val="20"/>
                <w:szCs w:val="20"/>
                <w:lang w:eastAsia="sk-SK"/>
              </w:rPr>
              <w:t xml:space="preserve">         2015</w:t>
            </w:r>
          </w:p>
        </w:tc>
        <w:tc>
          <w:tcPr>
            <w:tcW w:w="822" w:type="pct"/>
            <w:tcBorders>
              <w:top w:val="nil"/>
              <w:left w:val="nil"/>
              <w:bottom w:val="single" w:sz="4" w:space="0" w:color="auto"/>
              <w:right w:val="nil"/>
            </w:tcBorders>
            <w:shd w:val="clear" w:color="000000" w:fill="BFBFBF"/>
            <w:noWrap/>
            <w:textDirection w:val="lrTb"/>
            <w:vAlign w:val="bottom"/>
          </w:tcPr>
          <w:p w:rsidR="002978BC" w:rsidRPr="0072101A" w:rsidP="001D244F">
            <w:pPr>
              <w:bidi w:val="0"/>
              <w:spacing w:after="0" w:line="240" w:lineRule="auto"/>
              <w:jc w:val="center"/>
              <w:rPr>
                <w:rFonts w:ascii="Times New Roman" w:hAnsi="Times New Roman"/>
                <w:b/>
                <w:bCs/>
                <w:sz w:val="20"/>
                <w:szCs w:val="20"/>
                <w:lang w:eastAsia="sk-SK"/>
              </w:rPr>
            </w:pPr>
            <w:r w:rsidRPr="0072101A" w:rsidR="00AD2668">
              <w:rPr>
                <w:rFonts w:ascii="Times New Roman" w:hAnsi="Times New Roman"/>
                <w:b/>
                <w:bCs/>
                <w:sz w:val="20"/>
                <w:szCs w:val="20"/>
                <w:lang w:eastAsia="sk-SK"/>
              </w:rPr>
              <w:t xml:space="preserve">        </w:t>
            </w:r>
            <w:r w:rsidRPr="0072101A" w:rsidR="00EA0AE5">
              <w:rPr>
                <w:rFonts w:ascii="Times New Roman" w:hAnsi="Times New Roman"/>
                <w:b/>
                <w:bCs/>
                <w:sz w:val="20"/>
                <w:szCs w:val="20"/>
                <w:lang w:eastAsia="sk-SK"/>
              </w:rPr>
              <w:t>201</w:t>
            </w:r>
            <w:r w:rsidR="001D244F">
              <w:rPr>
                <w:rFonts w:ascii="Times New Roman" w:hAnsi="Times New Roman"/>
                <w:b/>
                <w:bCs/>
                <w:sz w:val="20"/>
                <w:szCs w:val="20"/>
                <w:lang w:eastAsia="sk-SK"/>
              </w:rPr>
              <w:t>4</w:t>
            </w:r>
          </w:p>
        </w:tc>
      </w:tr>
      <w:tr>
        <w:tblPrEx>
          <w:tblW w:w="4605" w:type="pct"/>
          <w:jc w:val="center"/>
          <w:tblInd w:w="70" w:type="dxa"/>
          <w:tblLayout w:type="fixed"/>
          <w:tblCellMar>
            <w:left w:w="70" w:type="dxa"/>
            <w:right w:w="70" w:type="dxa"/>
          </w:tblCellMar>
          <w:tblLook w:val="00A0"/>
        </w:tblPrEx>
        <w:trPr>
          <w:trHeight w:hRule="exact" w:val="392"/>
          <w:jc w:val="center"/>
        </w:trPr>
        <w:tc>
          <w:tcPr>
            <w:tcW w:w="3342" w:type="pct"/>
            <w:tcBorders>
              <w:top w:val="nil"/>
              <w:left w:val="nil"/>
              <w:bottom w:val="nil"/>
              <w:right w:val="nil"/>
            </w:tcBorders>
            <w:textDirection w:val="lrTb"/>
            <w:vAlign w:val="center"/>
          </w:tcPr>
          <w:p w:rsidR="001D244F" w:rsidRPr="0072101A" w:rsidP="00AE400C">
            <w:pPr>
              <w:bidi w:val="0"/>
              <w:spacing w:after="0" w:line="336"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Stavby</w:t>
            </w:r>
          </w:p>
        </w:tc>
        <w:tc>
          <w:tcPr>
            <w:tcW w:w="836" w:type="pct"/>
            <w:tcBorders>
              <w:top w:val="nil"/>
              <w:left w:val="nil"/>
              <w:bottom w:val="nil"/>
              <w:right w:val="nil"/>
            </w:tcBorders>
            <w:textDirection w:val="lrTb"/>
            <w:vAlign w:val="center"/>
          </w:tcPr>
          <w:p w:rsidR="001D244F" w:rsidRPr="0072101A" w:rsidP="0010458B">
            <w:pPr>
              <w:bidi w:val="0"/>
              <w:spacing w:after="0" w:line="336" w:lineRule="auto"/>
              <w:jc w:val="right"/>
              <w:rPr>
                <w:rFonts w:ascii="Times New Roman" w:hAnsi="Times New Roman"/>
                <w:color w:val="000000"/>
                <w:sz w:val="20"/>
                <w:szCs w:val="20"/>
                <w:lang w:eastAsia="sk-SK"/>
              </w:rPr>
            </w:pPr>
            <w:r w:rsidR="0010458B">
              <w:rPr>
                <w:rFonts w:ascii="Times New Roman" w:hAnsi="Times New Roman"/>
                <w:color w:val="000000"/>
                <w:sz w:val="20"/>
                <w:szCs w:val="20"/>
                <w:lang w:eastAsia="sk-SK"/>
              </w:rPr>
              <w:t>24 645</w:t>
            </w:r>
            <w:r w:rsidR="00984D6E">
              <w:rPr>
                <w:rFonts w:ascii="Times New Roman" w:hAnsi="Times New Roman"/>
                <w:color w:val="000000"/>
                <w:sz w:val="20"/>
                <w:szCs w:val="20"/>
                <w:lang w:eastAsia="sk-SK"/>
              </w:rPr>
              <w:t xml:space="preserve"> </w:t>
            </w:r>
            <w:r w:rsidR="0010458B">
              <w:rPr>
                <w:rFonts w:ascii="Times New Roman" w:hAnsi="Times New Roman"/>
                <w:color w:val="000000"/>
                <w:sz w:val="20"/>
                <w:szCs w:val="20"/>
                <w:lang w:eastAsia="sk-SK"/>
              </w:rPr>
              <w:t>757</w:t>
            </w:r>
          </w:p>
        </w:tc>
        <w:tc>
          <w:tcPr>
            <w:tcW w:w="822" w:type="pct"/>
            <w:tcBorders>
              <w:top w:val="nil"/>
              <w:left w:val="nil"/>
              <w:bottom w:val="nil"/>
              <w:right w:val="nil"/>
            </w:tcBorders>
            <w:textDirection w:val="lrTb"/>
            <w:vAlign w:val="center"/>
          </w:tcPr>
          <w:p w:rsidR="001D244F" w:rsidRPr="0072101A" w:rsidP="00582E00">
            <w:pPr>
              <w:bidi w:val="0"/>
              <w:spacing w:after="0" w:line="336"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23 614 512</w:t>
            </w:r>
          </w:p>
        </w:tc>
      </w:tr>
      <w:tr>
        <w:tblPrEx>
          <w:tblW w:w="4605" w:type="pct"/>
          <w:jc w:val="center"/>
          <w:tblInd w:w="70" w:type="dxa"/>
          <w:tblLayout w:type="fixed"/>
          <w:tblCellMar>
            <w:left w:w="70" w:type="dxa"/>
            <w:right w:w="70" w:type="dxa"/>
          </w:tblCellMar>
          <w:tblLook w:val="00A0"/>
        </w:tblPrEx>
        <w:trPr>
          <w:trHeight w:hRule="exact" w:val="330"/>
          <w:jc w:val="center"/>
        </w:trPr>
        <w:tc>
          <w:tcPr>
            <w:tcW w:w="3342" w:type="pct"/>
            <w:tcBorders>
              <w:top w:val="nil"/>
              <w:left w:val="nil"/>
              <w:bottom w:val="nil"/>
              <w:right w:val="nil"/>
            </w:tcBorders>
            <w:textDirection w:val="lrTb"/>
            <w:vAlign w:val="center"/>
          </w:tcPr>
          <w:p w:rsidR="001D244F" w:rsidRPr="0072101A" w:rsidP="00E9050A">
            <w:pPr>
              <w:bidi w:val="0"/>
              <w:spacing w:after="0" w:line="336"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Pozemky</w:t>
            </w:r>
          </w:p>
        </w:tc>
        <w:tc>
          <w:tcPr>
            <w:tcW w:w="836" w:type="pct"/>
            <w:tcBorders>
              <w:top w:val="nil"/>
              <w:left w:val="nil"/>
              <w:bottom w:val="nil"/>
              <w:right w:val="nil"/>
            </w:tcBorders>
            <w:textDirection w:val="lrTb"/>
            <w:vAlign w:val="center"/>
          </w:tcPr>
          <w:p w:rsidR="001D244F" w:rsidRPr="0072101A" w:rsidP="00E9050A">
            <w:pPr>
              <w:bidi w:val="0"/>
              <w:spacing w:after="0" w:line="336" w:lineRule="auto"/>
              <w:jc w:val="right"/>
              <w:rPr>
                <w:rFonts w:ascii="Times New Roman" w:hAnsi="Times New Roman"/>
                <w:color w:val="000000"/>
                <w:sz w:val="20"/>
                <w:szCs w:val="20"/>
                <w:lang w:eastAsia="sk-SK"/>
              </w:rPr>
            </w:pPr>
            <w:r w:rsidR="00984D6E">
              <w:rPr>
                <w:rFonts w:ascii="Times New Roman" w:hAnsi="Times New Roman"/>
                <w:color w:val="000000"/>
                <w:sz w:val="20"/>
                <w:szCs w:val="20"/>
                <w:lang w:eastAsia="sk-SK"/>
              </w:rPr>
              <w:t>9 123 185</w:t>
            </w:r>
          </w:p>
        </w:tc>
        <w:tc>
          <w:tcPr>
            <w:tcW w:w="822" w:type="pct"/>
            <w:tcBorders>
              <w:top w:val="nil"/>
              <w:left w:val="nil"/>
              <w:bottom w:val="nil"/>
              <w:right w:val="nil"/>
            </w:tcBorders>
            <w:textDirection w:val="lrTb"/>
            <w:vAlign w:val="center"/>
          </w:tcPr>
          <w:p w:rsidR="001D244F" w:rsidRPr="0072101A" w:rsidP="00582E00">
            <w:pPr>
              <w:bidi w:val="0"/>
              <w:spacing w:after="0" w:line="336"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8 767 190</w:t>
            </w:r>
          </w:p>
        </w:tc>
      </w:tr>
      <w:tr>
        <w:tblPrEx>
          <w:tblW w:w="4605" w:type="pct"/>
          <w:jc w:val="center"/>
          <w:tblInd w:w="70" w:type="dxa"/>
          <w:tblLayout w:type="fixed"/>
          <w:tblCellMar>
            <w:left w:w="70" w:type="dxa"/>
            <w:right w:w="70" w:type="dxa"/>
          </w:tblCellMar>
          <w:tblLook w:val="00A0"/>
        </w:tblPrEx>
        <w:trPr>
          <w:trHeight w:hRule="exact" w:val="330"/>
          <w:jc w:val="center"/>
        </w:trPr>
        <w:tc>
          <w:tcPr>
            <w:tcW w:w="3342" w:type="pct"/>
            <w:tcBorders>
              <w:top w:val="nil"/>
              <w:left w:val="nil"/>
              <w:bottom w:val="none" w:sz="0" w:space="0" w:color="auto"/>
              <w:right w:val="nil"/>
            </w:tcBorders>
            <w:shd w:val="clear" w:color="000000" w:fill="auto"/>
            <w:textDirection w:val="lrTb"/>
            <w:vAlign w:val="center"/>
          </w:tcPr>
          <w:p w:rsidR="001D244F" w:rsidRPr="0072101A" w:rsidP="00AE400C">
            <w:pPr>
              <w:bidi w:val="0"/>
              <w:spacing w:after="0" w:line="336"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Obstaranie dlhodobého hmotného majetku</w:t>
            </w:r>
          </w:p>
        </w:tc>
        <w:tc>
          <w:tcPr>
            <w:tcW w:w="836" w:type="pct"/>
            <w:tcBorders>
              <w:top w:val="nil"/>
              <w:left w:val="nil"/>
              <w:bottom w:val="none" w:sz="0" w:space="0" w:color="auto"/>
              <w:right w:val="nil"/>
            </w:tcBorders>
            <w:shd w:val="clear" w:color="000000" w:fill="auto"/>
            <w:textDirection w:val="lrTb"/>
            <w:vAlign w:val="center"/>
          </w:tcPr>
          <w:p w:rsidR="001D244F" w:rsidRPr="0072101A" w:rsidP="00AE400C">
            <w:pPr>
              <w:bidi w:val="0"/>
              <w:spacing w:after="0" w:line="336" w:lineRule="auto"/>
              <w:jc w:val="right"/>
              <w:rPr>
                <w:rFonts w:ascii="Times New Roman" w:hAnsi="Times New Roman"/>
                <w:bCs/>
                <w:color w:val="000000"/>
                <w:sz w:val="20"/>
                <w:szCs w:val="20"/>
                <w:lang w:eastAsia="sk-SK"/>
              </w:rPr>
            </w:pPr>
            <w:r w:rsidR="00984D6E">
              <w:rPr>
                <w:rFonts w:ascii="Times New Roman" w:hAnsi="Times New Roman"/>
                <w:bCs/>
                <w:color w:val="000000"/>
                <w:sz w:val="20"/>
                <w:szCs w:val="20"/>
                <w:lang w:eastAsia="sk-SK"/>
              </w:rPr>
              <w:t>4 338 520</w:t>
            </w:r>
          </w:p>
        </w:tc>
        <w:tc>
          <w:tcPr>
            <w:tcW w:w="822" w:type="pct"/>
            <w:tcBorders>
              <w:top w:val="nil"/>
              <w:left w:val="nil"/>
              <w:bottom w:val="none" w:sz="0" w:space="0" w:color="auto"/>
              <w:right w:val="nil"/>
            </w:tcBorders>
            <w:shd w:val="clear" w:color="000000" w:fill="auto"/>
            <w:textDirection w:val="lrTb"/>
            <w:vAlign w:val="center"/>
          </w:tcPr>
          <w:p w:rsidR="001D244F" w:rsidRPr="0072101A" w:rsidP="00582E00">
            <w:pPr>
              <w:bidi w:val="0"/>
              <w:spacing w:after="0" w:line="336"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4 097 704</w:t>
            </w:r>
          </w:p>
        </w:tc>
      </w:tr>
      <w:tr>
        <w:tblPrEx>
          <w:tblW w:w="4605" w:type="pct"/>
          <w:jc w:val="center"/>
          <w:tblInd w:w="70" w:type="dxa"/>
          <w:tblLayout w:type="fixed"/>
          <w:tblCellMar>
            <w:left w:w="70" w:type="dxa"/>
            <w:right w:w="70" w:type="dxa"/>
          </w:tblCellMar>
          <w:tblLook w:val="00A0"/>
        </w:tblPrEx>
        <w:trPr>
          <w:trHeight w:hRule="exact" w:val="330"/>
          <w:jc w:val="center"/>
        </w:trPr>
        <w:tc>
          <w:tcPr>
            <w:tcW w:w="3342" w:type="pct"/>
            <w:tcBorders>
              <w:top w:val="nil"/>
              <w:left w:val="nil"/>
              <w:bottom w:val="none" w:sz="0" w:space="0" w:color="auto"/>
              <w:right w:val="nil"/>
            </w:tcBorders>
            <w:textDirection w:val="lrTb"/>
            <w:vAlign w:val="center"/>
          </w:tcPr>
          <w:p w:rsidR="001D244F" w:rsidRPr="0072101A" w:rsidP="00E9050A">
            <w:pPr>
              <w:bidi w:val="0"/>
              <w:spacing w:after="0" w:line="336"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Samostatné hnuteľné veci a súbory hnuteľných vecí</w:t>
            </w:r>
          </w:p>
        </w:tc>
        <w:tc>
          <w:tcPr>
            <w:tcW w:w="836" w:type="pct"/>
            <w:tcBorders>
              <w:top w:val="nil"/>
              <w:left w:val="nil"/>
              <w:bottom w:val="none" w:sz="0" w:space="0" w:color="auto"/>
              <w:right w:val="nil"/>
            </w:tcBorders>
            <w:textDirection w:val="lrTb"/>
            <w:vAlign w:val="center"/>
          </w:tcPr>
          <w:p w:rsidR="001D244F" w:rsidRPr="0072101A" w:rsidP="00E9050A">
            <w:pPr>
              <w:bidi w:val="0"/>
              <w:spacing w:after="0" w:line="336" w:lineRule="auto"/>
              <w:jc w:val="right"/>
              <w:rPr>
                <w:rFonts w:ascii="Times New Roman" w:hAnsi="Times New Roman"/>
                <w:color w:val="000000"/>
                <w:sz w:val="20"/>
                <w:szCs w:val="20"/>
                <w:lang w:eastAsia="sk-SK"/>
              </w:rPr>
            </w:pPr>
            <w:r w:rsidR="00984D6E">
              <w:rPr>
                <w:rFonts w:ascii="Times New Roman" w:hAnsi="Times New Roman"/>
                <w:color w:val="000000"/>
                <w:sz w:val="20"/>
                <w:szCs w:val="20"/>
                <w:lang w:eastAsia="sk-SK"/>
              </w:rPr>
              <w:t>2 274 077</w:t>
            </w:r>
          </w:p>
        </w:tc>
        <w:tc>
          <w:tcPr>
            <w:tcW w:w="822" w:type="pct"/>
            <w:tcBorders>
              <w:top w:val="nil"/>
              <w:left w:val="nil"/>
              <w:bottom w:val="none" w:sz="0" w:space="0" w:color="auto"/>
              <w:right w:val="nil"/>
            </w:tcBorders>
            <w:textDirection w:val="lrTb"/>
            <w:vAlign w:val="center"/>
          </w:tcPr>
          <w:p w:rsidR="001D244F" w:rsidRPr="0072101A" w:rsidP="00582E00">
            <w:pPr>
              <w:bidi w:val="0"/>
              <w:spacing w:after="0" w:line="336"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1 855 770</w:t>
            </w:r>
          </w:p>
        </w:tc>
      </w:tr>
      <w:tr>
        <w:tblPrEx>
          <w:tblW w:w="4605" w:type="pct"/>
          <w:jc w:val="center"/>
          <w:tblInd w:w="70" w:type="dxa"/>
          <w:tblLayout w:type="fixed"/>
          <w:tblCellMar>
            <w:left w:w="70" w:type="dxa"/>
            <w:right w:w="70" w:type="dxa"/>
          </w:tblCellMar>
          <w:tblLook w:val="00A0"/>
        </w:tblPrEx>
        <w:trPr>
          <w:trHeight w:hRule="exact" w:val="330"/>
          <w:jc w:val="center"/>
        </w:trPr>
        <w:tc>
          <w:tcPr>
            <w:tcW w:w="3342" w:type="pct"/>
            <w:tcBorders>
              <w:top w:val="nil"/>
              <w:left w:val="nil"/>
              <w:bottom w:val="none" w:sz="0" w:space="0" w:color="auto"/>
              <w:right w:val="nil"/>
            </w:tcBorders>
            <w:shd w:val="clear" w:color="000000" w:fill="auto"/>
            <w:textDirection w:val="lrTb"/>
            <w:vAlign w:val="center"/>
          </w:tcPr>
          <w:p w:rsidR="001D244F" w:rsidRPr="0072101A" w:rsidP="00E9050A">
            <w:pPr>
              <w:bidi w:val="0"/>
              <w:spacing w:after="0" w:line="336"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Dopravné prostriedky</w:t>
            </w:r>
          </w:p>
        </w:tc>
        <w:tc>
          <w:tcPr>
            <w:tcW w:w="836" w:type="pct"/>
            <w:tcBorders>
              <w:top w:val="nil"/>
              <w:left w:val="nil"/>
              <w:bottom w:val="none" w:sz="0" w:space="0" w:color="auto"/>
              <w:right w:val="nil"/>
            </w:tcBorders>
            <w:shd w:val="clear" w:color="000000" w:fill="auto"/>
            <w:textDirection w:val="lrTb"/>
            <w:vAlign w:val="center"/>
          </w:tcPr>
          <w:p w:rsidR="001D244F" w:rsidRPr="0072101A" w:rsidP="00E9050A">
            <w:pPr>
              <w:bidi w:val="0"/>
              <w:spacing w:after="0" w:line="336" w:lineRule="auto"/>
              <w:jc w:val="right"/>
              <w:rPr>
                <w:rFonts w:ascii="Times New Roman" w:hAnsi="Times New Roman"/>
                <w:bCs/>
                <w:color w:val="000000"/>
                <w:sz w:val="20"/>
                <w:szCs w:val="20"/>
                <w:lang w:eastAsia="sk-SK"/>
              </w:rPr>
            </w:pPr>
            <w:r w:rsidR="00984D6E">
              <w:rPr>
                <w:rFonts w:ascii="Times New Roman" w:hAnsi="Times New Roman"/>
                <w:bCs/>
                <w:color w:val="000000"/>
                <w:sz w:val="20"/>
                <w:szCs w:val="20"/>
                <w:lang w:eastAsia="sk-SK"/>
              </w:rPr>
              <w:t>1 816 673</w:t>
            </w:r>
          </w:p>
        </w:tc>
        <w:tc>
          <w:tcPr>
            <w:tcW w:w="822" w:type="pct"/>
            <w:tcBorders>
              <w:top w:val="nil"/>
              <w:left w:val="nil"/>
              <w:bottom w:val="none" w:sz="0" w:space="0" w:color="auto"/>
              <w:right w:val="nil"/>
            </w:tcBorders>
            <w:shd w:val="clear" w:color="000000" w:fill="auto"/>
            <w:textDirection w:val="lrTb"/>
            <w:vAlign w:val="center"/>
          </w:tcPr>
          <w:p w:rsidR="001D244F" w:rsidRPr="0072101A" w:rsidP="00582E00">
            <w:pPr>
              <w:bidi w:val="0"/>
              <w:spacing w:after="0" w:line="336"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1 526 736</w:t>
            </w:r>
          </w:p>
        </w:tc>
      </w:tr>
      <w:tr>
        <w:tblPrEx>
          <w:tblW w:w="4605" w:type="pct"/>
          <w:jc w:val="center"/>
          <w:tblInd w:w="70" w:type="dxa"/>
          <w:tblLayout w:type="fixed"/>
          <w:tblCellMar>
            <w:left w:w="70" w:type="dxa"/>
            <w:right w:w="70" w:type="dxa"/>
          </w:tblCellMar>
          <w:tblLook w:val="00A0"/>
        </w:tblPrEx>
        <w:trPr>
          <w:trHeight w:hRule="exact" w:val="330"/>
          <w:jc w:val="center"/>
        </w:trPr>
        <w:tc>
          <w:tcPr>
            <w:tcW w:w="3342" w:type="pct"/>
            <w:tcBorders>
              <w:top w:val="nil"/>
              <w:left w:val="nil"/>
              <w:bottom w:val="none" w:sz="0" w:space="0" w:color="auto"/>
              <w:right w:val="nil"/>
            </w:tcBorders>
            <w:shd w:val="clear" w:color="000000" w:fill="auto"/>
            <w:textDirection w:val="lrTb"/>
            <w:vAlign w:val="center"/>
          </w:tcPr>
          <w:p w:rsidR="001D244F" w:rsidRPr="0072101A" w:rsidP="00E9050A">
            <w:pPr>
              <w:bidi w:val="0"/>
              <w:spacing w:after="0" w:line="336"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Ostatný dlhodobý hmotný majetok</w:t>
            </w:r>
          </w:p>
        </w:tc>
        <w:tc>
          <w:tcPr>
            <w:tcW w:w="836" w:type="pct"/>
            <w:tcBorders>
              <w:top w:val="nil"/>
              <w:left w:val="nil"/>
              <w:bottom w:val="none" w:sz="0" w:space="0" w:color="auto"/>
              <w:right w:val="nil"/>
            </w:tcBorders>
            <w:shd w:val="clear" w:color="000000" w:fill="auto"/>
            <w:textDirection w:val="lrTb"/>
            <w:vAlign w:val="center"/>
          </w:tcPr>
          <w:p w:rsidR="001D244F" w:rsidRPr="0072101A" w:rsidP="0010458B">
            <w:pPr>
              <w:bidi w:val="0"/>
              <w:spacing w:after="0" w:line="336" w:lineRule="auto"/>
              <w:jc w:val="right"/>
              <w:rPr>
                <w:rFonts w:ascii="Times New Roman" w:hAnsi="Times New Roman"/>
                <w:bCs/>
                <w:color w:val="000000"/>
                <w:sz w:val="20"/>
                <w:szCs w:val="20"/>
                <w:lang w:eastAsia="sk-SK"/>
              </w:rPr>
            </w:pPr>
            <w:r w:rsidR="00984D6E">
              <w:rPr>
                <w:rFonts w:ascii="Times New Roman" w:hAnsi="Times New Roman"/>
                <w:bCs/>
                <w:color w:val="000000"/>
                <w:sz w:val="20"/>
                <w:szCs w:val="20"/>
                <w:lang w:eastAsia="sk-SK"/>
              </w:rPr>
              <w:t>76</w:t>
            </w:r>
            <w:r w:rsidR="0010458B">
              <w:rPr>
                <w:rFonts w:ascii="Times New Roman" w:hAnsi="Times New Roman"/>
                <w:bCs/>
                <w:color w:val="000000"/>
                <w:sz w:val="20"/>
                <w:szCs w:val="20"/>
                <w:lang w:eastAsia="sk-SK"/>
              </w:rPr>
              <w:t>1</w:t>
            </w:r>
            <w:r w:rsidR="00984D6E">
              <w:rPr>
                <w:rFonts w:ascii="Times New Roman" w:hAnsi="Times New Roman"/>
                <w:bCs/>
                <w:color w:val="000000"/>
                <w:sz w:val="20"/>
                <w:szCs w:val="20"/>
                <w:lang w:eastAsia="sk-SK"/>
              </w:rPr>
              <w:t xml:space="preserve"> </w:t>
            </w:r>
            <w:r w:rsidR="0010458B">
              <w:rPr>
                <w:rFonts w:ascii="Times New Roman" w:hAnsi="Times New Roman"/>
                <w:bCs/>
                <w:color w:val="000000"/>
                <w:sz w:val="20"/>
                <w:szCs w:val="20"/>
                <w:lang w:eastAsia="sk-SK"/>
              </w:rPr>
              <w:t>969</w:t>
            </w:r>
          </w:p>
        </w:tc>
        <w:tc>
          <w:tcPr>
            <w:tcW w:w="822" w:type="pct"/>
            <w:tcBorders>
              <w:top w:val="nil"/>
              <w:left w:val="nil"/>
              <w:bottom w:val="none" w:sz="0" w:space="0" w:color="auto"/>
              <w:right w:val="nil"/>
            </w:tcBorders>
            <w:shd w:val="clear" w:color="000000" w:fill="auto"/>
            <w:textDirection w:val="lrTb"/>
            <w:vAlign w:val="center"/>
          </w:tcPr>
          <w:p w:rsidR="001D244F" w:rsidRPr="0072101A" w:rsidP="00582E00">
            <w:pPr>
              <w:bidi w:val="0"/>
              <w:spacing w:after="0" w:line="336"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459 944</w:t>
            </w:r>
          </w:p>
        </w:tc>
      </w:tr>
      <w:tr>
        <w:tblPrEx>
          <w:tblW w:w="4605" w:type="pct"/>
          <w:jc w:val="center"/>
          <w:tblInd w:w="70" w:type="dxa"/>
          <w:tblLayout w:type="fixed"/>
          <w:tblCellMar>
            <w:left w:w="70" w:type="dxa"/>
            <w:right w:w="70" w:type="dxa"/>
          </w:tblCellMar>
          <w:tblLook w:val="00A0"/>
        </w:tblPrEx>
        <w:trPr>
          <w:trHeight w:hRule="exact" w:val="330"/>
          <w:jc w:val="center"/>
        </w:trPr>
        <w:tc>
          <w:tcPr>
            <w:tcW w:w="3342" w:type="pct"/>
            <w:tcBorders>
              <w:top w:val="nil"/>
              <w:left w:val="nil"/>
              <w:bottom w:val="single" w:sz="4" w:space="0" w:color="000000"/>
              <w:right w:val="nil"/>
            </w:tcBorders>
            <w:shd w:val="clear" w:color="000000" w:fill="auto"/>
            <w:textDirection w:val="lrTb"/>
            <w:vAlign w:val="center"/>
          </w:tcPr>
          <w:p w:rsidR="001D244F" w:rsidRPr="0072101A" w:rsidP="00E9050A">
            <w:pPr>
              <w:bidi w:val="0"/>
              <w:spacing w:after="0" w:line="336"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Spolu</w:t>
            </w:r>
          </w:p>
        </w:tc>
        <w:tc>
          <w:tcPr>
            <w:tcW w:w="836" w:type="pct"/>
            <w:tcBorders>
              <w:top w:val="nil"/>
              <w:left w:val="nil"/>
              <w:bottom w:val="single" w:sz="4" w:space="0" w:color="000000"/>
              <w:right w:val="nil"/>
            </w:tcBorders>
            <w:shd w:val="clear" w:color="000000" w:fill="auto"/>
            <w:textDirection w:val="lrTb"/>
            <w:vAlign w:val="center"/>
          </w:tcPr>
          <w:p w:rsidR="001D244F" w:rsidRPr="0072101A" w:rsidP="0010458B">
            <w:pPr>
              <w:bidi w:val="0"/>
              <w:spacing w:after="0" w:line="336" w:lineRule="auto"/>
              <w:jc w:val="right"/>
              <w:rPr>
                <w:rFonts w:ascii="Times New Roman" w:hAnsi="Times New Roman"/>
                <w:b/>
                <w:bCs/>
                <w:color w:val="000000"/>
                <w:sz w:val="20"/>
                <w:szCs w:val="20"/>
                <w:lang w:eastAsia="sk-SK"/>
              </w:rPr>
            </w:pPr>
            <w:r w:rsidR="0010458B">
              <w:rPr>
                <w:rFonts w:ascii="Times New Roman" w:hAnsi="Times New Roman"/>
                <w:b/>
                <w:bCs/>
                <w:color w:val="000000"/>
                <w:sz w:val="20"/>
                <w:szCs w:val="20"/>
                <w:lang w:eastAsia="sk-SK"/>
              </w:rPr>
              <w:t>42 960</w:t>
            </w:r>
            <w:r w:rsidR="00984D6E">
              <w:rPr>
                <w:rFonts w:ascii="Times New Roman" w:hAnsi="Times New Roman"/>
                <w:b/>
                <w:bCs/>
                <w:color w:val="000000"/>
                <w:sz w:val="20"/>
                <w:szCs w:val="20"/>
                <w:lang w:eastAsia="sk-SK"/>
              </w:rPr>
              <w:t xml:space="preserve"> </w:t>
            </w:r>
            <w:r w:rsidR="0010458B">
              <w:rPr>
                <w:rFonts w:ascii="Times New Roman" w:hAnsi="Times New Roman"/>
                <w:b/>
                <w:bCs/>
                <w:color w:val="000000"/>
                <w:sz w:val="20"/>
                <w:szCs w:val="20"/>
                <w:lang w:eastAsia="sk-SK"/>
              </w:rPr>
              <w:t>181</w:t>
            </w:r>
          </w:p>
        </w:tc>
        <w:tc>
          <w:tcPr>
            <w:tcW w:w="822" w:type="pct"/>
            <w:tcBorders>
              <w:top w:val="nil"/>
              <w:left w:val="nil"/>
              <w:bottom w:val="single" w:sz="4" w:space="0" w:color="000000"/>
              <w:right w:val="nil"/>
            </w:tcBorders>
            <w:shd w:val="clear" w:color="000000" w:fill="auto"/>
            <w:textDirection w:val="lrTb"/>
            <w:vAlign w:val="center"/>
          </w:tcPr>
          <w:p w:rsidR="001D244F" w:rsidRPr="0072101A" w:rsidP="00582E00">
            <w:pPr>
              <w:bidi w:val="0"/>
              <w:spacing w:after="0" w:line="336"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40 321 856</w:t>
            </w:r>
          </w:p>
        </w:tc>
      </w:tr>
    </w:tbl>
    <w:p w:rsidR="004721DB" w:rsidRPr="0072101A" w:rsidP="000E560B">
      <w:pPr>
        <w:bidi w:val="0"/>
        <w:spacing w:before="240" w:after="120" w:line="336" w:lineRule="auto"/>
        <w:jc w:val="both"/>
        <w:rPr>
          <w:rFonts w:ascii="Times New Roman" w:hAnsi="Times New Roman"/>
          <w:i/>
          <w:szCs w:val="22"/>
          <w:u w:val="single"/>
          <w:lang w:eastAsia="sk-SK"/>
        </w:rPr>
      </w:pPr>
      <w:r w:rsidRPr="0072101A">
        <w:rPr>
          <w:rFonts w:ascii="Times New Roman" w:hAnsi="Times New Roman"/>
          <w:i/>
          <w:szCs w:val="22"/>
          <w:u w:val="single"/>
          <w:lang w:eastAsia="sk-SK"/>
        </w:rPr>
        <w:t>Stavby</w:t>
      </w:r>
    </w:p>
    <w:p w:rsidR="00952CF7" w:rsidP="004721DB">
      <w:pPr>
        <w:bidi w:val="0"/>
        <w:spacing w:before="120" w:after="120" w:line="336" w:lineRule="auto"/>
        <w:jc w:val="both"/>
        <w:rPr>
          <w:rFonts w:ascii="Times New Roman" w:hAnsi="Times New Roman"/>
          <w:szCs w:val="22"/>
          <w:lang w:eastAsia="sk-SK"/>
        </w:rPr>
      </w:pPr>
      <w:r w:rsidRPr="0072101A" w:rsidR="004721DB">
        <w:rPr>
          <w:rFonts w:ascii="Times New Roman" w:hAnsi="Times New Roman"/>
          <w:szCs w:val="22"/>
          <w:lang w:eastAsia="sk-SK"/>
        </w:rPr>
        <w:t xml:space="preserve">Hodnota stavieb </w:t>
      </w:r>
      <w:r w:rsidR="00BA57FB">
        <w:rPr>
          <w:rFonts w:ascii="Times New Roman" w:hAnsi="Times New Roman"/>
          <w:szCs w:val="22"/>
          <w:lang w:eastAsia="sk-SK"/>
        </w:rPr>
        <w:t xml:space="preserve">v súhrnnom celku </w:t>
      </w:r>
      <w:r w:rsidRPr="0072101A" w:rsidR="004721DB">
        <w:rPr>
          <w:rFonts w:ascii="Times New Roman" w:hAnsi="Times New Roman"/>
          <w:szCs w:val="22"/>
          <w:lang w:eastAsia="sk-SK"/>
        </w:rPr>
        <w:t>medziročne vzrástla o</w:t>
      </w:r>
      <w:r w:rsidR="006D6700">
        <w:rPr>
          <w:rFonts w:ascii="Times New Roman" w:hAnsi="Times New Roman"/>
          <w:szCs w:val="22"/>
          <w:lang w:eastAsia="sk-SK"/>
        </w:rPr>
        <w:t> 1</w:t>
      </w:r>
      <w:r w:rsidR="0049181C">
        <w:rPr>
          <w:rFonts w:ascii="Times New Roman" w:hAnsi="Times New Roman"/>
          <w:szCs w:val="22"/>
          <w:lang w:eastAsia="sk-SK"/>
        </w:rPr>
        <w:t> </w:t>
      </w:r>
      <w:r w:rsidR="006D6700">
        <w:rPr>
          <w:rFonts w:ascii="Times New Roman" w:hAnsi="Times New Roman"/>
          <w:szCs w:val="22"/>
          <w:lang w:eastAsia="sk-SK"/>
        </w:rPr>
        <w:t>0</w:t>
      </w:r>
      <w:r w:rsidR="0049181C">
        <w:rPr>
          <w:rFonts w:ascii="Times New Roman" w:hAnsi="Times New Roman"/>
          <w:szCs w:val="22"/>
          <w:lang w:eastAsia="sk-SK"/>
        </w:rPr>
        <w:t>31 245</w:t>
      </w:r>
      <w:r w:rsidR="006D6700">
        <w:rPr>
          <w:rFonts w:ascii="Times New Roman" w:hAnsi="Times New Roman"/>
          <w:szCs w:val="22"/>
          <w:lang w:eastAsia="sk-SK"/>
        </w:rPr>
        <w:t xml:space="preserve"> tis. eur, čo je </w:t>
      </w:r>
      <w:r w:rsidR="00882FE0">
        <w:rPr>
          <w:rFonts w:ascii="Times New Roman" w:hAnsi="Times New Roman"/>
          <w:szCs w:val="22"/>
          <w:lang w:eastAsia="sk-SK"/>
        </w:rPr>
        <w:t xml:space="preserve">takmer dvojnásobná hodnota </w:t>
      </w:r>
      <w:r w:rsidR="006D6700">
        <w:rPr>
          <w:rFonts w:ascii="Times New Roman" w:hAnsi="Times New Roman"/>
          <w:szCs w:val="22"/>
          <w:lang w:eastAsia="sk-SK"/>
        </w:rPr>
        <w:t>prírastku za rok 2014</w:t>
      </w:r>
      <w:r w:rsidR="00882FE0">
        <w:rPr>
          <w:rFonts w:ascii="Times New Roman" w:hAnsi="Times New Roman"/>
          <w:szCs w:val="22"/>
          <w:lang w:eastAsia="sk-SK"/>
        </w:rPr>
        <w:t>.</w:t>
      </w:r>
      <w:r w:rsidRPr="0072101A" w:rsidR="004721DB">
        <w:rPr>
          <w:rFonts w:ascii="Times New Roman" w:hAnsi="Times New Roman"/>
          <w:szCs w:val="22"/>
          <w:lang w:eastAsia="sk-SK"/>
        </w:rPr>
        <w:t xml:space="preserve"> Najvyšší prírastok zaznamenal</w:t>
      </w:r>
      <w:r w:rsidR="009B04A2">
        <w:rPr>
          <w:rFonts w:ascii="Times New Roman" w:hAnsi="Times New Roman"/>
          <w:szCs w:val="22"/>
          <w:lang w:eastAsia="sk-SK"/>
        </w:rPr>
        <w:t>a</w:t>
      </w:r>
      <w:r w:rsidRPr="0072101A" w:rsidR="004721DB">
        <w:rPr>
          <w:rFonts w:ascii="Times New Roman" w:hAnsi="Times New Roman"/>
          <w:szCs w:val="22"/>
          <w:lang w:eastAsia="sk-SK"/>
        </w:rPr>
        <w:t xml:space="preserve"> </w:t>
      </w:r>
      <w:r>
        <w:rPr>
          <w:rFonts w:ascii="Times New Roman" w:hAnsi="Times New Roman"/>
          <w:szCs w:val="22"/>
          <w:lang w:eastAsia="sk-SK"/>
        </w:rPr>
        <w:t>ú</w:t>
      </w:r>
      <w:r w:rsidRPr="0072101A">
        <w:rPr>
          <w:rFonts w:ascii="Times New Roman" w:hAnsi="Times New Roman"/>
          <w:szCs w:val="22"/>
          <w:lang w:eastAsia="sk-SK"/>
        </w:rPr>
        <w:t>stredná správa o</w:t>
      </w:r>
      <w:r w:rsidR="00AD0B63">
        <w:rPr>
          <w:rFonts w:ascii="Times New Roman" w:hAnsi="Times New Roman"/>
          <w:szCs w:val="22"/>
          <w:lang w:eastAsia="sk-SK"/>
        </w:rPr>
        <w:t xml:space="preserve"> 555 718 </w:t>
      </w:r>
      <w:r w:rsidRPr="0072101A">
        <w:rPr>
          <w:rFonts w:ascii="Times New Roman" w:hAnsi="Times New Roman"/>
          <w:szCs w:val="22"/>
          <w:lang w:eastAsia="sk-SK"/>
        </w:rPr>
        <w:t>tis. eur</w:t>
      </w:r>
      <w:r>
        <w:rPr>
          <w:rFonts w:ascii="Times New Roman" w:hAnsi="Times New Roman"/>
          <w:szCs w:val="22"/>
          <w:lang w:eastAsia="sk-SK"/>
        </w:rPr>
        <w:t xml:space="preserve">, ďalej </w:t>
      </w:r>
      <w:r w:rsidR="009B04A2">
        <w:rPr>
          <w:rFonts w:ascii="Times New Roman" w:hAnsi="Times New Roman"/>
          <w:szCs w:val="22"/>
          <w:lang w:eastAsia="sk-SK"/>
        </w:rPr>
        <w:t>územná samospráva</w:t>
      </w:r>
      <w:r>
        <w:rPr>
          <w:rFonts w:ascii="Times New Roman" w:hAnsi="Times New Roman"/>
          <w:szCs w:val="22"/>
          <w:lang w:eastAsia="sk-SK"/>
        </w:rPr>
        <w:t xml:space="preserve"> o </w:t>
      </w:r>
      <w:r w:rsidR="009B04A2">
        <w:rPr>
          <w:rFonts w:ascii="Times New Roman" w:hAnsi="Times New Roman"/>
          <w:szCs w:val="22"/>
          <w:lang w:eastAsia="sk-SK"/>
        </w:rPr>
        <w:t>297 408</w:t>
      </w:r>
      <w:r w:rsidRPr="0072101A" w:rsidR="004721DB">
        <w:rPr>
          <w:rFonts w:ascii="Times New Roman" w:hAnsi="Times New Roman"/>
          <w:szCs w:val="22"/>
          <w:lang w:eastAsia="sk-SK"/>
        </w:rPr>
        <w:t xml:space="preserve"> tis. eur</w:t>
      </w:r>
      <w:r>
        <w:rPr>
          <w:rFonts w:ascii="Times New Roman" w:hAnsi="Times New Roman"/>
          <w:szCs w:val="22"/>
          <w:lang w:eastAsia="sk-SK"/>
        </w:rPr>
        <w:t xml:space="preserve"> a</w:t>
      </w:r>
      <w:r w:rsidRPr="0072101A" w:rsidR="004721DB">
        <w:rPr>
          <w:rFonts w:ascii="Times New Roman" w:hAnsi="Times New Roman"/>
          <w:szCs w:val="22"/>
          <w:lang w:eastAsia="sk-SK"/>
        </w:rPr>
        <w:t xml:space="preserve"> ostatné subjekty </w:t>
      </w:r>
      <w:r w:rsidR="009B04A2">
        <w:rPr>
          <w:rFonts w:ascii="Times New Roman" w:hAnsi="Times New Roman"/>
          <w:szCs w:val="22"/>
          <w:lang w:eastAsia="sk-SK"/>
        </w:rPr>
        <w:t>17</w:t>
      </w:r>
      <w:r w:rsidR="00580BC0">
        <w:rPr>
          <w:rFonts w:ascii="Times New Roman" w:hAnsi="Times New Roman"/>
          <w:szCs w:val="22"/>
          <w:lang w:eastAsia="sk-SK"/>
        </w:rPr>
        <w:t>8</w:t>
      </w:r>
      <w:r w:rsidR="009B04A2">
        <w:rPr>
          <w:rFonts w:ascii="Times New Roman" w:hAnsi="Times New Roman"/>
          <w:szCs w:val="22"/>
          <w:lang w:eastAsia="sk-SK"/>
        </w:rPr>
        <w:t xml:space="preserve"> </w:t>
      </w:r>
      <w:r w:rsidR="00580BC0">
        <w:rPr>
          <w:rFonts w:ascii="Times New Roman" w:hAnsi="Times New Roman"/>
          <w:szCs w:val="22"/>
          <w:lang w:eastAsia="sk-SK"/>
        </w:rPr>
        <w:t>119</w:t>
      </w:r>
      <w:r w:rsidRPr="0072101A" w:rsidR="004721DB">
        <w:rPr>
          <w:rFonts w:ascii="Times New Roman" w:hAnsi="Times New Roman"/>
          <w:szCs w:val="22"/>
          <w:lang w:eastAsia="sk-SK"/>
        </w:rPr>
        <w:t xml:space="preserve"> tis. eur</w:t>
      </w:r>
      <w:r>
        <w:rPr>
          <w:rFonts w:ascii="Times New Roman" w:hAnsi="Times New Roman"/>
          <w:szCs w:val="22"/>
          <w:lang w:eastAsia="sk-SK"/>
        </w:rPr>
        <w:t>.</w:t>
      </w:r>
    </w:p>
    <w:p w:rsidR="00802AE2" w:rsidP="00802AE2">
      <w:pPr>
        <w:bidi w:val="0"/>
        <w:spacing w:before="120" w:after="120" w:line="336" w:lineRule="auto"/>
        <w:jc w:val="both"/>
        <w:rPr>
          <w:rFonts w:ascii="Times New Roman" w:hAnsi="Times New Roman"/>
          <w:szCs w:val="22"/>
          <w:lang w:eastAsia="sk-SK"/>
        </w:rPr>
      </w:pPr>
      <w:r w:rsidR="00B4710C">
        <w:rPr>
          <w:rFonts w:ascii="Times New Roman" w:hAnsi="Times New Roman"/>
          <w:szCs w:val="22"/>
          <w:lang w:eastAsia="sk-SK"/>
        </w:rPr>
        <w:t>Prírastok v ústrednej správe zaznamen</w:t>
      </w:r>
      <w:r w:rsidRPr="0072101A" w:rsidR="004721DB">
        <w:rPr>
          <w:rFonts w:ascii="Times New Roman" w:hAnsi="Times New Roman"/>
          <w:szCs w:val="22"/>
          <w:lang w:eastAsia="sk-SK"/>
        </w:rPr>
        <w:t>a</w:t>
      </w:r>
      <w:r w:rsidR="00B4710C">
        <w:rPr>
          <w:rFonts w:ascii="Times New Roman" w:hAnsi="Times New Roman"/>
          <w:szCs w:val="22"/>
          <w:lang w:eastAsia="sk-SK"/>
        </w:rPr>
        <w:t>la najmä</w:t>
      </w:r>
      <w:r w:rsidRPr="0072101A" w:rsidR="004721DB">
        <w:rPr>
          <w:rFonts w:ascii="Times New Roman" w:hAnsi="Times New Roman"/>
          <w:szCs w:val="22"/>
          <w:lang w:eastAsia="sk-SK"/>
        </w:rPr>
        <w:t> kapitol</w:t>
      </w:r>
      <w:r w:rsidR="00B4710C">
        <w:rPr>
          <w:rFonts w:ascii="Times New Roman" w:hAnsi="Times New Roman"/>
          <w:szCs w:val="22"/>
          <w:lang w:eastAsia="sk-SK"/>
        </w:rPr>
        <w:t>a</w:t>
      </w:r>
      <w:r w:rsidRPr="0072101A" w:rsidR="004721DB">
        <w:rPr>
          <w:rFonts w:ascii="Times New Roman" w:hAnsi="Times New Roman"/>
          <w:szCs w:val="22"/>
          <w:lang w:eastAsia="sk-SK"/>
        </w:rPr>
        <w:t xml:space="preserve"> Ministerstva dopravy, výstavby a regionálneho rozvoja SR z</w:t>
      </w:r>
      <w:r w:rsidR="00B4710C">
        <w:rPr>
          <w:rFonts w:ascii="Times New Roman" w:hAnsi="Times New Roman"/>
          <w:szCs w:val="22"/>
          <w:lang w:eastAsia="sk-SK"/>
        </w:rPr>
        <w:t> </w:t>
      </w:r>
      <w:r w:rsidRPr="0072101A" w:rsidR="004721DB">
        <w:rPr>
          <w:rFonts w:ascii="Times New Roman" w:hAnsi="Times New Roman"/>
          <w:szCs w:val="22"/>
          <w:lang w:eastAsia="sk-SK"/>
        </w:rPr>
        <w:t>dôvodu</w:t>
      </w:r>
      <w:r w:rsidR="00B4710C">
        <w:rPr>
          <w:rFonts w:ascii="Times New Roman" w:hAnsi="Times New Roman"/>
          <w:szCs w:val="22"/>
          <w:lang w:eastAsia="sk-SK"/>
        </w:rPr>
        <w:t xml:space="preserve"> novo zaradených stavieb cestnej a diaľničnej infraštruktúry v správe Národnej diaľničnej spoločnosti</w:t>
      </w:r>
      <w:r w:rsidR="00AE63F4">
        <w:rPr>
          <w:rFonts w:ascii="Times New Roman" w:hAnsi="Times New Roman"/>
          <w:szCs w:val="22"/>
          <w:lang w:eastAsia="sk-SK"/>
        </w:rPr>
        <w:t>, a.s.</w:t>
      </w:r>
      <w:r w:rsidR="00B4710C">
        <w:rPr>
          <w:rFonts w:ascii="Times New Roman" w:hAnsi="Times New Roman"/>
          <w:szCs w:val="22"/>
          <w:lang w:eastAsia="sk-SK"/>
        </w:rPr>
        <w:t xml:space="preserve"> (prírastok o 637 882 tis. eur) a Slovenskej správy ciest (63 242 tis.</w:t>
      </w:r>
      <w:r w:rsidR="00F547E6">
        <w:rPr>
          <w:rFonts w:ascii="Times New Roman" w:hAnsi="Times New Roman"/>
          <w:szCs w:val="22"/>
          <w:lang w:eastAsia="sk-SK"/>
        </w:rPr>
        <w:t xml:space="preserve"> </w:t>
      </w:r>
      <w:r w:rsidR="00B4710C">
        <w:rPr>
          <w:rFonts w:ascii="Times New Roman" w:hAnsi="Times New Roman"/>
          <w:szCs w:val="22"/>
          <w:lang w:eastAsia="sk-SK"/>
        </w:rPr>
        <w:t>eur).</w:t>
      </w:r>
      <w:r w:rsidR="00F547E6">
        <w:rPr>
          <w:rFonts w:ascii="Times New Roman" w:hAnsi="Times New Roman"/>
          <w:szCs w:val="22"/>
          <w:lang w:eastAsia="sk-SK"/>
        </w:rPr>
        <w:t xml:space="preserve"> Ďalej to boli dokončené budovy a </w:t>
      </w:r>
      <w:r>
        <w:rPr>
          <w:rFonts w:ascii="Times New Roman" w:hAnsi="Times New Roman"/>
          <w:szCs w:val="22"/>
          <w:lang w:eastAsia="sk-SK"/>
        </w:rPr>
        <w:t>stavby Slovenskej akadémie vied (63 190 tis. eur), ktoré tvoria vedecké parky, napríklad Výskumné centrum progresívnych materiálov a technológií, Univerzitný vedecký park pre biomedicínu, Centrum výskumu a vývoja imunologických aktívnych látok a podobne.</w:t>
      </w:r>
      <w:r w:rsidR="00F547E6">
        <w:rPr>
          <w:rFonts w:ascii="Times New Roman" w:hAnsi="Times New Roman"/>
          <w:szCs w:val="22"/>
          <w:lang w:eastAsia="sk-SK"/>
        </w:rPr>
        <w:t xml:space="preserve"> Nemocnice sv. Michala</w:t>
      </w:r>
      <w:r w:rsidR="00AE63F4">
        <w:rPr>
          <w:rFonts w:ascii="Times New Roman" w:hAnsi="Times New Roman"/>
          <w:szCs w:val="22"/>
          <w:lang w:eastAsia="sk-SK"/>
        </w:rPr>
        <w:t>, a.s.</w:t>
      </w:r>
      <w:r w:rsidR="00F547E6">
        <w:rPr>
          <w:rFonts w:ascii="Times New Roman" w:hAnsi="Times New Roman"/>
          <w:szCs w:val="22"/>
          <w:lang w:eastAsia="sk-SK"/>
        </w:rPr>
        <w:t xml:space="preserve"> </w:t>
      </w:r>
      <w:r>
        <w:rPr>
          <w:rFonts w:ascii="Times New Roman" w:hAnsi="Times New Roman"/>
          <w:szCs w:val="22"/>
          <w:lang w:eastAsia="sk-SK"/>
        </w:rPr>
        <w:t xml:space="preserve">zaznamenala </w:t>
      </w:r>
      <w:r w:rsidR="00F547E6">
        <w:rPr>
          <w:rFonts w:ascii="Times New Roman" w:hAnsi="Times New Roman"/>
          <w:szCs w:val="22"/>
          <w:lang w:eastAsia="sk-SK"/>
        </w:rPr>
        <w:t>prírastok o 38 203 tis. eur</w:t>
      </w:r>
      <w:r>
        <w:rPr>
          <w:rFonts w:ascii="Times New Roman" w:hAnsi="Times New Roman"/>
          <w:szCs w:val="22"/>
          <w:lang w:eastAsia="sk-SK"/>
        </w:rPr>
        <w:t xml:space="preserve"> spojený so zaraďovaním dokončenej novej budovy </w:t>
      </w:r>
      <w:r w:rsidR="009B4A2F">
        <w:rPr>
          <w:rFonts w:ascii="Times New Roman" w:hAnsi="Times New Roman"/>
          <w:szCs w:val="22"/>
          <w:lang w:eastAsia="sk-SK"/>
        </w:rPr>
        <w:t xml:space="preserve">a zariadenia </w:t>
      </w:r>
      <w:r>
        <w:rPr>
          <w:rFonts w:ascii="Times New Roman" w:hAnsi="Times New Roman"/>
          <w:szCs w:val="22"/>
          <w:lang w:eastAsia="sk-SK"/>
        </w:rPr>
        <w:t>nemocnice na Cintorínskej ulici v</w:t>
      </w:r>
      <w:r w:rsidR="009B4A2F">
        <w:rPr>
          <w:rFonts w:ascii="Times New Roman" w:hAnsi="Times New Roman"/>
          <w:szCs w:val="22"/>
          <w:lang w:eastAsia="sk-SK"/>
        </w:rPr>
        <w:t> </w:t>
      </w:r>
      <w:r>
        <w:rPr>
          <w:rFonts w:ascii="Times New Roman" w:hAnsi="Times New Roman"/>
          <w:szCs w:val="22"/>
          <w:lang w:eastAsia="sk-SK"/>
        </w:rPr>
        <w:t>Bratislave</w:t>
      </w:r>
      <w:r w:rsidR="00F547E6">
        <w:rPr>
          <w:rFonts w:ascii="Times New Roman" w:hAnsi="Times New Roman"/>
          <w:szCs w:val="22"/>
          <w:lang w:eastAsia="sk-SK"/>
        </w:rPr>
        <w:t>.</w:t>
      </w:r>
    </w:p>
    <w:p w:rsidR="00B4710C" w:rsidP="00802AE2">
      <w:pPr>
        <w:bidi w:val="0"/>
        <w:spacing w:before="120" w:after="120" w:line="336" w:lineRule="auto"/>
        <w:jc w:val="both"/>
        <w:rPr>
          <w:rFonts w:ascii="Times New Roman" w:hAnsi="Times New Roman"/>
          <w:szCs w:val="22"/>
          <w:lang w:eastAsia="sk-SK"/>
        </w:rPr>
      </w:pPr>
      <w:r w:rsidR="00F547E6">
        <w:rPr>
          <w:rFonts w:ascii="Times New Roman" w:hAnsi="Times New Roman"/>
          <w:szCs w:val="22"/>
          <w:lang w:eastAsia="sk-SK"/>
        </w:rPr>
        <w:t xml:space="preserve">Úbytok hodnoty stavieb ústrednej správy zaznamenali hlavne Kancelária Národnej rady SR, a to z dôvodu </w:t>
      </w:r>
      <w:r w:rsidR="006C608A">
        <w:rPr>
          <w:rFonts w:ascii="Times New Roman" w:hAnsi="Times New Roman"/>
          <w:szCs w:val="22"/>
          <w:lang w:eastAsia="sk-SK"/>
        </w:rPr>
        <w:t>preradenia technického zhodnotenia</w:t>
      </w:r>
      <w:r w:rsidR="00F547E6">
        <w:rPr>
          <w:rFonts w:ascii="Times New Roman" w:hAnsi="Times New Roman"/>
          <w:szCs w:val="22"/>
          <w:lang w:eastAsia="sk-SK"/>
        </w:rPr>
        <w:t xml:space="preserve"> objektu bratislavského hradu</w:t>
      </w:r>
      <w:r w:rsidRPr="00F547E6" w:rsidR="00F547E6">
        <w:rPr>
          <w:rFonts w:ascii="Times New Roman" w:hAnsi="Times New Roman"/>
          <w:szCs w:val="22"/>
          <w:lang w:eastAsia="sk-SK"/>
        </w:rPr>
        <w:t xml:space="preserve"> </w:t>
      </w:r>
      <w:r w:rsidR="00F547E6">
        <w:rPr>
          <w:rFonts w:ascii="Times New Roman" w:hAnsi="Times New Roman"/>
          <w:szCs w:val="22"/>
          <w:lang w:eastAsia="sk-SK"/>
        </w:rPr>
        <w:t xml:space="preserve">ako národnej kultúrnej pamiatky do </w:t>
      </w:r>
      <w:r w:rsidR="006C608A">
        <w:rPr>
          <w:rFonts w:ascii="Times New Roman" w:hAnsi="Times New Roman"/>
          <w:szCs w:val="22"/>
          <w:lang w:eastAsia="sk-SK"/>
        </w:rPr>
        <w:t>ostatného hmotného majetku</w:t>
      </w:r>
      <w:r w:rsidR="00F547E6">
        <w:rPr>
          <w:rFonts w:ascii="Times New Roman" w:hAnsi="Times New Roman"/>
          <w:szCs w:val="22"/>
          <w:lang w:eastAsia="sk-SK"/>
        </w:rPr>
        <w:t xml:space="preserve"> (</w:t>
      </w:r>
      <w:r w:rsidR="00802AE2">
        <w:rPr>
          <w:rFonts w:ascii="Times New Roman" w:hAnsi="Times New Roman"/>
          <w:szCs w:val="22"/>
          <w:lang w:eastAsia="sk-SK"/>
        </w:rPr>
        <w:t xml:space="preserve">netto </w:t>
      </w:r>
      <w:r w:rsidR="00F547E6">
        <w:rPr>
          <w:rFonts w:ascii="Times New Roman" w:hAnsi="Times New Roman"/>
          <w:szCs w:val="22"/>
          <w:lang w:eastAsia="sk-SK"/>
        </w:rPr>
        <w:t xml:space="preserve">úbytok 78 295 tis. eur), odovzdanie vyvolaných investícií niektorých úsekov diaľničnej </w:t>
      </w:r>
      <w:r w:rsidRPr="00802AE2" w:rsidR="00F547E6">
        <w:rPr>
          <w:rFonts w:ascii="Times New Roman" w:hAnsi="Times New Roman"/>
          <w:szCs w:val="22"/>
          <w:lang w:eastAsia="sk-SK"/>
        </w:rPr>
        <w:t xml:space="preserve">infraštruktúry </w:t>
      </w:r>
      <w:r w:rsidR="00802AE2">
        <w:rPr>
          <w:rFonts w:ascii="Times New Roman" w:hAnsi="Times New Roman"/>
          <w:szCs w:val="22"/>
          <w:lang w:eastAsia="sk-SK"/>
        </w:rPr>
        <w:t>Ministerstva dopravy, výstavby a regionálneho rozvoja SR</w:t>
      </w:r>
      <w:r w:rsidRPr="00802AE2" w:rsidR="00F547E6">
        <w:rPr>
          <w:rFonts w:ascii="Times New Roman" w:hAnsi="Times New Roman"/>
          <w:szCs w:val="22"/>
          <w:lang w:eastAsia="sk-SK"/>
        </w:rPr>
        <w:t xml:space="preserve"> (úbytok 74 663 tis. eur). Na</w:t>
      </w:r>
      <w:r w:rsidR="00F547E6">
        <w:rPr>
          <w:rFonts w:ascii="Times New Roman" w:hAnsi="Times New Roman"/>
          <w:szCs w:val="22"/>
          <w:lang w:eastAsia="sk-SK"/>
        </w:rPr>
        <w:t xml:space="preserve"> zníženie </w:t>
      </w:r>
      <w:r w:rsidR="00AE63F4">
        <w:rPr>
          <w:rFonts w:ascii="Times New Roman" w:hAnsi="Times New Roman"/>
          <w:szCs w:val="22"/>
          <w:lang w:eastAsia="sk-SK"/>
        </w:rPr>
        <w:t xml:space="preserve">netto </w:t>
      </w:r>
      <w:r w:rsidR="00F547E6">
        <w:rPr>
          <w:rFonts w:ascii="Times New Roman" w:hAnsi="Times New Roman"/>
          <w:szCs w:val="22"/>
          <w:lang w:eastAsia="sk-SK"/>
        </w:rPr>
        <w:t xml:space="preserve">hodnoty stavieb vplývajú aj odpisy a zmena doby odpisovania, predaj alebo prevod stavieb vyhodnotených ako nepotrebné pre účely ústrednej správy. </w:t>
      </w:r>
    </w:p>
    <w:p w:rsidR="00DE2AAD" w:rsidP="00802AE2">
      <w:pPr>
        <w:bidi w:val="0"/>
        <w:spacing w:before="120" w:after="120" w:line="336" w:lineRule="auto"/>
        <w:jc w:val="both"/>
        <w:rPr>
          <w:rFonts w:ascii="Times New Roman" w:hAnsi="Times New Roman"/>
          <w:szCs w:val="22"/>
          <w:lang w:eastAsia="sk-SK"/>
        </w:rPr>
      </w:pPr>
      <w:r>
        <w:rPr>
          <w:rFonts w:ascii="Times New Roman" w:hAnsi="Times New Roman"/>
          <w:szCs w:val="22"/>
          <w:lang w:eastAsia="sk-SK"/>
        </w:rPr>
        <w:t xml:space="preserve">Z celkovej hodnoty stavieb vykazuje </w:t>
      </w:r>
      <w:r w:rsidR="00A67A38">
        <w:rPr>
          <w:rFonts w:ascii="Times New Roman" w:hAnsi="Times New Roman"/>
          <w:szCs w:val="22"/>
          <w:lang w:eastAsia="sk-SK"/>
        </w:rPr>
        <w:t>ústredná správa 10 60</w:t>
      </w:r>
      <w:r w:rsidR="00E057BB">
        <w:rPr>
          <w:rFonts w:ascii="Times New Roman" w:hAnsi="Times New Roman"/>
          <w:szCs w:val="22"/>
          <w:lang w:eastAsia="sk-SK"/>
        </w:rPr>
        <w:t>6</w:t>
      </w:r>
      <w:r w:rsidR="00A67A38">
        <w:rPr>
          <w:rFonts w:ascii="Times New Roman" w:hAnsi="Times New Roman"/>
          <w:szCs w:val="22"/>
          <w:lang w:eastAsia="sk-SK"/>
        </w:rPr>
        <w:t xml:space="preserve"> </w:t>
      </w:r>
      <w:r w:rsidR="00E057BB">
        <w:rPr>
          <w:rFonts w:ascii="Times New Roman" w:hAnsi="Times New Roman"/>
          <w:szCs w:val="22"/>
          <w:lang w:eastAsia="sk-SK"/>
        </w:rPr>
        <w:t>68</w:t>
      </w:r>
      <w:r w:rsidR="00396F33">
        <w:rPr>
          <w:rFonts w:ascii="Times New Roman" w:hAnsi="Times New Roman"/>
          <w:szCs w:val="22"/>
          <w:lang w:eastAsia="sk-SK"/>
        </w:rPr>
        <w:t>6</w:t>
      </w:r>
      <w:r w:rsidR="00A67A38">
        <w:rPr>
          <w:rFonts w:ascii="Times New Roman" w:hAnsi="Times New Roman"/>
          <w:szCs w:val="22"/>
          <w:lang w:eastAsia="sk-SK"/>
        </w:rPr>
        <w:t xml:space="preserve"> tis. eur, z nej najmä Národná diaľničná spoločnosť, a.s. 5 763</w:t>
      </w:r>
      <w:r w:rsidR="00671B78">
        <w:rPr>
          <w:rFonts w:ascii="Times New Roman" w:hAnsi="Times New Roman"/>
          <w:szCs w:val="22"/>
          <w:lang w:eastAsia="sk-SK"/>
        </w:rPr>
        <w:t xml:space="preserve"> 438 </w:t>
      </w:r>
      <w:r w:rsidR="00A67A38">
        <w:rPr>
          <w:rFonts w:ascii="Times New Roman" w:hAnsi="Times New Roman"/>
          <w:szCs w:val="22"/>
          <w:lang w:eastAsia="sk-SK"/>
        </w:rPr>
        <w:t>tis. eur, Ministerstvo dopravy, výstavby a regionálneho rozvoja SR 1 061 916 tis. eur a Slovenská správa ciest 606 686 tis. eur. Subjekty územnej samosprávy vykázali zostatok stavieb za 9 031 41</w:t>
      </w:r>
      <w:r w:rsidR="00396F33">
        <w:rPr>
          <w:rFonts w:ascii="Times New Roman" w:hAnsi="Times New Roman"/>
          <w:szCs w:val="22"/>
          <w:lang w:eastAsia="sk-SK"/>
        </w:rPr>
        <w:t>2</w:t>
      </w:r>
      <w:r w:rsidR="00A67A38">
        <w:rPr>
          <w:rFonts w:ascii="Times New Roman" w:hAnsi="Times New Roman"/>
          <w:szCs w:val="22"/>
          <w:lang w:eastAsia="sk-SK"/>
        </w:rPr>
        <w:t xml:space="preserve"> tis. eur, z toho obce 7 831 802 tis. eur.</w:t>
      </w:r>
    </w:p>
    <w:p w:rsidR="00A67A38" w:rsidP="00802AE2">
      <w:pPr>
        <w:bidi w:val="0"/>
        <w:spacing w:before="120" w:after="120" w:line="336" w:lineRule="auto"/>
        <w:jc w:val="both"/>
        <w:rPr>
          <w:rFonts w:ascii="Times New Roman" w:hAnsi="Times New Roman"/>
          <w:szCs w:val="22"/>
          <w:lang w:eastAsia="sk-SK"/>
        </w:rPr>
      </w:pPr>
      <w:r>
        <w:rPr>
          <w:rFonts w:ascii="Times New Roman" w:hAnsi="Times New Roman"/>
          <w:szCs w:val="22"/>
          <w:lang w:eastAsia="sk-SK"/>
        </w:rPr>
        <w:t>Ostatné subjekty vykázali hodnotu stavieb za 5 007 659 tis. eur, z toho najviac ŽSR 1 953 978 tis. eur, Slovenský vodohospodársky podnik 1 028 764 tis. eur a Vodohospodár</w:t>
      </w:r>
      <w:r w:rsidR="00564E85">
        <w:rPr>
          <w:rFonts w:ascii="Times New Roman" w:hAnsi="Times New Roman"/>
          <w:szCs w:val="22"/>
          <w:lang w:eastAsia="sk-SK"/>
        </w:rPr>
        <w:t>ska výstavba, š.p. 833 956 tis. </w:t>
      </w:r>
      <w:r>
        <w:rPr>
          <w:rFonts w:ascii="Times New Roman" w:hAnsi="Times New Roman"/>
          <w:szCs w:val="22"/>
          <w:lang w:eastAsia="sk-SK"/>
        </w:rPr>
        <w:t>eur.</w:t>
      </w:r>
    </w:p>
    <w:p w:rsidR="00B21BDF" w:rsidRPr="0072101A" w:rsidP="0097612B">
      <w:pPr>
        <w:tabs>
          <w:tab w:val="num" w:pos="0"/>
        </w:tabs>
        <w:bidi w:val="0"/>
        <w:spacing w:before="180" w:after="0" w:line="336" w:lineRule="auto"/>
        <w:jc w:val="both"/>
        <w:rPr>
          <w:rFonts w:ascii="Times New Roman" w:hAnsi="Times New Roman"/>
          <w:i/>
          <w:szCs w:val="22"/>
          <w:u w:val="single"/>
          <w:lang w:eastAsia="sk-SK"/>
        </w:rPr>
      </w:pPr>
      <w:r w:rsidRPr="0072101A">
        <w:rPr>
          <w:rFonts w:ascii="Times New Roman" w:hAnsi="Times New Roman"/>
          <w:i/>
          <w:szCs w:val="22"/>
          <w:u w:val="single"/>
          <w:lang w:eastAsia="sk-SK"/>
        </w:rPr>
        <w:t>Pozemky</w:t>
      </w:r>
    </w:p>
    <w:p w:rsidR="00DB1BEA" w:rsidP="007C21FC">
      <w:pPr>
        <w:tabs>
          <w:tab w:val="num" w:pos="0"/>
        </w:tabs>
        <w:bidi w:val="0"/>
        <w:spacing w:before="120" w:after="0" w:line="336" w:lineRule="auto"/>
        <w:jc w:val="both"/>
        <w:rPr>
          <w:rFonts w:ascii="Times New Roman" w:hAnsi="Times New Roman"/>
          <w:szCs w:val="22"/>
          <w:lang w:eastAsia="sk-SK"/>
        </w:rPr>
      </w:pPr>
      <w:r w:rsidRPr="0072101A" w:rsidR="004F15EA">
        <w:rPr>
          <w:rFonts w:ascii="Times New Roman" w:hAnsi="Times New Roman"/>
          <w:szCs w:val="22"/>
          <w:lang w:eastAsia="sk-SK"/>
        </w:rPr>
        <w:t>Z hodnoty prírastku pozemkov oproti roku 201</w:t>
      </w:r>
      <w:r w:rsidR="00E0485A">
        <w:rPr>
          <w:rFonts w:ascii="Times New Roman" w:hAnsi="Times New Roman"/>
          <w:szCs w:val="22"/>
          <w:lang w:eastAsia="sk-SK"/>
        </w:rPr>
        <w:t>4</w:t>
      </w:r>
      <w:r w:rsidRPr="0072101A" w:rsidR="00E84443">
        <w:rPr>
          <w:rFonts w:ascii="Times New Roman" w:hAnsi="Times New Roman"/>
          <w:szCs w:val="22"/>
          <w:lang w:eastAsia="sk-SK"/>
        </w:rPr>
        <w:t xml:space="preserve"> </w:t>
      </w:r>
      <w:r w:rsidRPr="0072101A" w:rsidR="004F15EA">
        <w:rPr>
          <w:rFonts w:ascii="Times New Roman" w:hAnsi="Times New Roman"/>
          <w:szCs w:val="22"/>
          <w:lang w:eastAsia="sk-SK"/>
        </w:rPr>
        <w:t>(</w:t>
      </w:r>
      <w:r w:rsidR="00E0485A">
        <w:rPr>
          <w:rFonts w:ascii="Times New Roman" w:hAnsi="Times New Roman"/>
          <w:szCs w:val="22"/>
          <w:lang w:eastAsia="sk-SK"/>
        </w:rPr>
        <w:t>35</w:t>
      </w:r>
      <w:r w:rsidRPr="0072101A" w:rsidR="004F15EA">
        <w:rPr>
          <w:rFonts w:ascii="Times New Roman" w:hAnsi="Times New Roman"/>
          <w:szCs w:val="22"/>
          <w:lang w:eastAsia="sk-SK"/>
        </w:rPr>
        <w:t>5 </w:t>
      </w:r>
      <w:r w:rsidR="00E0485A">
        <w:rPr>
          <w:rFonts w:ascii="Times New Roman" w:hAnsi="Times New Roman"/>
          <w:szCs w:val="22"/>
          <w:lang w:eastAsia="sk-SK"/>
        </w:rPr>
        <w:t>995</w:t>
      </w:r>
      <w:r w:rsidRPr="0072101A" w:rsidR="004F15EA">
        <w:rPr>
          <w:rFonts w:ascii="Times New Roman" w:hAnsi="Times New Roman"/>
          <w:szCs w:val="22"/>
          <w:lang w:eastAsia="sk-SK"/>
        </w:rPr>
        <w:t xml:space="preserve"> tis. eur) </w:t>
      </w:r>
      <w:r w:rsidRPr="0072101A" w:rsidR="00E84443">
        <w:rPr>
          <w:rFonts w:ascii="Times New Roman" w:hAnsi="Times New Roman"/>
          <w:szCs w:val="22"/>
          <w:lang w:eastAsia="sk-SK"/>
        </w:rPr>
        <w:t>zaznamenal</w:t>
      </w:r>
      <w:r w:rsidRPr="0072101A" w:rsidR="004F15EA">
        <w:rPr>
          <w:rFonts w:ascii="Times New Roman" w:hAnsi="Times New Roman"/>
          <w:szCs w:val="22"/>
          <w:lang w:eastAsia="sk-SK"/>
        </w:rPr>
        <w:t>a</w:t>
      </w:r>
      <w:r w:rsidRPr="0072101A" w:rsidR="00E84443">
        <w:rPr>
          <w:rFonts w:ascii="Times New Roman" w:hAnsi="Times New Roman"/>
          <w:szCs w:val="22"/>
          <w:lang w:eastAsia="sk-SK"/>
        </w:rPr>
        <w:t xml:space="preserve"> ústredná správa</w:t>
      </w:r>
      <w:r w:rsidRPr="0072101A" w:rsidR="008E7060">
        <w:rPr>
          <w:rFonts w:ascii="Times New Roman" w:hAnsi="Times New Roman"/>
          <w:szCs w:val="22"/>
          <w:lang w:eastAsia="sk-SK"/>
        </w:rPr>
        <w:br/>
      </w:r>
      <w:r w:rsidR="001963C7">
        <w:rPr>
          <w:rFonts w:ascii="Times New Roman" w:hAnsi="Times New Roman"/>
          <w:szCs w:val="22"/>
          <w:lang w:eastAsia="sk-SK"/>
        </w:rPr>
        <w:t>194 033</w:t>
      </w:r>
      <w:r w:rsidRPr="0072101A" w:rsidR="00E84443">
        <w:rPr>
          <w:rFonts w:ascii="Times New Roman" w:hAnsi="Times New Roman"/>
          <w:szCs w:val="22"/>
          <w:lang w:eastAsia="sk-SK"/>
        </w:rPr>
        <w:t xml:space="preserve"> tis. eur, ostatné subjekty </w:t>
      </w:r>
      <w:r w:rsidR="004C3E74">
        <w:rPr>
          <w:rFonts w:ascii="Times New Roman" w:hAnsi="Times New Roman"/>
          <w:szCs w:val="22"/>
          <w:lang w:eastAsia="sk-SK"/>
        </w:rPr>
        <w:t>63 674</w:t>
      </w:r>
      <w:r w:rsidRPr="0072101A" w:rsidR="007B6904">
        <w:rPr>
          <w:rFonts w:ascii="Times New Roman" w:hAnsi="Times New Roman"/>
          <w:szCs w:val="22"/>
          <w:lang w:eastAsia="sk-SK"/>
        </w:rPr>
        <w:t xml:space="preserve"> tis. eur</w:t>
      </w:r>
      <w:r w:rsidRPr="0072101A" w:rsidR="008E7060">
        <w:rPr>
          <w:rFonts w:ascii="Times New Roman" w:hAnsi="Times New Roman"/>
          <w:szCs w:val="22"/>
          <w:lang w:eastAsia="sk-SK"/>
        </w:rPr>
        <w:t xml:space="preserve"> a územná samospráva </w:t>
      </w:r>
      <w:r w:rsidR="004C3E74">
        <w:rPr>
          <w:rFonts w:ascii="Times New Roman" w:hAnsi="Times New Roman"/>
          <w:szCs w:val="22"/>
          <w:lang w:eastAsia="sk-SK"/>
        </w:rPr>
        <w:t>98 288</w:t>
      </w:r>
      <w:r w:rsidRPr="0072101A" w:rsidR="008E7060">
        <w:rPr>
          <w:rFonts w:ascii="Times New Roman" w:hAnsi="Times New Roman"/>
          <w:szCs w:val="22"/>
          <w:lang w:eastAsia="sk-SK"/>
        </w:rPr>
        <w:t xml:space="preserve"> tis. eur</w:t>
      </w:r>
      <w:r w:rsidRPr="0072101A" w:rsidR="009071F5">
        <w:rPr>
          <w:rFonts w:ascii="Times New Roman" w:hAnsi="Times New Roman"/>
          <w:szCs w:val="22"/>
          <w:lang w:eastAsia="sk-SK"/>
        </w:rPr>
        <w:t>.</w:t>
      </w:r>
      <w:r w:rsidRPr="0072101A" w:rsidR="007B6904">
        <w:rPr>
          <w:rFonts w:ascii="Times New Roman" w:hAnsi="Times New Roman"/>
          <w:szCs w:val="22"/>
          <w:lang w:eastAsia="sk-SK"/>
        </w:rPr>
        <w:t xml:space="preserve"> V ústredne</w:t>
      </w:r>
      <w:r w:rsidRPr="0072101A" w:rsidR="006632D0">
        <w:rPr>
          <w:rFonts w:ascii="Times New Roman" w:hAnsi="Times New Roman"/>
          <w:szCs w:val="22"/>
          <w:lang w:eastAsia="sk-SK"/>
        </w:rPr>
        <w:t>j</w:t>
      </w:r>
      <w:r w:rsidRPr="0072101A" w:rsidR="007B6904">
        <w:rPr>
          <w:rFonts w:ascii="Times New Roman" w:hAnsi="Times New Roman"/>
          <w:szCs w:val="22"/>
          <w:lang w:eastAsia="sk-SK"/>
        </w:rPr>
        <w:t xml:space="preserve"> správe zaznamenal</w:t>
      </w:r>
      <w:r w:rsidR="005C45A8">
        <w:rPr>
          <w:rFonts w:ascii="Times New Roman" w:hAnsi="Times New Roman"/>
          <w:szCs w:val="22"/>
          <w:lang w:eastAsia="sk-SK"/>
        </w:rPr>
        <w:t>a</w:t>
      </w:r>
      <w:r w:rsidRPr="0072101A" w:rsidR="007B6904">
        <w:rPr>
          <w:rFonts w:ascii="Times New Roman" w:hAnsi="Times New Roman"/>
          <w:szCs w:val="22"/>
          <w:lang w:eastAsia="sk-SK"/>
        </w:rPr>
        <w:t xml:space="preserve"> najvyšší prírastok</w:t>
      </w:r>
      <w:r w:rsidRPr="0072101A" w:rsidR="00E0218C">
        <w:rPr>
          <w:rFonts w:ascii="Times New Roman" w:hAnsi="Times New Roman"/>
          <w:szCs w:val="22"/>
          <w:lang w:eastAsia="sk-SK"/>
        </w:rPr>
        <w:t xml:space="preserve"> </w:t>
      </w:r>
      <w:r w:rsidRPr="006E4570" w:rsidR="007B6904">
        <w:rPr>
          <w:rFonts w:ascii="Times New Roman" w:hAnsi="Times New Roman"/>
          <w:szCs w:val="22"/>
          <w:lang w:eastAsia="sk-SK"/>
        </w:rPr>
        <w:t>Národná diaľničná spoločnosť, a.s.</w:t>
      </w:r>
      <w:r w:rsidRPr="006E4570" w:rsidR="006E4570">
        <w:rPr>
          <w:rFonts w:ascii="Times New Roman" w:hAnsi="Times New Roman"/>
          <w:szCs w:val="22"/>
          <w:lang w:eastAsia="sk-SK"/>
        </w:rPr>
        <w:t xml:space="preserve"> (126 583 tis. eur)</w:t>
      </w:r>
      <w:r w:rsidRPr="006E4570" w:rsidR="007C21FC">
        <w:rPr>
          <w:rFonts w:ascii="Times New Roman" w:hAnsi="Times New Roman"/>
          <w:szCs w:val="22"/>
          <w:lang w:eastAsia="sk-SK"/>
        </w:rPr>
        <w:t xml:space="preserve"> z dôvodu </w:t>
      </w:r>
      <w:r w:rsidRPr="006E4570" w:rsidR="004B50C5">
        <w:rPr>
          <w:rFonts w:ascii="Times New Roman" w:hAnsi="Times New Roman"/>
          <w:szCs w:val="22"/>
          <w:lang w:eastAsia="sk-SK"/>
        </w:rPr>
        <w:t>vykúpených</w:t>
      </w:r>
      <w:r w:rsidRPr="006E4570" w:rsidR="007C21FC">
        <w:rPr>
          <w:rFonts w:ascii="Times New Roman" w:hAnsi="Times New Roman"/>
          <w:szCs w:val="22"/>
          <w:lang w:eastAsia="sk-SK"/>
        </w:rPr>
        <w:t xml:space="preserve"> pozemkov pod budúcou infraštruktúrou</w:t>
      </w:r>
      <w:r w:rsidRPr="006E4570" w:rsidR="006E4570">
        <w:rPr>
          <w:rFonts w:ascii="Times New Roman" w:hAnsi="Times New Roman"/>
          <w:szCs w:val="22"/>
          <w:lang w:eastAsia="sk-SK"/>
        </w:rPr>
        <w:t xml:space="preserve"> diaľnice D4 a rýchlostnej cesty R7</w:t>
      </w:r>
      <w:r w:rsidRPr="006E4570" w:rsidR="00B010B4">
        <w:rPr>
          <w:rFonts w:ascii="Times New Roman" w:hAnsi="Times New Roman"/>
          <w:szCs w:val="22"/>
          <w:lang w:eastAsia="sk-SK"/>
        </w:rPr>
        <w:t xml:space="preserve">, spoločnosť MH Invest, s.r.o. z dôvodu nových pozemkov pre investičné parky </w:t>
      </w:r>
      <w:r w:rsidR="00E6576F">
        <w:rPr>
          <w:rFonts w:ascii="Times New Roman" w:hAnsi="Times New Roman"/>
          <w:szCs w:val="22"/>
          <w:lang w:eastAsia="sk-SK"/>
        </w:rPr>
        <w:t xml:space="preserve">v  oblasti </w:t>
      </w:r>
      <w:r w:rsidR="0084626D">
        <w:rPr>
          <w:rFonts w:ascii="Times New Roman" w:hAnsi="Times New Roman"/>
          <w:szCs w:val="22"/>
          <w:lang w:eastAsia="sk-SK"/>
        </w:rPr>
        <w:t xml:space="preserve">mesta Nitra </w:t>
      </w:r>
      <w:r w:rsidR="00564E85">
        <w:rPr>
          <w:rFonts w:ascii="Times New Roman" w:hAnsi="Times New Roman"/>
          <w:szCs w:val="22"/>
          <w:lang w:eastAsia="sk-SK"/>
        </w:rPr>
        <w:t>(51 512 tis. </w:t>
      </w:r>
      <w:r w:rsidRPr="006E4570" w:rsidR="00B010B4">
        <w:rPr>
          <w:rFonts w:ascii="Times New Roman" w:hAnsi="Times New Roman"/>
          <w:szCs w:val="22"/>
          <w:lang w:eastAsia="sk-SK"/>
        </w:rPr>
        <w:t>eur)</w:t>
      </w:r>
      <w:r w:rsidRPr="006E4570">
        <w:rPr>
          <w:rFonts w:ascii="Times New Roman" w:hAnsi="Times New Roman"/>
          <w:szCs w:val="22"/>
          <w:lang w:eastAsia="sk-SK"/>
        </w:rPr>
        <w:t xml:space="preserve">. </w:t>
      </w:r>
      <w:r w:rsidRPr="006E4570" w:rsidR="006632D0">
        <w:rPr>
          <w:rFonts w:ascii="Times New Roman" w:hAnsi="Times New Roman"/>
          <w:szCs w:val="22"/>
          <w:lang w:eastAsia="sk-SK"/>
        </w:rPr>
        <w:t xml:space="preserve">Z ostatných subjektov vykazuje významný prírastok </w:t>
      </w:r>
      <w:r w:rsidRPr="006E4570">
        <w:rPr>
          <w:rFonts w:ascii="Times New Roman" w:hAnsi="Times New Roman"/>
          <w:szCs w:val="22"/>
          <w:lang w:eastAsia="sk-SK"/>
        </w:rPr>
        <w:t>štátny podnik Slovenský vodohospodársky podnik (36 206 tis. eur) a Železnice Slovenskej republiky (17 305 tis. eur).</w:t>
      </w:r>
    </w:p>
    <w:p w:rsidR="005C45A8" w:rsidP="005C45A8">
      <w:pPr>
        <w:bidi w:val="0"/>
        <w:spacing w:before="120" w:after="120" w:line="336" w:lineRule="auto"/>
        <w:jc w:val="both"/>
        <w:rPr>
          <w:rFonts w:ascii="Times New Roman" w:hAnsi="Times New Roman"/>
          <w:szCs w:val="22"/>
          <w:lang w:eastAsia="sk-SK"/>
        </w:rPr>
      </w:pPr>
      <w:r>
        <w:rPr>
          <w:rFonts w:ascii="Times New Roman" w:hAnsi="Times New Roman"/>
          <w:szCs w:val="22"/>
          <w:lang w:eastAsia="sk-SK"/>
        </w:rPr>
        <w:t xml:space="preserve">Z celkovej hodnoty pozemkov vykazuje ústredná správa 2 6012 565 tis. eur, z nej najmä Národná diaľničná spoločnosť, a.s. </w:t>
      </w:r>
      <w:r w:rsidR="00671B78">
        <w:rPr>
          <w:rFonts w:ascii="Times New Roman" w:hAnsi="Times New Roman"/>
          <w:szCs w:val="22"/>
          <w:lang w:eastAsia="sk-SK"/>
        </w:rPr>
        <w:t>810 644</w:t>
      </w:r>
      <w:r>
        <w:rPr>
          <w:rFonts w:ascii="Times New Roman" w:hAnsi="Times New Roman"/>
          <w:szCs w:val="22"/>
          <w:lang w:eastAsia="sk-SK"/>
        </w:rPr>
        <w:t xml:space="preserve"> tis. eur, </w:t>
      </w:r>
      <w:r w:rsidR="00671B78">
        <w:rPr>
          <w:rFonts w:ascii="Times New Roman" w:hAnsi="Times New Roman"/>
          <w:szCs w:val="22"/>
          <w:lang w:eastAsia="sk-SK"/>
        </w:rPr>
        <w:t xml:space="preserve">Verejné prístavy, a.s. 587 975 tis. eur. </w:t>
      </w:r>
      <w:r>
        <w:rPr>
          <w:rFonts w:ascii="Times New Roman" w:hAnsi="Times New Roman"/>
          <w:szCs w:val="22"/>
          <w:lang w:eastAsia="sk-SK"/>
        </w:rPr>
        <w:t>Subjekty územnej samosprávy vykázali zostatok stavieb za 4 688 425 tis. eur, z toho obce 4 429 658 tis. eur.</w:t>
      </w:r>
    </w:p>
    <w:p w:rsidR="005C45A8" w:rsidP="005C45A8">
      <w:pPr>
        <w:bidi w:val="0"/>
        <w:spacing w:before="120" w:after="120" w:line="336" w:lineRule="auto"/>
        <w:jc w:val="both"/>
        <w:rPr>
          <w:rFonts w:ascii="Times New Roman" w:hAnsi="Times New Roman"/>
          <w:szCs w:val="22"/>
          <w:lang w:eastAsia="sk-SK"/>
        </w:rPr>
      </w:pPr>
      <w:r>
        <w:rPr>
          <w:rFonts w:ascii="Times New Roman" w:hAnsi="Times New Roman"/>
          <w:szCs w:val="22"/>
          <w:lang w:eastAsia="sk-SK"/>
        </w:rPr>
        <w:t xml:space="preserve">Ostatné subjekty vykázali hodnotu stavieb za 1 822 195 tis. eur, z toho najviac </w:t>
      </w:r>
      <w:r w:rsidR="00564E85">
        <w:rPr>
          <w:rFonts w:ascii="Times New Roman" w:hAnsi="Times New Roman"/>
          <w:szCs w:val="22"/>
          <w:lang w:eastAsia="sk-SK"/>
        </w:rPr>
        <w:t>Lesy SR 523 041 tis. </w:t>
      </w:r>
      <w:r w:rsidR="00E602BE">
        <w:rPr>
          <w:rFonts w:ascii="Times New Roman" w:hAnsi="Times New Roman"/>
          <w:szCs w:val="22"/>
          <w:lang w:eastAsia="sk-SK"/>
        </w:rPr>
        <w:t xml:space="preserve">eur, </w:t>
      </w:r>
      <w:r>
        <w:rPr>
          <w:rFonts w:ascii="Times New Roman" w:hAnsi="Times New Roman"/>
          <w:szCs w:val="22"/>
          <w:lang w:eastAsia="sk-SK"/>
        </w:rPr>
        <w:t xml:space="preserve">ŽSR </w:t>
      </w:r>
      <w:r w:rsidR="00E602BE">
        <w:rPr>
          <w:rFonts w:ascii="Times New Roman" w:hAnsi="Times New Roman"/>
          <w:szCs w:val="22"/>
          <w:lang w:eastAsia="sk-SK"/>
        </w:rPr>
        <w:t>490 435</w:t>
      </w:r>
      <w:r>
        <w:rPr>
          <w:rFonts w:ascii="Times New Roman" w:hAnsi="Times New Roman"/>
          <w:szCs w:val="22"/>
          <w:lang w:eastAsia="sk-SK"/>
        </w:rPr>
        <w:t xml:space="preserve"> tis. eur, </w:t>
      </w:r>
      <w:r w:rsidR="00E602BE">
        <w:rPr>
          <w:rFonts w:ascii="Times New Roman" w:hAnsi="Times New Roman"/>
          <w:szCs w:val="22"/>
          <w:lang w:eastAsia="sk-SK"/>
        </w:rPr>
        <w:t xml:space="preserve">Slovenský pozemkový fond 295 828 tis. eur a </w:t>
      </w:r>
      <w:r>
        <w:rPr>
          <w:rFonts w:ascii="Times New Roman" w:hAnsi="Times New Roman"/>
          <w:szCs w:val="22"/>
          <w:lang w:eastAsia="sk-SK"/>
        </w:rPr>
        <w:t xml:space="preserve">Slovenský vodohospodársky podnik </w:t>
      </w:r>
      <w:r w:rsidR="00E602BE">
        <w:rPr>
          <w:rFonts w:ascii="Times New Roman" w:hAnsi="Times New Roman"/>
          <w:szCs w:val="22"/>
          <w:lang w:eastAsia="sk-SK"/>
        </w:rPr>
        <w:t>257 478</w:t>
      </w:r>
      <w:r>
        <w:rPr>
          <w:rFonts w:ascii="Times New Roman" w:hAnsi="Times New Roman"/>
          <w:szCs w:val="22"/>
          <w:lang w:eastAsia="sk-SK"/>
        </w:rPr>
        <w:t xml:space="preserve"> tis. eur</w:t>
      </w:r>
      <w:r w:rsidR="00E602BE">
        <w:rPr>
          <w:rFonts w:ascii="Times New Roman" w:hAnsi="Times New Roman"/>
          <w:szCs w:val="22"/>
          <w:lang w:eastAsia="sk-SK"/>
        </w:rPr>
        <w:t>.</w:t>
      </w:r>
      <w:r>
        <w:rPr>
          <w:rFonts w:ascii="Times New Roman" w:hAnsi="Times New Roman"/>
          <w:szCs w:val="22"/>
          <w:lang w:eastAsia="sk-SK"/>
        </w:rPr>
        <w:t xml:space="preserve"> </w:t>
      </w:r>
    </w:p>
    <w:p w:rsidR="00B21BDF" w:rsidRPr="0072101A" w:rsidP="002D1D3F">
      <w:pPr>
        <w:bidi w:val="0"/>
        <w:spacing w:before="120" w:after="120" w:line="336" w:lineRule="auto"/>
        <w:jc w:val="both"/>
        <w:rPr>
          <w:rFonts w:ascii="Times New Roman" w:hAnsi="Times New Roman"/>
          <w:i/>
          <w:szCs w:val="22"/>
          <w:u w:val="single"/>
          <w:lang w:eastAsia="sk-SK"/>
        </w:rPr>
      </w:pPr>
      <w:r w:rsidRPr="0072101A">
        <w:rPr>
          <w:rFonts w:ascii="Times New Roman" w:hAnsi="Times New Roman"/>
          <w:i/>
          <w:szCs w:val="22"/>
          <w:u w:val="single"/>
          <w:lang w:eastAsia="sk-SK"/>
        </w:rPr>
        <w:t>Obstaranie dlhodobého hmotného majetku</w:t>
      </w:r>
    </w:p>
    <w:p w:rsidR="000F2DBC" w:rsidRPr="0072101A" w:rsidP="002D1D3F">
      <w:pPr>
        <w:bidi w:val="0"/>
        <w:spacing w:before="120" w:after="120" w:line="336" w:lineRule="auto"/>
        <w:jc w:val="both"/>
        <w:rPr>
          <w:rFonts w:ascii="Times New Roman" w:hAnsi="Times New Roman"/>
          <w:szCs w:val="22"/>
          <w:lang w:eastAsia="sk-SK"/>
        </w:rPr>
      </w:pPr>
      <w:r w:rsidRPr="0072101A" w:rsidR="002D6290">
        <w:rPr>
          <w:rFonts w:ascii="Times New Roman" w:hAnsi="Times New Roman"/>
          <w:szCs w:val="22"/>
          <w:lang w:eastAsia="sk-SK"/>
        </w:rPr>
        <w:t>Hodnota obstarania nového dlhodobého hmotného maj</w:t>
      </w:r>
      <w:r w:rsidRPr="0072101A" w:rsidR="00ED0829">
        <w:rPr>
          <w:rFonts w:ascii="Times New Roman" w:hAnsi="Times New Roman"/>
          <w:szCs w:val="22"/>
          <w:lang w:eastAsia="sk-SK"/>
        </w:rPr>
        <w:t>etku</w:t>
      </w:r>
      <w:r w:rsidRPr="0072101A" w:rsidR="007B3693">
        <w:rPr>
          <w:rFonts w:ascii="Times New Roman" w:hAnsi="Times New Roman"/>
          <w:szCs w:val="22"/>
          <w:lang w:eastAsia="sk-SK"/>
        </w:rPr>
        <w:t xml:space="preserve"> (zatiaľ nezaradeného do používania)</w:t>
      </w:r>
      <w:r w:rsidRPr="0072101A" w:rsidR="00ED0829">
        <w:rPr>
          <w:rFonts w:ascii="Times New Roman" w:hAnsi="Times New Roman"/>
          <w:szCs w:val="22"/>
          <w:lang w:eastAsia="sk-SK"/>
        </w:rPr>
        <w:t xml:space="preserve"> k 31.12.</w:t>
      </w:r>
      <w:r w:rsidRPr="0072101A" w:rsidR="00EE7F81">
        <w:rPr>
          <w:rFonts w:ascii="Times New Roman" w:hAnsi="Times New Roman"/>
          <w:szCs w:val="22"/>
          <w:lang w:eastAsia="sk-SK"/>
        </w:rPr>
        <w:t>201</w:t>
      </w:r>
      <w:r w:rsidR="00B92CEE">
        <w:rPr>
          <w:rFonts w:ascii="Times New Roman" w:hAnsi="Times New Roman"/>
          <w:szCs w:val="22"/>
          <w:lang w:eastAsia="sk-SK"/>
        </w:rPr>
        <w:t>5</w:t>
      </w:r>
      <w:r w:rsidRPr="0072101A" w:rsidR="00EE7F81">
        <w:rPr>
          <w:rFonts w:ascii="Times New Roman" w:hAnsi="Times New Roman"/>
          <w:szCs w:val="22"/>
          <w:lang w:eastAsia="sk-SK"/>
        </w:rPr>
        <w:t xml:space="preserve"> </w:t>
      </w:r>
      <w:r w:rsidRPr="0072101A" w:rsidR="00ED0829">
        <w:rPr>
          <w:rFonts w:ascii="Times New Roman" w:hAnsi="Times New Roman"/>
          <w:szCs w:val="22"/>
          <w:lang w:eastAsia="sk-SK"/>
        </w:rPr>
        <w:t>bola</w:t>
      </w:r>
      <w:r w:rsidRPr="0072101A" w:rsidR="00526D6E">
        <w:rPr>
          <w:rFonts w:ascii="Times New Roman" w:hAnsi="Times New Roman"/>
          <w:szCs w:val="22"/>
          <w:lang w:eastAsia="sk-SK"/>
        </w:rPr>
        <w:t xml:space="preserve"> </w:t>
      </w:r>
      <w:r w:rsidR="00B92CEE">
        <w:rPr>
          <w:rFonts w:ascii="Times New Roman" w:hAnsi="Times New Roman"/>
          <w:szCs w:val="22"/>
          <w:lang w:eastAsia="sk-SK"/>
        </w:rPr>
        <w:t>4 338 520</w:t>
      </w:r>
      <w:r w:rsidRPr="0072101A" w:rsidR="00E0218C">
        <w:rPr>
          <w:rFonts w:ascii="Times New Roman" w:hAnsi="Times New Roman"/>
          <w:szCs w:val="22"/>
          <w:lang w:eastAsia="sk-SK"/>
        </w:rPr>
        <w:t xml:space="preserve"> tis. eur, čo znamená medziročný prírastok v hodnote </w:t>
      </w:r>
      <w:r w:rsidR="00B92CEE">
        <w:rPr>
          <w:rFonts w:ascii="Times New Roman" w:hAnsi="Times New Roman"/>
          <w:szCs w:val="22"/>
          <w:lang w:eastAsia="sk-SK"/>
        </w:rPr>
        <w:t>240 816</w:t>
      </w:r>
      <w:r w:rsidRPr="0072101A" w:rsidR="00E0218C">
        <w:rPr>
          <w:rFonts w:ascii="Times New Roman" w:hAnsi="Times New Roman"/>
          <w:szCs w:val="22"/>
          <w:lang w:eastAsia="sk-SK"/>
        </w:rPr>
        <w:t xml:space="preserve"> tis. eur</w:t>
      </w:r>
      <w:r w:rsidRPr="0072101A" w:rsidR="002D6290">
        <w:rPr>
          <w:rFonts w:ascii="Times New Roman" w:hAnsi="Times New Roman"/>
          <w:szCs w:val="22"/>
          <w:lang w:eastAsia="sk-SK"/>
        </w:rPr>
        <w:t>.</w:t>
      </w:r>
      <w:r w:rsidRPr="0072101A">
        <w:rPr>
          <w:rFonts w:ascii="Times New Roman" w:hAnsi="Times New Roman"/>
          <w:szCs w:val="22"/>
          <w:lang w:eastAsia="sk-SK"/>
        </w:rPr>
        <w:t xml:space="preserve"> </w:t>
      </w:r>
    </w:p>
    <w:p w:rsidR="002D1D3F" w:rsidRPr="0072101A" w:rsidP="002D1D3F">
      <w:pPr>
        <w:bidi w:val="0"/>
        <w:spacing w:before="120" w:after="120" w:line="336" w:lineRule="auto"/>
        <w:jc w:val="both"/>
        <w:rPr>
          <w:rFonts w:ascii="Times New Roman" w:hAnsi="Times New Roman"/>
          <w:szCs w:val="22"/>
          <w:lang w:eastAsia="sk-SK"/>
        </w:rPr>
      </w:pPr>
      <w:r w:rsidRPr="0072101A" w:rsidR="007B3693">
        <w:rPr>
          <w:rFonts w:ascii="Times New Roman" w:hAnsi="Times New Roman"/>
          <w:szCs w:val="22"/>
          <w:lang w:eastAsia="sk-SK"/>
        </w:rPr>
        <w:t xml:space="preserve">Z </w:t>
      </w:r>
      <w:r w:rsidRPr="0072101A" w:rsidR="000F6852">
        <w:rPr>
          <w:rFonts w:ascii="Times New Roman" w:hAnsi="Times New Roman"/>
          <w:szCs w:val="22"/>
          <w:lang w:eastAsia="sk-SK"/>
        </w:rPr>
        <w:t>celkovej</w:t>
      </w:r>
      <w:r w:rsidRPr="0072101A" w:rsidR="007B3693">
        <w:rPr>
          <w:rFonts w:ascii="Times New Roman" w:hAnsi="Times New Roman"/>
          <w:szCs w:val="22"/>
          <w:lang w:eastAsia="sk-SK"/>
        </w:rPr>
        <w:t xml:space="preserve"> sumy </w:t>
      </w:r>
      <w:r w:rsidRPr="0072101A" w:rsidR="000F6852">
        <w:rPr>
          <w:rFonts w:ascii="Times New Roman" w:hAnsi="Times New Roman"/>
          <w:szCs w:val="22"/>
          <w:lang w:eastAsia="sk-SK"/>
        </w:rPr>
        <w:t xml:space="preserve">tejto položky majetku </w:t>
      </w:r>
      <w:r w:rsidRPr="0072101A" w:rsidR="007B3693">
        <w:rPr>
          <w:rFonts w:ascii="Times New Roman" w:hAnsi="Times New Roman"/>
          <w:szCs w:val="22"/>
          <w:lang w:eastAsia="sk-SK"/>
        </w:rPr>
        <w:t>vykázali o</w:t>
      </w:r>
      <w:r w:rsidRPr="0072101A" w:rsidR="002D6290">
        <w:rPr>
          <w:rFonts w:ascii="Times New Roman" w:hAnsi="Times New Roman"/>
          <w:szCs w:val="22"/>
          <w:lang w:eastAsia="sk-SK"/>
        </w:rPr>
        <w:t>rgan</w:t>
      </w:r>
      <w:r w:rsidRPr="0072101A" w:rsidR="007B3693">
        <w:rPr>
          <w:rFonts w:ascii="Times New Roman" w:hAnsi="Times New Roman"/>
          <w:szCs w:val="22"/>
          <w:lang w:eastAsia="sk-SK"/>
        </w:rPr>
        <w:t>izácie ústrednej štátnej správy</w:t>
      </w:r>
      <w:r w:rsidRPr="0072101A" w:rsidR="0083378A">
        <w:rPr>
          <w:rFonts w:ascii="Times New Roman" w:hAnsi="Times New Roman"/>
          <w:szCs w:val="22"/>
          <w:lang w:eastAsia="sk-SK"/>
        </w:rPr>
        <w:br/>
      </w:r>
      <w:r w:rsidRPr="0072101A" w:rsidR="00803FB2">
        <w:rPr>
          <w:rFonts w:ascii="Times New Roman" w:hAnsi="Times New Roman"/>
          <w:szCs w:val="22"/>
          <w:lang w:eastAsia="sk-SK"/>
        </w:rPr>
        <w:t>2 </w:t>
      </w:r>
      <w:r w:rsidR="00755B8A">
        <w:rPr>
          <w:rFonts w:ascii="Times New Roman" w:hAnsi="Times New Roman"/>
          <w:szCs w:val="22"/>
          <w:lang w:eastAsia="sk-SK"/>
        </w:rPr>
        <w:t>182</w:t>
      </w:r>
      <w:r w:rsidRPr="0072101A" w:rsidR="00803FB2">
        <w:rPr>
          <w:rFonts w:ascii="Times New Roman" w:hAnsi="Times New Roman"/>
          <w:szCs w:val="22"/>
          <w:lang w:eastAsia="sk-SK"/>
        </w:rPr>
        <w:t xml:space="preserve"> </w:t>
      </w:r>
      <w:r w:rsidR="00755B8A">
        <w:rPr>
          <w:rFonts w:ascii="Times New Roman" w:hAnsi="Times New Roman"/>
          <w:szCs w:val="22"/>
          <w:lang w:eastAsia="sk-SK"/>
        </w:rPr>
        <w:t>464</w:t>
      </w:r>
      <w:r w:rsidRPr="0072101A" w:rsidR="002D6290">
        <w:rPr>
          <w:rFonts w:ascii="Times New Roman" w:hAnsi="Times New Roman"/>
          <w:szCs w:val="22"/>
          <w:lang w:eastAsia="sk-SK"/>
        </w:rPr>
        <w:t xml:space="preserve"> </w:t>
      </w:r>
      <w:r w:rsidRPr="0072101A" w:rsidR="00ED0829">
        <w:rPr>
          <w:rFonts w:ascii="Times New Roman" w:hAnsi="Times New Roman"/>
          <w:szCs w:val="22"/>
          <w:lang w:eastAsia="sk-SK"/>
        </w:rPr>
        <w:t>tis</w:t>
      </w:r>
      <w:r w:rsidRPr="0072101A" w:rsidR="002D6290">
        <w:rPr>
          <w:rFonts w:ascii="Times New Roman" w:hAnsi="Times New Roman"/>
          <w:szCs w:val="22"/>
          <w:lang w:eastAsia="sk-SK"/>
        </w:rPr>
        <w:t>. eur, územná samospráva</w:t>
      </w:r>
      <w:r w:rsidRPr="0072101A" w:rsidR="007B3693">
        <w:rPr>
          <w:rFonts w:ascii="Times New Roman" w:hAnsi="Times New Roman"/>
          <w:szCs w:val="22"/>
          <w:lang w:eastAsia="sk-SK"/>
        </w:rPr>
        <w:t xml:space="preserve"> </w:t>
      </w:r>
      <w:r w:rsidRPr="0072101A" w:rsidR="00EE7F81">
        <w:rPr>
          <w:rFonts w:ascii="Times New Roman" w:hAnsi="Times New Roman"/>
          <w:szCs w:val="22"/>
          <w:lang w:eastAsia="sk-SK"/>
        </w:rPr>
        <w:t>1</w:t>
      </w:r>
      <w:r w:rsidR="00755B8A">
        <w:rPr>
          <w:rFonts w:ascii="Times New Roman" w:hAnsi="Times New Roman"/>
          <w:szCs w:val="22"/>
          <w:lang w:eastAsia="sk-SK"/>
        </w:rPr>
        <w:t> 235 416</w:t>
      </w:r>
      <w:r w:rsidRPr="0072101A" w:rsidR="002D6290">
        <w:rPr>
          <w:rFonts w:ascii="Times New Roman" w:hAnsi="Times New Roman"/>
          <w:szCs w:val="22"/>
          <w:lang w:eastAsia="sk-SK"/>
        </w:rPr>
        <w:t xml:space="preserve"> </w:t>
      </w:r>
      <w:r w:rsidRPr="0072101A" w:rsidR="00ED0829">
        <w:rPr>
          <w:rFonts w:ascii="Times New Roman" w:hAnsi="Times New Roman"/>
          <w:szCs w:val="22"/>
          <w:lang w:eastAsia="sk-SK"/>
        </w:rPr>
        <w:t>tis</w:t>
      </w:r>
      <w:r w:rsidRPr="0072101A" w:rsidR="002D6290">
        <w:rPr>
          <w:rFonts w:ascii="Times New Roman" w:hAnsi="Times New Roman"/>
          <w:szCs w:val="22"/>
          <w:lang w:eastAsia="sk-SK"/>
        </w:rPr>
        <w:t xml:space="preserve">. eur a ostatné subjekty </w:t>
      </w:r>
      <w:r w:rsidR="00755B8A">
        <w:rPr>
          <w:rFonts w:ascii="Times New Roman" w:hAnsi="Times New Roman"/>
          <w:szCs w:val="22"/>
          <w:lang w:eastAsia="sk-SK"/>
        </w:rPr>
        <w:t>920 640</w:t>
      </w:r>
      <w:r w:rsidRPr="0072101A" w:rsidR="002D6290">
        <w:rPr>
          <w:rFonts w:ascii="Times New Roman" w:hAnsi="Times New Roman"/>
          <w:szCs w:val="22"/>
          <w:lang w:eastAsia="sk-SK"/>
        </w:rPr>
        <w:t xml:space="preserve"> </w:t>
      </w:r>
      <w:r w:rsidRPr="0072101A" w:rsidR="00E05C95">
        <w:rPr>
          <w:rFonts w:ascii="Times New Roman" w:hAnsi="Times New Roman"/>
          <w:szCs w:val="22"/>
          <w:lang w:eastAsia="sk-SK"/>
        </w:rPr>
        <w:t>tis</w:t>
      </w:r>
      <w:r w:rsidRPr="0072101A" w:rsidR="002D6290">
        <w:rPr>
          <w:rFonts w:ascii="Times New Roman" w:hAnsi="Times New Roman"/>
          <w:szCs w:val="22"/>
          <w:lang w:eastAsia="sk-SK"/>
        </w:rPr>
        <w:t>. eu</w:t>
      </w:r>
      <w:r w:rsidRPr="0072101A" w:rsidR="00847FFD">
        <w:rPr>
          <w:rFonts w:ascii="Times New Roman" w:hAnsi="Times New Roman"/>
          <w:szCs w:val="22"/>
          <w:lang w:eastAsia="sk-SK"/>
        </w:rPr>
        <w:t>r</w:t>
      </w:r>
      <w:r w:rsidRPr="0072101A">
        <w:rPr>
          <w:rFonts w:ascii="Times New Roman" w:hAnsi="Times New Roman"/>
          <w:szCs w:val="22"/>
          <w:lang w:eastAsia="sk-SK"/>
        </w:rPr>
        <w:t>. Obstaranie majetku tvorí najmä budúca infraštruktúra v podobe ciest, stavieb</w:t>
      </w:r>
      <w:r w:rsidR="00227214">
        <w:rPr>
          <w:rFonts w:ascii="Times New Roman" w:hAnsi="Times New Roman"/>
          <w:szCs w:val="22"/>
          <w:lang w:eastAsia="sk-SK"/>
        </w:rPr>
        <w:t>,</w:t>
      </w:r>
      <w:r w:rsidRPr="0072101A">
        <w:rPr>
          <w:rFonts w:ascii="Times New Roman" w:hAnsi="Times New Roman"/>
          <w:szCs w:val="22"/>
          <w:lang w:eastAsia="sk-SK"/>
        </w:rPr>
        <w:t xml:space="preserve"> a</w:t>
      </w:r>
      <w:r w:rsidR="00227214">
        <w:rPr>
          <w:rFonts w:ascii="Times New Roman" w:hAnsi="Times New Roman"/>
          <w:szCs w:val="22"/>
          <w:lang w:eastAsia="sk-SK"/>
        </w:rPr>
        <w:t>le</w:t>
      </w:r>
      <w:r w:rsidRPr="0072101A">
        <w:rPr>
          <w:rFonts w:ascii="Times New Roman" w:hAnsi="Times New Roman"/>
          <w:szCs w:val="22"/>
          <w:lang w:eastAsia="sk-SK"/>
        </w:rPr>
        <w:t xml:space="preserve"> </w:t>
      </w:r>
      <w:r w:rsidR="00227214">
        <w:rPr>
          <w:rFonts w:ascii="Times New Roman" w:hAnsi="Times New Roman"/>
          <w:szCs w:val="22"/>
          <w:lang w:eastAsia="sk-SK"/>
        </w:rPr>
        <w:t xml:space="preserve">aj </w:t>
      </w:r>
      <w:r w:rsidRPr="0072101A">
        <w:rPr>
          <w:rFonts w:ascii="Times New Roman" w:hAnsi="Times New Roman"/>
          <w:szCs w:val="22"/>
          <w:lang w:eastAsia="sk-SK"/>
        </w:rPr>
        <w:t>pozemk</w:t>
      </w:r>
      <w:r w:rsidR="00227214">
        <w:rPr>
          <w:rFonts w:ascii="Times New Roman" w:hAnsi="Times New Roman"/>
          <w:szCs w:val="22"/>
          <w:lang w:eastAsia="sk-SK"/>
        </w:rPr>
        <w:t>y, dopravné prostriedky, stroje, prístroje a zariadenia</w:t>
      </w:r>
      <w:r w:rsidRPr="0072101A">
        <w:rPr>
          <w:rFonts w:ascii="Times New Roman" w:hAnsi="Times New Roman"/>
          <w:szCs w:val="22"/>
          <w:lang w:eastAsia="sk-SK"/>
        </w:rPr>
        <w:t xml:space="preserve">. </w:t>
      </w:r>
    </w:p>
    <w:p w:rsidR="00845341" w:rsidRPr="0072101A" w:rsidP="00845341">
      <w:pPr>
        <w:bidi w:val="0"/>
        <w:spacing w:before="120" w:after="120" w:line="336" w:lineRule="auto"/>
        <w:jc w:val="both"/>
        <w:rPr>
          <w:rFonts w:ascii="Times New Roman" w:hAnsi="Times New Roman"/>
          <w:szCs w:val="22"/>
          <w:lang w:eastAsia="sk-SK"/>
        </w:rPr>
      </w:pPr>
      <w:r w:rsidRPr="00824E2D">
        <w:rPr>
          <w:rFonts w:ascii="Times New Roman" w:hAnsi="Times New Roman"/>
          <w:szCs w:val="22"/>
          <w:lang w:eastAsia="sk-SK"/>
        </w:rPr>
        <w:t xml:space="preserve">Ústredná správa zaznamenala najvýraznejší prírastok na hodnote obstarania hmotného majetku, a to </w:t>
      </w:r>
      <w:r w:rsidRPr="00824E2D" w:rsidR="00CA490D">
        <w:rPr>
          <w:rFonts w:ascii="Times New Roman" w:hAnsi="Times New Roman"/>
          <w:szCs w:val="22"/>
          <w:lang w:eastAsia="sk-SK"/>
        </w:rPr>
        <w:t>160 909</w:t>
      </w:r>
      <w:r w:rsidRPr="00824E2D">
        <w:rPr>
          <w:rFonts w:ascii="Times New Roman" w:hAnsi="Times New Roman"/>
          <w:szCs w:val="22"/>
          <w:lang w:eastAsia="sk-SK"/>
        </w:rPr>
        <w:t xml:space="preserve"> tis. eur. Rozhodujúci</w:t>
      </w:r>
      <w:r w:rsidRPr="00CA490D">
        <w:rPr>
          <w:rFonts w:ascii="Times New Roman" w:hAnsi="Times New Roman"/>
          <w:szCs w:val="22"/>
          <w:lang w:eastAsia="sk-SK"/>
        </w:rPr>
        <w:t xml:space="preserve"> prírastok zaznamenala kapitola Ministerstva dopravy, výstavby a regionálneho rozvoja SR (</w:t>
      </w:r>
      <w:r w:rsidRPr="00CA490D" w:rsidR="001A778A">
        <w:rPr>
          <w:rFonts w:ascii="Times New Roman" w:hAnsi="Times New Roman"/>
          <w:szCs w:val="22"/>
          <w:lang w:eastAsia="sk-SK"/>
        </w:rPr>
        <w:t>226 570</w:t>
      </w:r>
      <w:r w:rsidRPr="00CA490D">
        <w:rPr>
          <w:rFonts w:ascii="Times New Roman" w:hAnsi="Times New Roman"/>
          <w:szCs w:val="22"/>
          <w:lang w:eastAsia="sk-SK"/>
        </w:rPr>
        <w:t> </w:t>
      </w:r>
      <w:r w:rsidRPr="00CA490D" w:rsidR="00A8600B">
        <w:rPr>
          <w:rFonts w:ascii="Times New Roman" w:hAnsi="Times New Roman"/>
          <w:szCs w:val="22"/>
          <w:lang w:eastAsia="sk-SK"/>
        </w:rPr>
        <w:t>tis.</w:t>
      </w:r>
      <w:r w:rsidRPr="00CA490D">
        <w:rPr>
          <w:rFonts w:ascii="Times New Roman" w:hAnsi="Times New Roman"/>
          <w:szCs w:val="22"/>
          <w:lang w:eastAsia="sk-SK"/>
        </w:rPr>
        <w:t xml:space="preserve"> eur). V rámci tejto kapitoly vykazujú </w:t>
      </w:r>
      <w:r w:rsidR="00561688">
        <w:rPr>
          <w:rFonts w:ascii="Times New Roman" w:hAnsi="Times New Roman"/>
          <w:szCs w:val="22"/>
          <w:lang w:eastAsia="sk-SK"/>
        </w:rPr>
        <w:t xml:space="preserve">najvýznamnejšie prírastky </w:t>
      </w:r>
      <w:r w:rsidRPr="00CA490D">
        <w:rPr>
          <w:rFonts w:ascii="Times New Roman" w:hAnsi="Times New Roman"/>
          <w:szCs w:val="22"/>
          <w:lang w:eastAsia="sk-SK"/>
        </w:rPr>
        <w:t>účtovné jednotky spravujúce a rozvíjajúce cestnú infraštruktúru</w:t>
      </w:r>
      <w:r w:rsidRPr="00CA490D" w:rsidR="00A8600B">
        <w:rPr>
          <w:rFonts w:ascii="Times New Roman" w:hAnsi="Times New Roman"/>
          <w:szCs w:val="22"/>
          <w:lang w:eastAsia="sk-SK"/>
        </w:rPr>
        <w:t>,</w:t>
      </w:r>
      <w:r w:rsidRPr="00CA490D">
        <w:rPr>
          <w:rFonts w:ascii="Times New Roman" w:hAnsi="Times New Roman"/>
          <w:szCs w:val="22"/>
          <w:lang w:eastAsia="sk-SK"/>
        </w:rPr>
        <w:t xml:space="preserve"> </w:t>
      </w:r>
      <w:r w:rsidRPr="00CA490D" w:rsidR="00A8600B">
        <w:rPr>
          <w:rFonts w:ascii="Times New Roman" w:hAnsi="Times New Roman"/>
          <w:szCs w:val="22"/>
          <w:lang w:eastAsia="sk-SK"/>
        </w:rPr>
        <w:t>napríklad</w:t>
      </w:r>
      <w:r w:rsidRPr="0072101A">
        <w:rPr>
          <w:rFonts w:ascii="Times New Roman" w:hAnsi="Times New Roman"/>
          <w:szCs w:val="22"/>
          <w:lang w:eastAsia="sk-SK"/>
        </w:rPr>
        <w:t xml:space="preserve"> Slovenská správa ciest </w:t>
      </w:r>
      <w:r w:rsidR="00037126">
        <w:rPr>
          <w:rFonts w:ascii="Times New Roman" w:hAnsi="Times New Roman"/>
          <w:szCs w:val="22"/>
          <w:lang w:eastAsia="sk-SK"/>
        </w:rPr>
        <w:t xml:space="preserve">o </w:t>
      </w:r>
      <w:r w:rsidR="0036333E">
        <w:rPr>
          <w:rFonts w:ascii="Times New Roman" w:hAnsi="Times New Roman"/>
          <w:szCs w:val="22"/>
          <w:lang w:eastAsia="sk-SK"/>
        </w:rPr>
        <w:t>195 169</w:t>
      </w:r>
      <w:r w:rsidRPr="0072101A">
        <w:rPr>
          <w:rFonts w:ascii="Times New Roman" w:hAnsi="Times New Roman"/>
          <w:szCs w:val="22"/>
          <w:lang w:eastAsia="sk-SK"/>
        </w:rPr>
        <w:t> </w:t>
      </w:r>
      <w:r w:rsidRPr="0072101A" w:rsidR="00BD3791">
        <w:rPr>
          <w:rFonts w:ascii="Times New Roman" w:hAnsi="Times New Roman"/>
          <w:szCs w:val="22"/>
          <w:lang w:eastAsia="sk-SK"/>
        </w:rPr>
        <w:t>tis.</w:t>
      </w:r>
      <w:r w:rsidR="0036333E">
        <w:rPr>
          <w:rFonts w:ascii="Times New Roman" w:hAnsi="Times New Roman"/>
          <w:szCs w:val="22"/>
          <w:lang w:eastAsia="sk-SK"/>
        </w:rPr>
        <w:t xml:space="preserve"> eur a </w:t>
      </w:r>
      <w:r w:rsidRPr="0072101A" w:rsidR="0036333E">
        <w:rPr>
          <w:rFonts w:ascii="Times New Roman" w:hAnsi="Times New Roman"/>
          <w:szCs w:val="22"/>
          <w:lang w:eastAsia="sk-SK"/>
        </w:rPr>
        <w:t xml:space="preserve">Národná diaľničná spoločnosť, a.s. </w:t>
      </w:r>
      <w:r w:rsidR="00037126">
        <w:rPr>
          <w:rFonts w:ascii="Times New Roman" w:hAnsi="Times New Roman"/>
          <w:szCs w:val="22"/>
          <w:lang w:eastAsia="sk-SK"/>
        </w:rPr>
        <w:t xml:space="preserve">o </w:t>
      </w:r>
      <w:r w:rsidR="0036333E">
        <w:rPr>
          <w:rFonts w:ascii="Times New Roman" w:hAnsi="Times New Roman"/>
          <w:szCs w:val="22"/>
          <w:lang w:eastAsia="sk-SK"/>
        </w:rPr>
        <w:t>35 764</w:t>
      </w:r>
      <w:r w:rsidRPr="0072101A" w:rsidR="0036333E">
        <w:rPr>
          <w:rFonts w:ascii="Times New Roman" w:hAnsi="Times New Roman"/>
          <w:szCs w:val="22"/>
          <w:lang w:eastAsia="sk-SK"/>
        </w:rPr>
        <w:t> tis. eur</w:t>
      </w:r>
      <w:r w:rsidR="0036333E">
        <w:rPr>
          <w:rFonts w:ascii="Times New Roman" w:hAnsi="Times New Roman"/>
          <w:szCs w:val="22"/>
          <w:lang w:eastAsia="sk-SK"/>
        </w:rPr>
        <w:t>.</w:t>
      </w:r>
      <w:r w:rsidR="009E1C59">
        <w:rPr>
          <w:rFonts w:ascii="Times New Roman" w:hAnsi="Times New Roman"/>
          <w:szCs w:val="22"/>
          <w:lang w:eastAsia="sk-SK"/>
        </w:rPr>
        <w:t xml:space="preserve"> </w:t>
      </w:r>
    </w:p>
    <w:p w:rsidR="00D444D6" w:rsidRPr="00561688" w:rsidP="009A7EFF">
      <w:pPr>
        <w:bidi w:val="0"/>
        <w:spacing w:before="120" w:after="120" w:line="336" w:lineRule="auto"/>
        <w:jc w:val="both"/>
        <w:rPr>
          <w:rFonts w:ascii="Times New Roman" w:hAnsi="Times New Roman"/>
          <w:szCs w:val="22"/>
          <w:lang w:eastAsia="sk-SK"/>
        </w:rPr>
      </w:pPr>
      <w:r>
        <w:rPr>
          <w:rFonts w:ascii="Times New Roman" w:hAnsi="Times New Roman"/>
          <w:szCs w:val="22"/>
          <w:lang w:eastAsia="sk-SK"/>
        </w:rPr>
        <w:t xml:space="preserve">V kapitole Ministerstva financií SR došlo k prírastku obstarania majetku najmä u spoločnosti Slovenská elektrizačná prenosová sústava, a.s., </w:t>
      </w:r>
      <w:r w:rsidRPr="00561688">
        <w:rPr>
          <w:rFonts w:ascii="Times New Roman" w:hAnsi="Times New Roman"/>
          <w:szCs w:val="22"/>
          <w:lang w:eastAsia="sk-SK"/>
        </w:rPr>
        <w:t>a to o 41 769 tis. eur z dôvodu obstarania</w:t>
      </w:r>
      <w:r w:rsidR="00561688">
        <w:rPr>
          <w:rFonts w:ascii="Times New Roman" w:hAnsi="Times New Roman"/>
          <w:szCs w:val="22"/>
          <w:lang w:eastAsia="sk-SK"/>
        </w:rPr>
        <w:t xml:space="preserve"> nových budov a stavieb v rámci siete prenosovej sústavy</w:t>
      </w:r>
      <w:r w:rsidRPr="00561688">
        <w:rPr>
          <w:rFonts w:ascii="Times New Roman" w:hAnsi="Times New Roman"/>
          <w:szCs w:val="22"/>
          <w:lang w:eastAsia="sk-SK"/>
        </w:rPr>
        <w:t>,</w:t>
      </w:r>
      <w:r>
        <w:rPr>
          <w:rFonts w:ascii="Times New Roman" w:hAnsi="Times New Roman"/>
          <w:szCs w:val="22"/>
          <w:lang w:eastAsia="sk-SK"/>
        </w:rPr>
        <w:t xml:space="preserve"> ďalej u kapitoly </w:t>
      </w:r>
      <w:r w:rsidRPr="00561688">
        <w:rPr>
          <w:rFonts w:ascii="Times New Roman" w:hAnsi="Times New Roman"/>
          <w:szCs w:val="22"/>
          <w:lang w:eastAsia="sk-SK"/>
        </w:rPr>
        <w:t>Ministerstva vnútra SR o </w:t>
      </w:r>
      <w:r w:rsidRPr="00561688" w:rsidR="00561688">
        <w:rPr>
          <w:rFonts w:ascii="Times New Roman" w:hAnsi="Times New Roman"/>
          <w:szCs w:val="22"/>
          <w:lang w:eastAsia="sk-SK"/>
        </w:rPr>
        <w:t>4</w:t>
      </w:r>
      <w:r w:rsidRPr="00561688">
        <w:rPr>
          <w:rFonts w:ascii="Times New Roman" w:hAnsi="Times New Roman"/>
          <w:szCs w:val="22"/>
          <w:lang w:eastAsia="sk-SK"/>
        </w:rPr>
        <w:t>2</w:t>
      </w:r>
      <w:r w:rsidR="00564E85">
        <w:rPr>
          <w:rFonts w:ascii="Times New Roman" w:hAnsi="Times New Roman"/>
          <w:szCs w:val="22"/>
          <w:lang w:eastAsia="sk-SK"/>
        </w:rPr>
        <w:t> </w:t>
      </w:r>
      <w:r w:rsidRPr="00561688" w:rsidR="00561688">
        <w:rPr>
          <w:rFonts w:ascii="Times New Roman" w:hAnsi="Times New Roman"/>
          <w:szCs w:val="22"/>
          <w:lang w:eastAsia="sk-SK"/>
        </w:rPr>
        <w:t>333</w:t>
      </w:r>
      <w:r w:rsidR="00564E85">
        <w:rPr>
          <w:rFonts w:ascii="Times New Roman" w:hAnsi="Times New Roman"/>
          <w:szCs w:val="22"/>
          <w:lang w:eastAsia="sk-SK"/>
        </w:rPr>
        <w:t> </w:t>
      </w:r>
      <w:r w:rsidRPr="00561688">
        <w:rPr>
          <w:rFonts w:ascii="Times New Roman" w:hAnsi="Times New Roman"/>
          <w:szCs w:val="22"/>
          <w:lang w:eastAsia="sk-SK"/>
        </w:rPr>
        <w:t>tis.</w:t>
      </w:r>
      <w:r w:rsidR="00564E85">
        <w:rPr>
          <w:rFonts w:ascii="Times New Roman" w:hAnsi="Times New Roman"/>
          <w:szCs w:val="22"/>
          <w:lang w:eastAsia="sk-SK"/>
        </w:rPr>
        <w:t> </w:t>
      </w:r>
      <w:r w:rsidRPr="00561688">
        <w:rPr>
          <w:rFonts w:ascii="Times New Roman" w:hAnsi="Times New Roman"/>
          <w:szCs w:val="22"/>
          <w:lang w:eastAsia="sk-SK"/>
        </w:rPr>
        <w:t>eur z dôvodu obs</w:t>
      </w:r>
      <w:r w:rsidRPr="00561688" w:rsidR="00561688">
        <w:rPr>
          <w:rFonts w:ascii="Times New Roman" w:hAnsi="Times New Roman"/>
          <w:szCs w:val="22"/>
          <w:lang w:eastAsia="sk-SK"/>
        </w:rPr>
        <w:t>tarania dopravných prostriedkov ako aj vyššou hodnot</w:t>
      </w:r>
      <w:r w:rsidR="00037126">
        <w:rPr>
          <w:rFonts w:ascii="Times New Roman" w:hAnsi="Times New Roman"/>
          <w:szCs w:val="22"/>
          <w:lang w:eastAsia="sk-SK"/>
        </w:rPr>
        <w:t>o</w:t>
      </w:r>
      <w:r w:rsidRPr="00561688" w:rsidR="00561688">
        <w:rPr>
          <w:rFonts w:ascii="Times New Roman" w:hAnsi="Times New Roman"/>
          <w:szCs w:val="22"/>
          <w:lang w:eastAsia="sk-SK"/>
        </w:rPr>
        <w:t>u majetku (pozemkov), ktorý prepadol v prospech štátu.</w:t>
      </w:r>
    </w:p>
    <w:p w:rsidR="00D444D6" w:rsidP="009A7EFF">
      <w:pPr>
        <w:bidi w:val="0"/>
        <w:spacing w:before="120" w:after="120" w:line="336" w:lineRule="auto"/>
        <w:jc w:val="both"/>
        <w:rPr>
          <w:rFonts w:ascii="Times New Roman" w:hAnsi="Times New Roman"/>
          <w:szCs w:val="22"/>
          <w:lang w:eastAsia="sk-SK"/>
        </w:rPr>
      </w:pPr>
      <w:r w:rsidR="00F839E5">
        <w:rPr>
          <w:rFonts w:ascii="Times New Roman" w:hAnsi="Times New Roman"/>
          <w:szCs w:val="22"/>
          <w:lang w:eastAsia="sk-SK"/>
        </w:rPr>
        <w:t xml:space="preserve">Významný úbytok </w:t>
      </w:r>
      <w:r w:rsidR="00C35CF5">
        <w:rPr>
          <w:rFonts w:ascii="Times New Roman" w:hAnsi="Times New Roman"/>
          <w:szCs w:val="22"/>
          <w:lang w:eastAsia="sk-SK"/>
        </w:rPr>
        <w:t xml:space="preserve">majetku na tejto položke </w:t>
      </w:r>
      <w:r w:rsidR="006E18D8">
        <w:rPr>
          <w:rFonts w:ascii="Times New Roman" w:hAnsi="Times New Roman"/>
          <w:szCs w:val="22"/>
          <w:lang w:eastAsia="sk-SK"/>
        </w:rPr>
        <w:t>zaznamenal</w:t>
      </w:r>
      <w:r w:rsidR="00F839E5">
        <w:rPr>
          <w:rFonts w:ascii="Times New Roman" w:hAnsi="Times New Roman"/>
          <w:szCs w:val="22"/>
          <w:lang w:eastAsia="sk-SK"/>
        </w:rPr>
        <w:t xml:space="preserve"> Úrad pre normalizáciu, metrológiu a skúšobníctvo SR (100 615 tis. eur), ktorý na základe uznesenia vlády SR zo dňa 8.6.2016</w:t>
      </w:r>
      <w:r>
        <w:rPr>
          <w:rStyle w:val="FootnoteReference"/>
          <w:rFonts w:ascii="Times New Roman" w:hAnsi="Times New Roman"/>
          <w:szCs w:val="22"/>
          <w:rtl w:val="0"/>
          <w:lang w:eastAsia="sk-SK"/>
        </w:rPr>
        <w:footnoteReference w:id="3"/>
      </w:r>
      <w:r>
        <w:rPr>
          <w:rFonts w:ascii="Times New Roman" w:hAnsi="Times New Roman"/>
          <w:szCs w:val="22"/>
          <w:lang w:eastAsia="sk-SK"/>
        </w:rPr>
        <w:t xml:space="preserve"> </w:t>
      </w:r>
      <w:r w:rsidR="00D45DA1">
        <w:rPr>
          <w:rFonts w:ascii="Times New Roman" w:hAnsi="Times New Roman"/>
          <w:szCs w:val="22"/>
          <w:lang w:eastAsia="sk-SK"/>
        </w:rPr>
        <w:t>pristúpil k riešeniu projektu Cyklotrónového centra SR. Na základe dohody medzi SR a Ruskou federáciou, budú technologické zariadenia Cyklotrónového centra ponechané Ruskej federácie, konkrétne Spoločnému ústavu jadrových výskumov</w:t>
      </w:r>
      <w:r w:rsidR="00FD19CF">
        <w:rPr>
          <w:rFonts w:ascii="Times New Roman" w:hAnsi="Times New Roman"/>
          <w:szCs w:val="22"/>
          <w:lang w:eastAsia="sk-SK"/>
        </w:rPr>
        <w:t xml:space="preserve"> Dubna</w:t>
      </w:r>
      <w:r w:rsidR="00D45DA1">
        <w:rPr>
          <w:rFonts w:ascii="Times New Roman" w:hAnsi="Times New Roman"/>
          <w:szCs w:val="22"/>
          <w:lang w:eastAsia="sk-SK"/>
        </w:rPr>
        <w:t xml:space="preserve">. </w:t>
      </w:r>
      <w:r>
        <w:rPr>
          <w:rFonts w:ascii="Times New Roman" w:hAnsi="Times New Roman"/>
          <w:szCs w:val="22"/>
          <w:lang w:eastAsia="sk-SK"/>
        </w:rPr>
        <w:t xml:space="preserve"> </w:t>
      </w:r>
    </w:p>
    <w:p w:rsidR="007900C3" w:rsidP="009A7EFF">
      <w:pPr>
        <w:bidi w:val="0"/>
        <w:spacing w:before="120" w:after="120" w:line="336" w:lineRule="auto"/>
        <w:jc w:val="both"/>
        <w:rPr>
          <w:rFonts w:ascii="Times New Roman" w:hAnsi="Times New Roman"/>
          <w:szCs w:val="22"/>
          <w:lang w:eastAsia="sk-SK"/>
        </w:rPr>
      </w:pPr>
      <w:r w:rsidRPr="004045FE">
        <w:rPr>
          <w:rFonts w:ascii="Times New Roman" w:hAnsi="Times New Roman"/>
          <w:szCs w:val="22"/>
          <w:lang w:eastAsia="sk-SK"/>
        </w:rPr>
        <w:t xml:space="preserve">Celkový prírastok zaznamenali aj ostatné subjekty súhrnného celku, a to </w:t>
      </w:r>
      <w:r w:rsidRPr="004045FE" w:rsidR="00561688">
        <w:rPr>
          <w:rFonts w:ascii="Times New Roman" w:hAnsi="Times New Roman"/>
          <w:szCs w:val="22"/>
          <w:lang w:eastAsia="sk-SK"/>
        </w:rPr>
        <w:t>105 654</w:t>
      </w:r>
      <w:r w:rsidRPr="004045FE">
        <w:rPr>
          <w:rFonts w:ascii="Times New Roman" w:hAnsi="Times New Roman"/>
          <w:szCs w:val="22"/>
          <w:lang w:eastAsia="sk-SK"/>
        </w:rPr>
        <w:t xml:space="preserve"> tis. eur. Najvýznamnejšiu položku vykázali Železnice SR (7</w:t>
      </w:r>
      <w:r w:rsidRPr="004045FE" w:rsidR="00561688">
        <w:rPr>
          <w:rFonts w:ascii="Times New Roman" w:hAnsi="Times New Roman"/>
          <w:szCs w:val="22"/>
          <w:lang w:eastAsia="sk-SK"/>
        </w:rPr>
        <w:t>4</w:t>
      </w:r>
      <w:r w:rsidRPr="004045FE">
        <w:rPr>
          <w:rFonts w:ascii="Times New Roman" w:hAnsi="Times New Roman"/>
          <w:szCs w:val="22"/>
          <w:lang w:eastAsia="sk-SK"/>
        </w:rPr>
        <w:t> </w:t>
      </w:r>
      <w:r w:rsidRPr="004045FE" w:rsidR="00561688">
        <w:rPr>
          <w:rFonts w:ascii="Times New Roman" w:hAnsi="Times New Roman"/>
          <w:szCs w:val="22"/>
          <w:lang w:eastAsia="sk-SK"/>
        </w:rPr>
        <w:t>089</w:t>
      </w:r>
      <w:r w:rsidRPr="004045FE">
        <w:rPr>
          <w:rFonts w:ascii="Times New Roman" w:hAnsi="Times New Roman"/>
          <w:szCs w:val="22"/>
          <w:lang w:eastAsia="sk-SK"/>
        </w:rPr>
        <w:t xml:space="preserve"> tis. eur)</w:t>
      </w:r>
      <w:r w:rsidRPr="004045FE" w:rsidR="00561688">
        <w:rPr>
          <w:rFonts w:ascii="Times New Roman" w:hAnsi="Times New Roman"/>
          <w:szCs w:val="22"/>
          <w:lang w:eastAsia="sk-SK"/>
        </w:rPr>
        <w:t xml:space="preserve"> a Slovenský vodohospodársky podnik (19 248 tis. eur).</w:t>
      </w:r>
      <w:r w:rsidRPr="004045FE" w:rsidR="00523066">
        <w:rPr>
          <w:rFonts w:ascii="Times New Roman" w:hAnsi="Times New Roman"/>
          <w:szCs w:val="22"/>
          <w:lang w:eastAsia="sk-SK"/>
        </w:rPr>
        <w:t xml:space="preserve"> V prípade Železníc SR ide o pokračujúcu modernizáciu železničnej trate a príslušných budov a zariadení k nim.</w:t>
      </w:r>
    </w:p>
    <w:p w:rsidR="009C2D72" w:rsidP="009C2D72">
      <w:pPr>
        <w:bidi w:val="0"/>
        <w:spacing w:before="120" w:after="120" w:line="336" w:lineRule="auto"/>
        <w:jc w:val="both"/>
        <w:rPr>
          <w:rFonts w:ascii="Times New Roman" w:hAnsi="Times New Roman"/>
          <w:i/>
          <w:szCs w:val="22"/>
          <w:u w:val="single"/>
          <w:lang w:eastAsia="sk-SK"/>
        </w:rPr>
      </w:pPr>
      <w:r>
        <w:rPr>
          <w:rFonts w:ascii="Times New Roman" w:hAnsi="Times New Roman"/>
          <w:i/>
          <w:szCs w:val="22"/>
          <w:u w:val="single"/>
          <w:lang w:eastAsia="sk-SK"/>
        </w:rPr>
        <w:t>Ostatn</w:t>
      </w:r>
      <w:r w:rsidR="00037126">
        <w:rPr>
          <w:rFonts w:ascii="Times New Roman" w:hAnsi="Times New Roman"/>
          <w:i/>
          <w:szCs w:val="22"/>
          <w:u w:val="single"/>
          <w:lang w:eastAsia="sk-SK"/>
        </w:rPr>
        <w:t>ý</w:t>
      </w:r>
      <w:r w:rsidRPr="0072101A">
        <w:rPr>
          <w:rFonts w:ascii="Times New Roman" w:hAnsi="Times New Roman"/>
          <w:i/>
          <w:szCs w:val="22"/>
          <w:u w:val="single"/>
          <w:lang w:eastAsia="sk-SK"/>
        </w:rPr>
        <w:t xml:space="preserve"> dlhodob</w:t>
      </w:r>
      <w:r w:rsidR="00037126">
        <w:rPr>
          <w:rFonts w:ascii="Times New Roman" w:hAnsi="Times New Roman"/>
          <w:i/>
          <w:szCs w:val="22"/>
          <w:u w:val="single"/>
          <w:lang w:eastAsia="sk-SK"/>
        </w:rPr>
        <w:t>ý</w:t>
      </w:r>
      <w:r w:rsidRPr="0072101A">
        <w:rPr>
          <w:rFonts w:ascii="Times New Roman" w:hAnsi="Times New Roman"/>
          <w:i/>
          <w:szCs w:val="22"/>
          <w:u w:val="single"/>
          <w:lang w:eastAsia="sk-SK"/>
        </w:rPr>
        <w:t xml:space="preserve"> hmotn</w:t>
      </w:r>
      <w:r w:rsidR="00037126">
        <w:rPr>
          <w:rFonts w:ascii="Times New Roman" w:hAnsi="Times New Roman"/>
          <w:i/>
          <w:szCs w:val="22"/>
          <w:u w:val="single"/>
          <w:lang w:eastAsia="sk-SK"/>
        </w:rPr>
        <w:t>ý</w:t>
      </w:r>
      <w:r w:rsidRPr="0072101A">
        <w:rPr>
          <w:rFonts w:ascii="Times New Roman" w:hAnsi="Times New Roman"/>
          <w:i/>
          <w:szCs w:val="22"/>
          <w:u w:val="single"/>
          <w:lang w:eastAsia="sk-SK"/>
        </w:rPr>
        <w:t xml:space="preserve"> majet</w:t>
      </w:r>
      <w:r w:rsidR="00037126">
        <w:rPr>
          <w:rFonts w:ascii="Times New Roman" w:hAnsi="Times New Roman"/>
          <w:i/>
          <w:szCs w:val="22"/>
          <w:u w:val="single"/>
          <w:lang w:eastAsia="sk-SK"/>
        </w:rPr>
        <w:t>o</w:t>
      </w:r>
      <w:r w:rsidRPr="0072101A">
        <w:rPr>
          <w:rFonts w:ascii="Times New Roman" w:hAnsi="Times New Roman"/>
          <w:i/>
          <w:szCs w:val="22"/>
          <w:u w:val="single"/>
          <w:lang w:eastAsia="sk-SK"/>
        </w:rPr>
        <w:t>k</w:t>
      </w:r>
    </w:p>
    <w:p w:rsidR="009C2D72" w:rsidP="009C2D72">
      <w:pPr>
        <w:bidi w:val="0"/>
        <w:spacing w:before="120" w:after="120" w:line="336" w:lineRule="auto"/>
        <w:jc w:val="both"/>
        <w:rPr>
          <w:rFonts w:ascii="Times New Roman" w:hAnsi="Times New Roman"/>
          <w:szCs w:val="22"/>
          <w:lang w:eastAsia="sk-SK"/>
        </w:rPr>
      </w:pPr>
      <w:r>
        <w:rPr>
          <w:rFonts w:ascii="Times New Roman" w:hAnsi="Times New Roman"/>
          <w:szCs w:val="22"/>
          <w:lang w:eastAsia="sk-SK"/>
        </w:rPr>
        <w:t xml:space="preserve">Z celkovej hodnoty ostatného dlhodobého majetku k 31.12.2015, ktorá dosiahla </w:t>
      </w:r>
      <w:r w:rsidRPr="00037126" w:rsidR="00037126">
        <w:rPr>
          <w:rFonts w:ascii="Times New Roman" w:hAnsi="Times New Roman"/>
          <w:bCs/>
          <w:color w:val="000000"/>
          <w:szCs w:val="22"/>
          <w:lang w:eastAsia="sk-SK"/>
        </w:rPr>
        <w:t xml:space="preserve">761 969 </w:t>
      </w:r>
      <w:r w:rsidRPr="00037126">
        <w:rPr>
          <w:rFonts w:ascii="Times New Roman" w:hAnsi="Times New Roman"/>
          <w:szCs w:val="22"/>
          <w:lang w:eastAsia="sk-SK"/>
        </w:rPr>
        <w:t>tis</w:t>
      </w:r>
      <w:r>
        <w:rPr>
          <w:rFonts w:ascii="Times New Roman" w:hAnsi="Times New Roman"/>
          <w:szCs w:val="22"/>
          <w:lang w:eastAsia="sk-SK"/>
        </w:rPr>
        <w:t xml:space="preserve">. eur, tvorí ústredná správa </w:t>
      </w:r>
      <w:r w:rsidR="00037126">
        <w:rPr>
          <w:rFonts w:ascii="Times New Roman" w:hAnsi="Times New Roman"/>
          <w:szCs w:val="22"/>
          <w:lang w:eastAsia="sk-SK"/>
        </w:rPr>
        <w:t>361 141</w:t>
      </w:r>
      <w:r>
        <w:rPr>
          <w:rFonts w:ascii="Times New Roman" w:hAnsi="Times New Roman"/>
          <w:szCs w:val="22"/>
          <w:lang w:eastAsia="sk-SK"/>
        </w:rPr>
        <w:t xml:space="preserve"> tis. eur, územná samospráva </w:t>
      </w:r>
      <w:r w:rsidR="00037126">
        <w:rPr>
          <w:rFonts w:ascii="Times New Roman" w:hAnsi="Times New Roman"/>
          <w:szCs w:val="22"/>
          <w:lang w:eastAsia="sk-SK"/>
        </w:rPr>
        <w:t>290 277</w:t>
      </w:r>
      <w:r>
        <w:rPr>
          <w:rFonts w:ascii="Times New Roman" w:hAnsi="Times New Roman"/>
          <w:szCs w:val="22"/>
          <w:lang w:eastAsia="sk-SK"/>
        </w:rPr>
        <w:t xml:space="preserve"> tis. eur a ostatné subjekty </w:t>
      </w:r>
      <w:r w:rsidR="00037126">
        <w:rPr>
          <w:rFonts w:ascii="Times New Roman" w:hAnsi="Times New Roman"/>
          <w:szCs w:val="22"/>
          <w:lang w:eastAsia="sk-SK"/>
        </w:rPr>
        <w:t>110</w:t>
      </w:r>
      <w:r w:rsidR="00564E85">
        <w:rPr>
          <w:rFonts w:ascii="Times New Roman" w:hAnsi="Times New Roman"/>
          <w:szCs w:val="22"/>
          <w:lang w:eastAsia="sk-SK"/>
        </w:rPr>
        <w:t> </w:t>
      </w:r>
      <w:r w:rsidR="00037126">
        <w:rPr>
          <w:rFonts w:ascii="Times New Roman" w:hAnsi="Times New Roman"/>
          <w:szCs w:val="22"/>
          <w:lang w:eastAsia="sk-SK"/>
        </w:rPr>
        <w:t>551</w:t>
      </w:r>
      <w:r w:rsidR="00564E85">
        <w:rPr>
          <w:rFonts w:ascii="Times New Roman" w:hAnsi="Times New Roman"/>
          <w:szCs w:val="22"/>
          <w:lang w:eastAsia="sk-SK"/>
        </w:rPr>
        <w:t> tis. </w:t>
      </w:r>
      <w:r>
        <w:rPr>
          <w:rFonts w:ascii="Times New Roman" w:hAnsi="Times New Roman"/>
          <w:szCs w:val="22"/>
          <w:lang w:eastAsia="sk-SK"/>
        </w:rPr>
        <w:t>eur.</w:t>
      </w:r>
      <w:r w:rsidR="0042084D">
        <w:rPr>
          <w:rFonts w:ascii="Times New Roman" w:hAnsi="Times New Roman"/>
          <w:szCs w:val="22"/>
          <w:lang w:eastAsia="sk-SK"/>
        </w:rPr>
        <w:t xml:space="preserve"> </w:t>
      </w:r>
      <w:r w:rsidR="00037126">
        <w:rPr>
          <w:rFonts w:ascii="Times New Roman" w:hAnsi="Times New Roman"/>
          <w:szCs w:val="22"/>
          <w:lang w:eastAsia="sk-SK"/>
        </w:rPr>
        <w:t>V rámci tohto majetku sa vykazujú aj poskytnuté preddavky na obstaranie dlhodobého majetku, drobný dlhodobý majetok, technické zhodnotenie kultúrnych pamiatok, umelecké diela a zbierky a ďalší majetok.</w:t>
      </w:r>
    </w:p>
    <w:p w:rsidR="0042084D" w:rsidRPr="009C2D72" w:rsidP="009C2D72">
      <w:pPr>
        <w:bidi w:val="0"/>
        <w:spacing w:before="120" w:after="120" w:line="336" w:lineRule="auto"/>
        <w:jc w:val="both"/>
        <w:rPr>
          <w:rFonts w:ascii="Times New Roman" w:hAnsi="Times New Roman"/>
          <w:szCs w:val="22"/>
          <w:lang w:eastAsia="sk-SK"/>
        </w:rPr>
      </w:pPr>
      <w:r>
        <w:rPr>
          <w:rFonts w:ascii="Times New Roman" w:hAnsi="Times New Roman"/>
          <w:szCs w:val="22"/>
          <w:lang w:eastAsia="sk-SK"/>
        </w:rPr>
        <w:t>Ústredná správa v rámci tejto položky majetku vykazuje najmä technické zhodnotenie budov, ktoré sú evidované ako kultúrne pamiatky. V súlade s postupmi účtovania sa nehnuteľné kultúrne pamiatky sledujú v podsúvahovej evidencii a technické zhodnotenie k nim na položke ostatného hmotného majetku. Keďže ide o postupné prehodnocovanie a vyčíslovanie hodnoty technického zhodnotenia</w:t>
      </w:r>
      <w:r w:rsidR="00A16D19">
        <w:rPr>
          <w:rFonts w:ascii="Times New Roman" w:hAnsi="Times New Roman"/>
          <w:szCs w:val="22"/>
          <w:lang w:eastAsia="sk-SK"/>
        </w:rPr>
        <w:t xml:space="preserve"> historických budov, v ktorých sídlia štátne organizácie</w:t>
      </w:r>
      <w:r>
        <w:rPr>
          <w:rFonts w:ascii="Times New Roman" w:hAnsi="Times New Roman"/>
          <w:szCs w:val="22"/>
          <w:lang w:eastAsia="sk-SK"/>
        </w:rPr>
        <w:t>, je možné predpokladať, že aj v budúcich účtovných obdobiach bude zaznamenaný úbytok na položke stavby a prírastok na položke ostatného majetku. V ústrednej správe tvorí túto položku najmä Kancelária národnej rady SR (74 483 tis. eur), Slovenská filharmónia (27 983 tis. eur), Slovenské národné múzeum (14 470 tis. eur) a Štátna opera (7 661 tis. eur).</w:t>
      </w:r>
    </w:p>
    <w:p w:rsidR="00F05E1F">
      <w:pPr>
        <w:bidi w:val="0"/>
        <w:spacing w:after="0" w:line="240" w:lineRule="auto"/>
        <w:rPr>
          <w:rFonts w:ascii="Times New Roman" w:hAnsi="Times New Roman"/>
          <w:b/>
          <w:sz w:val="24"/>
          <w:szCs w:val="24"/>
          <w:lang w:eastAsia="sk-SK"/>
        </w:rPr>
      </w:pPr>
      <w:r>
        <w:rPr>
          <w:rFonts w:ascii="Times New Roman" w:hAnsi="Times New Roman"/>
          <w:b/>
          <w:sz w:val="24"/>
          <w:szCs w:val="24"/>
          <w:lang w:eastAsia="sk-SK"/>
        </w:rPr>
        <w:br w:type="page"/>
      </w:r>
    </w:p>
    <w:p w:rsidR="002D6290" w:rsidRPr="0072101A" w:rsidP="00E9050A">
      <w:pPr>
        <w:bidi w:val="0"/>
        <w:spacing w:before="200" w:line="336" w:lineRule="auto"/>
        <w:ind w:left="6"/>
        <w:jc w:val="both"/>
        <w:rPr>
          <w:rFonts w:ascii="Times New Roman" w:hAnsi="Times New Roman"/>
          <w:b/>
          <w:sz w:val="24"/>
          <w:szCs w:val="24"/>
          <w:lang w:eastAsia="sk-SK"/>
        </w:rPr>
      </w:pPr>
      <w:r w:rsidRPr="0072101A">
        <w:rPr>
          <w:rFonts w:ascii="Times New Roman" w:hAnsi="Times New Roman"/>
          <w:b/>
          <w:sz w:val="24"/>
          <w:szCs w:val="24"/>
          <w:lang w:eastAsia="sk-SK"/>
        </w:rPr>
        <w:t>A.III. Dlhodobý finančný majetok</w:t>
      </w:r>
    </w:p>
    <w:p w:rsidR="00832652" w:rsidRPr="0072101A" w:rsidP="00E9050A">
      <w:pPr>
        <w:bidi w:val="0"/>
        <w:spacing w:after="120" w:line="336" w:lineRule="auto"/>
        <w:jc w:val="both"/>
        <w:rPr>
          <w:rFonts w:ascii="Times New Roman" w:hAnsi="Times New Roman"/>
          <w:szCs w:val="22"/>
          <w:lang w:eastAsia="sk-SK"/>
        </w:rPr>
      </w:pPr>
      <w:r w:rsidRPr="0072101A">
        <w:rPr>
          <w:rFonts w:ascii="Times New Roman" w:hAnsi="Times New Roman"/>
          <w:szCs w:val="22"/>
          <w:lang w:eastAsia="sk-SK"/>
        </w:rPr>
        <w:t>Celkovo dlhodobý finančný majetok dosiahol k 31.12.201</w:t>
      </w:r>
      <w:r w:rsidR="00F26395">
        <w:rPr>
          <w:rFonts w:ascii="Times New Roman" w:hAnsi="Times New Roman"/>
          <w:szCs w:val="22"/>
          <w:lang w:eastAsia="sk-SK"/>
        </w:rPr>
        <w:t>5</w:t>
      </w:r>
      <w:r w:rsidRPr="0072101A">
        <w:rPr>
          <w:rFonts w:ascii="Times New Roman" w:hAnsi="Times New Roman"/>
          <w:szCs w:val="22"/>
          <w:lang w:eastAsia="sk-SK"/>
        </w:rPr>
        <w:t xml:space="preserve"> hodnotu</w:t>
      </w:r>
      <w:r w:rsidRPr="0072101A" w:rsidR="007900C3">
        <w:rPr>
          <w:rFonts w:ascii="Times New Roman" w:hAnsi="Times New Roman"/>
          <w:szCs w:val="22"/>
          <w:lang w:eastAsia="sk-SK"/>
        </w:rPr>
        <w:t xml:space="preserve"> </w:t>
      </w:r>
      <w:r w:rsidR="00F26395">
        <w:rPr>
          <w:rFonts w:ascii="Times New Roman" w:hAnsi="Times New Roman"/>
          <w:szCs w:val="22"/>
          <w:lang w:eastAsia="sk-SK"/>
        </w:rPr>
        <w:t>7 241 142</w:t>
      </w:r>
      <w:r w:rsidRPr="0072101A" w:rsidR="007900C3">
        <w:rPr>
          <w:rFonts w:ascii="Times New Roman" w:hAnsi="Times New Roman"/>
          <w:szCs w:val="22"/>
          <w:lang w:eastAsia="sk-SK"/>
        </w:rPr>
        <w:t xml:space="preserve"> tis. eur </w:t>
      </w:r>
      <w:r w:rsidRPr="0072101A" w:rsidR="005219BB">
        <w:rPr>
          <w:rFonts w:ascii="Times New Roman" w:hAnsi="Times New Roman"/>
          <w:szCs w:val="22"/>
          <w:lang w:eastAsia="sk-SK"/>
        </w:rPr>
        <w:t xml:space="preserve">a medziročne je </w:t>
      </w:r>
      <w:r w:rsidR="00BE3EDF">
        <w:rPr>
          <w:rFonts w:ascii="Times New Roman" w:hAnsi="Times New Roman"/>
          <w:szCs w:val="22"/>
          <w:lang w:eastAsia="sk-SK"/>
        </w:rPr>
        <w:t>nižší</w:t>
      </w:r>
      <w:r w:rsidRPr="0072101A" w:rsidR="005219BB">
        <w:rPr>
          <w:rFonts w:ascii="Times New Roman" w:hAnsi="Times New Roman"/>
          <w:szCs w:val="22"/>
          <w:lang w:eastAsia="sk-SK"/>
        </w:rPr>
        <w:t xml:space="preserve"> o</w:t>
      </w:r>
      <w:r w:rsidR="00BE3EDF">
        <w:rPr>
          <w:rFonts w:ascii="Times New Roman" w:hAnsi="Times New Roman"/>
          <w:szCs w:val="22"/>
          <w:lang w:eastAsia="sk-SK"/>
        </w:rPr>
        <w:t> 949 536</w:t>
      </w:r>
      <w:r w:rsidRPr="0072101A" w:rsidR="005219BB">
        <w:rPr>
          <w:rFonts w:ascii="Times New Roman" w:hAnsi="Times New Roman"/>
          <w:szCs w:val="22"/>
          <w:lang w:eastAsia="sk-SK"/>
        </w:rPr>
        <w:t xml:space="preserve"> tis. eur. Ú</w:t>
      </w:r>
      <w:r w:rsidRPr="0072101A">
        <w:rPr>
          <w:rFonts w:ascii="Times New Roman" w:hAnsi="Times New Roman"/>
          <w:szCs w:val="22"/>
          <w:lang w:eastAsia="sk-SK"/>
        </w:rPr>
        <w:t xml:space="preserve">stredná štátna správa vykázala </w:t>
      </w:r>
      <w:r w:rsidRPr="0072101A" w:rsidR="001B5311">
        <w:rPr>
          <w:rFonts w:ascii="Times New Roman" w:hAnsi="Times New Roman"/>
          <w:szCs w:val="22"/>
          <w:lang w:eastAsia="sk-SK"/>
        </w:rPr>
        <w:t>5</w:t>
      </w:r>
      <w:r w:rsidR="005E15E2">
        <w:rPr>
          <w:rFonts w:ascii="Times New Roman" w:hAnsi="Times New Roman"/>
          <w:szCs w:val="22"/>
          <w:lang w:eastAsia="sk-SK"/>
        </w:rPr>
        <w:t> 078 912</w:t>
      </w:r>
      <w:r w:rsidRPr="0072101A" w:rsidR="001B5311">
        <w:rPr>
          <w:rFonts w:ascii="Times New Roman" w:hAnsi="Times New Roman"/>
          <w:szCs w:val="22"/>
          <w:lang w:eastAsia="sk-SK"/>
        </w:rPr>
        <w:t xml:space="preserve"> </w:t>
      </w:r>
      <w:r w:rsidRPr="0072101A">
        <w:rPr>
          <w:rFonts w:ascii="Times New Roman" w:hAnsi="Times New Roman"/>
          <w:szCs w:val="22"/>
          <w:lang w:eastAsia="sk-SK"/>
        </w:rPr>
        <w:t xml:space="preserve">tis. eur, obce </w:t>
      </w:r>
      <w:r w:rsidRPr="0072101A" w:rsidR="001B5311">
        <w:rPr>
          <w:rFonts w:ascii="Times New Roman" w:hAnsi="Times New Roman"/>
          <w:szCs w:val="22"/>
          <w:lang w:eastAsia="sk-SK"/>
        </w:rPr>
        <w:t>1</w:t>
      </w:r>
      <w:r w:rsidR="0030448D">
        <w:rPr>
          <w:rFonts w:ascii="Times New Roman" w:hAnsi="Times New Roman"/>
          <w:szCs w:val="22"/>
          <w:lang w:eastAsia="sk-SK"/>
        </w:rPr>
        <w:t> </w:t>
      </w:r>
      <w:r w:rsidRPr="0072101A" w:rsidR="001B5311">
        <w:rPr>
          <w:rFonts w:ascii="Times New Roman" w:hAnsi="Times New Roman"/>
          <w:szCs w:val="22"/>
          <w:lang w:eastAsia="sk-SK"/>
        </w:rPr>
        <w:t>0</w:t>
      </w:r>
      <w:r w:rsidR="0030448D">
        <w:rPr>
          <w:rFonts w:ascii="Times New Roman" w:hAnsi="Times New Roman"/>
          <w:szCs w:val="22"/>
          <w:lang w:eastAsia="sk-SK"/>
        </w:rPr>
        <w:t>86 663</w:t>
      </w:r>
      <w:r w:rsidRPr="0072101A" w:rsidR="00B206AE">
        <w:rPr>
          <w:rFonts w:ascii="Times New Roman" w:hAnsi="Times New Roman"/>
          <w:szCs w:val="22"/>
          <w:lang w:eastAsia="sk-SK"/>
        </w:rPr>
        <w:t xml:space="preserve"> </w:t>
      </w:r>
      <w:r w:rsidRPr="0072101A">
        <w:rPr>
          <w:rFonts w:ascii="Times New Roman" w:hAnsi="Times New Roman"/>
          <w:szCs w:val="22"/>
          <w:lang w:eastAsia="sk-SK"/>
        </w:rPr>
        <w:t xml:space="preserve">tis. eur, vyššie územné celky </w:t>
      </w:r>
      <w:r w:rsidR="0030448D">
        <w:rPr>
          <w:rFonts w:ascii="Times New Roman" w:hAnsi="Times New Roman"/>
          <w:szCs w:val="22"/>
          <w:lang w:eastAsia="sk-SK"/>
        </w:rPr>
        <w:t>10</w:t>
      </w:r>
      <w:r w:rsidRPr="0072101A" w:rsidR="001B5311">
        <w:rPr>
          <w:rFonts w:ascii="Times New Roman" w:hAnsi="Times New Roman"/>
          <w:szCs w:val="22"/>
          <w:lang w:eastAsia="sk-SK"/>
        </w:rPr>
        <w:t> </w:t>
      </w:r>
      <w:r w:rsidR="0030448D">
        <w:rPr>
          <w:rFonts w:ascii="Times New Roman" w:hAnsi="Times New Roman"/>
          <w:szCs w:val="22"/>
          <w:lang w:eastAsia="sk-SK"/>
        </w:rPr>
        <w:t>786</w:t>
      </w:r>
      <w:r w:rsidRPr="0072101A" w:rsidR="001B5311">
        <w:rPr>
          <w:rFonts w:ascii="Times New Roman" w:hAnsi="Times New Roman"/>
          <w:szCs w:val="22"/>
          <w:lang w:eastAsia="sk-SK"/>
        </w:rPr>
        <w:t xml:space="preserve"> t</w:t>
      </w:r>
      <w:r w:rsidRPr="0072101A">
        <w:rPr>
          <w:rFonts w:ascii="Times New Roman" w:hAnsi="Times New Roman"/>
          <w:szCs w:val="22"/>
          <w:lang w:eastAsia="sk-SK"/>
        </w:rPr>
        <w:t xml:space="preserve">is. eur a ostatné subjekty </w:t>
      </w:r>
      <w:r w:rsidR="0030448D">
        <w:rPr>
          <w:rFonts w:ascii="Times New Roman" w:hAnsi="Times New Roman"/>
          <w:szCs w:val="22"/>
          <w:lang w:eastAsia="sk-SK"/>
        </w:rPr>
        <w:t>1</w:t>
      </w:r>
      <w:r w:rsidR="003E09AC">
        <w:rPr>
          <w:rFonts w:ascii="Times New Roman" w:hAnsi="Times New Roman"/>
          <w:szCs w:val="22"/>
          <w:lang w:eastAsia="sk-SK"/>
        </w:rPr>
        <w:t> 064 781</w:t>
      </w:r>
      <w:r w:rsidRPr="0072101A">
        <w:rPr>
          <w:rFonts w:ascii="Times New Roman" w:hAnsi="Times New Roman"/>
          <w:szCs w:val="22"/>
          <w:lang w:eastAsia="sk-SK"/>
        </w:rPr>
        <w:t xml:space="preserve"> tis. eur.</w:t>
      </w:r>
    </w:p>
    <w:p w:rsidR="003529A1" w:rsidRPr="0072101A" w:rsidP="00E9050A">
      <w:pPr>
        <w:bidi w:val="0"/>
        <w:spacing w:after="120" w:line="336" w:lineRule="auto"/>
        <w:jc w:val="both"/>
        <w:rPr>
          <w:rFonts w:ascii="Times New Roman" w:hAnsi="Times New Roman"/>
          <w:szCs w:val="22"/>
          <w:lang w:eastAsia="sk-SK"/>
        </w:rPr>
      </w:pPr>
      <w:r w:rsidRPr="0072101A" w:rsidR="002D6290">
        <w:rPr>
          <w:rFonts w:ascii="Times New Roman" w:hAnsi="Times New Roman"/>
          <w:szCs w:val="22"/>
          <w:lang w:eastAsia="sk-SK"/>
        </w:rPr>
        <w:t>V rámci dlhodobého finančného majetku sa vykazujú</w:t>
      </w:r>
      <w:r w:rsidRPr="0072101A" w:rsidR="00306C09">
        <w:rPr>
          <w:rFonts w:ascii="Times New Roman" w:hAnsi="Times New Roman"/>
          <w:szCs w:val="22"/>
          <w:lang w:eastAsia="sk-SK"/>
        </w:rPr>
        <w:t xml:space="preserve"> </w:t>
      </w:r>
      <w:r w:rsidR="0001585A">
        <w:rPr>
          <w:rFonts w:ascii="Times New Roman" w:hAnsi="Times New Roman"/>
          <w:szCs w:val="22"/>
          <w:lang w:eastAsia="sk-SK"/>
        </w:rPr>
        <w:t xml:space="preserve">najmä </w:t>
      </w:r>
      <w:r w:rsidRPr="0072101A" w:rsidR="002D6290">
        <w:rPr>
          <w:rFonts w:ascii="Times New Roman" w:hAnsi="Times New Roman"/>
          <w:szCs w:val="22"/>
          <w:lang w:eastAsia="sk-SK"/>
        </w:rPr>
        <w:t>podielové cenné papiere a podiely v obchodných spoločnostiach</w:t>
      </w:r>
      <w:r w:rsidR="0001585A">
        <w:rPr>
          <w:rFonts w:ascii="Times New Roman" w:hAnsi="Times New Roman"/>
          <w:szCs w:val="22"/>
          <w:lang w:eastAsia="sk-SK"/>
        </w:rPr>
        <w:t xml:space="preserve"> s podstatným vplyvom, ktorý znamená podiel na základnom imaní v rozsahu 20 – 50 %. Ide o pridružené účtovné jednotky kapitol ŠR ako aj podiely v takýchto spoločnostiach, ktoré vlastnia dcérske spoločnosti štátu</w:t>
      </w:r>
      <w:r w:rsidRPr="0072101A" w:rsidR="002D6290">
        <w:rPr>
          <w:rFonts w:ascii="Times New Roman" w:hAnsi="Times New Roman"/>
          <w:szCs w:val="22"/>
          <w:lang w:eastAsia="sk-SK"/>
        </w:rPr>
        <w:t>.</w:t>
      </w:r>
      <w:r w:rsidR="0001585A">
        <w:rPr>
          <w:rFonts w:ascii="Times New Roman" w:hAnsi="Times New Roman"/>
          <w:szCs w:val="22"/>
          <w:lang w:eastAsia="sk-SK"/>
        </w:rPr>
        <w:t xml:space="preserve"> </w:t>
      </w:r>
    </w:p>
    <w:p w:rsidR="003529A1" w:rsidRPr="0072101A" w:rsidP="00E9050A">
      <w:pPr>
        <w:bidi w:val="0"/>
        <w:spacing w:after="120" w:line="336" w:lineRule="auto"/>
        <w:jc w:val="both"/>
        <w:rPr>
          <w:rFonts w:ascii="Times New Roman" w:hAnsi="Times New Roman"/>
          <w:szCs w:val="22"/>
          <w:lang w:eastAsia="sk-SK"/>
        </w:rPr>
      </w:pPr>
      <w:r w:rsidRPr="0072101A">
        <w:rPr>
          <w:rFonts w:ascii="Times New Roman" w:hAnsi="Times New Roman"/>
          <w:szCs w:val="22"/>
          <w:lang w:eastAsia="sk-SK"/>
        </w:rPr>
        <w:t xml:space="preserve">Druhú najvyššiu hodnotu v rámci </w:t>
      </w:r>
      <w:r w:rsidRPr="0072101A" w:rsidR="00B90425">
        <w:rPr>
          <w:rFonts w:ascii="Times New Roman" w:hAnsi="Times New Roman"/>
          <w:szCs w:val="22"/>
          <w:lang w:eastAsia="sk-SK"/>
        </w:rPr>
        <w:t>ostatného</w:t>
      </w:r>
      <w:r w:rsidRPr="0072101A">
        <w:rPr>
          <w:rFonts w:ascii="Times New Roman" w:hAnsi="Times New Roman"/>
          <w:szCs w:val="22"/>
          <w:lang w:eastAsia="sk-SK"/>
        </w:rPr>
        <w:t xml:space="preserve"> finančného majetku tvoria podiely Slovenskej republiky v zahraničných finančných inštitúciách ako je napríklad Svetová banka, Európska investičná banka a ďalšie. Rozhodujúcu hodnotu tvorí podiel </w:t>
      </w:r>
      <w:r w:rsidRPr="00721AF2">
        <w:rPr>
          <w:rFonts w:ascii="Times New Roman" w:hAnsi="Times New Roman"/>
          <w:szCs w:val="22"/>
          <w:lang w:eastAsia="sk-SK"/>
        </w:rPr>
        <w:t>SR v Európskom stabilizačnom mechanizme.</w:t>
      </w:r>
      <w:r w:rsidRPr="00721AF2" w:rsidR="00E76141">
        <w:rPr>
          <w:rFonts w:ascii="Times New Roman" w:hAnsi="Times New Roman"/>
          <w:szCs w:val="22"/>
          <w:lang w:eastAsia="sk-SK"/>
        </w:rPr>
        <w:t xml:space="preserve"> Časť podielov </w:t>
      </w:r>
      <w:r w:rsidRPr="00721AF2" w:rsidR="0001585A">
        <w:rPr>
          <w:rFonts w:ascii="Times New Roman" w:hAnsi="Times New Roman"/>
          <w:szCs w:val="22"/>
          <w:lang w:eastAsia="sk-SK"/>
        </w:rPr>
        <w:t xml:space="preserve">v ostatných inštitúciách </w:t>
      </w:r>
      <w:r w:rsidRPr="00721AF2" w:rsidR="00E76141">
        <w:rPr>
          <w:rFonts w:ascii="Times New Roman" w:hAnsi="Times New Roman"/>
          <w:szCs w:val="22"/>
          <w:lang w:eastAsia="sk-SK"/>
        </w:rPr>
        <w:t xml:space="preserve">je </w:t>
      </w:r>
      <w:r w:rsidRPr="00721AF2" w:rsidR="00502B56">
        <w:rPr>
          <w:rFonts w:ascii="Times New Roman" w:hAnsi="Times New Roman"/>
          <w:szCs w:val="22"/>
          <w:lang w:eastAsia="sk-SK"/>
        </w:rPr>
        <w:t>splatná na vyzvanie</w:t>
      </w:r>
      <w:r w:rsidRPr="0072101A" w:rsidR="00674838">
        <w:rPr>
          <w:rFonts w:ascii="Times New Roman" w:hAnsi="Times New Roman"/>
          <w:szCs w:val="22"/>
          <w:lang w:eastAsia="sk-SK"/>
        </w:rPr>
        <w:t>,</w:t>
      </w:r>
      <w:r w:rsidRPr="0072101A" w:rsidR="00E76141">
        <w:rPr>
          <w:rFonts w:ascii="Times New Roman" w:hAnsi="Times New Roman"/>
          <w:szCs w:val="22"/>
          <w:lang w:eastAsia="sk-SK"/>
        </w:rPr>
        <w:t xml:space="preserve"> a preto sú vykázané aj ako obstaranie dlhodobého finančného majetku</w:t>
      </w:r>
      <w:r w:rsidRPr="0072101A">
        <w:rPr>
          <w:rFonts w:ascii="Times New Roman" w:hAnsi="Times New Roman"/>
          <w:szCs w:val="22"/>
          <w:lang w:eastAsia="sk-SK"/>
        </w:rPr>
        <w:t xml:space="preserve"> </w:t>
      </w:r>
      <w:r w:rsidRPr="0072101A" w:rsidR="00E76141">
        <w:rPr>
          <w:rFonts w:ascii="Times New Roman" w:hAnsi="Times New Roman"/>
          <w:szCs w:val="22"/>
          <w:lang w:eastAsia="sk-SK"/>
        </w:rPr>
        <w:t>(viď popis nižšie).</w:t>
      </w:r>
    </w:p>
    <w:p w:rsidR="003529A1" w:rsidRPr="0072101A" w:rsidP="00E9050A">
      <w:pPr>
        <w:bidi w:val="0"/>
        <w:spacing w:after="120" w:line="336" w:lineRule="auto"/>
        <w:jc w:val="both"/>
        <w:rPr>
          <w:rFonts w:ascii="Times New Roman" w:hAnsi="Times New Roman"/>
          <w:szCs w:val="22"/>
          <w:lang w:eastAsia="sk-SK"/>
        </w:rPr>
      </w:pPr>
      <w:r w:rsidRPr="0072101A">
        <w:rPr>
          <w:rFonts w:ascii="Times New Roman" w:hAnsi="Times New Roman"/>
          <w:szCs w:val="22"/>
          <w:lang w:eastAsia="sk-SK"/>
        </w:rPr>
        <w:t>Treťou významnou položkou finančného majetku sú pôžičky Štátneho fondu rozvoja bývania, ktoré sa poskytujú nielen subjektom územnej samosprávy, ale aj fyzickým osobám a právnickým osobám mimo súhrnného celku (</w:t>
      </w:r>
      <w:r w:rsidRPr="0072101A" w:rsidR="00424A6D">
        <w:rPr>
          <w:rFonts w:ascii="Times New Roman" w:hAnsi="Times New Roman"/>
          <w:szCs w:val="22"/>
          <w:lang w:eastAsia="sk-SK"/>
        </w:rPr>
        <w:t xml:space="preserve">napr. </w:t>
      </w:r>
      <w:r w:rsidRPr="0072101A">
        <w:rPr>
          <w:rFonts w:ascii="Times New Roman" w:hAnsi="Times New Roman"/>
          <w:szCs w:val="22"/>
          <w:lang w:eastAsia="sk-SK"/>
        </w:rPr>
        <w:t xml:space="preserve">bytové družstvá, bytové spoločenstvá). </w:t>
      </w:r>
      <w:r w:rsidRPr="0072101A" w:rsidR="002D6290">
        <w:rPr>
          <w:rFonts w:ascii="Times New Roman" w:hAnsi="Times New Roman"/>
          <w:szCs w:val="22"/>
          <w:lang w:eastAsia="sk-SK"/>
        </w:rPr>
        <w:t xml:space="preserve"> </w:t>
      </w:r>
    </w:p>
    <w:tbl>
      <w:tblPr>
        <w:tblStyle w:val="TableNormal"/>
        <w:tblW w:w="4605" w:type="pct"/>
        <w:jc w:val="center"/>
        <w:tblInd w:w="70" w:type="dxa"/>
        <w:tblLayout w:type="fixed"/>
        <w:tblCellMar>
          <w:left w:w="70" w:type="dxa"/>
          <w:right w:w="70" w:type="dxa"/>
        </w:tblCellMar>
        <w:tblLook w:val="00A0"/>
      </w:tblPr>
      <w:tblGrid>
        <w:gridCol w:w="5670"/>
        <w:gridCol w:w="1418"/>
        <w:gridCol w:w="1395"/>
      </w:tblGrid>
      <w:tr>
        <w:tblPrEx>
          <w:tblW w:w="4605" w:type="pct"/>
          <w:jc w:val="center"/>
          <w:tblInd w:w="70" w:type="dxa"/>
          <w:tblLayout w:type="fixed"/>
          <w:tblCellMar>
            <w:left w:w="70" w:type="dxa"/>
            <w:right w:w="70" w:type="dxa"/>
          </w:tblCellMar>
          <w:tblLook w:val="00A0"/>
        </w:tblPrEx>
        <w:trPr>
          <w:trHeight w:val="330"/>
          <w:jc w:val="center"/>
        </w:trPr>
        <w:tc>
          <w:tcPr>
            <w:tcW w:w="4178" w:type="pct"/>
            <w:gridSpan w:val="2"/>
            <w:tcBorders>
              <w:top w:val="single" w:sz="4" w:space="0" w:color="auto"/>
              <w:left w:val="nil"/>
              <w:bottom w:val="single" w:sz="4" w:space="0" w:color="auto"/>
              <w:right w:val="nil"/>
            </w:tcBorders>
            <w:shd w:val="clear" w:color="000000" w:fill="000000"/>
            <w:noWrap/>
            <w:textDirection w:val="lrTb"/>
            <w:vAlign w:val="center"/>
          </w:tcPr>
          <w:p w:rsidR="005D6F9E" w:rsidRPr="0072101A" w:rsidP="0002612E">
            <w:pPr>
              <w:bidi w:val="0"/>
              <w:spacing w:after="0" w:line="240" w:lineRule="auto"/>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Dlhodobý finančný majetok súhrnného celku (v tis. eur)</w:t>
            </w:r>
          </w:p>
        </w:tc>
        <w:tc>
          <w:tcPr>
            <w:tcW w:w="822" w:type="pct"/>
            <w:tcBorders>
              <w:top w:val="single" w:sz="4" w:space="0" w:color="auto"/>
              <w:left w:val="nil"/>
              <w:bottom w:val="single" w:sz="4" w:space="0" w:color="auto"/>
              <w:right w:val="nil"/>
            </w:tcBorders>
            <w:shd w:val="clear" w:color="000000" w:fill="000000"/>
            <w:textDirection w:val="lrTb"/>
            <w:vAlign w:val="center"/>
          </w:tcPr>
          <w:p w:rsidR="005D6F9E" w:rsidRPr="0072101A" w:rsidP="009A2941">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r>
      <w:tr>
        <w:tblPrEx>
          <w:tblW w:w="4605" w:type="pct"/>
          <w:jc w:val="center"/>
          <w:tblInd w:w="70" w:type="dxa"/>
          <w:tblLayout w:type="fixed"/>
          <w:tblCellMar>
            <w:left w:w="70" w:type="dxa"/>
            <w:right w:w="70" w:type="dxa"/>
          </w:tblCellMar>
          <w:tblLook w:val="00A0"/>
        </w:tblPrEx>
        <w:trPr>
          <w:trHeight w:val="330"/>
          <w:jc w:val="center"/>
        </w:trPr>
        <w:tc>
          <w:tcPr>
            <w:tcW w:w="3342" w:type="pct"/>
            <w:tcBorders>
              <w:top w:val="nil"/>
              <w:left w:val="nil"/>
              <w:bottom w:val="single" w:sz="4" w:space="0" w:color="auto"/>
              <w:right w:val="nil"/>
            </w:tcBorders>
            <w:shd w:val="clear" w:color="000000" w:fill="BFBFBF"/>
            <w:noWrap/>
            <w:textDirection w:val="lrTb"/>
            <w:vAlign w:val="bottom"/>
          </w:tcPr>
          <w:p w:rsidR="005D6F9E" w:rsidRPr="0072101A" w:rsidP="005D6F9E">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Druh finančného majetku</w:t>
            </w:r>
          </w:p>
        </w:tc>
        <w:tc>
          <w:tcPr>
            <w:tcW w:w="836" w:type="pct"/>
            <w:tcBorders>
              <w:top w:val="nil"/>
              <w:left w:val="nil"/>
              <w:bottom w:val="single" w:sz="4" w:space="0" w:color="auto"/>
              <w:right w:val="nil"/>
            </w:tcBorders>
            <w:shd w:val="clear" w:color="000000" w:fill="BFBFBF"/>
            <w:noWrap/>
            <w:textDirection w:val="lrTb"/>
            <w:vAlign w:val="bottom"/>
          </w:tcPr>
          <w:p w:rsidR="005D6F9E" w:rsidRPr="0072101A" w:rsidP="00875212">
            <w:pPr>
              <w:bidi w:val="0"/>
              <w:spacing w:after="0" w:line="240" w:lineRule="auto"/>
              <w:jc w:val="center"/>
              <w:rPr>
                <w:rFonts w:ascii="Times New Roman" w:hAnsi="Times New Roman"/>
                <w:b/>
                <w:bCs/>
                <w:sz w:val="20"/>
                <w:szCs w:val="20"/>
                <w:lang w:eastAsia="sk-SK"/>
              </w:rPr>
            </w:pPr>
            <w:r w:rsidRPr="0072101A" w:rsidR="00D21ECA">
              <w:rPr>
                <w:rFonts w:ascii="Times New Roman" w:hAnsi="Times New Roman"/>
                <w:b/>
                <w:bCs/>
                <w:sz w:val="20"/>
                <w:szCs w:val="20"/>
                <w:lang w:eastAsia="sk-SK"/>
              </w:rPr>
              <w:t>201</w:t>
            </w:r>
            <w:r w:rsidR="00B2553D">
              <w:rPr>
                <w:rFonts w:ascii="Times New Roman" w:hAnsi="Times New Roman"/>
                <w:b/>
                <w:bCs/>
                <w:sz w:val="20"/>
                <w:szCs w:val="20"/>
                <w:lang w:eastAsia="sk-SK"/>
              </w:rPr>
              <w:t>5</w:t>
            </w:r>
          </w:p>
        </w:tc>
        <w:tc>
          <w:tcPr>
            <w:tcW w:w="822" w:type="pct"/>
            <w:tcBorders>
              <w:top w:val="nil"/>
              <w:left w:val="nil"/>
              <w:bottom w:val="single" w:sz="4" w:space="0" w:color="auto"/>
              <w:right w:val="nil"/>
            </w:tcBorders>
            <w:shd w:val="clear" w:color="000000" w:fill="BFBFBF"/>
            <w:noWrap/>
            <w:textDirection w:val="lrTb"/>
            <w:vAlign w:val="bottom"/>
          </w:tcPr>
          <w:p w:rsidR="005D6F9E" w:rsidRPr="0072101A" w:rsidP="00875212">
            <w:pPr>
              <w:bidi w:val="0"/>
              <w:spacing w:after="0" w:line="240" w:lineRule="auto"/>
              <w:jc w:val="center"/>
              <w:rPr>
                <w:rFonts w:ascii="Times New Roman" w:hAnsi="Times New Roman"/>
                <w:b/>
                <w:bCs/>
                <w:sz w:val="20"/>
                <w:szCs w:val="20"/>
                <w:lang w:eastAsia="sk-SK"/>
              </w:rPr>
            </w:pPr>
            <w:r w:rsidRPr="0072101A" w:rsidR="00D21ECA">
              <w:rPr>
                <w:rFonts w:ascii="Times New Roman" w:hAnsi="Times New Roman"/>
                <w:b/>
                <w:bCs/>
                <w:sz w:val="20"/>
                <w:szCs w:val="20"/>
                <w:lang w:eastAsia="sk-SK"/>
              </w:rPr>
              <w:t>201</w:t>
            </w:r>
            <w:r w:rsidR="00B2553D">
              <w:rPr>
                <w:rFonts w:ascii="Times New Roman" w:hAnsi="Times New Roman"/>
                <w:b/>
                <w:bCs/>
                <w:sz w:val="20"/>
                <w:szCs w:val="20"/>
                <w:lang w:eastAsia="sk-SK"/>
              </w:rPr>
              <w:t>4</w:t>
            </w:r>
          </w:p>
        </w:tc>
      </w:tr>
      <w:tr>
        <w:tblPrEx>
          <w:tblW w:w="4605" w:type="pct"/>
          <w:jc w:val="center"/>
          <w:tblInd w:w="70" w:type="dxa"/>
          <w:tblLayout w:type="fixed"/>
          <w:tblCellMar>
            <w:left w:w="70" w:type="dxa"/>
            <w:right w:w="70" w:type="dxa"/>
          </w:tblCellMar>
          <w:tblLook w:val="00A0"/>
        </w:tblPrEx>
        <w:trPr>
          <w:trHeight w:hRule="exact" w:val="330"/>
          <w:jc w:val="center"/>
        </w:trPr>
        <w:tc>
          <w:tcPr>
            <w:tcW w:w="3342" w:type="pct"/>
            <w:tcBorders>
              <w:top w:val="nil"/>
              <w:left w:val="nil"/>
              <w:bottom w:val="nil"/>
              <w:right w:val="nil"/>
            </w:tcBorders>
            <w:textDirection w:val="lrTb"/>
            <w:vAlign w:val="center"/>
          </w:tcPr>
          <w:p w:rsidR="00B2553D" w:rsidRPr="0072101A" w:rsidP="009E0DB1">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Podielové cenné papiere </w:t>
            </w:r>
          </w:p>
        </w:tc>
        <w:tc>
          <w:tcPr>
            <w:tcW w:w="836" w:type="pct"/>
            <w:tcBorders>
              <w:top w:val="nil"/>
              <w:left w:val="nil"/>
              <w:bottom w:val="nil"/>
              <w:right w:val="nil"/>
            </w:tcBorders>
            <w:textDirection w:val="lrTb"/>
            <w:vAlign w:val="center"/>
          </w:tcPr>
          <w:p w:rsidR="00B2553D" w:rsidRPr="0072101A" w:rsidP="00DC243F">
            <w:pPr>
              <w:bidi w:val="0"/>
              <w:spacing w:after="0" w:line="240" w:lineRule="auto"/>
              <w:ind w:right="82"/>
              <w:jc w:val="right"/>
              <w:rPr>
                <w:rFonts w:ascii="Times New Roman" w:hAnsi="Times New Roman"/>
                <w:color w:val="000000"/>
                <w:sz w:val="20"/>
                <w:szCs w:val="20"/>
                <w:lang w:eastAsia="sk-SK"/>
              </w:rPr>
            </w:pPr>
            <w:r w:rsidR="008E2751">
              <w:rPr>
                <w:rFonts w:ascii="Times New Roman" w:hAnsi="Times New Roman"/>
                <w:color w:val="000000"/>
                <w:sz w:val="20"/>
                <w:szCs w:val="20"/>
                <w:lang w:eastAsia="sk-SK"/>
              </w:rPr>
              <w:t>4 0</w:t>
            </w:r>
            <w:r w:rsidR="00DC243F">
              <w:rPr>
                <w:rFonts w:ascii="Times New Roman" w:hAnsi="Times New Roman"/>
                <w:color w:val="000000"/>
                <w:sz w:val="20"/>
                <w:szCs w:val="20"/>
                <w:lang w:eastAsia="sk-SK"/>
              </w:rPr>
              <w:t>47</w:t>
            </w:r>
            <w:r w:rsidR="008E2751">
              <w:rPr>
                <w:rFonts w:ascii="Times New Roman" w:hAnsi="Times New Roman"/>
                <w:color w:val="000000"/>
                <w:sz w:val="20"/>
                <w:szCs w:val="20"/>
                <w:lang w:eastAsia="sk-SK"/>
              </w:rPr>
              <w:t xml:space="preserve"> </w:t>
            </w:r>
            <w:r w:rsidR="00DC243F">
              <w:rPr>
                <w:rFonts w:ascii="Times New Roman" w:hAnsi="Times New Roman"/>
                <w:color w:val="000000"/>
                <w:sz w:val="20"/>
                <w:szCs w:val="20"/>
                <w:lang w:eastAsia="sk-SK"/>
              </w:rPr>
              <w:t>533</w:t>
            </w:r>
          </w:p>
        </w:tc>
        <w:tc>
          <w:tcPr>
            <w:tcW w:w="822" w:type="pct"/>
            <w:tcBorders>
              <w:top w:val="nil"/>
              <w:left w:val="nil"/>
              <w:bottom w:val="nil"/>
              <w:right w:val="nil"/>
            </w:tcBorders>
            <w:textDirection w:val="lrTb"/>
            <w:vAlign w:val="center"/>
          </w:tcPr>
          <w:p w:rsidR="00B2553D" w:rsidRPr="0072101A" w:rsidP="00582E00">
            <w:pPr>
              <w:bidi w:val="0"/>
              <w:spacing w:after="0" w:line="240" w:lineRule="auto"/>
              <w:ind w:right="82"/>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5 091 383</w:t>
            </w:r>
          </w:p>
        </w:tc>
      </w:tr>
      <w:tr>
        <w:tblPrEx>
          <w:tblW w:w="4605" w:type="pct"/>
          <w:jc w:val="center"/>
          <w:tblInd w:w="70" w:type="dxa"/>
          <w:tblLayout w:type="fixed"/>
          <w:tblCellMar>
            <w:left w:w="70" w:type="dxa"/>
            <w:right w:w="70" w:type="dxa"/>
          </w:tblCellMar>
          <w:tblLook w:val="00A0"/>
        </w:tblPrEx>
        <w:trPr>
          <w:trHeight w:hRule="exact" w:val="330"/>
          <w:jc w:val="center"/>
        </w:trPr>
        <w:tc>
          <w:tcPr>
            <w:tcW w:w="3342" w:type="pct"/>
            <w:tcBorders>
              <w:top w:val="nil"/>
              <w:left w:val="nil"/>
              <w:bottom w:val="none" w:sz="0" w:space="0" w:color="auto"/>
              <w:right w:val="nil"/>
            </w:tcBorders>
            <w:shd w:val="clear" w:color="000000" w:fill="auto"/>
            <w:textDirection w:val="lrTb"/>
            <w:vAlign w:val="center"/>
          </w:tcPr>
          <w:p w:rsidR="00B2553D" w:rsidRPr="0072101A" w:rsidP="009E0DB1">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Obstaranie dlhodobého finančného majetku</w:t>
            </w:r>
          </w:p>
        </w:tc>
        <w:tc>
          <w:tcPr>
            <w:tcW w:w="836" w:type="pct"/>
            <w:tcBorders>
              <w:top w:val="nil"/>
              <w:left w:val="nil"/>
              <w:bottom w:val="none" w:sz="0" w:space="0" w:color="auto"/>
              <w:right w:val="nil"/>
            </w:tcBorders>
            <w:shd w:val="clear" w:color="000000" w:fill="auto"/>
            <w:textDirection w:val="lrTb"/>
            <w:vAlign w:val="center"/>
          </w:tcPr>
          <w:p w:rsidR="00B2553D" w:rsidRPr="0072101A" w:rsidP="00AF30BC">
            <w:pPr>
              <w:bidi w:val="0"/>
              <w:spacing w:after="0" w:line="240" w:lineRule="auto"/>
              <w:ind w:right="82"/>
              <w:jc w:val="right"/>
              <w:rPr>
                <w:rFonts w:ascii="Times New Roman" w:hAnsi="Times New Roman"/>
                <w:bCs/>
                <w:color w:val="000000"/>
                <w:sz w:val="20"/>
                <w:szCs w:val="20"/>
                <w:lang w:eastAsia="sk-SK"/>
              </w:rPr>
            </w:pPr>
            <w:r w:rsidR="008E2751">
              <w:rPr>
                <w:rFonts w:ascii="Times New Roman" w:hAnsi="Times New Roman"/>
                <w:bCs/>
                <w:color w:val="000000"/>
                <w:sz w:val="20"/>
                <w:szCs w:val="20"/>
                <w:lang w:eastAsia="sk-SK"/>
              </w:rPr>
              <w:t>1 006 17</w:t>
            </w:r>
            <w:r w:rsidR="00AF30BC">
              <w:rPr>
                <w:rFonts w:ascii="Times New Roman" w:hAnsi="Times New Roman"/>
                <w:bCs/>
                <w:color w:val="000000"/>
                <w:sz w:val="20"/>
                <w:szCs w:val="20"/>
                <w:lang w:eastAsia="sk-SK"/>
              </w:rPr>
              <w:t>1</w:t>
            </w:r>
          </w:p>
        </w:tc>
        <w:tc>
          <w:tcPr>
            <w:tcW w:w="822" w:type="pct"/>
            <w:tcBorders>
              <w:top w:val="nil"/>
              <w:left w:val="nil"/>
              <w:bottom w:val="none" w:sz="0" w:space="0" w:color="auto"/>
              <w:right w:val="nil"/>
            </w:tcBorders>
            <w:shd w:val="clear" w:color="000000" w:fill="auto"/>
            <w:textDirection w:val="lrTb"/>
            <w:vAlign w:val="center"/>
          </w:tcPr>
          <w:p w:rsidR="00B2553D" w:rsidRPr="0072101A" w:rsidP="00582E00">
            <w:pPr>
              <w:bidi w:val="0"/>
              <w:spacing w:after="0" w:line="240" w:lineRule="auto"/>
              <w:ind w:right="82"/>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974 151</w:t>
            </w:r>
          </w:p>
        </w:tc>
      </w:tr>
      <w:tr>
        <w:tblPrEx>
          <w:tblW w:w="4605" w:type="pct"/>
          <w:jc w:val="center"/>
          <w:tblInd w:w="70" w:type="dxa"/>
          <w:tblLayout w:type="fixed"/>
          <w:tblCellMar>
            <w:left w:w="70" w:type="dxa"/>
            <w:right w:w="70" w:type="dxa"/>
          </w:tblCellMar>
          <w:tblLook w:val="00A0"/>
        </w:tblPrEx>
        <w:trPr>
          <w:trHeight w:hRule="exact" w:val="330"/>
          <w:jc w:val="center"/>
        </w:trPr>
        <w:tc>
          <w:tcPr>
            <w:tcW w:w="3342" w:type="pct"/>
            <w:tcBorders>
              <w:top w:val="nil"/>
              <w:left w:val="nil"/>
              <w:bottom w:val="none" w:sz="0" w:space="0" w:color="auto"/>
              <w:right w:val="nil"/>
            </w:tcBorders>
            <w:shd w:val="clear" w:color="000000" w:fill="auto"/>
            <w:textDirection w:val="lrTb"/>
            <w:vAlign w:val="center"/>
          </w:tcPr>
          <w:p w:rsidR="00B2553D" w:rsidRPr="0072101A" w:rsidP="009E0DB1">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Ostatný dlhodobý finančný majetok</w:t>
            </w:r>
          </w:p>
        </w:tc>
        <w:tc>
          <w:tcPr>
            <w:tcW w:w="836" w:type="pct"/>
            <w:tcBorders>
              <w:top w:val="nil"/>
              <w:left w:val="nil"/>
              <w:bottom w:val="none" w:sz="0" w:space="0" w:color="auto"/>
              <w:right w:val="nil"/>
            </w:tcBorders>
            <w:shd w:val="clear" w:color="000000" w:fill="auto"/>
            <w:textDirection w:val="lrTb"/>
            <w:vAlign w:val="center"/>
          </w:tcPr>
          <w:p w:rsidR="00B2553D" w:rsidRPr="0072101A" w:rsidP="00AC4543">
            <w:pPr>
              <w:bidi w:val="0"/>
              <w:spacing w:after="0" w:line="240" w:lineRule="auto"/>
              <w:ind w:right="82"/>
              <w:jc w:val="right"/>
              <w:rPr>
                <w:rFonts w:ascii="Times New Roman" w:hAnsi="Times New Roman"/>
                <w:bCs/>
                <w:color w:val="000000"/>
                <w:sz w:val="20"/>
                <w:szCs w:val="20"/>
                <w:lang w:eastAsia="sk-SK"/>
              </w:rPr>
            </w:pPr>
            <w:r w:rsidR="008E2751">
              <w:rPr>
                <w:rFonts w:ascii="Times New Roman" w:hAnsi="Times New Roman"/>
                <w:bCs/>
                <w:color w:val="000000"/>
                <w:sz w:val="20"/>
                <w:szCs w:val="20"/>
                <w:lang w:eastAsia="sk-SK"/>
              </w:rPr>
              <w:t xml:space="preserve">1 109 </w:t>
            </w:r>
            <w:r w:rsidR="00DC243F">
              <w:rPr>
                <w:rFonts w:ascii="Times New Roman" w:hAnsi="Times New Roman"/>
                <w:bCs/>
                <w:color w:val="000000"/>
                <w:sz w:val="20"/>
                <w:szCs w:val="20"/>
                <w:lang w:eastAsia="sk-SK"/>
              </w:rPr>
              <w:t>595</w:t>
            </w:r>
          </w:p>
        </w:tc>
        <w:tc>
          <w:tcPr>
            <w:tcW w:w="822" w:type="pct"/>
            <w:tcBorders>
              <w:top w:val="nil"/>
              <w:left w:val="nil"/>
              <w:bottom w:val="none" w:sz="0" w:space="0" w:color="auto"/>
              <w:right w:val="nil"/>
            </w:tcBorders>
            <w:shd w:val="clear" w:color="000000" w:fill="auto"/>
            <w:textDirection w:val="lrTb"/>
            <w:vAlign w:val="center"/>
          </w:tcPr>
          <w:p w:rsidR="00B2553D" w:rsidRPr="0072101A" w:rsidP="00582E00">
            <w:pPr>
              <w:bidi w:val="0"/>
              <w:spacing w:after="0" w:line="240" w:lineRule="auto"/>
              <w:ind w:right="82"/>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1 092 215</w:t>
            </w:r>
          </w:p>
        </w:tc>
      </w:tr>
      <w:tr>
        <w:tblPrEx>
          <w:tblW w:w="4605" w:type="pct"/>
          <w:jc w:val="center"/>
          <w:tblInd w:w="70" w:type="dxa"/>
          <w:tblLayout w:type="fixed"/>
          <w:tblCellMar>
            <w:left w:w="70" w:type="dxa"/>
            <w:right w:w="70" w:type="dxa"/>
          </w:tblCellMar>
          <w:tblLook w:val="00A0"/>
        </w:tblPrEx>
        <w:trPr>
          <w:trHeight w:hRule="exact" w:val="330"/>
          <w:jc w:val="center"/>
        </w:trPr>
        <w:tc>
          <w:tcPr>
            <w:tcW w:w="3342" w:type="pct"/>
            <w:tcBorders>
              <w:top w:val="nil"/>
              <w:left w:val="nil"/>
              <w:bottom w:val="none" w:sz="0" w:space="0" w:color="auto"/>
              <w:right w:val="nil"/>
            </w:tcBorders>
            <w:textDirection w:val="lrTb"/>
            <w:vAlign w:val="center"/>
          </w:tcPr>
          <w:p w:rsidR="00B2553D" w:rsidRPr="0072101A" w:rsidP="009E0DB1">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Pôžičky</w:t>
            </w:r>
          </w:p>
        </w:tc>
        <w:tc>
          <w:tcPr>
            <w:tcW w:w="836" w:type="pct"/>
            <w:tcBorders>
              <w:top w:val="nil"/>
              <w:left w:val="nil"/>
              <w:bottom w:val="none" w:sz="0" w:space="0" w:color="auto"/>
              <w:right w:val="nil"/>
            </w:tcBorders>
            <w:textDirection w:val="lrTb"/>
            <w:vAlign w:val="center"/>
          </w:tcPr>
          <w:p w:rsidR="00B2553D" w:rsidRPr="0072101A" w:rsidP="00AF30BC">
            <w:pPr>
              <w:bidi w:val="0"/>
              <w:spacing w:after="0" w:line="240" w:lineRule="auto"/>
              <w:ind w:right="82"/>
              <w:jc w:val="right"/>
              <w:rPr>
                <w:rFonts w:ascii="Times New Roman" w:hAnsi="Times New Roman"/>
                <w:color w:val="000000"/>
                <w:sz w:val="20"/>
                <w:szCs w:val="20"/>
                <w:lang w:eastAsia="sk-SK"/>
              </w:rPr>
            </w:pPr>
            <w:r w:rsidR="008E2751">
              <w:rPr>
                <w:rFonts w:ascii="Times New Roman" w:hAnsi="Times New Roman"/>
                <w:color w:val="000000"/>
                <w:sz w:val="20"/>
                <w:szCs w:val="20"/>
                <w:lang w:eastAsia="sk-SK"/>
              </w:rPr>
              <w:t xml:space="preserve">1 045 </w:t>
            </w:r>
            <w:r w:rsidR="00DC243F">
              <w:rPr>
                <w:rFonts w:ascii="Times New Roman" w:hAnsi="Times New Roman"/>
                <w:color w:val="000000"/>
                <w:sz w:val="20"/>
                <w:szCs w:val="20"/>
                <w:lang w:eastAsia="sk-SK"/>
              </w:rPr>
              <w:t>54</w:t>
            </w:r>
            <w:r w:rsidR="00AF30BC">
              <w:rPr>
                <w:rFonts w:ascii="Times New Roman" w:hAnsi="Times New Roman"/>
                <w:color w:val="000000"/>
                <w:sz w:val="20"/>
                <w:szCs w:val="20"/>
                <w:lang w:eastAsia="sk-SK"/>
              </w:rPr>
              <w:t>6</w:t>
            </w:r>
          </w:p>
        </w:tc>
        <w:tc>
          <w:tcPr>
            <w:tcW w:w="822" w:type="pct"/>
            <w:tcBorders>
              <w:top w:val="nil"/>
              <w:left w:val="nil"/>
              <w:bottom w:val="none" w:sz="0" w:space="0" w:color="auto"/>
              <w:right w:val="nil"/>
            </w:tcBorders>
            <w:textDirection w:val="lrTb"/>
            <w:vAlign w:val="center"/>
          </w:tcPr>
          <w:p w:rsidR="00B2553D" w:rsidRPr="0072101A" w:rsidP="00582E00">
            <w:pPr>
              <w:bidi w:val="0"/>
              <w:spacing w:after="0" w:line="240" w:lineRule="auto"/>
              <w:ind w:right="82"/>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1 000 216</w:t>
            </w:r>
          </w:p>
        </w:tc>
      </w:tr>
      <w:tr>
        <w:tblPrEx>
          <w:tblW w:w="4605" w:type="pct"/>
          <w:jc w:val="center"/>
          <w:tblInd w:w="70" w:type="dxa"/>
          <w:tblLayout w:type="fixed"/>
          <w:tblCellMar>
            <w:left w:w="70" w:type="dxa"/>
            <w:right w:w="70" w:type="dxa"/>
          </w:tblCellMar>
          <w:tblLook w:val="00A0"/>
        </w:tblPrEx>
        <w:trPr>
          <w:trHeight w:hRule="exact" w:val="292"/>
          <w:jc w:val="center"/>
        </w:trPr>
        <w:tc>
          <w:tcPr>
            <w:tcW w:w="3342" w:type="pct"/>
            <w:tcBorders>
              <w:top w:val="nil"/>
              <w:left w:val="nil"/>
              <w:bottom w:val="nil"/>
              <w:right w:val="nil"/>
            </w:tcBorders>
            <w:textDirection w:val="lrTb"/>
            <w:vAlign w:val="center"/>
          </w:tcPr>
          <w:p w:rsidR="00B2553D" w:rsidRPr="0072101A" w:rsidP="009E0DB1">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Dlhové cenné papiere</w:t>
            </w:r>
          </w:p>
        </w:tc>
        <w:tc>
          <w:tcPr>
            <w:tcW w:w="836" w:type="pct"/>
            <w:tcBorders>
              <w:top w:val="nil"/>
              <w:left w:val="nil"/>
              <w:bottom w:val="nil"/>
              <w:right w:val="nil"/>
            </w:tcBorders>
            <w:textDirection w:val="lrTb"/>
            <w:vAlign w:val="center"/>
          </w:tcPr>
          <w:p w:rsidR="00B2553D" w:rsidRPr="0072101A" w:rsidP="00AC4543">
            <w:pPr>
              <w:bidi w:val="0"/>
              <w:spacing w:after="0" w:line="240" w:lineRule="auto"/>
              <w:ind w:right="82"/>
              <w:jc w:val="right"/>
              <w:rPr>
                <w:rFonts w:ascii="Times New Roman" w:hAnsi="Times New Roman"/>
                <w:color w:val="000000"/>
                <w:sz w:val="20"/>
                <w:szCs w:val="20"/>
                <w:lang w:eastAsia="sk-SK"/>
              </w:rPr>
            </w:pPr>
            <w:r w:rsidR="008E2751">
              <w:rPr>
                <w:rFonts w:ascii="Times New Roman" w:hAnsi="Times New Roman"/>
                <w:color w:val="000000"/>
                <w:sz w:val="20"/>
                <w:szCs w:val="20"/>
                <w:lang w:eastAsia="sk-SK"/>
              </w:rPr>
              <w:t>32 297</w:t>
            </w:r>
          </w:p>
        </w:tc>
        <w:tc>
          <w:tcPr>
            <w:tcW w:w="822" w:type="pct"/>
            <w:tcBorders>
              <w:top w:val="nil"/>
              <w:left w:val="nil"/>
              <w:bottom w:val="nil"/>
              <w:right w:val="nil"/>
            </w:tcBorders>
            <w:textDirection w:val="lrTb"/>
            <w:vAlign w:val="center"/>
          </w:tcPr>
          <w:p w:rsidR="00B2553D" w:rsidRPr="0072101A" w:rsidP="00582E00">
            <w:pPr>
              <w:bidi w:val="0"/>
              <w:spacing w:after="0" w:line="240" w:lineRule="auto"/>
              <w:ind w:right="82"/>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32 713</w:t>
            </w:r>
          </w:p>
        </w:tc>
      </w:tr>
      <w:tr>
        <w:tblPrEx>
          <w:tblW w:w="4605" w:type="pct"/>
          <w:jc w:val="center"/>
          <w:tblInd w:w="70" w:type="dxa"/>
          <w:tblLayout w:type="fixed"/>
          <w:tblCellMar>
            <w:left w:w="70" w:type="dxa"/>
            <w:right w:w="70" w:type="dxa"/>
          </w:tblCellMar>
          <w:tblLook w:val="00A0"/>
        </w:tblPrEx>
        <w:trPr>
          <w:trHeight w:hRule="exact" w:val="330"/>
          <w:jc w:val="center"/>
        </w:trPr>
        <w:tc>
          <w:tcPr>
            <w:tcW w:w="3342" w:type="pct"/>
            <w:tcBorders>
              <w:top w:val="nil"/>
              <w:left w:val="nil"/>
              <w:bottom w:val="single" w:sz="4" w:space="0" w:color="000000"/>
              <w:right w:val="nil"/>
            </w:tcBorders>
            <w:shd w:val="clear" w:color="000000" w:fill="auto"/>
            <w:textDirection w:val="lrTb"/>
            <w:vAlign w:val="center"/>
          </w:tcPr>
          <w:p w:rsidR="00B2553D" w:rsidRPr="0072101A" w:rsidP="009E0DB1">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Spolu</w:t>
            </w:r>
          </w:p>
        </w:tc>
        <w:tc>
          <w:tcPr>
            <w:tcW w:w="836" w:type="pct"/>
            <w:tcBorders>
              <w:top w:val="nil"/>
              <w:left w:val="nil"/>
              <w:bottom w:val="single" w:sz="4" w:space="0" w:color="000000"/>
              <w:right w:val="nil"/>
            </w:tcBorders>
            <w:shd w:val="clear" w:color="000000" w:fill="auto"/>
            <w:textDirection w:val="lrTb"/>
            <w:vAlign w:val="center"/>
          </w:tcPr>
          <w:p w:rsidR="00B2553D" w:rsidRPr="0072101A" w:rsidP="00AC4543">
            <w:pPr>
              <w:bidi w:val="0"/>
              <w:spacing w:after="0" w:line="240" w:lineRule="auto"/>
              <w:ind w:right="82"/>
              <w:jc w:val="right"/>
              <w:rPr>
                <w:rFonts w:ascii="Times New Roman" w:hAnsi="Times New Roman"/>
                <w:b/>
                <w:bCs/>
                <w:color w:val="000000"/>
                <w:sz w:val="20"/>
                <w:szCs w:val="20"/>
                <w:lang w:eastAsia="sk-SK"/>
              </w:rPr>
            </w:pPr>
            <w:r w:rsidR="008E2751">
              <w:rPr>
                <w:rFonts w:ascii="Times New Roman" w:hAnsi="Times New Roman"/>
                <w:b/>
                <w:bCs/>
                <w:color w:val="000000"/>
                <w:sz w:val="20"/>
                <w:szCs w:val="20"/>
                <w:lang w:eastAsia="sk-SK"/>
              </w:rPr>
              <w:t>7 241 142</w:t>
            </w:r>
          </w:p>
        </w:tc>
        <w:tc>
          <w:tcPr>
            <w:tcW w:w="822" w:type="pct"/>
            <w:tcBorders>
              <w:top w:val="nil"/>
              <w:left w:val="nil"/>
              <w:bottom w:val="single" w:sz="4" w:space="0" w:color="000000"/>
              <w:right w:val="nil"/>
            </w:tcBorders>
            <w:shd w:val="clear" w:color="000000" w:fill="auto"/>
            <w:textDirection w:val="lrTb"/>
            <w:vAlign w:val="center"/>
          </w:tcPr>
          <w:p w:rsidR="00B2553D" w:rsidRPr="0072101A" w:rsidP="00582E00">
            <w:pPr>
              <w:bidi w:val="0"/>
              <w:spacing w:after="0" w:line="240" w:lineRule="auto"/>
              <w:ind w:right="82"/>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8 190 678</w:t>
            </w:r>
          </w:p>
        </w:tc>
      </w:tr>
    </w:tbl>
    <w:p w:rsidR="002D6290" w:rsidRPr="0072101A" w:rsidP="006C2C34">
      <w:pPr>
        <w:bidi w:val="0"/>
        <w:spacing w:before="240" w:after="120" w:line="336" w:lineRule="auto"/>
        <w:jc w:val="both"/>
        <w:rPr>
          <w:rFonts w:ascii="Times New Roman" w:hAnsi="Times New Roman"/>
          <w:i/>
          <w:szCs w:val="22"/>
          <w:u w:val="single"/>
          <w:lang w:eastAsia="sk-SK"/>
        </w:rPr>
      </w:pPr>
      <w:r w:rsidRPr="0072101A">
        <w:rPr>
          <w:rFonts w:ascii="Times New Roman" w:hAnsi="Times New Roman"/>
          <w:i/>
          <w:szCs w:val="22"/>
          <w:u w:val="single"/>
          <w:lang w:eastAsia="sk-SK"/>
        </w:rPr>
        <w:t>Podielové cenné papiere a podiely v dcérskej účtovnej jednotke</w:t>
      </w:r>
    </w:p>
    <w:p w:rsidR="008D5681" w:rsidRPr="0072101A" w:rsidP="00E9050A">
      <w:pPr>
        <w:bidi w:val="0"/>
        <w:spacing w:after="120" w:line="336" w:lineRule="auto"/>
        <w:jc w:val="both"/>
        <w:rPr>
          <w:rFonts w:ascii="Times New Roman" w:hAnsi="Times New Roman"/>
          <w:szCs w:val="22"/>
          <w:lang w:eastAsia="sk-SK"/>
        </w:rPr>
      </w:pPr>
      <w:r w:rsidRPr="0072101A" w:rsidR="002D6290">
        <w:rPr>
          <w:rFonts w:ascii="Times New Roman" w:hAnsi="Times New Roman"/>
          <w:szCs w:val="22"/>
          <w:lang w:eastAsia="sk-SK"/>
        </w:rPr>
        <w:t xml:space="preserve">V rámci tejto položky dlhodobého finančného majetku sa vykazujú majetkové účasti </w:t>
      </w:r>
      <w:r w:rsidRPr="0072101A" w:rsidR="000251E7">
        <w:rPr>
          <w:rFonts w:ascii="Times New Roman" w:hAnsi="Times New Roman"/>
          <w:szCs w:val="22"/>
          <w:lang w:eastAsia="sk-SK"/>
        </w:rPr>
        <w:t>v</w:t>
      </w:r>
      <w:r w:rsidRPr="0072101A" w:rsidR="002D6290">
        <w:rPr>
          <w:rFonts w:ascii="Times New Roman" w:hAnsi="Times New Roman"/>
          <w:szCs w:val="22"/>
          <w:lang w:eastAsia="sk-SK"/>
        </w:rPr>
        <w:t xml:space="preserve"> obchodných spoločnostiach, ktoré predstavujú minimálne 51% </w:t>
      </w:r>
      <w:r w:rsidRPr="0072101A" w:rsidR="000251E7">
        <w:rPr>
          <w:rFonts w:ascii="Times New Roman" w:hAnsi="Times New Roman"/>
          <w:szCs w:val="22"/>
          <w:lang w:eastAsia="sk-SK"/>
        </w:rPr>
        <w:t>podiel na ich vlastnom imaní</w:t>
      </w:r>
      <w:r w:rsidR="00AF30BC">
        <w:rPr>
          <w:rFonts w:ascii="Times New Roman" w:hAnsi="Times New Roman"/>
          <w:szCs w:val="22"/>
          <w:lang w:eastAsia="sk-SK"/>
        </w:rPr>
        <w:t>, a ktoré neboli predmetom konsolidácie</w:t>
      </w:r>
      <w:r w:rsidRPr="0072101A" w:rsidR="000251E7">
        <w:rPr>
          <w:rFonts w:ascii="Times New Roman" w:hAnsi="Times New Roman"/>
          <w:szCs w:val="22"/>
          <w:lang w:eastAsia="sk-SK"/>
        </w:rPr>
        <w:t xml:space="preserve">. </w:t>
      </w:r>
      <w:r w:rsidRPr="0072101A" w:rsidR="002D6290">
        <w:rPr>
          <w:rFonts w:ascii="Times New Roman" w:hAnsi="Times New Roman"/>
          <w:szCs w:val="22"/>
          <w:lang w:eastAsia="sk-SK"/>
        </w:rPr>
        <w:t>Hodnota tohto dlhodobého finančného majetku dosiahla k 31.12.201</w:t>
      </w:r>
      <w:r w:rsidR="00AD571A">
        <w:rPr>
          <w:rFonts w:ascii="Times New Roman" w:hAnsi="Times New Roman"/>
          <w:szCs w:val="22"/>
          <w:lang w:eastAsia="sk-SK"/>
        </w:rPr>
        <w:t>5</w:t>
      </w:r>
      <w:r w:rsidRPr="0072101A" w:rsidR="002D6290">
        <w:rPr>
          <w:rFonts w:ascii="Times New Roman" w:hAnsi="Times New Roman"/>
          <w:szCs w:val="22"/>
          <w:lang w:eastAsia="sk-SK"/>
        </w:rPr>
        <w:t xml:space="preserve"> sumu</w:t>
      </w:r>
      <w:r w:rsidRPr="0072101A">
        <w:rPr>
          <w:rFonts w:ascii="Times New Roman" w:hAnsi="Times New Roman"/>
          <w:szCs w:val="22"/>
          <w:lang w:eastAsia="sk-SK"/>
        </w:rPr>
        <w:t xml:space="preserve"> 3</w:t>
      </w:r>
      <w:r w:rsidR="00AD571A">
        <w:rPr>
          <w:rFonts w:ascii="Times New Roman" w:hAnsi="Times New Roman"/>
          <w:szCs w:val="22"/>
          <w:lang w:eastAsia="sk-SK"/>
        </w:rPr>
        <w:t>1</w:t>
      </w:r>
      <w:r w:rsidRPr="0072101A">
        <w:rPr>
          <w:rFonts w:ascii="Times New Roman" w:hAnsi="Times New Roman"/>
          <w:szCs w:val="22"/>
          <w:lang w:eastAsia="sk-SK"/>
        </w:rPr>
        <w:t> </w:t>
      </w:r>
      <w:r w:rsidR="00AD571A">
        <w:rPr>
          <w:rFonts w:ascii="Times New Roman" w:hAnsi="Times New Roman"/>
          <w:szCs w:val="22"/>
          <w:lang w:eastAsia="sk-SK"/>
        </w:rPr>
        <w:t>095</w:t>
      </w:r>
      <w:r w:rsidRPr="0072101A">
        <w:rPr>
          <w:rFonts w:ascii="Times New Roman" w:hAnsi="Times New Roman"/>
          <w:szCs w:val="22"/>
          <w:lang w:eastAsia="sk-SK"/>
        </w:rPr>
        <w:t xml:space="preserve"> tis. eur a je medziročne </w:t>
      </w:r>
      <w:r w:rsidR="00AD571A">
        <w:rPr>
          <w:rFonts w:ascii="Times New Roman" w:hAnsi="Times New Roman"/>
          <w:szCs w:val="22"/>
          <w:lang w:eastAsia="sk-SK"/>
        </w:rPr>
        <w:t>vyššia</w:t>
      </w:r>
      <w:r w:rsidRPr="0072101A">
        <w:rPr>
          <w:rFonts w:ascii="Times New Roman" w:hAnsi="Times New Roman"/>
          <w:szCs w:val="22"/>
          <w:lang w:eastAsia="sk-SK"/>
        </w:rPr>
        <w:t xml:space="preserve"> o </w:t>
      </w:r>
      <w:r w:rsidR="00AD571A">
        <w:rPr>
          <w:rFonts w:ascii="Times New Roman" w:hAnsi="Times New Roman"/>
          <w:szCs w:val="22"/>
          <w:lang w:eastAsia="sk-SK"/>
        </w:rPr>
        <w:t>429</w:t>
      </w:r>
      <w:r w:rsidRPr="0072101A" w:rsidR="002D6290">
        <w:rPr>
          <w:rFonts w:ascii="Times New Roman" w:hAnsi="Times New Roman"/>
          <w:szCs w:val="22"/>
          <w:lang w:eastAsia="sk-SK"/>
        </w:rPr>
        <w:t xml:space="preserve"> </w:t>
      </w:r>
      <w:r w:rsidRPr="0072101A" w:rsidR="00094ACB">
        <w:rPr>
          <w:rFonts w:ascii="Times New Roman" w:hAnsi="Times New Roman"/>
          <w:szCs w:val="22"/>
          <w:lang w:eastAsia="sk-SK"/>
        </w:rPr>
        <w:t>tis</w:t>
      </w:r>
      <w:r w:rsidRPr="0072101A" w:rsidR="002D6290">
        <w:rPr>
          <w:rFonts w:ascii="Times New Roman" w:hAnsi="Times New Roman"/>
          <w:szCs w:val="22"/>
          <w:lang w:eastAsia="sk-SK"/>
        </w:rPr>
        <w:t xml:space="preserve">. </w:t>
      </w:r>
      <w:r w:rsidRPr="0072101A" w:rsidR="000251E7">
        <w:rPr>
          <w:rFonts w:ascii="Times New Roman" w:hAnsi="Times New Roman"/>
          <w:szCs w:val="22"/>
          <w:lang w:eastAsia="sk-SK"/>
        </w:rPr>
        <w:t>e</w:t>
      </w:r>
      <w:r w:rsidRPr="0072101A" w:rsidR="002D6290">
        <w:rPr>
          <w:rFonts w:ascii="Times New Roman" w:hAnsi="Times New Roman"/>
          <w:szCs w:val="22"/>
          <w:lang w:eastAsia="sk-SK"/>
        </w:rPr>
        <w:t>ur</w:t>
      </w:r>
      <w:r w:rsidR="00AD571A">
        <w:rPr>
          <w:rFonts w:ascii="Times New Roman" w:hAnsi="Times New Roman"/>
          <w:szCs w:val="22"/>
          <w:lang w:eastAsia="sk-SK"/>
        </w:rPr>
        <w:t>, najmä u ostatných subjektov verejnej správy. Z celkovej hodnoty vykazujú najvyšší podiel obce 12 273 tis. eur, z ústrednej správy jej obchodné spoločnosti SPP, a.s. 4 934 tis. eur a JAVYS, a.s. sumu 6 239 tis. eur.</w:t>
      </w:r>
      <w:r w:rsidR="00123486">
        <w:rPr>
          <w:rFonts w:ascii="Times New Roman" w:hAnsi="Times New Roman"/>
          <w:szCs w:val="22"/>
          <w:lang w:eastAsia="sk-SK"/>
        </w:rPr>
        <w:t xml:space="preserve"> Z ostatných subjektov sú to verejné vysoké školy 5 138 tis. eur.</w:t>
      </w:r>
      <w:r w:rsidRPr="0072101A">
        <w:rPr>
          <w:rFonts w:ascii="Times New Roman" w:hAnsi="Times New Roman"/>
          <w:szCs w:val="22"/>
          <w:lang w:eastAsia="sk-SK"/>
        </w:rPr>
        <w:t xml:space="preserve"> </w:t>
      </w:r>
    </w:p>
    <w:p w:rsidR="002D6290" w:rsidRPr="0072101A" w:rsidP="00E9050A">
      <w:pPr>
        <w:bidi w:val="0"/>
        <w:spacing w:after="120" w:line="336" w:lineRule="auto"/>
        <w:jc w:val="both"/>
        <w:rPr>
          <w:rFonts w:ascii="Times New Roman" w:hAnsi="Times New Roman"/>
          <w:i/>
          <w:szCs w:val="22"/>
          <w:u w:val="single"/>
          <w:lang w:eastAsia="sk-SK"/>
        </w:rPr>
      </w:pPr>
      <w:r w:rsidRPr="0072101A">
        <w:rPr>
          <w:rFonts w:ascii="Times New Roman" w:hAnsi="Times New Roman"/>
          <w:i/>
          <w:szCs w:val="22"/>
          <w:u w:val="single"/>
          <w:lang w:eastAsia="sk-SK"/>
        </w:rPr>
        <w:t>Pod</w:t>
      </w:r>
      <w:r w:rsidRPr="0072101A" w:rsidR="00120F88">
        <w:rPr>
          <w:rFonts w:ascii="Times New Roman" w:hAnsi="Times New Roman"/>
          <w:i/>
          <w:szCs w:val="22"/>
          <w:u w:val="single"/>
          <w:lang w:eastAsia="sk-SK"/>
        </w:rPr>
        <w:t xml:space="preserve">ielové cenné papiere a podiely </w:t>
      </w:r>
      <w:r w:rsidRPr="0072101A">
        <w:rPr>
          <w:rFonts w:ascii="Times New Roman" w:hAnsi="Times New Roman"/>
          <w:i/>
          <w:szCs w:val="22"/>
          <w:u w:val="single"/>
          <w:lang w:eastAsia="sk-SK"/>
        </w:rPr>
        <w:t>v spoločnosti s podstatným vplyvom</w:t>
      </w:r>
    </w:p>
    <w:p w:rsidR="002D6290" w:rsidRPr="0072101A" w:rsidP="00973881">
      <w:pPr>
        <w:bidi w:val="0"/>
        <w:spacing w:after="120" w:line="336" w:lineRule="auto"/>
        <w:jc w:val="both"/>
        <w:rPr>
          <w:rFonts w:ascii="Times New Roman" w:hAnsi="Times New Roman"/>
          <w:szCs w:val="22"/>
          <w:lang w:eastAsia="sk-SK"/>
        </w:rPr>
      </w:pPr>
      <w:r w:rsidRPr="0072101A">
        <w:rPr>
          <w:rFonts w:ascii="Times New Roman" w:hAnsi="Times New Roman"/>
          <w:szCs w:val="22"/>
          <w:lang w:eastAsia="sk-SK"/>
        </w:rPr>
        <w:t xml:space="preserve">V rámci tejto položky dlhodobého finančného majetku sa vykazujú majetkové účasti </w:t>
      </w:r>
      <w:r w:rsidRPr="0072101A" w:rsidR="000251E7">
        <w:rPr>
          <w:rFonts w:ascii="Times New Roman" w:hAnsi="Times New Roman"/>
          <w:szCs w:val="22"/>
          <w:lang w:eastAsia="sk-SK"/>
        </w:rPr>
        <w:t>v</w:t>
      </w:r>
      <w:r w:rsidRPr="0072101A">
        <w:rPr>
          <w:rFonts w:ascii="Times New Roman" w:hAnsi="Times New Roman"/>
          <w:szCs w:val="22"/>
          <w:lang w:eastAsia="sk-SK"/>
        </w:rPr>
        <w:t xml:space="preserve"> iných obchodných spoločnostiach, ktoré predstavujú 20 </w:t>
      </w:r>
      <w:r w:rsidRPr="0072101A" w:rsidR="000251E7">
        <w:rPr>
          <w:rFonts w:ascii="Times New Roman" w:hAnsi="Times New Roman"/>
          <w:szCs w:val="22"/>
          <w:lang w:eastAsia="sk-SK"/>
        </w:rPr>
        <w:t>až</w:t>
      </w:r>
      <w:r w:rsidRPr="0072101A">
        <w:rPr>
          <w:rFonts w:ascii="Times New Roman" w:hAnsi="Times New Roman"/>
          <w:szCs w:val="22"/>
          <w:lang w:eastAsia="sk-SK"/>
        </w:rPr>
        <w:t xml:space="preserve"> 50% podiel na ich vlastnom imaní</w:t>
      </w:r>
      <w:r w:rsidRPr="0072101A" w:rsidR="00301E90">
        <w:rPr>
          <w:rFonts w:ascii="Times New Roman" w:hAnsi="Times New Roman"/>
          <w:szCs w:val="22"/>
          <w:lang w:eastAsia="sk-SK"/>
        </w:rPr>
        <w:t xml:space="preserve"> a</w:t>
      </w:r>
      <w:r w:rsidRPr="0072101A">
        <w:rPr>
          <w:rFonts w:ascii="Times New Roman" w:hAnsi="Times New Roman"/>
          <w:szCs w:val="22"/>
          <w:lang w:eastAsia="sk-SK"/>
        </w:rPr>
        <w:t xml:space="preserve"> </w:t>
      </w:r>
      <w:r w:rsidRPr="0072101A" w:rsidR="00301E90">
        <w:rPr>
          <w:rFonts w:ascii="Times New Roman" w:hAnsi="Times New Roman"/>
          <w:szCs w:val="22"/>
          <w:lang w:eastAsia="sk-SK"/>
        </w:rPr>
        <w:t>ú</w:t>
      </w:r>
      <w:r w:rsidRPr="0072101A">
        <w:rPr>
          <w:rFonts w:ascii="Times New Roman" w:hAnsi="Times New Roman"/>
          <w:szCs w:val="22"/>
          <w:lang w:eastAsia="sk-SK"/>
        </w:rPr>
        <w:t xml:space="preserve">čtovná jednotka nie je </w:t>
      </w:r>
      <w:r w:rsidRPr="0072101A" w:rsidR="00301E90">
        <w:rPr>
          <w:rFonts w:ascii="Times New Roman" w:hAnsi="Times New Roman"/>
          <w:szCs w:val="22"/>
          <w:lang w:eastAsia="sk-SK"/>
        </w:rPr>
        <w:t xml:space="preserve">definovaná ako </w:t>
      </w:r>
      <w:r w:rsidRPr="0072101A">
        <w:rPr>
          <w:rFonts w:ascii="Times New Roman" w:hAnsi="Times New Roman"/>
          <w:szCs w:val="22"/>
          <w:lang w:eastAsia="sk-SK"/>
        </w:rPr>
        <w:t>spoločn</w:t>
      </w:r>
      <w:r w:rsidRPr="0072101A" w:rsidR="00301E90">
        <w:rPr>
          <w:rFonts w:ascii="Times New Roman" w:hAnsi="Times New Roman"/>
          <w:szCs w:val="22"/>
          <w:lang w:eastAsia="sk-SK"/>
        </w:rPr>
        <w:t>á</w:t>
      </w:r>
      <w:r w:rsidRPr="0072101A">
        <w:rPr>
          <w:rFonts w:ascii="Times New Roman" w:hAnsi="Times New Roman"/>
          <w:szCs w:val="22"/>
          <w:lang w:eastAsia="sk-SK"/>
        </w:rPr>
        <w:t xml:space="preserve"> </w:t>
      </w:r>
      <w:r w:rsidRPr="0072101A" w:rsidR="00301E90">
        <w:rPr>
          <w:rFonts w:ascii="Times New Roman" w:hAnsi="Times New Roman"/>
          <w:szCs w:val="22"/>
          <w:lang w:eastAsia="sk-SK"/>
        </w:rPr>
        <w:t>účtovná jednotka dvoch</w:t>
      </w:r>
      <w:r w:rsidRPr="0072101A">
        <w:rPr>
          <w:rFonts w:ascii="Times New Roman" w:hAnsi="Times New Roman"/>
          <w:szCs w:val="22"/>
          <w:lang w:eastAsia="sk-SK"/>
        </w:rPr>
        <w:t xml:space="preserve"> alebo viacer</w:t>
      </w:r>
      <w:r w:rsidRPr="0072101A" w:rsidR="00301E90">
        <w:rPr>
          <w:rFonts w:ascii="Times New Roman" w:hAnsi="Times New Roman"/>
          <w:szCs w:val="22"/>
          <w:lang w:eastAsia="sk-SK"/>
        </w:rPr>
        <w:t>ých</w:t>
      </w:r>
      <w:r w:rsidRPr="0072101A">
        <w:rPr>
          <w:rFonts w:ascii="Times New Roman" w:hAnsi="Times New Roman"/>
          <w:szCs w:val="22"/>
          <w:lang w:eastAsia="sk-SK"/>
        </w:rPr>
        <w:t xml:space="preserve"> účtovných jednotiek súhrnného celku.</w:t>
      </w:r>
    </w:p>
    <w:p w:rsidR="003477F1" w:rsidRPr="0072101A" w:rsidP="00F233A1">
      <w:pPr>
        <w:bidi w:val="0"/>
        <w:spacing w:after="120" w:line="336" w:lineRule="auto"/>
        <w:jc w:val="both"/>
        <w:rPr>
          <w:rFonts w:ascii="Times New Roman" w:hAnsi="Times New Roman"/>
          <w:szCs w:val="22"/>
          <w:lang w:eastAsia="sk-SK"/>
        </w:rPr>
      </w:pPr>
      <w:r w:rsidRPr="0072101A">
        <w:rPr>
          <w:rFonts w:ascii="Times New Roman" w:hAnsi="Times New Roman"/>
          <w:szCs w:val="22"/>
          <w:lang w:eastAsia="sk-SK"/>
        </w:rPr>
        <w:t>Rozhodujúcu hodnotu predstavujú podiely obchodných spoločností štátu v iných podnikateľských subjektoch (tzv. obchodné spoločnosti v druhom resp. treťom rade)</w:t>
      </w:r>
      <w:r w:rsidRPr="0072101A" w:rsidR="007965A1">
        <w:rPr>
          <w:rFonts w:ascii="Times New Roman" w:hAnsi="Times New Roman"/>
          <w:szCs w:val="22"/>
          <w:lang w:eastAsia="sk-SK"/>
        </w:rPr>
        <w:t>. Tieto podiely sú v niektorých podnikoch štátu vykázané na základe konsolidovanej účtovnej závierky a precenené metódou vlastného imania.</w:t>
      </w:r>
    </w:p>
    <w:p w:rsidR="00774C3F" w:rsidP="00897D2C">
      <w:pPr>
        <w:bidi w:val="0"/>
        <w:spacing w:after="0" w:line="336" w:lineRule="auto"/>
        <w:jc w:val="both"/>
        <w:rPr>
          <w:rFonts w:ascii="Times New Roman" w:hAnsi="Times New Roman"/>
          <w:szCs w:val="22"/>
          <w:lang w:eastAsia="sk-SK"/>
        </w:rPr>
      </w:pPr>
      <w:r w:rsidRPr="0072101A" w:rsidR="002D6290">
        <w:rPr>
          <w:rFonts w:ascii="Times New Roman" w:hAnsi="Times New Roman"/>
          <w:szCs w:val="22"/>
          <w:lang w:eastAsia="sk-SK"/>
        </w:rPr>
        <w:t>Dlhodobý finančný majetok v</w:t>
      </w:r>
      <w:r w:rsidRPr="0072101A" w:rsidR="00522108">
        <w:rPr>
          <w:rFonts w:ascii="Times New Roman" w:hAnsi="Times New Roman"/>
          <w:szCs w:val="22"/>
          <w:lang w:eastAsia="sk-SK"/>
        </w:rPr>
        <w:t xml:space="preserve">o forme </w:t>
      </w:r>
      <w:r w:rsidRPr="0072101A" w:rsidR="008A3FB1">
        <w:rPr>
          <w:rFonts w:ascii="Times New Roman" w:hAnsi="Times New Roman"/>
          <w:szCs w:val="22"/>
          <w:lang w:eastAsia="sk-SK"/>
        </w:rPr>
        <w:t xml:space="preserve">týchto </w:t>
      </w:r>
      <w:r w:rsidRPr="0072101A" w:rsidR="00522108">
        <w:rPr>
          <w:rFonts w:ascii="Times New Roman" w:hAnsi="Times New Roman"/>
          <w:szCs w:val="22"/>
          <w:lang w:eastAsia="sk-SK"/>
        </w:rPr>
        <w:t xml:space="preserve">podielov </w:t>
      </w:r>
      <w:r w:rsidRPr="0072101A" w:rsidR="002D6290">
        <w:rPr>
          <w:rFonts w:ascii="Times New Roman" w:hAnsi="Times New Roman"/>
          <w:szCs w:val="22"/>
          <w:lang w:eastAsia="sk-SK"/>
        </w:rPr>
        <w:t>dosiahol k 31.12.201</w:t>
      </w:r>
      <w:r w:rsidR="00582E00">
        <w:rPr>
          <w:rFonts w:ascii="Times New Roman" w:hAnsi="Times New Roman"/>
          <w:szCs w:val="22"/>
          <w:lang w:eastAsia="sk-SK"/>
        </w:rPr>
        <w:t>5</w:t>
      </w:r>
      <w:r w:rsidRPr="0072101A" w:rsidR="002D6290">
        <w:rPr>
          <w:rFonts w:ascii="Times New Roman" w:hAnsi="Times New Roman"/>
          <w:szCs w:val="22"/>
          <w:lang w:eastAsia="sk-SK"/>
        </w:rPr>
        <w:t xml:space="preserve"> sumu </w:t>
      </w:r>
      <w:r w:rsidR="00582E00">
        <w:rPr>
          <w:rFonts w:ascii="Times New Roman" w:hAnsi="Times New Roman"/>
          <w:szCs w:val="22"/>
          <w:lang w:eastAsia="sk-SK"/>
        </w:rPr>
        <w:t xml:space="preserve">3 249 168 </w:t>
      </w:r>
      <w:r w:rsidRPr="0072101A" w:rsidR="007965A1">
        <w:rPr>
          <w:rFonts w:ascii="Times New Roman" w:hAnsi="Times New Roman"/>
          <w:szCs w:val="22"/>
          <w:lang w:eastAsia="sk-SK"/>
        </w:rPr>
        <w:t xml:space="preserve">tis. eur </w:t>
      </w:r>
      <w:r w:rsidRPr="0072101A" w:rsidR="008852EA">
        <w:rPr>
          <w:rFonts w:ascii="Times New Roman" w:hAnsi="Times New Roman"/>
          <w:szCs w:val="22"/>
          <w:lang w:eastAsia="sk-SK"/>
        </w:rPr>
        <w:t xml:space="preserve">a medziročne sa hodnota </w:t>
      </w:r>
      <w:r w:rsidRPr="0072101A" w:rsidR="007965A1">
        <w:rPr>
          <w:rFonts w:ascii="Times New Roman" w:hAnsi="Times New Roman"/>
          <w:szCs w:val="22"/>
          <w:lang w:eastAsia="sk-SK"/>
        </w:rPr>
        <w:t>z</w:t>
      </w:r>
      <w:r w:rsidR="00582E00">
        <w:rPr>
          <w:rFonts w:ascii="Times New Roman" w:hAnsi="Times New Roman"/>
          <w:szCs w:val="22"/>
          <w:lang w:eastAsia="sk-SK"/>
        </w:rPr>
        <w:t>nížila</w:t>
      </w:r>
      <w:r w:rsidRPr="0072101A" w:rsidR="008852EA">
        <w:rPr>
          <w:rFonts w:ascii="Times New Roman" w:hAnsi="Times New Roman"/>
          <w:szCs w:val="22"/>
          <w:lang w:eastAsia="sk-SK"/>
        </w:rPr>
        <w:t xml:space="preserve"> o</w:t>
      </w:r>
      <w:r w:rsidR="00582E00">
        <w:rPr>
          <w:rFonts w:ascii="Times New Roman" w:hAnsi="Times New Roman"/>
          <w:szCs w:val="22"/>
          <w:lang w:eastAsia="sk-SK"/>
        </w:rPr>
        <w:t> 924 652</w:t>
      </w:r>
      <w:r w:rsidRPr="0072101A" w:rsidR="008852EA">
        <w:rPr>
          <w:rFonts w:ascii="Times New Roman" w:hAnsi="Times New Roman"/>
          <w:szCs w:val="22"/>
          <w:lang w:eastAsia="sk-SK"/>
        </w:rPr>
        <w:t xml:space="preserve"> tis. eur. </w:t>
      </w:r>
      <w:r>
        <w:rPr>
          <w:rFonts w:ascii="Times New Roman" w:hAnsi="Times New Roman"/>
          <w:szCs w:val="22"/>
          <w:lang w:eastAsia="sk-SK"/>
        </w:rPr>
        <w:t>Z celkovej hodnoty týchto podielov vykazuje Ministerstvo hospodárstva SR 1 663 675 tis. eur (podiely v energetických spoločnostiach prevzaté z FNM v roku 2014) a SPP, a.s. 1 414 228 tis. eur.</w:t>
      </w:r>
    </w:p>
    <w:p w:rsidR="00AF30BC" w:rsidP="00AF30BC">
      <w:pPr>
        <w:bidi w:val="0"/>
        <w:spacing w:after="0" w:line="336" w:lineRule="auto"/>
        <w:jc w:val="both"/>
        <w:rPr>
          <w:rFonts w:ascii="Times New Roman" w:hAnsi="Times New Roman"/>
          <w:szCs w:val="22"/>
          <w:lang w:eastAsia="sk-SK"/>
        </w:rPr>
      </w:pPr>
      <w:r w:rsidR="00311088">
        <w:rPr>
          <w:rFonts w:ascii="Times New Roman" w:hAnsi="Times New Roman"/>
          <w:szCs w:val="22"/>
          <w:lang w:eastAsia="sk-SK"/>
        </w:rPr>
        <w:t>Ú</w:t>
      </w:r>
      <w:r w:rsidR="00582E00">
        <w:rPr>
          <w:rFonts w:ascii="Times New Roman" w:hAnsi="Times New Roman"/>
          <w:szCs w:val="22"/>
          <w:lang w:eastAsia="sk-SK"/>
        </w:rPr>
        <w:t xml:space="preserve">bytok </w:t>
      </w:r>
      <w:r w:rsidR="00311088">
        <w:rPr>
          <w:rFonts w:ascii="Times New Roman" w:hAnsi="Times New Roman"/>
          <w:szCs w:val="22"/>
          <w:lang w:eastAsia="sk-SK"/>
        </w:rPr>
        <w:t xml:space="preserve">hodnoty </w:t>
      </w:r>
      <w:r w:rsidR="00582E00">
        <w:rPr>
          <w:rFonts w:ascii="Times New Roman" w:hAnsi="Times New Roman"/>
          <w:szCs w:val="22"/>
          <w:lang w:eastAsia="sk-SK"/>
        </w:rPr>
        <w:t>bol spôsobený najmä predajom 49% podielu v spoločnosti Slovak Telekom, ktorý zabezpečoval Fond národného majetku</w:t>
      </w:r>
      <w:r w:rsidR="000751EF">
        <w:rPr>
          <w:rFonts w:ascii="Times New Roman" w:hAnsi="Times New Roman"/>
          <w:szCs w:val="22"/>
          <w:lang w:eastAsia="sk-SK"/>
        </w:rPr>
        <w:t xml:space="preserve"> SR</w:t>
      </w:r>
      <w:r w:rsidR="00582E00">
        <w:rPr>
          <w:rFonts w:ascii="Times New Roman" w:hAnsi="Times New Roman"/>
          <w:szCs w:val="22"/>
          <w:lang w:eastAsia="sk-SK"/>
        </w:rPr>
        <w:t xml:space="preserve"> po prevedení 34% podielu z Ministerstva hospodárstva</w:t>
      </w:r>
      <w:r w:rsidR="000751EF">
        <w:rPr>
          <w:rFonts w:ascii="Times New Roman" w:hAnsi="Times New Roman"/>
          <w:szCs w:val="22"/>
          <w:lang w:eastAsia="sk-SK"/>
        </w:rPr>
        <w:t xml:space="preserve"> SR</w:t>
      </w:r>
      <w:r w:rsidR="00582E00">
        <w:rPr>
          <w:rFonts w:ascii="Times New Roman" w:hAnsi="Times New Roman"/>
          <w:szCs w:val="22"/>
          <w:lang w:eastAsia="sk-SK"/>
        </w:rPr>
        <w:t xml:space="preserve"> na fond</w:t>
      </w:r>
      <w:r>
        <w:rPr>
          <w:rStyle w:val="FootnoteReference"/>
          <w:rFonts w:ascii="Times New Roman" w:hAnsi="Times New Roman"/>
          <w:szCs w:val="22"/>
          <w:rtl w:val="0"/>
          <w:lang w:eastAsia="sk-SK"/>
        </w:rPr>
        <w:footnoteReference w:id="4"/>
      </w:r>
      <w:r w:rsidR="00582E00">
        <w:rPr>
          <w:rFonts w:ascii="Times New Roman" w:hAnsi="Times New Roman"/>
          <w:szCs w:val="22"/>
          <w:lang w:eastAsia="sk-SK"/>
        </w:rPr>
        <w:t>. Vzhľadom na to, že tieto podiely boli v konsolidovanej účtovnej závierke ústrednej správy preceňované metódou vlastného imania, úbytok predstavoval hodnotu 596 255 tis. eur</w:t>
      </w:r>
      <w:r w:rsidR="0034497C">
        <w:rPr>
          <w:rFonts w:ascii="Times New Roman" w:hAnsi="Times New Roman"/>
          <w:szCs w:val="22"/>
          <w:lang w:eastAsia="sk-SK"/>
        </w:rPr>
        <w:t xml:space="preserve">. </w:t>
      </w:r>
      <w:r w:rsidR="007F69BA">
        <w:rPr>
          <w:rFonts w:ascii="Times New Roman" w:hAnsi="Times New Roman"/>
          <w:szCs w:val="22"/>
          <w:lang w:eastAsia="sk-SK"/>
        </w:rPr>
        <w:t xml:space="preserve">Ku dňu predaja bola </w:t>
      </w:r>
      <w:r w:rsidR="00DB713C">
        <w:rPr>
          <w:rFonts w:ascii="Times New Roman" w:hAnsi="Times New Roman"/>
          <w:szCs w:val="22"/>
          <w:lang w:eastAsia="sk-SK"/>
        </w:rPr>
        <w:t>menovitá</w:t>
      </w:r>
      <w:r w:rsidR="007F69BA">
        <w:rPr>
          <w:rFonts w:ascii="Times New Roman" w:hAnsi="Times New Roman"/>
          <w:szCs w:val="22"/>
          <w:lang w:eastAsia="sk-SK"/>
        </w:rPr>
        <w:t xml:space="preserve"> hodnota</w:t>
      </w:r>
      <w:r w:rsidR="0034497C">
        <w:rPr>
          <w:rFonts w:ascii="Times New Roman" w:hAnsi="Times New Roman"/>
          <w:szCs w:val="22"/>
          <w:lang w:eastAsia="sk-SK"/>
        </w:rPr>
        <w:t xml:space="preserve"> </w:t>
      </w:r>
      <w:r w:rsidR="00DB713C">
        <w:rPr>
          <w:rFonts w:ascii="Times New Roman" w:hAnsi="Times New Roman"/>
          <w:szCs w:val="22"/>
          <w:lang w:eastAsia="sk-SK"/>
        </w:rPr>
        <w:t>49% podielu v spoločnosti 423 415 tis. eur</w:t>
      </w:r>
      <w:r w:rsidR="001C520B">
        <w:rPr>
          <w:rFonts w:ascii="Times New Roman" w:hAnsi="Times New Roman"/>
          <w:szCs w:val="22"/>
          <w:lang w:eastAsia="sk-SK"/>
        </w:rPr>
        <w:t>, z toho hodnota 34% podielu v správe Ministerstva hospodárstva</w:t>
      </w:r>
      <w:r w:rsidR="000751EF">
        <w:rPr>
          <w:rFonts w:ascii="Times New Roman" w:hAnsi="Times New Roman"/>
          <w:szCs w:val="22"/>
          <w:lang w:eastAsia="sk-SK"/>
        </w:rPr>
        <w:t xml:space="preserve"> SR</w:t>
      </w:r>
      <w:r w:rsidR="001C520B">
        <w:rPr>
          <w:rFonts w:ascii="Times New Roman" w:hAnsi="Times New Roman"/>
          <w:szCs w:val="22"/>
          <w:lang w:eastAsia="sk-SK"/>
        </w:rPr>
        <w:t xml:space="preserve"> bola 293 798 tis. eur</w:t>
      </w:r>
      <w:r w:rsidR="00DB713C">
        <w:rPr>
          <w:rFonts w:ascii="Times New Roman" w:hAnsi="Times New Roman"/>
          <w:szCs w:val="22"/>
          <w:lang w:eastAsia="sk-SK"/>
        </w:rPr>
        <w:t xml:space="preserve">. </w:t>
      </w:r>
      <w:r w:rsidR="0034497C">
        <w:rPr>
          <w:rFonts w:ascii="Times New Roman" w:hAnsi="Times New Roman"/>
          <w:szCs w:val="22"/>
          <w:lang w:eastAsia="sk-SK"/>
        </w:rPr>
        <w:t xml:space="preserve">Slovenská republika zinkasovala od zahraničného investora Deutsche Telekom AG, majoritného vlastníka Slovak </w:t>
      </w:r>
      <w:r w:rsidRPr="00916E42" w:rsidR="0034497C">
        <w:rPr>
          <w:rFonts w:ascii="Times New Roman" w:hAnsi="Times New Roman"/>
          <w:szCs w:val="22"/>
          <w:lang w:eastAsia="sk-SK"/>
        </w:rPr>
        <w:t>Telekomu</w:t>
      </w:r>
      <w:r w:rsidRPr="00916E42" w:rsidR="00ED2416">
        <w:rPr>
          <w:rFonts w:ascii="Times New Roman" w:hAnsi="Times New Roman"/>
          <w:szCs w:val="22"/>
          <w:lang w:eastAsia="sk-SK"/>
        </w:rPr>
        <w:t>,</w:t>
      </w:r>
      <w:r w:rsidR="00564E85">
        <w:rPr>
          <w:rFonts w:ascii="Times New Roman" w:hAnsi="Times New Roman"/>
          <w:szCs w:val="22"/>
          <w:lang w:eastAsia="sk-SK"/>
        </w:rPr>
        <w:t xml:space="preserve"> 800 000 tis. </w:t>
      </w:r>
      <w:r w:rsidRPr="00916E42" w:rsidR="0034497C">
        <w:rPr>
          <w:rFonts w:ascii="Times New Roman" w:hAnsi="Times New Roman"/>
          <w:szCs w:val="22"/>
          <w:lang w:eastAsia="sk-SK"/>
        </w:rPr>
        <w:t>eur. Ďalších 100 000 tis. eur je podmienených výsledkom viace</w:t>
      </w:r>
      <w:r w:rsidRPr="00916E42" w:rsidR="00916E42">
        <w:rPr>
          <w:rFonts w:ascii="Times New Roman" w:hAnsi="Times New Roman"/>
          <w:szCs w:val="22"/>
          <w:lang w:eastAsia="sk-SK"/>
        </w:rPr>
        <w:t>rých súdnych konaní spoločnosti</w:t>
      </w:r>
      <w:r w:rsidR="00916E42">
        <w:rPr>
          <w:rFonts w:ascii="Times New Roman" w:hAnsi="Times New Roman"/>
          <w:szCs w:val="22"/>
          <w:lang w:eastAsia="sk-SK"/>
        </w:rPr>
        <w:t xml:space="preserve"> v jej prospech</w:t>
      </w:r>
      <w:r w:rsidRPr="00916E42" w:rsidR="0034497C">
        <w:rPr>
          <w:rFonts w:ascii="Times New Roman" w:hAnsi="Times New Roman"/>
          <w:szCs w:val="22"/>
          <w:lang w:eastAsia="sk-SK"/>
        </w:rPr>
        <w:t>.</w:t>
      </w:r>
      <w:r>
        <w:rPr>
          <w:rFonts w:ascii="Times New Roman" w:hAnsi="Times New Roman"/>
          <w:szCs w:val="22"/>
          <w:lang w:eastAsia="sk-SK"/>
        </w:rPr>
        <w:t xml:space="preserve"> </w:t>
      </w:r>
      <w:r w:rsidR="0012433C">
        <w:rPr>
          <w:rFonts w:ascii="Times New Roman" w:hAnsi="Times New Roman"/>
          <w:szCs w:val="22"/>
          <w:lang w:eastAsia="sk-SK"/>
        </w:rPr>
        <w:t xml:space="preserve">Prostriedky z predaja podielu v spoločnosti Slovak Telekom boli </w:t>
      </w:r>
      <w:r>
        <w:rPr>
          <w:rFonts w:ascii="Times New Roman" w:hAnsi="Times New Roman"/>
          <w:szCs w:val="22"/>
          <w:lang w:eastAsia="sk-SK"/>
        </w:rPr>
        <w:t>príjmom</w:t>
      </w:r>
      <w:r w:rsidR="0012433C">
        <w:rPr>
          <w:rFonts w:ascii="Times New Roman" w:hAnsi="Times New Roman"/>
          <w:szCs w:val="22"/>
          <w:lang w:eastAsia="sk-SK"/>
        </w:rPr>
        <w:t xml:space="preserve"> štátnych finančných aktív v správe Ministerstva financií SR.</w:t>
      </w:r>
    </w:p>
    <w:p w:rsidR="00582E00" w:rsidP="00AF30BC">
      <w:pPr>
        <w:bidi w:val="0"/>
        <w:spacing w:before="120" w:after="0" w:line="336" w:lineRule="auto"/>
        <w:jc w:val="both"/>
        <w:rPr>
          <w:rFonts w:ascii="Times New Roman" w:hAnsi="Times New Roman"/>
          <w:szCs w:val="22"/>
          <w:lang w:eastAsia="sk-SK"/>
        </w:rPr>
      </w:pPr>
      <w:r w:rsidR="0034497C">
        <w:rPr>
          <w:rFonts w:ascii="Times New Roman" w:hAnsi="Times New Roman"/>
          <w:szCs w:val="22"/>
          <w:lang w:eastAsia="sk-SK"/>
        </w:rPr>
        <w:t xml:space="preserve">Úbytok zaznamenal aj SPP, a.s. z dôvodu precenenia svojich podielov v obchodných spoločnostiach, a to celkovo o 349 862 tis. eur.  </w:t>
      </w:r>
    </w:p>
    <w:p w:rsidR="002D6290" w:rsidRPr="0072101A" w:rsidP="00AF30BC">
      <w:pPr>
        <w:bidi w:val="0"/>
        <w:spacing w:before="120" w:after="120" w:line="336" w:lineRule="auto"/>
        <w:jc w:val="both"/>
        <w:rPr>
          <w:rFonts w:ascii="Times New Roman" w:hAnsi="Times New Roman"/>
          <w:szCs w:val="22"/>
          <w:lang w:eastAsia="sk-SK"/>
        </w:rPr>
      </w:pPr>
      <w:r w:rsidRPr="0072101A" w:rsidR="00620BA3">
        <w:rPr>
          <w:rFonts w:ascii="Times New Roman" w:hAnsi="Times New Roman"/>
          <w:szCs w:val="22"/>
          <w:lang w:eastAsia="sk-SK"/>
        </w:rPr>
        <w:t>Obce v</w:t>
      </w:r>
      <w:r w:rsidRPr="0072101A" w:rsidR="000251E7">
        <w:rPr>
          <w:rFonts w:ascii="Times New Roman" w:hAnsi="Times New Roman"/>
          <w:szCs w:val="22"/>
          <w:lang w:eastAsia="sk-SK"/>
        </w:rPr>
        <w:t xml:space="preserve"> rámci tejto položky </w:t>
      </w:r>
      <w:r w:rsidRPr="0072101A">
        <w:rPr>
          <w:rFonts w:ascii="Times New Roman" w:hAnsi="Times New Roman"/>
          <w:szCs w:val="22"/>
          <w:lang w:eastAsia="sk-SK"/>
        </w:rPr>
        <w:t xml:space="preserve">vykázali </w:t>
      </w:r>
      <w:r w:rsidR="005F17FF">
        <w:rPr>
          <w:rFonts w:ascii="Times New Roman" w:hAnsi="Times New Roman"/>
          <w:szCs w:val="22"/>
          <w:lang w:eastAsia="sk-SK"/>
        </w:rPr>
        <w:t>103 777</w:t>
      </w:r>
      <w:r w:rsidRPr="0072101A">
        <w:rPr>
          <w:rFonts w:ascii="Times New Roman" w:hAnsi="Times New Roman"/>
          <w:szCs w:val="22"/>
          <w:lang w:eastAsia="sk-SK"/>
        </w:rPr>
        <w:t xml:space="preserve"> </w:t>
      </w:r>
      <w:r w:rsidRPr="0072101A" w:rsidR="00482C8B">
        <w:rPr>
          <w:rFonts w:ascii="Times New Roman" w:hAnsi="Times New Roman"/>
          <w:szCs w:val="22"/>
          <w:lang w:eastAsia="sk-SK"/>
        </w:rPr>
        <w:t>tis</w:t>
      </w:r>
      <w:r w:rsidRPr="0072101A">
        <w:rPr>
          <w:rFonts w:ascii="Times New Roman" w:hAnsi="Times New Roman"/>
          <w:szCs w:val="22"/>
          <w:lang w:eastAsia="sk-SK"/>
        </w:rPr>
        <w:t xml:space="preserve">. eur, vyššie územné celky </w:t>
      </w:r>
      <w:r w:rsidRPr="0072101A" w:rsidR="006C7C89">
        <w:rPr>
          <w:rFonts w:ascii="Times New Roman" w:hAnsi="Times New Roman"/>
          <w:szCs w:val="22"/>
          <w:lang w:eastAsia="sk-SK"/>
        </w:rPr>
        <w:t xml:space="preserve">9 </w:t>
      </w:r>
      <w:r w:rsidR="005F17FF">
        <w:rPr>
          <w:rFonts w:ascii="Times New Roman" w:hAnsi="Times New Roman"/>
          <w:szCs w:val="22"/>
          <w:lang w:eastAsia="sk-SK"/>
        </w:rPr>
        <w:t>451</w:t>
      </w:r>
      <w:r w:rsidRPr="0072101A">
        <w:rPr>
          <w:rFonts w:ascii="Times New Roman" w:hAnsi="Times New Roman"/>
          <w:szCs w:val="22"/>
          <w:lang w:eastAsia="sk-SK"/>
        </w:rPr>
        <w:t xml:space="preserve"> </w:t>
      </w:r>
      <w:r w:rsidRPr="0072101A" w:rsidR="00482C8B">
        <w:rPr>
          <w:rFonts w:ascii="Times New Roman" w:hAnsi="Times New Roman"/>
          <w:szCs w:val="22"/>
          <w:lang w:eastAsia="sk-SK"/>
        </w:rPr>
        <w:t>tis</w:t>
      </w:r>
      <w:r w:rsidRPr="0072101A">
        <w:rPr>
          <w:rFonts w:ascii="Times New Roman" w:hAnsi="Times New Roman"/>
          <w:szCs w:val="22"/>
          <w:lang w:eastAsia="sk-SK"/>
        </w:rPr>
        <w:t xml:space="preserve">. eur a ostatné subjekty </w:t>
      </w:r>
      <w:r w:rsidR="005F17FF">
        <w:rPr>
          <w:rFonts w:ascii="Times New Roman" w:hAnsi="Times New Roman"/>
          <w:szCs w:val="22"/>
          <w:lang w:eastAsia="sk-SK"/>
        </w:rPr>
        <w:t>5 461</w:t>
      </w:r>
      <w:r w:rsidRPr="0072101A" w:rsidR="002E1F49">
        <w:rPr>
          <w:rFonts w:ascii="Times New Roman" w:hAnsi="Times New Roman"/>
          <w:szCs w:val="22"/>
          <w:lang w:eastAsia="sk-SK"/>
        </w:rPr>
        <w:t xml:space="preserve"> </w:t>
      </w:r>
      <w:r w:rsidRPr="0072101A" w:rsidR="00482C8B">
        <w:rPr>
          <w:rFonts w:ascii="Times New Roman" w:hAnsi="Times New Roman"/>
          <w:szCs w:val="22"/>
          <w:lang w:eastAsia="sk-SK"/>
        </w:rPr>
        <w:t>tis</w:t>
      </w:r>
      <w:r w:rsidRPr="0072101A">
        <w:rPr>
          <w:rFonts w:ascii="Times New Roman" w:hAnsi="Times New Roman"/>
          <w:szCs w:val="22"/>
          <w:lang w:eastAsia="sk-SK"/>
        </w:rPr>
        <w:t xml:space="preserve">. eur. </w:t>
      </w:r>
    </w:p>
    <w:p w:rsidR="00C55C33" w:rsidRPr="0072101A" w:rsidP="00497C5E">
      <w:pPr>
        <w:tabs>
          <w:tab w:val="num" w:pos="0"/>
        </w:tabs>
        <w:bidi w:val="0"/>
        <w:spacing w:before="120" w:after="0" w:line="336" w:lineRule="auto"/>
        <w:jc w:val="both"/>
        <w:rPr>
          <w:rFonts w:ascii="Times New Roman" w:hAnsi="Times New Roman"/>
          <w:i/>
          <w:szCs w:val="22"/>
          <w:u w:val="single"/>
          <w:lang w:eastAsia="sk-SK"/>
        </w:rPr>
      </w:pPr>
      <w:r w:rsidRPr="0072101A">
        <w:rPr>
          <w:rFonts w:ascii="Times New Roman" w:hAnsi="Times New Roman"/>
          <w:i/>
          <w:szCs w:val="22"/>
          <w:u w:val="single"/>
          <w:lang w:eastAsia="sk-SK"/>
        </w:rPr>
        <w:t>Realizovateľné cenné papiere</w:t>
      </w:r>
    </w:p>
    <w:p w:rsidR="00C55C33" w:rsidRPr="0072101A" w:rsidP="00497C5E">
      <w:pPr>
        <w:tabs>
          <w:tab w:val="num" w:pos="0"/>
        </w:tabs>
        <w:bidi w:val="0"/>
        <w:spacing w:before="120" w:after="0" w:line="336" w:lineRule="auto"/>
        <w:jc w:val="both"/>
        <w:rPr>
          <w:rFonts w:ascii="Times New Roman" w:hAnsi="Times New Roman"/>
          <w:szCs w:val="22"/>
          <w:lang w:eastAsia="sk-SK"/>
        </w:rPr>
      </w:pPr>
      <w:r w:rsidRPr="0072101A">
        <w:rPr>
          <w:rFonts w:ascii="Times New Roman" w:hAnsi="Times New Roman"/>
          <w:szCs w:val="22"/>
          <w:lang w:eastAsia="sk-SK"/>
        </w:rPr>
        <w:t xml:space="preserve">Realizovateľné cenné papiere znamenajú podiely na základnom imaní </w:t>
      </w:r>
      <w:r w:rsidRPr="0072101A" w:rsidR="002D6047">
        <w:rPr>
          <w:rFonts w:ascii="Times New Roman" w:hAnsi="Times New Roman"/>
          <w:szCs w:val="22"/>
          <w:lang w:eastAsia="sk-SK"/>
        </w:rPr>
        <w:t xml:space="preserve">obchodnej spoločnosti </w:t>
      </w:r>
      <w:r w:rsidRPr="0072101A" w:rsidR="00674838">
        <w:rPr>
          <w:rFonts w:ascii="Times New Roman" w:hAnsi="Times New Roman"/>
          <w:szCs w:val="22"/>
          <w:lang w:eastAsia="sk-SK"/>
        </w:rPr>
        <w:t xml:space="preserve">vo výške </w:t>
      </w:r>
      <w:r w:rsidRPr="0072101A">
        <w:rPr>
          <w:rFonts w:ascii="Times New Roman" w:hAnsi="Times New Roman"/>
          <w:szCs w:val="22"/>
          <w:lang w:eastAsia="sk-SK"/>
        </w:rPr>
        <w:t xml:space="preserve">menej ako 20 %. </w:t>
      </w:r>
      <w:r w:rsidRPr="0072101A" w:rsidR="00D21893">
        <w:rPr>
          <w:rFonts w:ascii="Times New Roman" w:hAnsi="Times New Roman"/>
          <w:szCs w:val="22"/>
          <w:lang w:eastAsia="sk-SK"/>
        </w:rPr>
        <w:t xml:space="preserve">Z celkovej hodnoty </w:t>
      </w:r>
      <w:r w:rsidR="00723F2A">
        <w:rPr>
          <w:rFonts w:ascii="Times New Roman" w:hAnsi="Times New Roman"/>
          <w:szCs w:val="22"/>
          <w:lang w:eastAsia="sk-SK"/>
        </w:rPr>
        <w:t>767 269</w:t>
      </w:r>
      <w:r w:rsidRPr="0072101A" w:rsidR="00D21893">
        <w:rPr>
          <w:rFonts w:ascii="Times New Roman" w:hAnsi="Times New Roman"/>
          <w:szCs w:val="22"/>
          <w:lang w:eastAsia="sk-SK"/>
        </w:rPr>
        <w:t xml:space="preserve"> tis. eur </w:t>
      </w:r>
      <w:r w:rsidRPr="0072101A">
        <w:rPr>
          <w:rFonts w:ascii="Times New Roman" w:hAnsi="Times New Roman"/>
          <w:szCs w:val="22"/>
          <w:lang w:eastAsia="sk-SK"/>
        </w:rPr>
        <w:t xml:space="preserve">vlastnia </w:t>
      </w:r>
      <w:r w:rsidRPr="0072101A" w:rsidR="00D21893">
        <w:rPr>
          <w:rFonts w:ascii="Times New Roman" w:hAnsi="Times New Roman"/>
          <w:szCs w:val="22"/>
          <w:lang w:eastAsia="sk-SK"/>
        </w:rPr>
        <w:t xml:space="preserve">rozhodujúcu hodnotu </w:t>
      </w:r>
      <w:r w:rsidRPr="0072101A">
        <w:rPr>
          <w:rFonts w:ascii="Times New Roman" w:hAnsi="Times New Roman"/>
          <w:szCs w:val="22"/>
          <w:lang w:eastAsia="sk-SK"/>
        </w:rPr>
        <w:t xml:space="preserve">subjekty územnej samosprávy </w:t>
      </w:r>
      <w:r w:rsidR="00723F2A">
        <w:rPr>
          <w:rFonts w:ascii="Times New Roman" w:hAnsi="Times New Roman"/>
          <w:szCs w:val="22"/>
          <w:lang w:eastAsia="sk-SK"/>
        </w:rPr>
        <w:t xml:space="preserve">747 839 </w:t>
      </w:r>
      <w:r w:rsidRPr="0072101A" w:rsidR="00D21893">
        <w:rPr>
          <w:rFonts w:ascii="Times New Roman" w:hAnsi="Times New Roman"/>
          <w:szCs w:val="22"/>
          <w:lang w:eastAsia="sk-SK"/>
        </w:rPr>
        <w:t>tis. eur,</w:t>
      </w:r>
      <w:r w:rsidRPr="0072101A">
        <w:rPr>
          <w:rFonts w:ascii="Times New Roman" w:hAnsi="Times New Roman"/>
          <w:szCs w:val="22"/>
          <w:lang w:eastAsia="sk-SK"/>
        </w:rPr>
        <w:t xml:space="preserve"> ako minoritné podiely v obchodných spoločnostiach z oblasti dodávky vody</w:t>
      </w:r>
      <w:r w:rsidRPr="0072101A" w:rsidR="00D21893">
        <w:rPr>
          <w:rFonts w:ascii="Times New Roman" w:hAnsi="Times New Roman"/>
          <w:szCs w:val="22"/>
          <w:lang w:eastAsia="sk-SK"/>
        </w:rPr>
        <w:t>,</w:t>
      </w:r>
      <w:r w:rsidRPr="0072101A" w:rsidR="007D2BC9">
        <w:rPr>
          <w:rFonts w:ascii="Times New Roman" w:hAnsi="Times New Roman"/>
          <w:szCs w:val="22"/>
          <w:lang w:eastAsia="sk-SK"/>
        </w:rPr>
        <w:t xml:space="preserve"> výroby </w:t>
      </w:r>
      <w:r w:rsidRPr="0072101A">
        <w:rPr>
          <w:rFonts w:ascii="Times New Roman" w:hAnsi="Times New Roman"/>
          <w:szCs w:val="22"/>
          <w:lang w:eastAsia="sk-SK"/>
        </w:rPr>
        <w:t>tepla</w:t>
      </w:r>
      <w:r w:rsidRPr="0072101A" w:rsidR="00D21893">
        <w:rPr>
          <w:rFonts w:ascii="Times New Roman" w:hAnsi="Times New Roman"/>
          <w:szCs w:val="22"/>
          <w:lang w:eastAsia="sk-SK"/>
        </w:rPr>
        <w:t xml:space="preserve"> a osobnej prepravy</w:t>
      </w:r>
      <w:r w:rsidRPr="0072101A">
        <w:rPr>
          <w:rFonts w:ascii="Times New Roman" w:hAnsi="Times New Roman"/>
          <w:szCs w:val="22"/>
          <w:lang w:eastAsia="sk-SK"/>
        </w:rPr>
        <w:t>.</w:t>
      </w:r>
      <w:r w:rsidRPr="0072101A" w:rsidR="00D21893">
        <w:rPr>
          <w:rFonts w:ascii="Times New Roman" w:hAnsi="Times New Roman"/>
          <w:szCs w:val="22"/>
          <w:lang w:eastAsia="sk-SK"/>
        </w:rPr>
        <w:t xml:space="preserve"> Medziročný </w:t>
      </w:r>
      <w:r w:rsidR="00723F2A">
        <w:rPr>
          <w:rFonts w:ascii="Times New Roman" w:hAnsi="Times New Roman"/>
          <w:szCs w:val="22"/>
          <w:lang w:eastAsia="sk-SK"/>
        </w:rPr>
        <w:t>úbytok</w:t>
      </w:r>
      <w:r w:rsidRPr="0072101A" w:rsidR="00D21893">
        <w:rPr>
          <w:rFonts w:ascii="Times New Roman" w:hAnsi="Times New Roman"/>
          <w:szCs w:val="22"/>
          <w:lang w:eastAsia="sk-SK"/>
        </w:rPr>
        <w:t xml:space="preserve"> v hodnote </w:t>
      </w:r>
      <w:r w:rsidR="00723F2A">
        <w:rPr>
          <w:rFonts w:ascii="Times New Roman" w:hAnsi="Times New Roman"/>
          <w:szCs w:val="22"/>
          <w:lang w:eastAsia="sk-SK"/>
        </w:rPr>
        <w:t>119 627</w:t>
      </w:r>
      <w:r w:rsidRPr="0072101A" w:rsidR="00D21893">
        <w:rPr>
          <w:rFonts w:ascii="Times New Roman" w:hAnsi="Times New Roman"/>
          <w:szCs w:val="22"/>
          <w:lang w:eastAsia="sk-SK"/>
        </w:rPr>
        <w:t xml:space="preserve"> tis. eur bol </w:t>
      </w:r>
      <w:r w:rsidR="00F22F8F">
        <w:rPr>
          <w:rFonts w:ascii="Times New Roman" w:hAnsi="Times New Roman"/>
          <w:szCs w:val="22"/>
          <w:lang w:eastAsia="sk-SK"/>
        </w:rPr>
        <w:t>spôsobený najmä prevodom podielov v spoločnosti DMD Group, a.s. z Fondu národného majetku</w:t>
      </w:r>
      <w:r w:rsidR="000751EF">
        <w:rPr>
          <w:rFonts w:ascii="Times New Roman" w:hAnsi="Times New Roman"/>
          <w:szCs w:val="22"/>
          <w:lang w:eastAsia="sk-SK"/>
        </w:rPr>
        <w:t xml:space="preserve"> SR</w:t>
      </w:r>
      <w:r w:rsidR="00F22F8F">
        <w:rPr>
          <w:rFonts w:ascii="Times New Roman" w:hAnsi="Times New Roman"/>
          <w:szCs w:val="22"/>
          <w:lang w:eastAsia="sk-SK"/>
        </w:rPr>
        <w:t xml:space="preserve"> do kapitoly Ministerstva obrany</w:t>
      </w:r>
      <w:r w:rsidR="00AF30BC">
        <w:rPr>
          <w:rFonts w:ascii="Times New Roman" w:hAnsi="Times New Roman"/>
          <w:szCs w:val="22"/>
          <w:lang w:eastAsia="sk-SK"/>
        </w:rPr>
        <w:t xml:space="preserve"> SR</w:t>
      </w:r>
      <w:r w:rsidR="00F22F8F">
        <w:rPr>
          <w:rFonts w:ascii="Times New Roman" w:hAnsi="Times New Roman"/>
          <w:szCs w:val="22"/>
          <w:lang w:eastAsia="sk-SK"/>
        </w:rPr>
        <w:t xml:space="preserve"> a ich následnej konsolidácie, pretože išlo o podiely v dcérskej účtovnej jednotke.</w:t>
      </w:r>
    </w:p>
    <w:p w:rsidR="00F05E1F">
      <w:pPr>
        <w:bidi w:val="0"/>
        <w:spacing w:after="0" w:line="240" w:lineRule="auto"/>
        <w:rPr>
          <w:rFonts w:ascii="Times New Roman" w:hAnsi="Times New Roman"/>
          <w:i/>
          <w:szCs w:val="22"/>
          <w:u w:val="single"/>
          <w:lang w:eastAsia="sk-SK"/>
        </w:rPr>
      </w:pPr>
      <w:r>
        <w:rPr>
          <w:rFonts w:ascii="Times New Roman" w:hAnsi="Times New Roman"/>
          <w:i/>
          <w:szCs w:val="22"/>
          <w:u w:val="single"/>
          <w:lang w:eastAsia="sk-SK"/>
        </w:rPr>
        <w:br w:type="page"/>
      </w:r>
    </w:p>
    <w:p w:rsidR="00973881" w:rsidRPr="0072101A" w:rsidP="00497C5E">
      <w:pPr>
        <w:tabs>
          <w:tab w:val="num" w:pos="0"/>
        </w:tabs>
        <w:bidi w:val="0"/>
        <w:spacing w:before="120" w:after="0" w:line="336" w:lineRule="auto"/>
        <w:jc w:val="both"/>
        <w:rPr>
          <w:rFonts w:ascii="Times New Roman" w:hAnsi="Times New Roman"/>
          <w:i/>
          <w:szCs w:val="22"/>
          <w:u w:val="single"/>
          <w:lang w:eastAsia="sk-SK"/>
        </w:rPr>
      </w:pPr>
      <w:r w:rsidRPr="0072101A">
        <w:rPr>
          <w:rFonts w:ascii="Times New Roman" w:hAnsi="Times New Roman"/>
          <w:i/>
          <w:szCs w:val="22"/>
          <w:u w:val="single"/>
          <w:lang w:eastAsia="sk-SK"/>
        </w:rPr>
        <w:t>Pôžičky</w:t>
      </w:r>
    </w:p>
    <w:p w:rsidR="00FC2981" w:rsidRPr="0072101A" w:rsidP="00497C5E">
      <w:pPr>
        <w:tabs>
          <w:tab w:val="num" w:pos="0"/>
        </w:tabs>
        <w:bidi w:val="0"/>
        <w:spacing w:before="120" w:after="0" w:line="336" w:lineRule="auto"/>
        <w:jc w:val="both"/>
        <w:rPr>
          <w:rFonts w:ascii="Times New Roman" w:hAnsi="Times New Roman"/>
          <w:szCs w:val="22"/>
          <w:lang w:eastAsia="sk-SK"/>
        </w:rPr>
      </w:pPr>
      <w:r w:rsidRPr="0072101A" w:rsidR="00497C5E">
        <w:rPr>
          <w:rFonts w:ascii="Times New Roman" w:hAnsi="Times New Roman"/>
          <w:szCs w:val="22"/>
          <w:lang w:eastAsia="sk-SK"/>
        </w:rPr>
        <w:t xml:space="preserve">V rámci pôžičiek vykazuje </w:t>
      </w:r>
      <w:r w:rsidRPr="0072101A" w:rsidR="00581593">
        <w:rPr>
          <w:rFonts w:ascii="Times New Roman" w:hAnsi="Times New Roman"/>
          <w:szCs w:val="22"/>
          <w:lang w:eastAsia="sk-SK"/>
        </w:rPr>
        <w:t xml:space="preserve">najvýznamnejšiu hodnotu </w:t>
      </w:r>
      <w:r w:rsidRPr="0072101A">
        <w:rPr>
          <w:rFonts w:ascii="Times New Roman" w:hAnsi="Times New Roman"/>
          <w:szCs w:val="22"/>
          <w:lang w:eastAsia="sk-SK"/>
        </w:rPr>
        <w:t>Št</w:t>
      </w:r>
      <w:r w:rsidRPr="0072101A" w:rsidR="0083378A">
        <w:rPr>
          <w:rFonts w:ascii="Times New Roman" w:hAnsi="Times New Roman"/>
          <w:szCs w:val="22"/>
          <w:lang w:eastAsia="sk-SK"/>
        </w:rPr>
        <w:t>átny fond rozvoja bývania, a to</w:t>
        <w:br/>
      </w:r>
      <w:r w:rsidR="001007B7">
        <w:rPr>
          <w:rFonts w:ascii="Times New Roman" w:hAnsi="Times New Roman"/>
          <w:szCs w:val="22"/>
          <w:lang w:eastAsia="sk-SK"/>
        </w:rPr>
        <w:t>1 022 796</w:t>
      </w:r>
      <w:r w:rsidRPr="0072101A">
        <w:rPr>
          <w:rFonts w:ascii="Times New Roman" w:hAnsi="Times New Roman"/>
          <w:szCs w:val="22"/>
          <w:lang w:eastAsia="sk-SK"/>
        </w:rPr>
        <w:t xml:space="preserve"> tis. eur a Environmentálny fond </w:t>
      </w:r>
      <w:r w:rsidR="001007B7">
        <w:rPr>
          <w:rFonts w:ascii="Times New Roman" w:hAnsi="Times New Roman"/>
          <w:szCs w:val="22"/>
          <w:lang w:eastAsia="sk-SK"/>
        </w:rPr>
        <w:t>12 254</w:t>
      </w:r>
      <w:r w:rsidRPr="0072101A">
        <w:rPr>
          <w:rFonts w:ascii="Times New Roman" w:hAnsi="Times New Roman"/>
          <w:szCs w:val="22"/>
          <w:lang w:eastAsia="sk-SK"/>
        </w:rPr>
        <w:t xml:space="preserve"> tis. eur.</w:t>
      </w:r>
      <w:r w:rsidRPr="0072101A" w:rsidR="00B74A39">
        <w:rPr>
          <w:rFonts w:ascii="Times New Roman" w:hAnsi="Times New Roman"/>
          <w:szCs w:val="22"/>
          <w:lang w:eastAsia="sk-SK"/>
        </w:rPr>
        <w:t xml:space="preserve"> Zvýšenie </w:t>
      </w:r>
      <w:r w:rsidRPr="0072101A" w:rsidR="004F2B62">
        <w:rPr>
          <w:rFonts w:ascii="Times New Roman" w:hAnsi="Times New Roman"/>
          <w:szCs w:val="22"/>
          <w:lang w:eastAsia="sk-SK"/>
        </w:rPr>
        <w:t xml:space="preserve">hodnoty </w:t>
      </w:r>
      <w:r w:rsidRPr="0072101A" w:rsidR="00B74A39">
        <w:rPr>
          <w:rFonts w:ascii="Times New Roman" w:hAnsi="Times New Roman"/>
          <w:szCs w:val="22"/>
          <w:lang w:eastAsia="sk-SK"/>
        </w:rPr>
        <w:t>pôžičiek oproti roku 201</w:t>
      </w:r>
      <w:r w:rsidR="00520602">
        <w:rPr>
          <w:rFonts w:ascii="Times New Roman" w:hAnsi="Times New Roman"/>
          <w:szCs w:val="22"/>
          <w:lang w:eastAsia="sk-SK"/>
        </w:rPr>
        <w:t>4</w:t>
      </w:r>
      <w:r w:rsidRPr="0072101A" w:rsidR="00D90408">
        <w:rPr>
          <w:rFonts w:ascii="Times New Roman" w:hAnsi="Times New Roman"/>
          <w:szCs w:val="22"/>
          <w:lang w:eastAsia="sk-SK"/>
        </w:rPr>
        <w:t xml:space="preserve"> </w:t>
      </w:r>
      <w:r w:rsidRPr="0072101A" w:rsidR="00B74A39">
        <w:rPr>
          <w:rFonts w:ascii="Times New Roman" w:hAnsi="Times New Roman"/>
          <w:szCs w:val="22"/>
          <w:lang w:eastAsia="sk-SK"/>
        </w:rPr>
        <w:t xml:space="preserve">bolo spôsobené </w:t>
      </w:r>
      <w:r w:rsidRPr="0072101A" w:rsidR="00D90408">
        <w:rPr>
          <w:rFonts w:ascii="Times New Roman" w:hAnsi="Times New Roman"/>
          <w:szCs w:val="22"/>
          <w:lang w:eastAsia="sk-SK"/>
        </w:rPr>
        <w:t xml:space="preserve">vyššími pôžičkami Štátneho fondu rozvoja bývania. </w:t>
      </w:r>
    </w:p>
    <w:p w:rsidR="00497C5E" w:rsidRPr="0072101A" w:rsidP="00497C5E">
      <w:pPr>
        <w:tabs>
          <w:tab w:val="num" w:pos="0"/>
        </w:tabs>
        <w:bidi w:val="0"/>
        <w:spacing w:before="120" w:after="120" w:line="336" w:lineRule="auto"/>
        <w:jc w:val="both"/>
        <w:rPr>
          <w:rFonts w:ascii="Times New Roman" w:hAnsi="Times New Roman"/>
          <w:i/>
          <w:szCs w:val="22"/>
          <w:u w:val="single"/>
          <w:lang w:eastAsia="sk-SK"/>
        </w:rPr>
      </w:pPr>
      <w:r w:rsidRPr="0072101A">
        <w:rPr>
          <w:rFonts w:ascii="Times New Roman" w:hAnsi="Times New Roman"/>
          <w:i/>
          <w:szCs w:val="22"/>
          <w:u w:val="single"/>
          <w:lang w:eastAsia="sk-SK"/>
        </w:rPr>
        <w:t>Ostatný dlhodobý finančný majetok</w:t>
      </w:r>
    </w:p>
    <w:p w:rsidR="00AF30BC" w:rsidP="00497C5E">
      <w:pPr>
        <w:tabs>
          <w:tab w:val="num" w:pos="0"/>
        </w:tabs>
        <w:bidi w:val="0"/>
        <w:spacing w:after="120" w:line="336" w:lineRule="auto"/>
        <w:jc w:val="both"/>
        <w:rPr>
          <w:rFonts w:ascii="Times New Roman" w:hAnsi="Times New Roman"/>
          <w:szCs w:val="22"/>
          <w:lang w:eastAsia="sk-SK"/>
        </w:rPr>
      </w:pPr>
      <w:r w:rsidRPr="0072101A" w:rsidR="00497C5E">
        <w:rPr>
          <w:rFonts w:ascii="Times New Roman" w:hAnsi="Times New Roman"/>
          <w:szCs w:val="22"/>
          <w:lang w:eastAsia="sk-SK"/>
        </w:rPr>
        <w:t>V ostatnom dlhodobom finančnom majetku sa vykaz</w:t>
      </w:r>
      <w:r w:rsidRPr="0072101A" w:rsidR="002D6047">
        <w:rPr>
          <w:rFonts w:ascii="Times New Roman" w:hAnsi="Times New Roman"/>
          <w:szCs w:val="22"/>
          <w:lang w:eastAsia="sk-SK"/>
        </w:rPr>
        <w:t>ujú</w:t>
      </w:r>
      <w:r w:rsidRPr="0072101A" w:rsidR="00497C5E">
        <w:rPr>
          <w:rFonts w:ascii="Times New Roman" w:hAnsi="Times New Roman"/>
          <w:szCs w:val="22"/>
          <w:lang w:eastAsia="sk-SK"/>
        </w:rPr>
        <w:t xml:space="preserve"> </w:t>
      </w:r>
      <w:r w:rsidRPr="0072101A" w:rsidR="003420B9">
        <w:rPr>
          <w:rFonts w:ascii="Times New Roman" w:hAnsi="Times New Roman"/>
          <w:szCs w:val="22"/>
          <w:lang w:eastAsia="sk-SK"/>
        </w:rPr>
        <w:t>hlavne</w:t>
      </w:r>
      <w:r w:rsidRPr="0072101A" w:rsidR="002D6047">
        <w:rPr>
          <w:rFonts w:ascii="Times New Roman" w:hAnsi="Times New Roman"/>
          <w:szCs w:val="22"/>
          <w:lang w:eastAsia="sk-SK"/>
        </w:rPr>
        <w:t xml:space="preserve"> vklady Slovenskej republiky v medzinárodných finančných inštitúciách. </w:t>
      </w:r>
      <w:r w:rsidRPr="0072101A" w:rsidR="00497C5E">
        <w:rPr>
          <w:rFonts w:ascii="Times New Roman" w:hAnsi="Times New Roman"/>
          <w:szCs w:val="22"/>
          <w:lang w:eastAsia="sk-SK"/>
        </w:rPr>
        <w:t>Z celkovej sumy k 31.12.201</w:t>
      </w:r>
      <w:r w:rsidR="007E4AC4">
        <w:rPr>
          <w:rFonts w:ascii="Times New Roman" w:hAnsi="Times New Roman"/>
          <w:szCs w:val="22"/>
          <w:lang w:eastAsia="sk-SK"/>
        </w:rPr>
        <w:t>5</w:t>
      </w:r>
      <w:r w:rsidRPr="0072101A" w:rsidR="00497C5E">
        <w:rPr>
          <w:rFonts w:ascii="Times New Roman" w:hAnsi="Times New Roman"/>
          <w:szCs w:val="22"/>
          <w:lang w:eastAsia="sk-SK"/>
        </w:rPr>
        <w:t> vykázal</w:t>
      </w:r>
      <w:r w:rsidRPr="0072101A" w:rsidR="003420B9">
        <w:rPr>
          <w:rFonts w:ascii="Times New Roman" w:hAnsi="Times New Roman"/>
          <w:szCs w:val="22"/>
          <w:lang w:eastAsia="sk-SK"/>
        </w:rPr>
        <w:t>a</w:t>
      </w:r>
      <w:r w:rsidRPr="0072101A" w:rsidR="00497C5E">
        <w:rPr>
          <w:rFonts w:ascii="Times New Roman" w:hAnsi="Times New Roman"/>
          <w:szCs w:val="22"/>
          <w:lang w:eastAsia="sk-SK"/>
        </w:rPr>
        <w:t xml:space="preserve"> </w:t>
      </w:r>
      <w:r w:rsidRPr="0072101A" w:rsidR="001D0C6F">
        <w:rPr>
          <w:rFonts w:ascii="Times New Roman" w:hAnsi="Times New Roman"/>
          <w:szCs w:val="22"/>
          <w:lang w:eastAsia="sk-SK"/>
        </w:rPr>
        <w:t xml:space="preserve">ústredná správa hodnotu </w:t>
      </w:r>
      <w:r w:rsidR="007E4AC4">
        <w:rPr>
          <w:rFonts w:ascii="Times New Roman" w:hAnsi="Times New Roman"/>
          <w:szCs w:val="22"/>
          <w:lang w:eastAsia="sk-SK"/>
        </w:rPr>
        <w:t>894 311</w:t>
      </w:r>
      <w:r w:rsidRPr="0072101A" w:rsidR="001D0C6F">
        <w:rPr>
          <w:rFonts w:ascii="Times New Roman" w:hAnsi="Times New Roman"/>
          <w:szCs w:val="22"/>
          <w:lang w:eastAsia="sk-SK"/>
        </w:rPr>
        <w:t xml:space="preserve"> tis. eur</w:t>
      </w:r>
      <w:r w:rsidRPr="0072101A" w:rsidR="003420B9">
        <w:rPr>
          <w:rFonts w:ascii="Times New Roman" w:hAnsi="Times New Roman"/>
          <w:szCs w:val="22"/>
          <w:lang w:eastAsia="sk-SK"/>
        </w:rPr>
        <w:t xml:space="preserve"> a v rámci nej Ministerstvo financií SR 8</w:t>
      </w:r>
      <w:r w:rsidR="007E4AC4">
        <w:rPr>
          <w:rFonts w:ascii="Times New Roman" w:hAnsi="Times New Roman"/>
          <w:szCs w:val="22"/>
          <w:lang w:eastAsia="sk-SK"/>
        </w:rPr>
        <w:t xml:space="preserve">89 </w:t>
      </w:r>
      <w:r>
        <w:rPr>
          <w:rFonts w:ascii="Times New Roman" w:hAnsi="Times New Roman"/>
          <w:szCs w:val="22"/>
          <w:lang w:eastAsia="sk-SK"/>
        </w:rPr>
        <w:t>390</w:t>
      </w:r>
      <w:r w:rsidRPr="0072101A" w:rsidR="003420B9">
        <w:rPr>
          <w:rFonts w:ascii="Times New Roman" w:hAnsi="Times New Roman"/>
          <w:szCs w:val="22"/>
          <w:lang w:eastAsia="sk-SK"/>
        </w:rPr>
        <w:t xml:space="preserve"> tis. eur. Ide o</w:t>
      </w:r>
      <w:r w:rsidRPr="0072101A" w:rsidR="004768E0">
        <w:rPr>
          <w:rFonts w:ascii="Times New Roman" w:hAnsi="Times New Roman"/>
          <w:szCs w:val="22"/>
          <w:lang w:eastAsia="sk-SK"/>
        </w:rPr>
        <w:t xml:space="preserve"> </w:t>
      </w:r>
      <w:r w:rsidRPr="0072101A" w:rsidR="001F0E4E">
        <w:rPr>
          <w:rFonts w:ascii="Times New Roman" w:hAnsi="Times New Roman"/>
          <w:szCs w:val="22"/>
          <w:lang w:eastAsia="sk-SK"/>
        </w:rPr>
        <w:t>podiel</w:t>
      </w:r>
      <w:r w:rsidRPr="0072101A" w:rsidR="002D6047">
        <w:rPr>
          <w:rFonts w:ascii="Times New Roman" w:hAnsi="Times New Roman"/>
          <w:szCs w:val="22"/>
          <w:lang w:eastAsia="sk-SK"/>
        </w:rPr>
        <w:t>y</w:t>
      </w:r>
      <w:r w:rsidRPr="0072101A" w:rsidR="001F0E4E">
        <w:rPr>
          <w:rFonts w:ascii="Times New Roman" w:hAnsi="Times New Roman"/>
          <w:szCs w:val="22"/>
          <w:lang w:eastAsia="sk-SK"/>
        </w:rPr>
        <w:t xml:space="preserve"> na</w:t>
      </w:r>
      <w:r w:rsidRPr="0072101A" w:rsidR="002D6047">
        <w:rPr>
          <w:rFonts w:ascii="Times New Roman" w:hAnsi="Times New Roman"/>
          <w:szCs w:val="22"/>
          <w:lang w:eastAsia="sk-SK"/>
        </w:rPr>
        <w:t xml:space="preserve"> </w:t>
      </w:r>
      <w:r w:rsidRPr="0072101A" w:rsidR="004768E0">
        <w:rPr>
          <w:rFonts w:ascii="Times New Roman" w:hAnsi="Times New Roman"/>
          <w:szCs w:val="22"/>
          <w:lang w:eastAsia="sk-SK"/>
        </w:rPr>
        <w:t>kapitálovej účasti v rôznych medzinárodných finančných inštitúciách,</w:t>
      </w:r>
      <w:r w:rsidRPr="0072101A" w:rsidR="00002892">
        <w:rPr>
          <w:rFonts w:ascii="Times New Roman" w:hAnsi="Times New Roman"/>
          <w:szCs w:val="22"/>
          <w:lang w:eastAsia="sk-SK"/>
        </w:rPr>
        <w:t xml:space="preserve"> ktoré boli</w:t>
      </w:r>
      <w:r w:rsidRPr="0072101A" w:rsidR="004768E0">
        <w:rPr>
          <w:rFonts w:ascii="Times New Roman" w:hAnsi="Times New Roman"/>
          <w:szCs w:val="22"/>
          <w:lang w:eastAsia="sk-SK"/>
        </w:rPr>
        <w:t xml:space="preserve"> založen</w:t>
      </w:r>
      <w:r w:rsidRPr="0072101A" w:rsidR="00002892">
        <w:rPr>
          <w:rFonts w:ascii="Times New Roman" w:hAnsi="Times New Roman"/>
          <w:szCs w:val="22"/>
          <w:lang w:eastAsia="sk-SK"/>
        </w:rPr>
        <w:t xml:space="preserve">é </w:t>
      </w:r>
      <w:r w:rsidRPr="0072101A" w:rsidR="004768E0">
        <w:rPr>
          <w:rFonts w:ascii="Times New Roman" w:hAnsi="Times New Roman"/>
          <w:szCs w:val="22"/>
          <w:lang w:eastAsia="sk-SK"/>
        </w:rPr>
        <w:t>spolu s</w:t>
      </w:r>
      <w:r w:rsidRPr="0072101A" w:rsidR="006C0338">
        <w:rPr>
          <w:rFonts w:ascii="Times New Roman" w:hAnsi="Times New Roman"/>
          <w:szCs w:val="22"/>
          <w:lang w:eastAsia="sk-SK"/>
        </w:rPr>
        <w:t xml:space="preserve"> vládami </w:t>
      </w:r>
      <w:r w:rsidRPr="0072101A" w:rsidR="007A56BE">
        <w:rPr>
          <w:rFonts w:ascii="Times New Roman" w:hAnsi="Times New Roman"/>
          <w:szCs w:val="22"/>
          <w:lang w:eastAsia="sk-SK"/>
        </w:rPr>
        <w:t>iných</w:t>
      </w:r>
      <w:r w:rsidRPr="0072101A" w:rsidR="004768E0">
        <w:rPr>
          <w:rFonts w:ascii="Times New Roman" w:hAnsi="Times New Roman"/>
          <w:szCs w:val="22"/>
          <w:lang w:eastAsia="sk-SK"/>
        </w:rPr>
        <w:t xml:space="preserve"> kraj</w:t>
      </w:r>
      <w:r w:rsidRPr="0072101A" w:rsidR="006C0338">
        <w:rPr>
          <w:rFonts w:ascii="Times New Roman" w:hAnsi="Times New Roman"/>
          <w:szCs w:val="22"/>
          <w:lang w:eastAsia="sk-SK"/>
        </w:rPr>
        <w:t>ín alebo medzinárodnými organizáciami</w:t>
      </w:r>
      <w:r w:rsidR="00E204CE">
        <w:rPr>
          <w:rFonts w:ascii="Times New Roman" w:hAnsi="Times New Roman"/>
          <w:szCs w:val="22"/>
          <w:lang w:eastAsia="sk-SK"/>
        </w:rPr>
        <w:t xml:space="preserve"> na podporu slabších regiónov v rôznych krajinách sveta, podporu reforiem </w:t>
      </w:r>
      <w:r>
        <w:rPr>
          <w:rFonts w:ascii="Times New Roman" w:hAnsi="Times New Roman"/>
          <w:szCs w:val="22"/>
          <w:lang w:eastAsia="sk-SK"/>
        </w:rPr>
        <w:t xml:space="preserve">v oblasti </w:t>
      </w:r>
      <w:r w:rsidR="00E204CE">
        <w:rPr>
          <w:rFonts w:ascii="Times New Roman" w:hAnsi="Times New Roman"/>
          <w:szCs w:val="22"/>
          <w:lang w:eastAsia="sk-SK"/>
        </w:rPr>
        <w:t>ich hospodárstva a ekonomiky.</w:t>
      </w:r>
    </w:p>
    <w:tbl>
      <w:tblPr>
        <w:tblStyle w:val="TableNormal"/>
        <w:tblW w:w="4545" w:type="pct"/>
        <w:jc w:val="center"/>
        <w:tblCellMar>
          <w:left w:w="70" w:type="dxa"/>
          <w:right w:w="70" w:type="dxa"/>
        </w:tblCellMar>
        <w:tblLook w:val="00A0"/>
      </w:tblPr>
      <w:tblGrid>
        <w:gridCol w:w="5414"/>
        <w:gridCol w:w="1517"/>
        <w:gridCol w:w="1442"/>
      </w:tblGrid>
      <w:tr>
        <w:tblPrEx>
          <w:tblW w:w="4545" w:type="pct"/>
          <w:jc w:val="center"/>
          <w:tblCellMar>
            <w:left w:w="70" w:type="dxa"/>
            <w:right w:w="70" w:type="dxa"/>
          </w:tblCellMar>
          <w:tblLook w:val="00A0"/>
        </w:tblPrEx>
        <w:trPr>
          <w:trHeight w:val="330"/>
          <w:jc w:val="center"/>
        </w:trPr>
        <w:tc>
          <w:tcPr>
            <w:tcW w:w="4139" w:type="pct"/>
            <w:gridSpan w:val="2"/>
            <w:tcBorders>
              <w:top w:val="single" w:sz="4" w:space="0" w:color="auto"/>
              <w:left w:val="nil"/>
              <w:bottom w:val="single" w:sz="4" w:space="0" w:color="auto"/>
              <w:right w:val="nil"/>
            </w:tcBorders>
            <w:shd w:val="clear" w:color="000000" w:fill="000000"/>
            <w:noWrap/>
            <w:textDirection w:val="lrTb"/>
            <w:vAlign w:val="center"/>
          </w:tcPr>
          <w:p w:rsidR="00497C5E" w:rsidRPr="0072101A" w:rsidP="00D93469">
            <w:pPr>
              <w:bidi w:val="0"/>
              <w:spacing w:after="0" w:line="240" w:lineRule="auto"/>
            </w:pPr>
            <w:r w:rsidRPr="0072101A" w:rsidR="0097612B">
              <w:br w:type="page"/>
            </w:r>
            <w:r w:rsidRPr="0072101A" w:rsidR="0097612B">
              <w:rPr>
                <w:rFonts w:ascii="Times New Roman" w:hAnsi="Times New Roman"/>
                <w:szCs w:val="22"/>
                <w:lang w:eastAsia="sk-SK"/>
              </w:rPr>
              <w:br w:type="page"/>
            </w:r>
            <w:r w:rsidRPr="0072101A">
              <w:rPr>
                <w:rFonts w:ascii="Times New Roman" w:hAnsi="Times New Roman"/>
                <w:b/>
                <w:bCs/>
                <w:color w:val="FFFFFF"/>
                <w:sz w:val="20"/>
                <w:szCs w:val="20"/>
                <w:lang w:eastAsia="sk-SK"/>
              </w:rPr>
              <w:t>Prehľad majetkovej účasti SR v medzinárodných inštitúciách (v tis. eur)</w:t>
            </w:r>
          </w:p>
        </w:tc>
        <w:tc>
          <w:tcPr>
            <w:tcW w:w="861" w:type="pct"/>
            <w:tcBorders>
              <w:top w:val="single" w:sz="4" w:space="0" w:color="auto"/>
              <w:left w:val="nil"/>
              <w:bottom w:val="single" w:sz="4" w:space="0" w:color="auto"/>
              <w:right w:val="nil"/>
            </w:tcBorders>
            <w:shd w:val="clear" w:color="000000" w:fill="000000"/>
            <w:textDirection w:val="lrTb"/>
            <w:vAlign w:val="center"/>
          </w:tcPr>
          <w:p w:rsidR="00497C5E" w:rsidRPr="0072101A" w:rsidP="00D93469">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r>
      <w:tr>
        <w:tblPrEx>
          <w:tblW w:w="4545" w:type="pct"/>
          <w:jc w:val="center"/>
          <w:tblCellMar>
            <w:left w:w="70" w:type="dxa"/>
            <w:right w:w="70" w:type="dxa"/>
          </w:tblCellMar>
          <w:tblLook w:val="00A0"/>
        </w:tblPrEx>
        <w:trPr>
          <w:trHeight w:val="330"/>
          <w:jc w:val="center"/>
        </w:trPr>
        <w:tc>
          <w:tcPr>
            <w:tcW w:w="3233" w:type="pct"/>
            <w:tcBorders>
              <w:top w:val="nil"/>
              <w:left w:val="nil"/>
              <w:bottom w:val="single" w:sz="4" w:space="0" w:color="auto"/>
              <w:right w:val="nil"/>
            </w:tcBorders>
            <w:shd w:val="clear" w:color="000000" w:fill="BFBFBF"/>
            <w:noWrap/>
            <w:textDirection w:val="lrTb"/>
            <w:vAlign w:val="bottom"/>
          </w:tcPr>
          <w:p w:rsidR="00497C5E" w:rsidRPr="0072101A" w:rsidP="00D93469">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Medzinárodná inštitúcia</w:t>
            </w:r>
          </w:p>
        </w:tc>
        <w:tc>
          <w:tcPr>
            <w:tcW w:w="906" w:type="pct"/>
            <w:tcBorders>
              <w:top w:val="nil"/>
              <w:left w:val="nil"/>
              <w:bottom w:val="single" w:sz="4" w:space="0" w:color="auto"/>
              <w:right w:val="nil"/>
            </w:tcBorders>
            <w:shd w:val="clear" w:color="000000" w:fill="BFBFBF"/>
            <w:noWrap/>
            <w:textDirection w:val="lrTb"/>
            <w:vAlign w:val="bottom"/>
          </w:tcPr>
          <w:p w:rsidR="00497C5E" w:rsidRPr="0072101A" w:rsidP="00D93469">
            <w:pPr>
              <w:bidi w:val="0"/>
              <w:spacing w:after="0" w:line="240" w:lineRule="auto"/>
              <w:jc w:val="center"/>
              <w:rPr>
                <w:rFonts w:ascii="Times New Roman" w:hAnsi="Times New Roman"/>
                <w:b/>
                <w:bCs/>
                <w:sz w:val="20"/>
                <w:szCs w:val="20"/>
                <w:lang w:eastAsia="sk-SK"/>
              </w:rPr>
            </w:pPr>
            <w:r w:rsidRPr="0072101A" w:rsidR="00D21ECA">
              <w:rPr>
                <w:rFonts w:ascii="Times New Roman" w:hAnsi="Times New Roman"/>
                <w:b/>
                <w:bCs/>
                <w:sz w:val="20"/>
                <w:szCs w:val="20"/>
                <w:lang w:eastAsia="sk-SK"/>
              </w:rPr>
              <w:t xml:space="preserve">          </w:t>
            </w:r>
            <w:r w:rsidRPr="0072101A" w:rsidR="00AD2668">
              <w:rPr>
                <w:rFonts w:ascii="Times New Roman" w:hAnsi="Times New Roman"/>
                <w:b/>
                <w:bCs/>
                <w:sz w:val="20"/>
                <w:szCs w:val="20"/>
                <w:lang w:eastAsia="sk-SK"/>
              </w:rPr>
              <w:t xml:space="preserve">   </w:t>
            </w:r>
            <w:r w:rsidR="00C70AB9">
              <w:rPr>
                <w:rFonts w:ascii="Times New Roman" w:hAnsi="Times New Roman"/>
                <w:b/>
                <w:bCs/>
                <w:sz w:val="20"/>
                <w:szCs w:val="20"/>
                <w:lang w:eastAsia="sk-SK"/>
              </w:rPr>
              <w:t xml:space="preserve"> 2015</w:t>
            </w:r>
          </w:p>
        </w:tc>
        <w:tc>
          <w:tcPr>
            <w:tcW w:w="861" w:type="pct"/>
            <w:tcBorders>
              <w:top w:val="nil"/>
              <w:left w:val="nil"/>
              <w:bottom w:val="single" w:sz="4" w:space="0" w:color="auto"/>
              <w:right w:val="nil"/>
            </w:tcBorders>
            <w:shd w:val="clear" w:color="000000" w:fill="BFBFBF"/>
            <w:noWrap/>
            <w:textDirection w:val="lrTb"/>
            <w:vAlign w:val="bottom"/>
          </w:tcPr>
          <w:p w:rsidR="00497C5E" w:rsidRPr="0072101A" w:rsidP="00C70AB9">
            <w:pPr>
              <w:bidi w:val="0"/>
              <w:spacing w:after="0" w:line="240" w:lineRule="auto"/>
              <w:jc w:val="center"/>
              <w:rPr>
                <w:rFonts w:ascii="Times New Roman" w:hAnsi="Times New Roman"/>
                <w:b/>
                <w:bCs/>
                <w:sz w:val="20"/>
                <w:szCs w:val="20"/>
                <w:lang w:eastAsia="sk-SK"/>
              </w:rPr>
            </w:pPr>
            <w:r w:rsidRPr="0072101A" w:rsidR="00D21ECA">
              <w:rPr>
                <w:rFonts w:ascii="Times New Roman" w:hAnsi="Times New Roman"/>
                <w:b/>
                <w:bCs/>
                <w:sz w:val="20"/>
                <w:szCs w:val="20"/>
                <w:lang w:eastAsia="sk-SK"/>
              </w:rPr>
              <w:t xml:space="preserve">       </w:t>
            </w:r>
            <w:r w:rsidRPr="0072101A" w:rsidR="00AD2668">
              <w:rPr>
                <w:rFonts w:ascii="Times New Roman" w:hAnsi="Times New Roman"/>
                <w:b/>
                <w:bCs/>
                <w:sz w:val="20"/>
                <w:szCs w:val="20"/>
                <w:lang w:eastAsia="sk-SK"/>
              </w:rPr>
              <w:t xml:space="preserve">   </w:t>
            </w:r>
            <w:r w:rsidRPr="0072101A" w:rsidR="009B684E">
              <w:rPr>
                <w:rFonts w:ascii="Times New Roman" w:hAnsi="Times New Roman"/>
                <w:b/>
                <w:bCs/>
                <w:sz w:val="20"/>
                <w:szCs w:val="20"/>
                <w:lang w:eastAsia="sk-SK"/>
              </w:rPr>
              <w:t xml:space="preserve">   201</w:t>
            </w:r>
            <w:r w:rsidR="00C70AB9">
              <w:rPr>
                <w:rFonts w:ascii="Times New Roman" w:hAnsi="Times New Roman"/>
                <w:b/>
                <w:bCs/>
                <w:sz w:val="20"/>
                <w:szCs w:val="20"/>
                <w:lang w:eastAsia="sk-SK"/>
              </w:rPr>
              <w:t>4</w:t>
            </w:r>
          </w:p>
        </w:tc>
      </w:tr>
      <w:tr>
        <w:tblPrEx>
          <w:tblW w:w="4545" w:type="pct"/>
          <w:jc w:val="center"/>
          <w:tblCellMar>
            <w:left w:w="70" w:type="dxa"/>
            <w:right w:w="70" w:type="dxa"/>
          </w:tblCellMar>
          <w:tblLook w:val="00A0"/>
        </w:tblPrEx>
        <w:trPr>
          <w:trHeight w:hRule="exact" w:val="330"/>
          <w:jc w:val="center"/>
        </w:trPr>
        <w:tc>
          <w:tcPr>
            <w:tcW w:w="3233" w:type="pct"/>
            <w:tcBorders>
              <w:top w:val="nil"/>
              <w:left w:val="nil"/>
              <w:bottom w:val="nil"/>
              <w:right w:val="nil"/>
            </w:tcBorders>
            <w:shd w:val="clear" w:color="000000" w:fill="FFFFFF"/>
            <w:textDirection w:val="lrTb"/>
            <w:vAlign w:val="center"/>
          </w:tcPr>
          <w:p w:rsidR="00C70AB9" w:rsidRPr="0072101A" w:rsidP="006D60E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Európsky stabilizačný mechanizmus (ESM)</w:t>
            </w:r>
          </w:p>
        </w:tc>
        <w:tc>
          <w:tcPr>
            <w:tcW w:w="906" w:type="pct"/>
            <w:tcBorders>
              <w:top w:val="nil"/>
              <w:left w:val="nil"/>
              <w:bottom w:val="nil"/>
              <w:right w:val="nil"/>
            </w:tcBorders>
            <w:shd w:val="clear" w:color="000000" w:fill="FFFFFF"/>
            <w:textDirection w:val="lrTb"/>
            <w:vAlign w:val="center"/>
          </w:tcPr>
          <w:p w:rsidR="00C70AB9" w:rsidRPr="0072101A" w:rsidP="00A65BBA">
            <w:pPr>
              <w:bidi w:val="0"/>
              <w:spacing w:after="0" w:line="240" w:lineRule="auto"/>
              <w:jc w:val="right"/>
              <w:rPr>
                <w:rFonts w:ascii="Times New Roman" w:hAnsi="Times New Roman"/>
                <w:color w:val="000000"/>
                <w:sz w:val="20"/>
                <w:szCs w:val="20"/>
                <w:lang w:eastAsia="sk-SK"/>
              </w:rPr>
            </w:pPr>
            <w:r w:rsidR="00721AF2">
              <w:rPr>
                <w:rFonts w:ascii="Times New Roman" w:hAnsi="Times New Roman"/>
                <w:color w:val="000000"/>
                <w:sz w:val="20"/>
                <w:szCs w:val="20"/>
                <w:lang w:eastAsia="sk-SK"/>
              </w:rPr>
              <w:t>659 200</w:t>
            </w:r>
          </w:p>
        </w:tc>
        <w:tc>
          <w:tcPr>
            <w:tcW w:w="861" w:type="pct"/>
            <w:tcBorders>
              <w:top w:val="nil"/>
              <w:left w:val="nil"/>
              <w:bottom w:val="nil"/>
              <w:right w:val="nil"/>
            </w:tcBorders>
            <w:shd w:val="clear" w:color="000000" w:fill="FFFFFF"/>
            <w:textDirection w:val="lrTb"/>
            <w:vAlign w:val="center"/>
          </w:tcPr>
          <w:p w:rsidR="00C70AB9" w:rsidRPr="0072101A" w:rsidP="00FE3590">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659 200</w:t>
            </w:r>
          </w:p>
        </w:tc>
      </w:tr>
      <w:tr>
        <w:tblPrEx>
          <w:tblW w:w="4545" w:type="pct"/>
          <w:jc w:val="center"/>
          <w:tblCellMar>
            <w:left w:w="70" w:type="dxa"/>
            <w:right w:w="70" w:type="dxa"/>
          </w:tblCellMar>
          <w:tblLook w:val="00A0"/>
        </w:tblPrEx>
        <w:trPr>
          <w:trHeight w:hRule="exact" w:val="330"/>
          <w:jc w:val="center"/>
        </w:trPr>
        <w:tc>
          <w:tcPr>
            <w:tcW w:w="3233" w:type="pct"/>
            <w:tcBorders>
              <w:top w:val="nil"/>
              <w:left w:val="nil"/>
              <w:bottom w:val="nil"/>
              <w:right w:val="nil"/>
            </w:tcBorders>
            <w:shd w:val="clear" w:color="000000" w:fill="FFFFFF"/>
            <w:textDirection w:val="lrTb"/>
            <w:vAlign w:val="center"/>
          </w:tcPr>
          <w:p w:rsidR="00C70AB9" w:rsidRPr="0072101A" w:rsidP="001E3848">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Európska investičná banka</w:t>
            </w:r>
          </w:p>
        </w:tc>
        <w:tc>
          <w:tcPr>
            <w:tcW w:w="906" w:type="pct"/>
            <w:tcBorders>
              <w:top w:val="nil"/>
              <w:left w:val="nil"/>
              <w:bottom w:val="nil"/>
              <w:right w:val="nil"/>
            </w:tcBorders>
            <w:shd w:val="clear" w:color="000000" w:fill="FFFFFF"/>
            <w:textDirection w:val="lrTb"/>
            <w:vAlign w:val="center"/>
          </w:tcPr>
          <w:p w:rsidR="00C70AB9" w:rsidRPr="0072101A" w:rsidP="00A65BBA">
            <w:pPr>
              <w:bidi w:val="0"/>
              <w:spacing w:after="0" w:line="240" w:lineRule="auto"/>
              <w:jc w:val="right"/>
              <w:rPr>
                <w:rFonts w:ascii="Times New Roman" w:hAnsi="Times New Roman"/>
                <w:color w:val="000000"/>
                <w:sz w:val="20"/>
                <w:szCs w:val="20"/>
                <w:lang w:eastAsia="sk-SK"/>
              </w:rPr>
            </w:pPr>
            <w:r w:rsidR="00721AF2">
              <w:rPr>
                <w:rFonts w:ascii="Times New Roman" w:hAnsi="Times New Roman"/>
                <w:color w:val="000000"/>
                <w:sz w:val="20"/>
                <w:szCs w:val="20"/>
                <w:lang w:eastAsia="sk-SK"/>
              </w:rPr>
              <w:t>111 813</w:t>
            </w:r>
          </w:p>
        </w:tc>
        <w:tc>
          <w:tcPr>
            <w:tcW w:w="861" w:type="pct"/>
            <w:tcBorders>
              <w:top w:val="nil"/>
              <w:left w:val="nil"/>
              <w:bottom w:val="nil"/>
              <w:right w:val="nil"/>
            </w:tcBorders>
            <w:shd w:val="clear" w:color="000000" w:fill="FFFFFF"/>
            <w:textDirection w:val="lrTb"/>
            <w:vAlign w:val="center"/>
          </w:tcPr>
          <w:p w:rsidR="00C70AB9" w:rsidRPr="0072101A" w:rsidP="00FE3590">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105 314</w:t>
            </w:r>
          </w:p>
        </w:tc>
      </w:tr>
      <w:tr>
        <w:tblPrEx>
          <w:tblW w:w="4545" w:type="pct"/>
          <w:jc w:val="center"/>
          <w:tblCellMar>
            <w:left w:w="70" w:type="dxa"/>
            <w:right w:w="70" w:type="dxa"/>
          </w:tblCellMar>
          <w:tblLook w:val="00A0"/>
        </w:tblPrEx>
        <w:trPr>
          <w:trHeight w:hRule="exact" w:val="330"/>
          <w:jc w:val="center"/>
        </w:trPr>
        <w:tc>
          <w:tcPr>
            <w:tcW w:w="3233" w:type="pct"/>
            <w:tcBorders>
              <w:top w:val="nil"/>
              <w:left w:val="nil"/>
              <w:bottom w:val="nil"/>
              <w:right w:val="nil"/>
            </w:tcBorders>
            <w:shd w:val="clear" w:color="000000" w:fill="FFFFFF"/>
            <w:textDirection w:val="lrTb"/>
            <w:vAlign w:val="center"/>
          </w:tcPr>
          <w:p w:rsidR="00C70AB9" w:rsidRPr="0072101A" w:rsidP="00A65BBA">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Skupina Svetovej banky </w:t>
            </w:r>
          </w:p>
        </w:tc>
        <w:tc>
          <w:tcPr>
            <w:tcW w:w="906" w:type="pct"/>
            <w:tcBorders>
              <w:top w:val="nil"/>
              <w:left w:val="nil"/>
              <w:bottom w:val="nil"/>
              <w:right w:val="nil"/>
            </w:tcBorders>
            <w:shd w:val="clear" w:color="000000" w:fill="FFFFFF"/>
            <w:textDirection w:val="lrTb"/>
            <w:vAlign w:val="center"/>
          </w:tcPr>
          <w:p w:rsidR="00C70AB9" w:rsidRPr="0072101A" w:rsidP="00A65BBA">
            <w:pPr>
              <w:bidi w:val="0"/>
              <w:spacing w:after="0" w:line="240" w:lineRule="auto"/>
              <w:jc w:val="right"/>
              <w:rPr>
                <w:rFonts w:ascii="Times New Roman" w:hAnsi="Times New Roman"/>
                <w:color w:val="000000"/>
                <w:sz w:val="20"/>
                <w:szCs w:val="20"/>
                <w:lang w:eastAsia="sk-SK"/>
              </w:rPr>
            </w:pPr>
            <w:r w:rsidR="00721AF2">
              <w:rPr>
                <w:rFonts w:ascii="Times New Roman" w:hAnsi="Times New Roman"/>
                <w:color w:val="000000"/>
                <w:sz w:val="20"/>
                <w:szCs w:val="20"/>
                <w:lang w:eastAsia="sk-SK"/>
              </w:rPr>
              <w:t>54 112</w:t>
            </w:r>
          </w:p>
        </w:tc>
        <w:tc>
          <w:tcPr>
            <w:tcW w:w="861" w:type="pct"/>
            <w:tcBorders>
              <w:top w:val="nil"/>
              <w:left w:val="nil"/>
              <w:bottom w:val="nil"/>
              <w:right w:val="nil"/>
            </w:tcBorders>
            <w:shd w:val="clear" w:color="000000" w:fill="FFFFFF"/>
            <w:textDirection w:val="lrTb"/>
            <w:vAlign w:val="center"/>
          </w:tcPr>
          <w:p w:rsidR="00C70AB9" w:rsidRPr="0072101A" w:rsidP="00FE3590">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40 649</w:t>
            </w:r>
          </w:p>
        </w:tc>
      </w:tr>
      <w:tr>
        <w:tblPrEx>
          <w:tblW w:w="4545" w:type="pct"/>
          <w:jc w:val="center"/>
          <w:tblCellMar>
            <w:left w:w="70" w:type="dxa"/>
            <w:right w:w="70" w:type="dxa"/>
          </w:tblCellMar>
          <w:tblLook w:val="00A0"/>
        </w:tblPrEx>
        <w:trPr>
          <w:trHeight w:hRule="exact" w:val="196"/>
          <w:jc w:val="center"/>
        </w:trPr>
        <w:tc>
          <w:tcPr>
            <w:tcW w:w="3233" w:type="pct"/>
            <w:tcBorders>
              <w:top w:val="nil"/>
              <w:left w:val="nil"/>
              <w:bottom w:val="nil"/>
              <w:right w:val="nil"/>
            </w:tcBorders>
            <w:shd w:val="clear" w:color="000000" w:fill="FFFFFF"/>
            <w:textDirection w:val="lrTb"/>
            <w:vAlign w:val="center"/>
          </w:tcPr>
          <w:p w:rsidR="00C70AB9" w:rsidRPr="0072101A" w:rsidP="00A65BBA">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 z toho: </w:t>
            </w:r>
          </w:p>
        </w:tc>
        <w:tc>
          <w:tcPr>
            <w:tcW w:w="906" w:type="pct"/>
            <w:tcBorders>
              <w:top w:val="nil"/>
              <w:left w:val="nil"/>
              <w:bottom w:val="nil"/>
              <w:right w:val="nil"/>
            </w:tcBorders>
            <w:shd w:val="clear" w:color="000000" w:fill="FFFFFF"/>
            <w:textDirection w:val="lrTb"/>
            <w:vAlign w:val="center"/>
          </w:tcPr>
          <w:p w:rsidR="00C70AB9" w:rsidRPr="0072101A" w:rsidP="00A65BBA">
            <w:pPr>
              <w:bidi w:val="0"/>
              <w:spacing w:after="0" w:line="240" w:lineRule="auto"/>
              <w:jc w:val="right"/>
              <w:rPr>
                <w:rFonts w:ascii="Times New Roman" w:hAnsi="Times New Roman"/>
                <w:color w:val="000000"/>
                <w:sz w:val="20"/>
                <w:szCs w:val="20"/>
                <w:lang w:eastAsia="sk-SK"/>
              </w:rPr>
            </w:pPr>
          </w:p>
        </w:tc>
        <w:tc>
          <w:tcPr>
            <w:tcW w:w="861" w:type="pct"/>
            <w:tcBorders>
              <w:top w:val="nil"/>
              <w:left w:val="nil"/>
              <w:bottom w:val="nil"/>
              <w:right w:val="nil"/>
            </w:tcBorders>
            <w:shd w:val="clear" w:color="000000" w:fill="FFFFFF"/>
            <w:textDirection w:val="lrTb"/>
            <w:vAlign w:val="center"/>
          </w:tcPr>
          <w:p w:rsidR="00C70AB9" w:rsidRPr="0072101A" w:rsidP="00FE3590">
            <w:pPr>
              <w:bidi w:val="0"/>
              <w:spacing w:after="0" w:line="240" w:lineRule="auto"/>
              <w:jc w:val="right"/>
              <w:rPr>
                <w:rFonts w:ascii="Times New Roman" w:hAnsi="Times New Roman"/>
                <w:color w:val="000000"/>
                <w:sz w:val="20"/>
                <w:szCs w:val="20"/>
                <w:lang w:eastAsia="sk-SK"/>
              </w:rPr>
            </w:pPr>
          </w:p>
        </w:tc>
      </w:tr>
      <w:tr>
        <w:tblPrEx>
          <w:tblW w:w="4545" w:type="pct"/>
          <w:jc w:val="center"/>
          <w:tblCellMar>
            <w:left w:w="70" w:type="dxa"/>
            <w:right w:w="70" w:type="dxa"/>
          </w:tblCellMar>
          <w:tblLook w:val="00A0"/>
        </w:tblPrEx>
        <w:trPr>
          <w:trHeight w:hRule="exact" w:val="330"/>
          <w:jc w:val="center"/>
        </w:trPr>
        <w:tc>
          <w:tcPr>
            <w:tcW w:w="3233" w:type="pct"/>
            <w:tcBorders>
              <w:top w:val="nil"/>
              <w:left w:val="nil"/>
              <w:bottom w:val="nil"/>
              <w:right w:val="nil"/>
            </w:tcBorders>
            <w:shd w:val="clear" w:color="000000" w:fill="FFFFFF"/>
            <w:textDirection w:val="lrTb"/>
            <w:vAlign w:val="center"/>
          </w:tcPr>
          <w:p w:rsidR="00C70AB9" w:rsidRPr="006F6EA3" w:rsidP="001E3848">
            <w:pPr>
              <w:bidi w:val="0"/>
              <w:spacing w:after="0" w:line="240" w:lineRule="auto"/>
              <w:ind w:firstLine="426"/>
              <w:rPr>
                <w:rFonts w:ascii="Times New Roman" w:hAnsi="Times New Roman"/>
                <w:color w:val="000000"/>
                <w:sz w:val="20"/>
                <w:szCs w:val="20"/>
                <w:lang w:eastAsia="sk-SK"/>
              </w:rPr>
            </w:pPr>
            <w:r w:rsidRPr="006F6EA3">
              <w:rPr>
                <w:rFonts w:ascii="Times New Roman" w:hAnsi="Times New Roman"/>
                <w:color w:val="000000"/>
                <w:sz w:val="20"/>
                <w:szCs w:val="20"/>
                <w:lang w:eastAsia="sk-SK"/>
              </w:rPr>
              <w:t xml:space="preserve">Medzinárodná banka pre obnovu a rozvoj </w:t>
            </w:r>
          </w:p>
        </w:tc>
        <w:tc>
          <w:tcPr>
            <w:tcW w:w="906" w:type="pct"/>
            <w:tcBorders>
              <w:top w:val="nil"/>
              <w:left w:val="nil"/>
              <w:bottom w:val="nil"/>
              <w:right w:val="nil"/>
            </w:tcBorders>
            <w:shd w:val="clear" w:color="000000" w:fill="FFFFFF"/>
            <w:textDirection w:val="lrTb"/>
            <w:vAlign w:val="center"/>
          </w:tcPr>
          <w:p w:rsidR="00C70AB9" w:rsidRPr="0072101A" w:rsidP="00C61EA6">
            <w:pPr>
              <w:bidi w:val="0"/>
              <w:spacing w:after="0" w:line="240" w:lineRule="auto"/>
              <w:jc w:val="right"/>
              <w:rPr>
                <w:rFonts w:ascii="Times New Roman" w:hAnsi="Times New Roman"/>
                <w:color w:val="000000"/>
                <w:sz w:val="20"/>
                <w:szCs w:val="20"/>
                <w:lang w:eastAsia="sk-SK"/>
              </w:rPr>
            </w:pPr>
            <w:r w:rsidR="00C61EA6">
              <w:rPr>
                <w:rFonts w:ascii="Times New Roman" w:hAnsi="Times New Roman"/>
                <w:color w:val="000000"/>
                <w:sz w:val="20"/>
                <w:szCs w:val="20"/>
                <w:lang w:eastAsia="sk-SK"/>
              </w:rPr>
              <w:t>26 804</w:t>
            </w:r>
          </w:p>
        </w:tc>
        <w:tc>
          <w:tcPr>
            <w:tcW w:w="861" w:type="pct"/>
            <w:tcBorders>
              <w:top w:val="nil"/>
              <w:left w:val="nil"/>
              <w:bottom w:val="nil"/>
              <w:right w:val="nil"/>
            </w:tcBorders>
            <w:shd w:val="clear" w:color="000000" w:fill="FFFFFF"/>
            <w:textDirection w:val="lrTb"/>
            <w:vAlign w:val="center"/>
          </w:tcPr>
          <w:p w:rsidR="00C70AB9" w:rsidRPr="0072101A" w:rsidP="00FE3590">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17 436</w:t>
            </w:r>
          </w:p>
        </w:tc>
      </w:tr>
      <w:tr>
        <w:tblPrEx>
          <w:tblW w:w="4545" w:type="pct"/>
          <w:jc w:val="center"/>
          <w:tblCellMar>
            <w:left w:w="70" w:type="dxa"/>
            <w:right w:w="70" w:type="dxa"/>
          </w:tblCellMar>
          <w:tblLook w:val="00A0"/>
        </w:tblPrEx>
        <w:trPr>
          <w:trHeight w:hRule="exact" w:val="330"/>
          <w:jc w:val="center"/>
        </w:trPr>
        <w:tc>
          <w:tcPr>
            <w:tcW w:w="3233" w:type="pct"/>
            <w:tcBorders>
              <w:top w:val="nil"/>
              <w:left w:val="nil"/>
              <w:bottom w:val="nil"/>
              <w:right w:val="nil"/>
            </w:tcBorders>
            <w:shd w:val="clear" w:color="000000" w:fill="FFFFFF"/>
            <w:textDirection w:val="lrTb"/>
            <w:vAlign w:val="center"/>
          </w:tcPr>
          <w:p w:rsidR="00C70AB9" w:rsidRPr="006F6EA3" w:rsidP="001E3848">
            <w:pPr>
              <w:bidi w:val="0"/>
              <w:spacing w:after="0" w:line="240" w:lineRule="auto"/>
              <w:ind w:firstLine="426"/>
              <w:rPr>
                <w:rFonts w:ascii="Times New Roman" w:hAnsi="Times New Roman"/>
                <w:color w:val="000000"/>
                <w:sz w:val="20"/>
                <w:szCs w:val="20"/>
                <w:lang w:eastAsia="sk-SK"/>
              </w:rPr>
            </w:pPr>
            <w:r w:rsidRPr="006F6EA3">
              <w:rPr>
                <w:rFonts w:ascii="Times New Roman" w:hAnsi="Times New Roman"/>
                <w:color w:val="000000"/>
                <w:sz w:val="20"/>
                <w:szCs w:val="20"/>
                <w:lang w:eastAsia="sk-SK"/>
              </w:rPr>
              <w:t xml:space="preserve">Medzinárodná asociácia pre rozvoj </w:t>
            </w:r>
          </w:p>
        </w:tc>
        <w:tc>
          <w:tcPr>
            <w:tcW w:w="906" w:type="pct"/>
            <w:tcBorders>
              <w:top w:val="nil"/>
              <w:left w:val="nil"/>
              <w:bottom w:val="nil"/>
              <w:right w:val="nil"/>
            </w:tcBorders>
            <w:shd w:val="clear" w:color="000000" w:fill="FFFFFF"/>
            <w:textDirection w:val="lrTb"/>
            <w:vAlign w:val="center"/>
          </w:tcPr>
          <w:p w:rsidR="00C70AB9" w:rsidRPr="0072101A" w:rsidP="00C61EA6">
            <w:pPr>
              <w:bidi w:val="0"/>
              <w:spacing w:after="0" w:line="240" w:lineRule="auto"/>
              <w:jc w:val="right"/>
              <w:rPr>
                <w:rFonts w:ascii="Times New Roman" w:hAnsi="Times New Roman"/>
                <w:color w:val="000000"/>
                <w:sz w:val="20"/>
                <w:szCs w:val="20"/>
                <w:lang w:eastAsia="sk-SK"/>
              </w:rPr>
            </w:pPr>
            <w:r w:rsidR="00C61EA6">
              <w:rPr>
                <w:rFonts w:ascii="Times New Roman" w:hAnsi="Times New Roman"/>
                <w:color w:val="000000"/>
                <w:sz w:val="20"/>
                <w:szCs w:val="20"/>
                <w:lang w:eastAsia="sk-SK"/>
              </w:rPr>
              <w:t>22 500</w:t>
            </w:r>
          </w:p>
        </w:tc>
        <w:tc>
          <w:tcPr>
            <w:tcW w:w="861" w:type="pct"/>
            <w:tcBorders>
              <w:top w:val="nil"/>
              <w:left w:val="nil"/>
              <w:bottom w:val="nil"/>
              <w:right w:val="nil"/>
            </w:tcBorders>
            <w:shd w:val="clear" w:color="000000" w:fill="FFFFFF"/>
            <w:textDirection w:val="lrTb"/>
            <w:vAlign w:val="center"/>
          </w:tcPr>
          <w:p w:rsidR="00C70AB9" w:rsidRPr="0072101A" w:rsidP="00C61EA6">
            <w:pPr>
              <w:bidi w:val="0"/>
              <w:spacing w:after="0" w:line="240" w:lineRule="auto"/>
              <w:jc w:val="right"/>
              <w:rPr>
                <w:rFonts w:ascii="Times New Roman" w:hAnsi="Times New Roman"/>
                <w:color w:val="000000"/>
                <w:sz w:val="20"/>
                <w:szCs w:val="20"/>
                <w:lang w:eastAsia="sk-SK"/>
              </w:rPr>
            </w:pPr>
            <w:r w:rsidR="00C61EA6">
              <w:rPr>
                <w:rFonts w:ascii="Times New Roman" w:hAnsi="Times New Roman"/>
                <w:color w:val="000000"/>
                <w:sz w:val="20"/>
                <w:szCs w:val="20"/>
                <w:lang w:eastAsia="sk-SK"/>
              </w:rPr>
              <w:t>18 899</w:t>
            </w:r>
          </w:p>
        </w:tc>
      </w:tr>
      <w:tr>
        <w:tblPrEx>
          <w:tblW w:w="4545" w:type="pct"/>
          <w:jc w:val="center"/>
          <w:tblCellMar>
            <w:left w:w="70" w:type="dxa"/>
            <w:right w:w="70" w:type="dxa"/>
          </w:tblCellMar>
          <w:tblLook w:val="00A0"/>
        </w:tblPrEx>
        <w:trPr>
          <w:trHeight w:hRule="exact" w:val="330"/>
          <w:jc w:val="center"/>
        </w:trPr>
        <w:tc>
          <w:tcPr>
            <w:tcW w:w="3233" w:type="pct"/>
            <w:tcBorders>
              <w:top w:val="nil"/>
              <w:left w:val="nil"/>
              <w:bottom w:val="nil"/>
              <w:right w:val="nil"/>
            </w:tcBorders>
            <w:shd w:val="clear" w:color="000000" w:fill="FFFFFF"/>
            <w:textDirection w:val="lrTb"/>
            <w:vAlign w:val="center"/>
          </w:tcPr>
          <w:p w:rsidR="00C70AB9" w:rsidRPr="006F6EA3" w:rsidP="001E3848">
            <w:pPr>
              <w:bidi w:val="0"/>
              <w:spacing w:after="0" w:line="240" w:lineRule="auto"/>
              <w:ind w:firstLine="426"/>
              <w:rPr>
                <w:rFonts w:ascii="Times New Roman" w:hAnsi="Times New Roman"/>
                <w:color w:val="000000"/>
                <w:sz w:val="20"/>
                <w:szCs w:val="20"/>
                <w:lang w:eastAsia="sk-SK"/>
              </w:rPr>
            </w:pPr>
            <w:r w:rsidRPr="006F6EA3">
              <w:rPr>
                <w:rFonts w:ascii="Times New Roman" w:hAnsi="Times New Roman"/>
                <w:color w:val="000000"/>
                <w:sz w:val="20"/>
                <w:szCs w:val="20"/>
                <w:lang w:eastAsia="sk-SK"/>
              </w:rPr>
              <w:t xml:space="preserve">Mnohostranná agentúra pre investičné záruky </w:t>
            </w:r>
          </w:p>
        </w:tc>
        <w:tc>
          <w:tcPr>
            <w:tcW w:w="906" w:type="pct"/>
            <w:tcBorders>
              <w:top w:val="nil"/>
              <w:left w:val="nil"/>
              <w:bottom w:val="nil"/>
              <w:right w:val="nil"/>
            </w:tcBorders>
            <w:shd w:val="clear" w:color="000000" w:fill="FFFFFF"/>
            <w:textDirection w:val="lrTb"/>
            <w:vAlign w:val="center"/>
          </w:tcPr>
          <w:p w:rsidR="00C70AB9" w:rsidRPr="0072101A" w:rsidP="00A65BBA">
            <w:pPr>
              <w:bidi w:val="0"/>
              <w:spacing w:after="0" w:line="240" w:lineRule="auto"/>
              <w:jc w:val="right"/>
              <w:rPr>
                <w:rFonts w:ascii="Times New Roman" w:hAnsi="Times New Roman"/>
                <w:color w:val="000000"/>
                <w:sz w:val="20"/>
                <w:szCs w:val="20"/>
                <w:lang w:eastAsia="sk-SK"/>
              </w:rPr>
            </w:pPr>
            <w:r w:rsidR="00C61EA6">
              <w:rPr>
                <w:rFonts w:ascii="Times New Roman" w:hAnsi="Times New Roman"/>
                <w:color w:val="000000"/>
                <w:sz w:val="20"/>
                <w:szCs w:val="20"/>
                <w:lang w:eastAsia="sk-SK"/>
              </w:rPr>
              <w:t>714</w:t>
            </w:r>
          </w:p>
        </w:tc>
        <w:tc>
          <w:tcPr>
            <w:tcW w:w="861" w:type="pct"/>
            <w:tcBorders>
              <w:top w:val="nil"/>
              <w:left w:val="nil"/>
              <w:bottom w:val="nil"/>
              <w:right w:val="nil"/>
            </w:tcBorders>
            <w:shd w:val="clear" w:color="000000" w:fill="FFFFFF"/>
            <w:textDirection w:val="lrTb"/>
            <w:vAlign w:val="center"/>
          </w:tcPr>
          <w:p w:rsidR="00C70AB9" w:rsidRPr="0072101A" w:rsidP="00FE3590">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643</w:t>
            </w:r>
          </w:p>
        </w:tc>
      </w:tr>
      <w:tr>
        <w:tblPrEx>
          <w:tblW w:w="4545" w:type="pct"/>
          <w:jc w:val="center"/>
          <w:tblCellMar>
            <w:left w:w="70" w:type="dxa"/>
            <w:right w:w="70" w:type="dxa"/>
          </w:tblCellMar>
          <w:tblLook w:val="00A0"/>
        </w:tblPrEx>
        <w:trPr>
          <w:trHeight w:hRule="exact" w:val="330"/>
          <w:jc w:val="center"/>
        </w:trPr>
        <w:tc>
          <w:tcPr>
            <w:tcW w:w="3233" w:type="pct"/>
            <w:tcBorders>
              <w:top w:val="nil"/>
              <w:left w:val="nil"/>
              <w:bottom w:val="nil"/>
              <w:right w:val="nil"/>
            </w:tcBorders>
            <w:shd w:val="clear" w:color="000000" w:fill="FFFFFF"/>
            <w:textDirection w:val="lrTb"/>
            <w:vAlign w:val="center"/>
          </w:tcPr>
          <w:p w:rsidR="00C70AB9" w:rsidRPr="006F6EA3" w:rsidP="001E3848">
            <w:pPr>
              <w:bidi w:val="0"/>
              <w:spacing w:after="0" w:line="240" w:lineRule="auto"/>
              <w:ind w:firstLine="426"/>
              <w:rPr>
                <w:rFonts w:ascii="Times New Roman" w:hAnsi="Times New Roman"/>
                <w:color w:val="000000"/>
                <w:sz w:val="20"/>
                <w:szCs w:val="20"/>
                <w:lang w:eastAsia="sk-SK"/>
              </w:rPr>
            </w:pPr>
            <w:r w:rsidRPr="006F6EA3">
              <w:rPr>
                <w:rFonts w:ascii="Times New Roman" w:hAnsi="Times New Roman"/>
                <w:color w:val="000000"/>
                <w:sz w:val="20"/>
                <w:szCs w:val="20"/>
                <w:lang w:eastAsia="sk-SK"/>
              </w:rPr>
              <w:t xml:space="preserve">Medzinárodná finančná korporácia </w:t>
            </w:r>
          </w:p>
        </w:tc>
        <w:tc>
          <w:tcPr>
            <w:tcW w:w="906" w:type="pct"/>
            <w:tcBorders>
              <w:top w:val="nil"/>
              <w:left w:val="nil"/>
              <w:bottom w:val="nil"/>
              <w:right w:val="nil"/>
            </w:tcBorders>
            <w:shd w:val="clear" w:color="000000" w:fill="FFFFFF"/>
            <w:textDirection w:val="lrTb"/>
            <w:vAlign w:val="center"/>
          </w:tcPr>
          <w:p w:rsidR="00C70AB9" w:rsidRPr="0072101A" w:rsidP="005B6206">
            <w:pPr>
              <w:bidi w:val="0"/>
              <w:spacing w:after="0" w:line="240" w:lineRule="auto"/>
              <w:jc w:val="right"/>
              <w:rPr>
                <w:rFonts w:ascii="Times New Roman" w:hAnsi="Times New Roman"/>
                <w:color w:val="000000"/>
                <w:sz w:val="20"/>
                <w:szCs w:val="20"/>
                <w:lang w:eastAsia="sk-SK"/>
              </w:rPr>
            </w:pPr>
            <w:r w:rsidR="00C61EA6">
              <w:rPr>
                <w:rFonts w:ascii="Times New Roman" w:hAnsi="Times New Roman"/>
                <w:color w:val="000000"/>
                <w:sz w:val="20"/>
                <w:szCs w:val="20"/>
                <w:lang w:eastAsia="sk-SK"/>
              </w:rPr>
              <w:t>4 094</w:t>
            </w:r>
          </w:p>
        </w:tc>
        <w:tc>
          <w:tcPr>
            <w:tcW w:w="861" w:type="pct"/>
            <w:tcBorders>
              <w:top w:val="nil"/>
              <w:left w:val="nil"/>
              <w:bottom w:val="nil"/>
              <w:right w:val="nil"/>
            </w:tcBorders>
            <w:shd w:val="clear" w:color="000000" w:fill="FFFFFF"/>
            <w:textDirection w:val="lrTb"/>
            <w:vAlign w:val="center"/>
          </w:tcPr>
          <w:p w:rsidR="00C70AB9" w:rsidRPr="0072101A" w:rsidP="00FE3590">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3 671</w:t>
            </w:r>
          </w:p>
        </w:tc>
      </w:tr>
      <w:tr>
        <w:tblPrEx>
          <w:tblW w:w="4545" w:type="pct"/>
          <w:jc w:val="center"/>
          <w:tblCellMar>
            <w:left w:w="70" w:type="dxa"/>
            <w:right w:w="70" w:type="dxa"/>
          </w:tblCellMar>
          <w:tblLook w:val="00A0"/>
        </w:tblPrEx>
        <w:trPr>
          <w:trHeight w:hRule="exact" w:val="330"/>
          <w:jc w:val="center"/>
        </w:trPr>
        <w:tc>
          <w:tcPr>
            <w:tcW w:w="3233" w:type="pct"/>
            <w:tcBorders>
              <w:top w:val="nil"/>
              <w:left w:val="nil"/>
              <w:bottom w:val="nil"/>
              <w:right w:val="nil"/>
            </w:tcBorders>
            <w:shd w:val="clear" w:color="000000" w:fill="FFFFFF"/>
            <w:textDirection w:val="lrTb"/>
            <w:vAlign w:val="center"/>
          </w:tcPr>
          <w:p w:rsidR="00C70AB9" w:rsidRPr="0072101A" w:rsidP="001E3848">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Európska banka pre obnovu a rozvoj </w:t>
            </w:r>
          </w:p>
        </w:tc>
        <w:tc>
          <w:tcPr>
            <w:tcW w:w="906" w:type="pct"/>
            <w:tcBorders>
              <w:top w:val="nil"/>
              <w:left w:val="nil"/>
              <w:bottom w:val="nil"/>
              <w:right w:val="nil"/>
            </w:tcBorders>
            <w:shd w:val="clear" w:color="000000" w:fill="FFFFFF"/>
            <w:textDirection w:val="lrTb"/>
            <w:vAlign w:val="center"/>
          </w:tcPr>
          <w:p w:rsidR="00C70AB9" w:rsidRPr="0072101A" w:rsidP="00A65BBA">
            <w:pPr>
              <w:bidi w:val="0"/>
              <w:spacing w:after="0" w:line="240" w:lineRule="auto"/>
              <w:jc w:val="right"/>
              <w:rPr>
                <w:rFonts w:ascii="Times New Roman" w:hAnsi="Times New Roman"/>
                <w:color w:val="000000"/>
                <w:sz w:val="20"/>
                <w:szCs w:val="20"/>
                <w:lang w:eastAsia="sk-SK"/>
              </w:rPr>
            </w:pPr>
            <w:r w:rsidR="00721AF2">
              <w:rPr>
                <w:rFonts w:ascii="Times New Roman" w:hAnsi="Times New Roman"/>
                <w:color w:val="000000"/>
                <w:sz w:val="20"/>
                <w:szCs w:val="20"/>
                <w:lang w:eastAsia="sk-SK"/>
              </w:rPr>
              <w:t>27 632</w:t>
            </w:r>
          </w:p>
        </w:tc>
        <w:tc>
          <w:tcPr>
            <w:tcW w:w="861" w:type="pct"/>
            <w:tcBorders>
              <w:top w:val="nil"/>
              <w:left w:val="nil"/>
              <w:bottom w:val="nil"/>
              <w:right w:val="nil"/>
            </w:tcBorders>
            <w:shd w:val="clear" w:color="000000" w:fill="FFFFFF"/>
            <w:textDirection w:val="lrTb"/>
            <w:vAlign w:val="center"/>
          </w:tcPr>
          <w:p w:rsidR="00C70AB9" w:rsidRPr="0072101A" w:rsidP="00FE3590">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26 215</w:t>
            </w:r>
          </w:p>
        </w:tc>
      </w:tr>
      <w:tr>
        <w:tblPrEx>
          <w:tblW w:w="4545" w:type="pct"/>
          <w:jc w:val="center"/>
          <w:tblCellMar>
            <w:left w:w="70" w:type="dxa"/>
            <w:right w:w="70" w:type="dxa"/>
          </w:tblCellMar>
          <w:tblLook w:val="00A0"/>
        </w:tblPrEx>
        <w:trPr>
          <w:trHeight w:hRule="exact" w:val="330"/>
          <w:jc w:val="center"/>
        </w:trPr>
        <w:tc>
          <w:tcPr>
            <w:tcW w:w="3233" w:type="pct"/>
            <w:tcBorders>
              <w:top w:val="nil"/>
              <w:left w:val="nil"/>
              <w:bottom w:val="nil"/>
              <w:right w:val="nil"/>
            </w:tcBorders>
            <w:shd w:val="clear" w:color="000000" w:fill="FFFFFF"/>
            <w:textDirection w:val="lrTb"/>
            <w:vAlign w:val="center"/>
          </w:tcPr>
          <w:p w:rsidR="00C70AB9" w:rsidRPr="0072101A" w:rsidP="00A65BBA">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Medzinárodná investičná banka </w:t>
            </w:r>
          </w:p>
        </w:tc>
        <w:tc>
          <w:tcPr>
            <w:tcW w:w="906" w:type="pct"/>
            <w:tcBorders>
              <w:top w:val="nil"/>
              <w:left w:val="nil"/>
              <w:bottom w:val="nil"/>
              <w:right w:val="nil"/>
            </w:tcBorders>
            <w:shd w:val="clear" w:color="000000" w:fill="FFFFFF"/>
            <w:textDirection w:val="lrTb"/>
            <w:vAlign w:val="center"/>
          </w:tcPr>
          <w:p w:rsidR="00C70AB9" w:rsidRPr="0072101A" w:rsidP="00A65BBA">
            <w:pPr>
              <w:bidi w:val="0"/>
              <w:spacing w:after="0" w:line="240" w:lineRule="auto"/>
              <w:jc w:val="right"/>
              <w:rPr>
                <w:rFonts w:ascii="Times New Roman" w:hAnsi="Times New Roman"/>
                <w:color w:val="000000"/>
                <w:sz w:val="20"/>
                <w:szCs w:val="20"/>
                <w:lang w:eastAsia="sk-SK"/>
              </w:rPr>
            </w:pPr>
            <w:r w:rsidR="00721AF2">
              <w:rPr>
                <w:rFonts w:ascii="Times New Roman" w:hAnsi="Times New Roman"/>
                <w:color w:val="000000"/>
                <w:sz w:val="20"/>
                <w:szCs w:val="20"/>
                <w:lang w:eastAsia="sk-SK"/>
              </w:rPr>
              <w:t>21 481</w:t>
            </w:r>
          </w:p>
        </w:tc>
        <w:tc>
          <w:tcPr>
            <w:tcW w:w="861" w:type="pct"/>
            <w:tcBorders>
              <w:top w:val="nil"/>
              <w:left w:val="nil"/>
              <w:bottom w:val="nil"/>
              <w:right w:val="nil"/>
            </w:tcBorders>
            <w:shd w:val="clear" w:color="000000" w:fill="FFFFFF"/>
            <w:textDirection w:val="lrTb"/>
            <w:vAlign w:val="center"/>
          </w:tcPr>
          <w:p w:rsidR="00C70AB9" w:rsidRPr="0072101A" w:rsidP="00FE3590">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21 481</w:t>
            </w:r>
          </w:p>
        </w:tc>
      </w:tr>
      <w:tr>
        <w:tblPrEx>
          <w:tblW w:w="4545" w:type="pct"/>
          <w:jc w:val="center"/>
          <w:tblCellMar>
            <w:left w:w="70" w:type="dxa"/>
            <w:right w:w="70" w:type="dxa"/>
          </w:tblCellMar>
          <w:tblLook w:val="00A0"/>
        </w:tblPrEx>
        <w:trPr>
          <w:trHeight w:hRule="exact" w:val="330"/>
          <w:jc w:val="center"/>
        </w:trPr>
        <w:tc>
          <w:tcPr>
            <w:tcW w:w="3233" w:type="pct"/>
            <w:tcBorders>
              <w:top w:val="nil"/>
              <w:left w:val="nil"/>
              <w:bottom w:val="nil"/>
              <w:right w:val="nil"/>
            </w:tcBorders>
            <w:shd w:val="clear" w:color="000000" w:fill="FFFFFF"/>
            <w:textDirection w:val="lrTb"/>
            <w:vAlign w:val="center"/>
          </w:tcPr>
          <w:p w:rsidR="00C70AB9" w:rsidRPr="0072101A" w:rsidP="000058DB">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Medzinárodná banka pre hospodársku spoluprácu</w:t>
            </w:r>
          </w:p>
        </w:tc>
        <w:tc>
          <w:tcPr>
            <w:tcW w:w="906" w:type="pct"/>
            <w:tcBorders>
              <w:top w:val="nil"/>
              <w:left w:val="nil"/>
              <w:bottom w:val="nil"/>
              <w:right w:val="nil"/>
            </w:tcBorders>
            <w:shd w:val="clear" w:color="000000" w:fill="FFFFFF"/>
            <w:textDirection w:val="lrTb"/>
            <w:vAlign w:val="center"/>
          </w:tcPr>
          <w:p w:rsidR="00C70AB9" w:rsidRPr="0072101A" w:rsidP="000058DB">
            <w:pPr>
              <w:bidi w:val="0"/>
              <w:spacing w:after="0" w:line="240" w:lineRule="auto"/>
              <w:jc w:val="right"/>
              <w:rPr>
                <w:rFonts w:ascii="Times New Roman" w:hAnsi="Times New Roman"/>
                <w:color w:val="000000"/>
                <w:sz w:val="20"/>
                <w:szCs w:val="20"/>
                <w:lang w:eastAsia="sk-SK"/>
              </w:rPr>
            </w:pPr>
            <w:r w:rsidR="00721AF2">
              <w:rPr>
                <w:rFonts w:ascii="Times New Roman" w:hAnsi="Times New Roman"/>
                <w:color w:val="000000"/>
                <w:sz w:val="20"/>
                <w:szCs w:val="20"/>
                <w:lang w:eastAsia="sk-SK"/>
              </w:rPr>
              <w:t>12 473</w:t>
            </w:r>
          </w:p>
        </w:tc>
        <w:tc>
          <w:tcPr>
            <w:tcW w:w="861" w:type="pct"/>
            <w:tcBorders>
              <w:top w:val="nil"/>
              <w:left w:val="nil"/>
              <w:bottom w:val="nil"/>
              <w:right w:val="nil"/>
            </w:tcBorders>
            <w:shd w:val="clear" w:color="000000" w:fill="FFFFFF"/>
            <w:textDirection w:val="lrTb"/>
            <w:vAlign w:val="center"/>
          </w:tcPr>
          <w:p w:rsidR="00C70AB9" w:rsidRPr="0072101A" w:rsidP="00FE3590">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12 473</w:t>
            </w:r>
          </w:p>
        </w:tc>
      </w:tr>
      <w:tr>
        <w:tblPrEx>
          <w:tblW w:w="4545" w:type="pct"/>
          <w:jc w:val="center"/>
          <w:tblCellMar>
            <w:left w:w="70" w:type="dxa"/>
            <w:right w:w="70" w:type="dxa"/>
          </w:tblCellMar>
          <w:tblLook w:val="00A0"/>
        </w:tblPrEx>
        <w:trPr>
          <w:trHeight w:hRule="exact" w:val="330"/>
          <w:jc w:val="center"/>
        </w:trPr>
        <w:tc>
          <w:tcPr>
            <w:tcW w:w="3233" w:type="pct"/>
            <w:tcBorders>
              <w:top w:val="nil"/>
              <w:left w:val="nil"/>
              <w:bottom w:val="nil"/>
              <w:right w:val="nil"/>
            </w:tcBorders>
            <w:shd w:val="clear" w:color="000000" w:fill="FFFFFF"/>
            <w:textDirection w:val="lrTb"/>
            <w:vAlign w:val="center"/>
          </w:tcPr>
          <w:p w:rsidR="00C70AB9" w:rsidRPr="0072101A" w:rsidP="000058DB">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Rozvojová banka Rady Európy</w:t>
            </w:r>
          </w:p>
        </w:tc>
        <w:tc>
          <w:tcPr>
            <w:tcW w:w="906" w:type="pct"/>
            <w:tcBorders>
              <w:top w:val="nil"/>
              <w:left w:val="nil"/>
              <w:bottom w:val="nil"/>
              <w:right w:val="nil"/>
            </w:tcBorders>
            <w:shd w:val="clear" w:color="000000" w:fill="FFFFFF"/>
            <w:textDirection w:val="lrTb"/>
            <w:vAlign w:val="center"/>
          </w:tcPr>
          <w:p w:rsidR="00C70AB9" w:rsidRPr="0072101A" w:rsidP="000058DB">
            <w:pPr>
              <w:bidi w:val="0"/>
              <w:spacing w:after="0" w:line="240" w:lineRule="auto"/>
              <w:jc w:val="right"/>
              <w:rPr>
                <w:rFonts w:ascii="Times New Roman" w:hAnsi="Times New Roman"/>
                <w:color w:val="000000"/>
                <w:sz w:val="20"/>
                <w:szCs w:val="20"/>
                <w:lang w:eastAsia="sk-SK"/>
              </w:rPr>
            </w:pPr>
            <w:r w:rsidR="00721AF2">
              <w:rPr>
                <w:rFonts w:ascii="Times New Roman" w:hAnsi="Times New Roman"/>
                <w:color w:val="000000"/>
                <w:sz w:val="20"/>
                <w:szCs w:val="20"/>
                <w:lang w:eastAsia="sk-SK"/>
              </w:rPr>
              <w:t>2 397</w:t>
            </w:r>
          </w:p>
        </w:tc>
        <w:tc>
          <w:tcPr>
            <w:tcW w:w="861" w:type="pct"/>
            <w:tcBorders>
              <w:top w:val="nil"/>
              <w:left w:val="nil"/>
              <w:bottom w:val="nil"/>
              <w:right w:val="nil"/>
            </w:tcBorders>
            <w:shd w:val="clear" w:color="000000" w:fill="FFFFFF"/>
            <w:textDirection w:val="lrTb"/>
            <w:vAlign w:val="center"/>
          </w:tcPr>
          <w:p w:rsidR="00C70AB9" w:rsidRPr="0072101A" w:rsidP="00FE3590">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2 397</w:t>
            </w:r>
          </w:p>
        </w:tc>
      </w:tr>
      <w:tr>
        <w:tblPrEx>
          <w:tblW w:w="4545" w:type="pct"/>
          <w:jc w:val="center"/>
          <w:tblCellMar>
            <w:left w:w="70" w:type="dxa"/>
            <w:right w:w="70" w:type="dxa"/>
          </w:tblCellMar>
          <w:tblLook w:val="00A0"/>
        </w:tblPrEx>
        <w:trPr>
          <w:trHeight w:hRule="exact" w:val="330"/>
          <w:jc w:val="center"/>
        </w:trPr>
        <w:tc>
          <w:tcPr>
            <w:tcW w:w="3233" w:type="pct"/>
            <w:tcBorders>
              <w:top w:val="nil"/>
              <w:left w:val="nil"/>
              <w:bottom w:val="nil"/>
              <w:right w:val="nil"/>
            </w:tcBorders>
            <w:shd w:val="clear" w:color="000000" w:fill="FFFFFF"/>
            <w:textDirection w:val="lrTb"/>
            <w:vAlign w:val="center"/>
          </w:tcPr>
          <w:p w:rsidR="00C70AB9" w:rsidRPr="0072101A" w:rsidP="0033193D">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Európsky finančný stabilizačný nástroj (EFSF)</w:t>
            </w:r>
          </w:p>
        </w:tc>
        <w:tc>
          <w:tcPr>
            <w:tcW w:w="906" w:type="pct"/>
            <w:tcBorders>
              <w:top w:val="nil"/>
              <w:left w:val="nil"/>
              <w:bottom w:val="nil"/>
              <w:right w:val="nil"/>
            </w:tcBorders>
            <w:shd w:val="clear" w:color="000000" w:fill="FFFFFF"/>
            <w:textDirection w:val="lrTb"/>
            <w:vAlign w:val="center"/>
          </w:tcPr>
          <w:p w:rsidR="00C70AB9" w:rsidRPr="0072101A" w:rsidP="000058DB">
            <w:pPr>
              <w:bidi w:val="0"/>
              <w:spacing w:after="0" w:line="240" w:lineRule="auto"/>
              <w:jc w:val="right"/>
              <w:rPr>
                <w:rFonts w:ascii="Times New Roman" w:hAnsi="Times New Roman"/>
                <w:color w:val="000000"/>
                <w:sz w:val="20"/>
                <w:szCs w:val="20"/>
                <w:lang w:eastAsia="sk-SK"/>
              </w:rPr>
            </w:pPr>
            <w:r w:rsidR="00721AF2">
              <w:rPr>
                <w:rFonts w:ascii="Times New Roman" w:hAnsi="Times New Roman"/>
                <w:color w:val="000000"/>
                <w:sz w:val="20"/>
                <w:szCs w:val="20"/>
                <w:lang w:eastAsia="sk-SK"/>
              </w:rPr>
              <w:t>282</w:t>
            </w:r>
          </w:p>
        </w:tc>
        <w:tc>
          <w:tcPr>
            <w:tcW w:w="861" w:type="pct"/>
            <w:tcBorders>
              <w:top w:val="nil"/>
              <w:left w:val="nil"/>
              <w:bottom w:val="nil"/>
              <w:right w:val="nil"/>
            </w:tcBorders>
            <w:shd w:val="clear" w:color="000000" w:fill="FFFFFF"/>
            <w:textDirection w:val="lrTb"/>
            <w:vAlign w:val="center"/>
          </w:tcPr>
          <w:p w:rsidR="00C70AB9" w:rsidRPr="0072101A" w:rsidP="00FE3590">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282</w:t>
            </w:r>
          </w:p>
        </w:tc>
      </w:tr>
      <w:tr>
        <w:tblPrEx>
          <w:tblW w:w="4545" w:type="pct"/>
          <w:jc w:val="center"/>
          <w:tblCellMar>
            <w:left w:w="70" w:type="dxa"/>
            <w:right w:w="70" w:type="dxa"/>
          </w:tblCellMar>
          <w:tblLook w:val="00A0"/>
        </w:tblPrEx>
        <w:trPr>
          <w:trHeight w:hRule="exact" w:val="330"/>
          <w:jc w:val="center"/>
        </w:trPr>
        <w:tc>
          <w:tcPr>
            <w:tcW w:w="3233" w:type="pct"/>
            <w:tcBorders>
              <w:top w:val="nil"/>
              <w:left w:val="nil"/>
              <w:bottom w:val="single" w:sz="4" w:space="0" w:color="000000"/>
              <w:right w:val="nil"/>
            </w:tcBorders>
            <w:shd w:val="clear" w:color="000000" w:fill="FFFFFF"/>
            <w:textDirection w:val="lrTb"/>
            <w:vAlign w:val="center"/>
          </w:tcPr>
          <w:p w:rsidR="00C70AB9" w:rsidRPr="0072101A" w:rsidP="000058DB">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Spolu</w:t>
            </w:r>
          </w:p>
        </w:tc>
        <w:tc>
          <w:tcPr>
            <w:tcW w:w="906" w:type="pct"/>
            <w:tcBorders>
              <w:top w:val="nil"/>
              <w:left w:val="nil"/>
              <w:bottom w:val="single" w:sz="4" w:space="0" w:color="000000"/>
              <w:right w:val="nil"/>
            </w:tcBorders>
            <w:shd w:val="clear" w:color="000000" w:fill="FFFFFF"/>
            <w:textDirection w:val="lrTb"/>
            <w:vAlign w:val="center"/>
          </w:tcPr>
          <w:p w:rsidR="00C70AB9" w:rsidRPr="0072101A" w:rsidP="00AF30BC">
            <w:pPr>
              <w:bidi w:val="0"/>
              <w:spacing w:after="0" w:line="240" w:lineRule="auto"/>
              <w:jc w:val="right"/>
              <w:rPr>
                <w:rFonts w:ascii="Times New Roman" w:hAnsi="Times New Roman"/>
                <w:b/>
                <w:bCs/>
                <w:color w:val="000000"/>
                <w:sz w:val="20"/>
                <w:szCs w:val="20"/>
                <w:lang w:eastAsia="sk-SK"/>
              </w:rPr>
            </w:pPr>
            <w:r w:rsidR="00721AF2">
              <w:rPr>
                <w:rFonts w:ascii="Times New Roman" w:hAnsi="Times New Roman"/>
                <w:b/>
                <w:bCs/>
                <w:color w:val="000000"/>
                <w:sz w:val="20"/>
                <w:szCs w:val="20"/>
                <w:lang w:eastAsia="sk-SK"/>
              </w:rPr>
              <w:t xml:space="preserve">889 </w:t>
            </w:r>
            <w:r w:rsidR="00AF30BC">
              <w:rPr>
                <w:rFonts w:ascii="Times New Roman" w:hAnsi="Times New Roman"/>
                <w:b/>
                <w:bCs/>
                <w:color w:val="000000"/>
                <w:sz w:val="20"/>
                <w:szCs w:val="20"/>
                <w:lang w:eastAsia="sk-SK"/>
              </w:rPr>
              <w:t>390</w:t>
            </w:r>
          </w:p>
        </w:tc>
        <w:tc>
          <w:tcPr>
            <w:tcW w:w="861" w:type="pct"/>
            <w:tcBorders>
              <w:top w:val="nil"/>
              <w:left w:val="nil"/>
              <w:bottom w:val="single" w:sz="4" w:space="0" w:color="000000"/>
              <w:right w:val="nil"/>
            </w:tcBorders>
            <w:shd w:val="clear" w:color="000000" w:fill="FFFFFF"/>
            <w:textDirection w:val="lrTb"/>
            <w:vAlign w:val="center"/>
          </w:tcPr>
          <w:p w:rsidR="00C70AB9" w:rsidRPr="0072101A" w:rsidP="00FE3590">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868 011</w:t>
            </w:r>
          </w:p>
        </w:tc>
      </w:tr>
    </w:tbl>
    <w:p w:rsidR="00D44317" w:rsidRPr="0072101A" w:rsidP="00D44317">
      <w:pPr>
        <w:pStyle w:val="Pismenka"/>
        <w:tabs>
          <w:tab w:val="clear" w:pos="426"/>
        </w:tabs>
        <w:bidi w:val="0"/>
        <w:spacing w:before="180" w:after="120" w:line="336" w:lineRule="auto"/>
        <w:ind w:left="0" w:firstLine="0"/>
        <w:rPr>
          <w:rFonts w:ascii="Times New Roman" w:hAnsi="Times New Roman"/>
          <w:b w:val="0"/>
          <w:sz w:val="22"/>
          <w:szCs w:val="22"/>
        </w:rPr>
      </w:pPr>
      <w:r w:rsidRPr="0072101A">
        <w:rPr>
          <w:rFonts w:ascii="Times New Roman" w:hAnsi="Times New Roman"/>
          <w:b w:val="0"/>
          <w:bCs w:val="0"/>
          <w:sz w:val="22"/>
          <w:szCs w:val="22"/>
        </w:rPr>
        <w:t>Medziročne došlo k zvýšeniu hodnoty vkladov</w:t>
      </w:r>
      <w:r w:rsidRPr="0072101A" w:rsidR="006F5B88">
        <w:rPr>
          <w:rFonts w:ascii="Times New Roman" w:hAnsi="Times New Roman"/>
          <w:b w:val="0"/>
          <w:bCs w:val="0"/>
          <w:sz w:val="22"/>
          <w:szCs w:val="22"/>
        </w:rPr>
        <w:t xml:space="preserve"> Slovenskej republiky v medzinárodných finančných inštitúciách, ktoré sú v správe Ministerstva financií</w:t>
      </w:r>
      <w:r w:rsidRPr="0072101A">
        <w:rPr>
          <w:rFonts w:ascii="Times New Roman" w:hAnsi="Times New Roman"/>
          <w:b w:val="0"/>
          <w:bCs w:val="0"/>
          <w:sz w:val="22"/>
          <w:szCs w:val="22"/>
        </w:rPr>
        <w:t xml:space="preserve"> </w:t>
      </w:r>
      <w:r w:rsidRPr="0072101A" w:rsidR="0083378A">
        <w:rPr>
          <w:rFonts w:ascii="Times New Roman" w:hAnsi="Times New Roman"/>
          <w:b w:val="0"/>
          <w:bCs w:val="0"/>
          <w:sz w:val="22"/>
          <w:szCs w:val="22"/>
        </w:rPr>
        <w:t xml:space="preserve">SR </w:t>
      </w:r>
      <w:r w:rsidRPr="0072101A">
        <w:rPr>
          <w:rFonts w:ascii="Times New Roman" w:hAnsi="Times New Roman"/>
          <w:b w:val="0"/>
          <w:bCs w:val="0"/>
          <w:sz w:val="22"/>
          <w:szCs w:val="22"/>
        </w:rPr>
        <w:t>o</w:t>
      </w:r>
      <w:r w:rsidR="001A2814">
        <w:rPr>
          <w:rFonts w:ascii="Times New Roman" w:hAnsi="Times New Roman"/>
          <w:b w:val="0"/>
          <w:bCs w:val="0"/>
          <w:sz w:val="22"/>
          <w:szCs w:val="22"/>
        </w:rPr>
        <w:t> 21 413</w:t>
      </w:r>
      <w:r w:rsidR="002D15AE">
        <w:rPr>
          <w:rFonts w:ascii="Times New Roman" w:hAnsi="Times New Roman"/>
          <w:b w:val="0"/>
          <w:bCs w:val="0"/>
          <w:sz w:val="22"/>
          <w:szCs w:val="22"/>
        </w:rPr>
        <w:t xml:space="preserve"> </w:t>
      </w:r>
      <w:r w:rsidRPr="0072101A" w:rsidR="004C47E0">
        <w:rPr>
          <w:rFonts w:ascii="Times New Roman" w:hAnsi="Times New Roman"/>
          <w:b w:val="0"/>
          <w:bCs w:val="0"/>
          <w:sz w:val="22"/>
          <w:szCs w:val="22"/>
        </w:rPr>
        <w:t>tis.</w:t>
      </w:r>
      <w:r w:rsidRPr="0072101A">
        <w:rPr>
          <w:rFonts w:ascii="Times New Roman" w:hAnsi="Times New Roman"/>
          <w:b w:val="0"/>
          <w:bCs w:val="0"/>
          <w:sz w:val="22"/>
          <w:szCs w:val="22"/>
        </w:rPr>
        <w:t xml:space="preserve"> eur. </w:t>
      </w:r>
      <w:r w:rsidRPr="0072101A" w:rsidR="001E3848">
        <w:rPr>
          <w:rFonts w:ascii="Times New Roman" w:hAnsi="Times New Roman"/>
          <w:b w:val="0"/>
          <w:bCs w:val="0"/>
          <w:sz w:val="22"/>
          <w:szCs w:val="22"/>
        </w:rPr>
        <w:t xml:space="preserve">Na základe emisného plánu </w:t>
      </w:r>
      <w:r w:rsidRPr="0072101A">
        <w:rPr>
          <w:rFonts w:ascii="Times New Roman" w:hAnsi="Times New Roman"/>
          <w:b w:val="0"/>
          <w:sz w:val="22"/>
          <w:szCs w:val="22"/>
          <w:u w:val="single"/>
        </w:rPr>
        <w:t>E</w:t>
      </w:r>
      <w:r w:rsidRPr="0072101A" w:rsidR="004C47E0">
        <w:rPr>
          <w:rFonts w:ascii="Times New Roman" w:hAnsi="Times New Roman"/>
          <w:b w:val="0"/>
          <w:sz w:val="22"/>
          <w:szCs w:val="22"/>
          <w:u w:val="single"/>
        </w:rPr>
        <w:t>urópskej investičnej banky</w:t>
      </w:r>
      <w:r w:rsidRPr="0072101A">
        <w:rPr>
          <w:rFonts w:ascii="Times New Roman" w:hAnsi="Times New Roman"/>
          <w:b w:val="0"/>
          <w:sz w:val="22"/>
          <w:szCs w:val="22"/>
        </w:rPr>
        <w:t xml:space="preserve"> </w:t>
      </w:r>
      <w:r w:rsidRPr="0072101A" w:rsidR="001E3848">
        <w:rPr>
          <w:rFonts w:ascii="Times New Roman" w:hAnsi="Times New Roman"/>
          <w:b w:val="0"/>
          <w:sz w:val="22"/>
          <w:szCs w:val="22"/>
        </w:rPr>
        <w:t xml:space="preserve">a upísaného podielu SR v minulom účtovnom období v hodnote </w:t>
      </w:r>
      <w:r w:rsidRPr="0072101A" w:rsidR="004A28BF">
        <w:rPr>
          <w:rFonts w:ascii="Times New Roman" w:hAnsi="Times New Roman"/>
          <w:b w:val="0"/>
          <w:sz w:val="22"/>
          <w:szCs w:val="22"/>
        </w:rPr>
        <w:t>1</w:t>
      </w:r>
      <w:r w:rsidR="001A2814">
        <w:rPr>
          <w:rFonts w:ascii="Times New Roman" w:hAnsi="Times New Roman"/>
          <w:b w:val="0"/>
          <w:sz w:val="22"/>
          <w:szCs w:val="22"/>
        </w:rPr>
        <w:t>2</w:t>
      </w:r>
      <w:r w:rsidR="00564E85">
        <w:rPr>
          <w:rFonts w:ascii="Times New Roman" w:hAnsi="Times New Roman"/>
          <w:b w:val="0"/>
          <w:sz w:val="22"/>
          <w:szCs w:val="22"/>
        </w:rPr>
        <w:t> </w:t>
      </w:r>
      <w:r w:rsidR="001A2814">
        <w:rPr>
          <w:rFonts w:ascii="Times New Roman" w:hAnsi="Times New Roman"/>
          <w:b w:val="0"/>
          <w:sz w:val="22"/>
          <w:szCs w:val="22"/>
        </w:rPr>
        <w:t>999</w:t>
      </w:r>
      <w:r w:rsidR="00564E85">
        <w:rPr>
          <w:rFonts w:ascii="Times New Roman" w:hAnsi="Times New Roman"/>
          <w:b w:val="0"/>
          <w:sz w:val="22"/>
          <w:szCs w:val="22"/>
        </w:rPr>
        <w:t> </w:t>
      </w:r>
      <w:r w:rsidRPr="0072101A" w:rsidR="001E3848">
        <w:rPr>
          <w:rFonts w:ascii="Times New Roman" w:hAnsi="Times New Roman"/>
          <w:b w:val="0"/>
          <w:sz w:val="22"/>
          <w:szCs w:val="22"/>
        </w:rPr>
        <w:t>tis. eur, došlo v roku 201</w:t>
      </w:r>
      <w:r w:rsidRPr="0072101A" w:rsidR="004A28BF">
        <w:rPr>
          <w:rFonts w:ascii="Times New Roman" w:hAnsi="Times New Roman"/>
          <w:b w:val="0"/>
          <w:sz w:val="22"/>
          <w:szCs w:val="22"/>
        </w:rPr>
        <w:t>4</w:t>
      </w:r>
      <w:r w:rsidRPr="0072101A" w:rsidR="001E3848">
        <w:rPr>
          <w:rFonts w:ascii="Times New Roman" w:hAnsi="Times New Roman"/>
          <w:b w:val="0"/>
          <w:sz w:val="22"/>
          <w:szCs w:val="22"/>
        </w:rPr>
        <w:t xml:space="preserve"> k</w:t>
      </w:r>
      <w:r w:rsidRPr="0072101A" w:rsidR="008B5F99">
        <w:rPr>
          <w:rFonts w:ascii="Times New Roman" w:hAnsi="Times New Roman"/>
          <w:b w:val="0"/>
          <w:sz w:val="22"/>
          <w:szCs w:val="22"/>
        </w:rPr>
        <w:t> </w:t>
      </w:r>
      <w:r w:rsidRPr="0072101A" w:rsidR="001E3848">
        <w:rPr>
          <w:rFonts w:ascii="Times New Roman" w:hAnsi="Times New Roman"/>
          <w:b w:val="0"/>
          <w:sz w:val="22"/>
          <w:szCs w:val="22"/>
        </w:rPr>
        <w:t xml:space="preserve">splateniu </w:t>
      </w:r>
      <w:r w:rsidRPr="0072101A" w:rsidR="009E0DB1">
        <w:rPr>
          <w:rFonts w:ascii="Times New Roman" w:hAnsi="Times New Roman"/>
          <w:b w:val="0"/>
          <w:sz w:val="22"/>
          <w:szCs w:val="22"/>
        </w:rPr>
        <w:t>upísaného podielu v</w:t>
      </w:r>
      <w:r w:rsidR="00943BE0">
        <w:rPr>
          <w:rFonts w:ascii="Times New Roman" w:hAnsi="Times New Roman"/>
          <w:b w:val="0"/>
          <w:sz w:val="22"/>
          <w:szCs w:val="22"/>
        </w:rPr>
        <w:t> </w:t>
      </w:r>
      <w:r w:rsidRPr="0072101A" w:rsidR="009E0DB1">
        <w:rPr>
          <w:rFonts w:ascii="Times New Roman" w:hAnsi="Times New Roman"/>
          <w:b w:val="0"/>
          <w:sz w:val="22"/>
          <w:szCs w:val="22"/>
        </w:rPr>
        <w:t>objeme</w:t>
      </w:r>
      <w:r w:rsidR="00943BE0">
        <w:rPr>
          <w:rFonts w:ascii="Times New Roman" w:hAnsi="Times New Roman"/>
          <w:b w:val="0"/>
          <w:sz w:val="22"/>
          <w:szCs w:val="22"/>
        </w:rPr>
        <w:t xml:space="preserve"> </w:t>
      </w:r>
      <w:r w:rsidRPr="0072101A" w:rsidR="004A28BF">
        <w:rPr>
          <w:rFonts w:ascii="Times New Roman" w:hAnsi="Times New Roman"/>
          <w:b w:val="0"/>
          <w:sz w:val="22"/>
          <w:szCs w:val="22"/>
        </w:rPr>
        <w:t>6 500</w:t>
      </w:r>
      <w:r w:rsidRPr="0072101A" w:rsidR="00B41D7B">
        <w:rPr>
          <w:rFonts w:ascii="Times New Roman" w:hAnsi="Times New Roman"/>
          <w:b w:val="0"/>
          <w:sz w:val="22"/>
          <w:szCs w:val="22"/>
        </w:rPr>
        <w:t xml:space="preserve"> </w:t>
      </w:r>
      <w:r w:rsidR="001A2814">
        <w:rPr>
          <w:rFonts w:ascii="Times New Roman" w:hAnsi="Times New Roman"/>
          <w:b w:val="0"/>
          <w:sz w:val="22"/>
          <w:szCs w:val="22"/>
        </w:rPr>
        <w:t>tis. eur a v roku 2015 v objeme 6 499 tis. eur.</w:t>
      </w:r>
      <w:r w:rsidR="00AF30BC">
        <w:rPr>
          <w:rFonts w:ascii="Times New Roman" w:hAnsi="Times New Roman"/>
          <w:b w:val="0"/>
          <w:sz w:val="22"/>
          <w:szCs w:val="22"/>
        </w:rPr>
        <w:t xml:space="preserve"> </w:t>
      </w:r>
      <w:r w:rsidR="003A6646">
        <w:rPr>
          <w:rFonts w:ascii="Times New Roman" w:hAnsi="Times New Roman"/>
          <w:b w:val="0"/>
          <w:sz w:val="22"/>
          <w:szCs w:val="22"/>
          <w:u w:val="single"/>
        </w:rPr>
        <w:t>Vklady v ostatných inštitúciách</w:t>
      </w:r>
      <w:r w:rsidRPr="0072101A" w:rsidR="00391B59">
        <w:rPr>
          <w:rFonts w:ascii="Times New Roman" w:hAnsi="Times New Roman"/>
          <w:b w:val="0"/>
          <w:sz w:val="22"/>
          <w:szCs w:val="22"/>
        </w:rPr>
        <w:t xml:space="preserve"> sa </w:t>
      </w:r>
      <w:r w:rsidR="003A6646">
        <w:rPr>
          <w:rFonts w:ascii="Times New Roman" w:hAnsi="Times New Roman"/>
          <w:b w:val="0"/>
          <w:sz w:val="22"/>
          <w:szCs w:val="22"/>
        </w:rPr>
        <w:t>zvýšili</w:t>
      </w:r>
      <w:r w:rsidRPr="0072101A" w:rsidR="00391B59">
        <w:rPr>
          <w:rFonts w:ascii="Times New Roman" w:hAnsi="Times New Roman"/>
          <w:b w:val="0"/>
          <w:sz w:val="22"/>
          <w:szCs w:val="22"/>
        </w:rPr>
        <w:t xml:space="preserve"> z dôvodu precenenia dolárovej časti</w:t>
      </w:r>
      <w:r w:rsidR="00BE5487">
        <w:rPr>
          <w:rFonts w:ascii="Times New Roman" w:hAnsi="Times New Roman"/>
          <w:b w:val="0"/>
          <w:sz w:val="22"/>
          <w:szCs w:val="22"/>
        </w:rPr>
        <w:t xml:space="preserve"> podielov</w:t>
      </w:r>
      <w:r w:rsidRPr="0072101A" w:rsidR="00391B59">
        <w:rPr>
          <w:rFonts w:ascii="Times New Roman" w:hAnsi="Times New Roman"/>
          <w:b w:val="0"/>
          <w:sz w:val="22"/>
          <w:szCs w:val="22"/>
        </w:rPr>
        <w:t xml:space="preserve">. </w:t>
      </w:r>
    </w:p>
    <w:p w:rsidR="002D6290" w:rsidRPr="0072101A" w:rsidP="00E05D97">
      <w:pPr>
        <w:bidi w:val="0"/>
        <w:spacing w:before="240" w:after="120" w:line="336" w:lineRule="auto"/>
        <w:jc w:val="both"/>
        <w:rPr>
          <w:rFonts w:ascii="Times New Roman" w:hAnsi="Times New Roman"/>
          <w:i/>
          <w:szCs w:val="22"/>
          <w:u w:val="single"/>
          <w:lang w:eastAsia="sk-SK"/>
        </w:rPr>
      </w:pPr>
      <w:r w:rsidRPr="0072101A">
        <w:rPr>
          <w:rFonts w:ascii="Times New Roman" w:hAnsi="Times New Roman"/>
          <w:i/>
          <w:szCs w:val="22"/>
          <w:u w:val="single"/>
          <w:lang w:eastAsia="sk-SK"/>
        </w:rPr>
        <w:t>Obstaranie dlhodobého finančného majetku</w:t>
      </w:r>
    </w:p>
    <w:p w:rsidR="00A35CAC" w:rsidRPr="0072101A" w:rsidP="00E9050A">
      <w:pPr>
        <w:bidi w:val="0"/>
        <w:spacing w:after="120" w:line="336" w:lineRule="auto"/>
        <w:jc w:val="both"/>
        <w:rPr>
          <w:rFonts w:ascii="Times New Roman" w:hAnsi="Times New Roman"/>
          <w:szCs w:val="22"/>
          <w:lang w:eastAsia="sk-SK"/>
        </w:rPr>
      </w:pPr>
      <w:r w:rsidRPr="0072101A" w:rsidR="002D6290">
        <w:rPr>
          <w:rFonts w:ascii="Times New Roman" w:hAnsi="Times New Roman"/>
          <w:szCs w:val="22"/>
          <w:lang w:eastAsia="sk-SK"/>
        </w:rPr>
        <w:t>Hodnota novo obstarávaného finančného majetku</w:t>
      </w:r>
      <w:r w:rsidRPr="0072101A" w:rsidR="000251E7">
        <w:rPr>
          <w:rFonts w:ascii="Times New Roman" w:hAnsi="Times New Roman"/>
          <w:szCs w:val="22"/>
          <w:lang w:eastAsia="sk-SK"/>
        </w:rPr>
        <w:t xml:space="preserve"> </w:t>
      </w:r>
      <w:r w:rsidRPr="0072101A" w:rsidR="002D6290">
        <w:rPr>
          <w:rFonts w:ascii="Times New Roman" w:hAnsi="Times New Roman"/>
          <w:szCs w:val="22"/>
          <w:lang w:eastAsia="sk-SK"/>
        </w:rPr>
        <w:t>k 31.12.201</w:t>
      </w:r>
      <w:r w:rsidR="00771686">
        <w:rPr>
          <w:rFonts w:ascii="Times New Roman" w:hAnsi="Times New Roman"/>
          <w:szCs w:val="22"/>
          <w:lang w:eastAsia="sk-SK"/>
        </w:rPr>
        <w:t>5</w:t>
      </w:r>
      <w:r w:rsidRPr="0072101A" w:rsidR="000251E7">
        <w:rPr>
          <w:rFonts w:ascii="Times New Roman" w:hAnsi="Times New Roman"/>
          <w:szCs w:val="22"/>
          <w:lang w:eastAsia="sk-SK"/>
        </w:rPr>
        <w:t xml:space="preserve"> bola</w:t>
      </w:r>
      <w:r w:rsidRPr="0072101A" w:rsidR="008D757B">
        <w:rPr>
          <w:rFonts w:ascii="Times New Roman" w:hAnsi="Times New Roman"/>
          <w:szCs w:val="22"/>
          <w:lang w:eastAsia="sk-SK"/>
        </w:rPr>
        <w:t xml:space="preserve"> </w:t>
      </w:r>
      <w:r w:rsidR="00771686">
        <w:rPr>
          <w:rFonts w:ascii="Times New Roman" w:hAnsi="Times New Roman"/>
          <w:szCs w:val="22"/>
          <w:lang w:eastAsia="sk-SK"/>
        </w:rPr>
        <w:t>1 006 170</w:t>
      </w:r>
      <w:r w:rsidRPr="0072101A" w:rsidR="008D757B">
        <w:rPr>
          <w:rFonts w:ascii="Times New Roman" w:hAnsi="Times New Roman"/>
          <w:szCs w:val="22"/>
          <w:lang w:eastAsia="sk-SK"/>
        </w:rPr>
        <w:t xml:space="preserve"> tis. eur a oproti roku 201</w:t>
      </w:r>
      <w:r w:rsidR="00771686">
        <w:rPr>
          <w:rFonts w:ascii="Times New Roman" w:hAnsi="Times New Roman"/>
          <w:szCs w:val="22"/>
          <w:lang w:eastAsia="sk-SK"/>
        </w:rPr>
        <w:t>5</w:t>
      </w:r>
      <w:r w:rsidRPr="0072101A" w:rsidR="008D757B">
        <w:rPr>
          <w:rFonts w:ascii="Times New Roman" w:hAnsi="Times New Roman"/>
          <w:szCs w:val="22"/>
          <w:lang w:eastAsia="sk-SK"/>
        </w:rPr>
        <w:t xml:space="preserve"> sa </w:t>
      </w:r>
      <w:r w:rsidR="00771686">
        <w:rPr>
          <w:rFonts w:ascii="Times New Roman" w:hAnsi="Times New Roman"/>
          <w:szCs w:val="22"/>
          <w:lang w:eastAsia="sk-SK"/>
        </w:rPr>
        <w:t xml:space="preserve">zvýšila </w:t>
      </w:r>
      <w:r w:rsidRPr="0072101A" w:rsidR="008D757B">
        <w:rPr>
          <w:rFonts w:ascii="Times New Roman" w:hAnsi="Times New Roman"/>
          <w:szCs w:val="22"/>
          <w:lang w:eastAsia="sk-SK"/>
        </w:rPr>
        <w:t>o</w:t>
      </w:r>
      <w:r w:rsidRPr="0072101A" w:rsidR="008B1295">
        <w:rPr>
          <w:rFonts w:ascii="Times New Roman" w:hAnsi="Times New Roman"/>
          <w:szCs w:val="22"/>
          <w:lang w:eastAsia="sk-SK"/>
        </w:rPr>
        <w:t> 3</w:t>
      </w:r>
      <w:r w:rsidR="00771686">
        <w:rPr>
          <w:rFonts w:ascii="Times New Roman" w:hAnsi="Times New Roman"/>
          <w:szCs w:val="22"/>
          <w:lang w:eastAsia="sk-SK"/>
        </w:rPr>
        <w:t>2</w:t>
      </w:r>
      <w:r w:rsidRPr="0072101A" w:rsidR="008B1295">
        <w:rPr>
          <w:rFonts w:ascii="Times New Roman" w:hAnsi="Times New Roman"/>
          <w:szCs w:val="22"/>
          <w:lang w:eastAsia="sk-SK"/>
        </w:rPr>
        <w:t xml:space="preserve"> </w:t>
      </w:r>
      <w:r w:rsidR="00771686">
        <w:rPr>
          <w:rFonts w:ascii="Times New Roman" w:hAnsi="Times New Roman"/>
          <w:szCs w:val="22"/>
          <w:lang w:eastAsia="sk-SK"/>
        </w:rPr>
        <w:t>019</w:t>
      </w:r>
      <w:r w:rsidRPr="0072101A" w:rsidR="008D757B">
        <w:rPr>
          <w:rFonts w:ascii="Times New Roman" w:hAnsi="Times New Roman"/>
          <w:szCs w:val="22"/>
          <w:lang w:eastAsia="sk-SK"/>
        </w:rPr>
        <w:t xml:space="preserve"> tis. eur</w:t>
      </w:r>
      <w:r w:rsidRPr="0072101A" w:rsidR="002D6290">
        <w:rPr>
          <w:rFonts w:ascii="Times New Roman" w:hAnsi="Times New Roman"/>
          <w:szCs w:val="22"/>
          <w:lang w:eastAsia="sk-SK"/>
        </w:rPr>
        <w:t xml:space="preserve">. </w:t>
      </w:r>
      <w:r w:rsidRPr="0072101A" w:rsidR="000251E7">
        <w:rPr>
          <w:rFonts w:ascii="Times New Roman" w:hAnsi="Times New Roman"/>
          <w:szCs w:val="22"/>
          <w:lang w:eastAsia="sk-SK"/>
        </w:rPr>
        <w:t>Takmer</w:t>
      </w:r>
      <w:r w:rsidRPr="0072101A" w:rsidR="002D6290">
        <w:rPr>
          <w:rFonts w:ascii="Times New Roman" w:hAnsi="Times New Roman"/>
          <w:szCs w:val="22"/>
          <w:lang w:eastAsia="sk-SK"/>
        </w:rPr>
        <w:t xml:space="preserve"> celú sumu tvorí obstaranie </w:t>
      </w:r>
      <w:r w:rsidRPr="0072101A" w:rsidR="008D757B">
        <w:rPr>
          <w:rFonts w:ascii="Times New Roman" w:hAnsi="Times New Roman"/>
          <w:szCs w:val="22"/>
          <w:lang w:eastAsia="sk-SK"/>
        </w:rPr>
        <w:t xml:space="preserve">podielov na základnom imaní medzinárodných finančných inštitúcií, ktoré sú v správe </w:t>
      </w:r>
      <w:r w:rsidRPr="0072101A" w:rsidR="002D6290">
        <w:rPr>
          <w:rFonts w:ascii="Times New Roman" w:hAnsi="Times New Roman"/>
          <w:szCs w:val="22"/>
          <w:lang w:eastAsia="sk-SK"/>
        </w:rPr>
        <w:t>Ministerstva financií SR</w:t>
      </w:r>
      <w:r w:rsidRPr="0072101A" w:rsidR="00490F52">
        <w:rPr>
          <w:rFonts w:ascii="Times New Roman" w:hAnsi="Times New Roman"/>
          <w:szCs w:val="22"/>
          <w:lang w:eastAsia="sk-SK"/>
        </w:rPr>
        <w:t>.</w:t>
      </w:r>
      <w:r w:rsidRPr="0072101A" w:rsidR="008D757B">
        <w:rPr>
          <w:rFonts w:ascii="Times New Roman" w:hAnsi="Times New Roman"/>
          <w:szCs w:val="22"/>
          <w:lang w:eastAsia="sk-SK"/>
        </w:rPr>
        <w:t xml:space="preserve"> </w:t>
      </w:r>
    </w:p>
    <w:tbl>
      <w:tblPr>
        <w:tblStyle w:val="TableNormal"/>
        <w:tblW w:w="4912" w:type="pct"/>
        <w:tblInd w:w="70" w:type="dxa"/>
        <w:tblLayout w:type="fixed"/>
        <w:tblCellMar>
          <w:left w:w="70" w:type="dxa"/>
          <w:right w:w="70" w:type="dxa"/>
        </w:tblCellMar>
        <w:tblLook w:val="00A0"/>
      </w:tblPr>
      <w:tblGrid>
        <w:gridCol w:w="6236"/>
        <w:gridCol w:w="1419"/>
        <w:gridCol w:w="1394"/>
      </w:tblGrid>
      <w:tr>
        <w:tblPrEx>
          <w:tblW w:w="4912" w:type="pct"/>
          <w:tblInd w:w="70" w:type="dxa"/>
          <w:tblLayout w:type="fixed"/>
          <w:tblCellMar>
            <w:left w:w="70" w:type="dxa"/>
            <w:right w:w="70" w:type="dxa"/>
          </w:tblCellMar>
          <w:tblLook w:val="00A0"/>
        </w:tblPrEx>
        <w:trPr>
          <w:trHeight w:val="330"/>
        </w:trPr>
        <w:tc>
          <w:tcPr>
            <w:tcW w:w="4230" w:type="pct"/>
            <w:gridSpan w:val="2"/>
            <w:tcBorders>
              <w:top w:val="single" w:sz="4" w:space="0" w:color="auto"/>
              <w:left w:val="nil"/>
              <w:bottom w:val="single" w:sz="4" w:space="0" w:color="auto"/>
              <w:right w:val="nil"/>
            </w:tcBorders>
            <w:shd w:val="clear" w:color="000000" w:fill="000000"/>
            <w:noWrap/>
            <w:textDirection w:val="lrTb"/>
            <w:vAlign w:val="center"/>
          </w:tcPr>
          <w:p w:rsidR="008D757B" w:rsidRPr="0072101A" w:rsidP="009A2941">
            <w:pPr>
              <w:bidi w:val="0"/>
              <w:spacing w:after="0" w:line="240" w:lineRule="auto"/>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Obstaranie finančného majetku v medzinárodných inštitúciách (v tis. eur)</w:t>
            </w:r>
          </w:p>
        </w:tc>
        <w:tc>
          <w:tcPr>
            <w:tcW w:w="770" w:type="pct"/>
            <w:tcBorders>
              <w:top w:val="single" w:sz="4" w:space="0" w:color="auto"/>
              <w:left w:val="nil"/>
              <w:bottom w:val="single" w:sz="4" w:space="0" w:color="auto"/>
              <w:right w:val="nil"/>
            </w:tcBorders>
            <w:shd w:val="clear" w:color="000000" w:fill="000000"/>
            <w:textDirection w:val="lrTb"/>
            <w:vAlign w:val="center"/>
          </w:tcPr>
          <w:p w:rsidR="008D757B" w:rsidRPr="0072101A" w:rsidP="009A2941">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r>
      <w:tr>
        <w:tblPrEx>
          <w:tblW w:w="4912" w:type="pct"/>
          <w:tblInd w:w="70" w:type="dxa"/>
          <w:tblLayout w:type="fixed"/>
          <w:tblCellMar>
            <w:left w:w="70" w:type="dxa"/>
            <w:right w:w="70" w:type="dxa"/>
          </w:tblCellMar>
          <w:tblLook w:val="00A0"/>
        </w:tblPrEx>
        <w:trPr>
          <w:trHeight w:val="330"/>
        </w:trPr>
        <w:tc>
          <w:tcPr>
            <w:tcW w:w="3446" w:type="pct"/>
            <w:tcBorders>
              <w:top w:val="nil"/>
              <w:left w:val="nil"/>
              <w:bottom w:val="single" w:sz="4" w:space="0" w:color="auto"/>
              <w:right w:val="nil"/>
            </w:tcBorders>
            <w:shd w:val="clear" w:color="000000" w:fill="BFBFBF"/>
            <w:noWrap/>
            <w:textDirection w:val="lrTb"/>
            <w:vAlign w:val="bottom"/>
          </w:tcPr>
          <w:p w:rsidR="008D757B" w:rsidRPr="0072101A" w:rsidP="009A2941">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Medzinárodná inštitúcia</w:t>
            </w:r>
          </w:p>
        </w:tc>
        <w:tc>
          <w:tcPr>
            <w:tcW w:w="784" w:type="pct"/>
            <w:tcBorders>
              <w:top w:val="nil"/>
              <w:left w:val="nil"/>
              <w:bottom w:val="single" w:sz="4" w:space="0" w:color="auto"/>
              <w:right w:val="nil"/>
            </w:tcBorders>
            <w:shd w:val="clear" w:color="000000" w:fill="BFBFBF"/>
            <w:noWrap/>
            <w:textDirection w:val="lrTb"/>
            <w:vAlign w:val="bottom"/>
          </w:tcPr>
          <w:p w:rsidR="008D757B" w:rsidRPr="0072101A" w:rsidP="00627DE4">
            <w:pPr>
              <w:bidi w:val="0"/>
              <w:spacing w:after="0" w:line="240" w:lineRule="auto"/>
              <w:jc w:val="center"/>
              <w:rPr>
                <w:rFonts w:ascii="Times New Roman" w:hAnsi="Times New Roman"/>
                <w:b/>
                <w:bCs/>
                <w:sz w:val="20"/>
                <w:szCs w:val="20"/>
                <w:lang w:eastAsia="sk-SK"/>
              </w:rPr>
            </w:pPr>
            <w:r w:rsidRPr="0072101A" w:rsidR="00743B17">
              <w:rPr>
                <w:rFonts w:ascii="Times New Roman" w:hAnsi="Times New Roman"/>
                <w:b/>
                <w:bCs/>
                <w:sz w:val="20"/>
                <w:szCs w:val="20"/>
                <w:lang w:eastAsia="sk-SK"/>
              </w:rPr>
              <w:t xml:space="preserve">               201</w:t>
            </w:r>
            <w:r w:rsidR="00627DE4">
              <w:rPr>
                <w:rFonts w:ascii="Times New Roman" w:hAnsi="Times New Roman"/>
                <w:b/>
                <w:bCs/>
                <w:sz w:val="20"/>
                <w:szCs w:val="20"/>
                <w:lang w:eastAsia="sk-SK"/>
              </w:rPr>
              <w:t>5</w:t>
            </w:r>
          </w:p>
        </w:tc>
        <w:tc>
          <w:tcPr>
            <w:tcW w:w="770" w:type="pct"/>
            <w:tcBorders>
              <w:top w:val="nil"/>
              <w:left w:val="nil"/>
              <w:bottom w:val="single" w:sz="4" w:space="0" w:color="auto"/>
              <w:right w:val="nil"/>
            </w:tcBorders>
            <w:shd w:val="clear" w:color="000000" w:fill="BFBFBF"/>
            <w:noWrap/>
            <w:textDirection w:val="lrTb"/>
            <w:vAlign w:val="bottom"/>
          </w:tcPr>
          <w:p w:rsidR="008D757B" w:rsidRPr="0072101A" w:rsidP="00627DE4">
            <w:pPr>
              <w:bidi w:val="0"/>
              <w:spacing w:after="0" w:line="240" w:lineRule="auto"/>
              <w:jc w:val="center"/>
              <w:rPr>
                <w:rFonts w:ascii="Times New Roman" w:hAnsi="Times New Roman"/>
                <w:b/>
                <w:bCs/>
                <w:sz w:val="20"/>
                <w:szCs w:val="20"/>
                <w:lang w:eastAsia="sk-SK"/>
              </w:rPr>
            </w:pPr>
            <w:r w:rsidRPr="0072101A" w:rsidR="00110BC0">
              <w:rPr>
                <w:rFonts w:ascii="Times New Roman" w:hAnsi="Times New Roman"/>
                <w:b/>
                <w:bCs/>
                <w:sz w:val="20"/>
                <w:szCs w:val="20"/>
                <w:lang w:eastAsia="sk-SK"/>
              </w:rPr>
              <w:t xml:space="preserve">     </w:t>
            </w:r>
            <w:r w:rsidRPr="0072101A" w:rsidR="00AD2668">
              <w:rPr>
                <w:rFonts w:ascii="Times New Roman" w:hAnsi="Times New Roman"/>
                <w:b/>
                <w:bCs/>
                <w:sz w:val="20"/>
                <w:szCs w:val="20"/>
                <w:lang w:eastAsia="sk-SK"/>
              </w:rPr>
              <w:t xml:space="preserve">     </w:t>
            </w:r>
            <w:r w:rsidRPr="0072101A" w:rsidR="00743B17">
              <w:rPr>
                <w:rFonts w:ascii="Times New Roman" w:hAnsi="Times New Roman"/>
                <w:b/>
                <w:bCs/>
                <w:sz w:val="20"/>
                <w:szCs w:val="20"/>
                <w:lang w:eastAsia="sk-SK"/>
              </w:rPr>
              <w:t xml:space="preserve"> 201</w:t>
            </w:r>
            <w:r w:rsidR="00627DE4">
              <w:rPr>
                <w:rFonts w:ascii="Times New Roman" w:hAnsi="Times New Roman"/>
                <w:b/>
                <w:bCs/>
                <w:sz w:val="20"/>
                <w:szCs w:val="20"/>
                <w:lang w:eastAsia="sk-SK"/>
              </w:rPr>
              <w:t>4</w:t>
            </w:r>
          </w:p>
        </w:tc>
      </w:tr>
      <w:tr>
        <w:tblPrEx>
          <w:tblW w:w="4912" w:type="pct"/>
          <w:tblInd w:w="70" w:type="dxa"/>
          <w:tblLayout w:type="fixed"/>
          <w:tblCellMar>
            <w:left w:w="70" w:type="dxa"/>
            <w:right w:w="70" w:type="dxa"/>
          </w:tblCellMar>
          <w:tblLook w:val="00A0"/>
        </w:tblPrEx>
        <w:trPr>
          <w:trHeight w:hRule="exact" w:val="545"/>
        </w:trPr>
        <w:tc>
          <w:tcPr>
            <w:tcW w:w="3446" w:type="pct"/>
            <w:tcBorders>
              <w:top w:val="nil"/>
              <w:left w:val="nil"/>
              <w:bottom w:val="nil"/>
              <w:right w:val="nil"/>
            </w:tcBorders>
            <w:textDirection w:val="lrTb"/>
            <w:vAlign w:val="center"/>
          </w:tcPr>
          <w:p w:rsidR="00627DE4" w:rsidRPr="0072101A" w:rsidP="006C7315">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Upísaný a nesplatený podiel na zvýšení základného imania Európskej investičnej banky</w:t>
            </w:r>
            <w:r w:rsidR="004638A2">
              <w:rPr>
                <w:rFonts w:ascii="Times New Roman" w:hAnsi="Times New Roman"/>
                <w:color w:val="000000"/>
                <w:sz w:val="20"/>
                <w:szCs w:val="20"/>
                <w:lang w:eastAsia="sk-SK"/>
              </w:rPr>
              <w:t xml:space="preserve"> (EIB)</w:t>
            </w:r>
          </w:p>
        </w:tc>
        <w:tc>
          <w:tcPr>
            <w:tcW w:w="784" w:type="pct"/>
            <w:tcBorders>
              <w:top w:val="nil"/>
              <w:left w:val="nil"/>
              <w:bottom w:val="nil"/>
              <w:right w:val="nil"/>
            </w:tcBorders>
            <w:textDirection w:val="lrTb"/>
            <w:vAlign w:val="center"/>
          </w:tcPr>
          <w:p w:rsidR="00627DE4" w:rsidRPr="0072101A" w:rsidP="00383B91">
            <w:pPr>
              <w:bidi w:val="0"/>
              <w:spacing w:after="0" w:line="240" w:lineRule="auto"/>
              <w:jc w:val="right"/>
              <w:rPr>
                <w:rFonts w:ascii="Times New Roman" w:hAnsi="Times New Roman"/>
                <w:color w:val="000000"/>
                <w:sz w:val="20"/>
                <w:szCs w:val="20"/>
                <w:lang w:eastAsia="sk-SK"/>
              </w:rPr>
            </w:pPr>
            <w:r w:rsidR="00C81F29">
              <w:rPr>
                <w:rFonts w:ascii="Times New Roman" w:hAnsi="Times New Roman"/>
                <w:color w:val="000000"/>
                <w:sz w:val="20"/>
                <w:szCs w:val="20"/>
                <w:lang w:eastAsia="sk-SK"/>
              </w:rPr>
              <w:t>573 99</w:t>
            </w:r>
            <w:r w:rsidR="00383B91">
              <w:rPr>
                <w:rFonts w:ascii="Times New Roman" w:hAnsi="Times New Roman"/>
                <w:color w:val="000000"/>
                <w:sz w:val="20"/>
                <w:szCs w:val="20"/>
                <w:lang w:eastAsia="sk-SK"/>
              </w:rPr>
              <w:t>7</w:t>
            </w:r>
          </w:p>
        </w:tc>
        <w:tc>
          <w:tcPr>
            <w:tcW w:w="770" w:type="pct"/>
            <w:tcBorders>
              <w:top w:val="nil"/>
              <w:left w:val="nil"/>
              <w:bottom w:val="nil"/>
              <w:right w:val="nil"/>
            </w:tcBorders>
            <w:textDirection w:val="lrTb"/>
            <w:vAlign w:val="center"/>
          </w:tcPr>
          <w:p w:rsidR="00627DE4" w:rsidRPr="0072101A" w:rsidP="00FE3590">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580 496</w:t>
            </w:r>
          </w:p>
        </w:tc>
      </w:tr>
      <w:tr>
        <w:tblPrEx>
          <w:tblW w:w="4912" w:type="pct"/>
          <w:tblInd w:w="70" w:type="dxa"/>
          <w:tblLayout w:type="fixed"/>
          <w:tblCellMar>
            <w:left w:w="70" w:type="dxa"/>
            <w:right w:w="70" w:type="dxa"/>
          </w:tblCellMar>
          <w:tblLook w:val="00A0"/>
        </w:tblPrEx>
        <w:trPr>
          <w:trHeight w:hRule="exact" w:val="578"/>
        </w:trPr>
        <w:tc>
          <w:tcPr>
            <w:tcW w:w="3446" w:type="pct"/>
            <w:tcBorders>
              <w:top w:val="nil"/>
              <w:left w:val="nil"/>
              <w:bottom w:val="nil"/>
              <w:right w:val="nil"/>
            </w:tcBorders>
            <w:textDirection w:val="lrTb"/>
            <w:vAlign w:val="center"/>
          </w:tcPr>
          <w:p w:rsidR="00627DE4" w:rsidRPr="0072101A" w:rsidP="006C7315">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Upísaný a nesplatený podiel na základnom imaní Medzinárodnej banky pre obnovu a</w:t>
            </w:r>
            <w:r w:rsidR="004638A2">
              <w:rPr>
                <w:rFonts w:ascii="Times New Roman" w:hAnsi="Times New Roman"/>
                <w:color w:val="000000"/>
                <w:sz w:val="20"/>
                <w:szCs w:val="20"/>
                <w:lang w:eastAsia="sk-SK"/>
              </w:rPr>
              <w:t> </w:t>
            </w:r>
            <w:r w:rsidRPr="0072101A">
              <w:rPr>
                <w:rFonts w:ascii="Times New Roman" w:hAnsi="Times New Roman"/>
                <w:color w:val="000000"/>
                <w:sz w:val="20"/>
                <w:szCs w:val="20"/>
                <w:lang w:eastAsia="sk-SK"/>
              </w:rPr>
              <w:t>rozvoj</w:t>
            </w:r>
            <w:r w:rsidR="004638A2">
              <w:rPr>
                <w:rFonts w:ascii="Times New Roman" w:hAnsi="Times New Roman"/>
                <w:color w:val="000000"/>
                <w:sz w:val="20"/>
                <w:szCs w:val="20"/>
                <w:lang w:eastAsia="sk-SK"/>
              </w:rPr>
              <w:t xml:space="preserve"> (MBOR)</w:t>
            </w:r>
          </w:p>
        </w:tc>
        <w:tc>
          <w:tcPr>
            <w:tcW w:w="784" w:type="pct"/>
            <w:tcBorders>
              <w:top w:val="nil"/>
              <w:left w:val="nil"/>
              <w:bottom w:val="nil"/>
              <w:right w:val="nil"/>
            </w:tcBorders>
            <w:textDirection w:val="lrTb"/>
            <w:vAlign w:val="center"/>
          </w:tcPr>
          <w:p w:rsidR="00627DE4" w:rsidRPr="0072101A" w:rsidP="00383B91">
            <w:pPr>
              <w:bidi w:val="0"/>
              <w:spacing w:after="0" w:line="240" w:lineRule="auto"/>
              <w:jc w:val="right"/>
              <w:rPr>
                <w:rFonts w:ascii="Times New Roman" w:hAnsi="Times New Roman"/>
                <w:color w:val="000000"/>
                <w:sz w:val="20"/>
                <w:szCs w:val="20"/>
                <w:lang w:eastAsia="sk-SK"/>
              </w:rPr>
            </w:pPr>
            <w:r w:rsidR="00C81F29">
              <w:rPr>
                <w:rFonts w:ascii="Times New Roman" w:hAnsi="Times New Roman"/>
                <w:color w:val="000000"/>
                <w:sz w:val="20"/>
                <w:szCs w:val="20"/>
                <w:lang w:eastAsia="sk-SK"/>
              </w:rPr>
              <w:t>424 73</w:t>
            </w:r>
            <w:r w:rsidR="00383B91">
              <w:rPr>
                <w:rFonts w:ascii="Times New Roman" w:hAnsi="Times New Roman"/>
                <w:color w:val="000000"/>
                <w:sz w:val="20"/>
                <w:szCs w:val="20"/>
                <w:lang w:eastAsia="sk-SK"/>
              </w:rPr>
              <w:t>1</w:t>
            </w:r>
          </w:p>
        </w:tc>
        <w:tc>
          <w:tcPr>
            <w:tcW w:w="770" w:type="pct"/>
            <w:tcBorders>
              <w:top w:val="nil"/>
              <w:left w:val="nil"/>
              <w:bottom w:val="nil"/>
              <w:right w:val="nil"/>
            </w:tcBorders>
            <w:textDirection w:val="lrTb"/>
            <w:vAlign w:val="center"/>
          </w:tcPr>
          <w:p w:rsidR="00627DE4" w:rsidRPr="0072101A" w:rsidP="00FE3590">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385 984</w:t>
            </w:r>
          </w:p>
        </w:tc>
      </w:tr>
      <w:tr>
        <w:tblPrEx>
          <w:tblW w:w="4912" w:type="pct"/>
          <w:tblInd w:w="70" w:type="dxa"/>
          <w:tblLayout w:type="fixed"/>
          <w:tblCellMar>
            <w:left w:w="70" w:type="dxa"/>
            <w:right w:w="70" w:type="dxa"/>
          </w:tblCellMar>
          <w:tblLook w:val="00A0"/>
        </w:tblPrEx>
        <w:trPr>
          <w:trHeight w:hRule="exact" w:val="330"/>
        </w:trPr>
        <w:tc>
          <w:tcPr>
            <w:tcW w:w="3446" w:type="pct"/>
            <w:tcBorders>
              <w:top w:val="nil"/>
              <w:left w:val="nil"/>
              <w:bottom w:val="single" w:sz="4" w:space="0" w:color="000000"/>
              <w:right w:val="nil"/>
            </w:tcBorders>
            <w:shd w:val="clear" w:color="000000" w:fill="auto"/>
            <w:textDirection w:val="lrTb"/>
            <w:vAlign w:val="center"/>
          </w:tcPr>
          <w:p w:rsidR="00627DE4" w:rsidRPr="0072101A" w:rsidP="006C7315">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Spolu</w:t>
            </w:r>
          </w:p>
        </w:tc>
        <w:tc>
          <w:tcPr>
            <w:tcW w:w="784" w:type="pct"/>
            <w:tcBorders>
              <w:top w:val="nil"/>
              <w:left w:val="nil"/>
              <w:bottom w:val="single" w:sz="4" w:space="0" w:color="000000"/>
              <w:right w:val="nil"/>
            </w:tcBorders>
            <w:shd w:val="clear" w:color="000000" w:fill="auto"/>
            <w:textDirection w:val="lrTb"/>
            <w:vAlign w:val="center"/>
          </w:tcPr>
          <w:p w:rsidR="00627DE4" w:rsidRPr="0072101A" w:rsidP="00C81F29">
            <w:pPr>
              <w:bidi w:val="0"/>
              <w:spacing w:after="0" w:line="240" w:lineRule="auto"/>
              <w:jc w:val="right"/>
              <w:rPr>
                <w:rFonts w:ascii="Times New Roman" w:hAnsi="Times New Roman"/>
                <w:b/>
                <w:bCs/>
                <w:color w:val="000000"/>
                <w:sz w:val="20"/>
                <w:szCs w:val="20"/>
                <w:lang w:eastAsia="sk-SK"/>
              </w:rPr>
            </w:pPr>
            <w:r w:rsidR="00C81F29">
              <w:rPr>
                <w:rFonts w:ascii="Times New Roman" w:hAnsi="Times New Roman"/>
                <w:b/>
                <w:bCs/>
                <w:color w:val="000000"/>
                <w:sz w:val="20"/>
                <w:szCs w:val="20"/>
                <w:lang w:eastAsia="sk-SK"/>
              </w:rPr>
              <w:t>998 728</w:t>
            </w:r>
          </w:p>
        </w:tc>
        <w:tc>
          <w:tcPr>
            <w:tcW w:w="770" w:type="pct"/>
            <w:tcBorders>
              <w:top w:val="nil"/>
              <w:left w:val="nil"/>
              <w:bottom w:val="single" w:sz="4" w:space="0" w:color="000000"/>
              <w:right w:val="nil"/>
            </w:tcBorders>
            <w:shd w:val="clear" w:color="000000" w:fill="auto"/>
            <w:textDirection w:val="lrTb"/>
            <w:vAlign w:val="center"/>
          </w:tcPr>
          <w:p w:rsidR="00627DE4" w:rsidRPr="0072101A" w:rsidP="00FE3590">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966 480</w:t>
            </w:r>
          </w:p>
        </w:tc>
      </w:tr>
    </w:tbl>
    <w:p w:rsidR="008F573D" w:rsidRPr="008F573D" w:rsidP="008F573D">
      <w:pPr>
        <w:bidi w:val="0"/>
        <w:spacing w:before="120" w:after="120" w:line="336" w:lineRule="auto"/>
        <w:jc w:val="both"/>
        <w:rPr>
          <w:rFonts w:ascii="Times New Roman" w:hAnsi="Times New Roman"/>
          <w:szCs w:val="22"/>
          <w:lang w:eastAsia="sk-SK"/>
        </w:rPr>
      </w:pPr>
      <w:r w:rsidRPr="008F573D">
        <w:rPr>
          <w:rFonts w:ascii="Times New Roman" w:hAnsi="Times New Roman"/>
          <w:szCs w:val="22"/>
          <w:lang w:eastAsia="sk-SK"/>
        </w:rPr>
        <w:t>Obstarávaný podiel v EIB sa znížil presunom splateného podielu vo výške 6</w:t>
      </w:r>
      <w:r w:rsidR="00383B91">
        <w:rPr>
          <w:rFonts w:ascii="Times New Roman" w:hAnsi="Times New Roman"/>
          <w:szCs w:val="22"/>
          <w:lang w:eastAsia="sk-SK"/>
        </w:rPr>
        <w:t> 499 tis.</w:t>
      </w:r>
      <w:r w:rsidRPr="008F573D">
        <w:rPr>
          <w:rFonts w:ascii="Times New Roman" w:hAnsi="Times New Roman"/>
          <w:szCs w:val="22"/>
          <w:lang w:eastAsia="sk-SK"/>
        </w:rPr>
        <w:t xml:space="preserve"> eur a podiel v MBOR sa zvýšil z dôvodu precenenia cudzej meny. </w:t>
      </w:r>
    </w:p>
    <w:p w:rsidR="007B718B">
      <w:pPr>
        <w:bidi w:val="0"/>
        <w:spacing w:after="0" w:line="240" w:lineRule="auto"/>
        <w:rPr>
          <w:rFonts w:ascii="Times New Roman" w:hAnsi="Times New Roman"/>
          <w:b/>
          <w:sz w:val="24"/>
          <w:szCs w:val="24"/>
          <w:lang w:eastAsia="sk-SK"/>
        </w:rPr>
      </w:pPr>
    </w:p>
    <w:p w:rsidR="002D6290" w:rsidRPr="007B718B" w:rsidP="008F573D">
      <w:pPr>
        <w:bidi w:val="0"/>
        <w:spacing w:after="120" w:line="336" w:lineRule="auto"/>
        <w:jc w:val="both"/>
        <w:rPr>
          <w:rFonts w:ascii="Times New Roman" w:hAnsi="Times New Roman"/>
          <w:b/>
          <w:sz w:val="24"/>
          <w:szCs w:val="24"/>
          <w:lang w:eastAsia="sk-SK"/>
        </w:rPr>
      </w:pPr>
      <w:r w:rsidRPr="007B718B" w:rsidR="006001DE">
        <w:rPr>
          <w:rFonts w:ascii="Times New Roman" w:hAnsi="Times New Roman"/>
          <w:b/>
          <w:sz w:val="24"/>
          <w:szCs w:val="24"/>
          <w:lang w:eastAsia="sk-SK"/>
        </w:rPr>
        <w:t>B. Obežný majetok</w:t>
      </w:r>
      <w:r w:rsidRPr="007B718B" w:rsidR="00155568">
        <w:rPr>
          <w:rFonts w:ascii="Times New Roman" w:hAnsi="Times New Roman"/>
          <w:b/>
          <w:sz w:val="24"/>
          <w:szCs w:val="24"/>
          <w:lang w:eastAsia="sk-SK"/>
        </w:rPr>
        <w:t xml:space="preserve"> </w:t>
      </w:r>
    </w:p>
    <w:p w:rsidR="002D6290" w:rsidRPr="0072101A" w:rsidP="00E9050A">
      <w:pPr>
        <w:bidi w:val="0"/>
        <w:spacing w:line="336" w:lineRule="auto"/>
        <w:jc w:val="both"/>
        <w:rPr>
          <w:rFonts w:ascii="Times New Roman" w:hAnsi="Times New Roman"/>
          <w:b/>
          <w:sz w:val="24"/>
          <w:szCs w:val="24"/>
          <w:lang w:eastAsia="sk-SK"/>
        </w:rPr>
      </w:pPr>
      <w:r w:rsidRPr="007B718B">
        <w:rPr>
          <w:rFonts w:ascii="Times New Roman" w:hAnsi="Times New Roman"/>
          <w:b/>
          <w:sz w:val="24"/>
          <w:szCs w:val="24"/>
          <w:lang w:eastAsia="sk-SK"/>
        </w:rPr>
        <w:t>B.I. Zásoby</w:t>
      </w:r>
    </w:p>
    <w:p w:rsidR="00AA2325" w:rsidRPr="0072101A" w:rsidP="00E9050A">
      <w:pPr>
        <w:tabs>
          <w:tab w:val="num" w:pos="0"/>
        </w:tabs>
        <w:bidi w:val="0"/>
        <w:spacing w:after="120" w:line="336" w:lineRule="auto"/>
        <w:jc w:val="both"/>
        <w:rPr>
          <w:rFonts w:ascii="Times New Roman" w:hAnsi="Times New Roman"/>
          <w:szCs w:val="22"/>
          <w:lang w:eastAsia="sk-SK"/>
        </w:rPr>
      </w:pPr>
      <w:r w:rsidRPr="0072101A" w:rsidR="002D6290">
        <w:rPr>
          <w:rFonts w:ascii="Times New Roman" w:hAnsi="Times New Roman"/>
          <w:szCs w:val="22"/>
          <w:lang w:eastAsia="sk-SK"/>
        </w:rPr>
        <w:t>Ako zásoby súhrnného celku sa vykazuj</w:t>
      </w:r>
      <w:r w:rsidRPr="0072101A" w:rsidR="007A3F0C">
        <w:rPr>
          <w:rFonts w:ascii="Times New Roman" w:hAnsi="Times New Roman"/>
          <w:szCs w:val="22"/>
          <w:lang w:eastAsia="sk-SK"/>
        </w:rPr>
        <w:t>ú</w:t>
      </w:r>
      <w:r w:rsidRPr="0072101A" w:rsidR="002D6290">
        <w:rPr>
          <w:rFonts w:ascii="Times New Roman" w:hAnsi="Times New Roman"/>
          <w:szCs w:val="22"/>
          <w:lang w:eastAsia="sk-SK"/>
        </w:rPr>
        <w:t xml:space="preserve"> materiál na sklade,</w:t>
      </w:r>
      <w:r w:rsidRPr="0072101A" w:rsidR="00F332DB">
        <w:rPr>
          <w:rFonts w:ascii="Times New Roman" w:hAnsi="Times New Roman"/>
          <w:szCs w:val="22"/>
          <w:lang w:eastAsia="sk-SK"/>
        </w:rPr>
        <w:t xml:space="preserve"> tovar, výrobky,</w:t>
      </w:r>
      <w:r w:rsidRPr="0072101A" w:rsidR="002D6290">
        <w:rPr>
          <w:rFonts w:ascii="Times New Roman" w:hAnsi="Times New Roman"/>
          <w:szCs w:val="22"/>
          <w:lang w:eastAsia="sk-SK"/>
        </w:rPr>
        <w:t xml:space="preserve"> nedokončená výroba a polotovary </w:t>
      </w:r>
      <w:r w:rsidRPr="0072101A" w:rsidR="00F332DB">
        <w:rPr>
          <w:rFonts w:ascii="Times New Roman" w:hAnsi="Times New Roman"/>
          <w:szCs w:val="22"/>
          <w:lang w:eastAsia="sk-SK"/>
        </w:rPr>
        <w:t>a </w:t>
      </w:r>
      <w:r w:rsidRPr="0072101A" w:rsidR="002D6290">
        <w:rPr>
          <w:rFonts w:ascii="Times New Roman" w:hAnsi="Times New Roman"/>
          <w:szCs w:val="22"/>
          <w:lang w:eastAsia="sk-SK"/>
        </w:rPr>
        <w:t>zvieratá</w:t>
      </w:r>
      <w:r w:rsidRPr="0072101A" w:rsidR="00F332DB">
        <w:rPr>
          <w:rFonts w:ascii="Times New Roman" w:hAnsi="Times New Roman"/>
          <w:szCs w:val="22"/>
          <w:lang w:eastAsia="sk-SK"/>
        </w:rPr>
        <w:t xml:space="preserve">. </w:t>
      </w:r>
      <w:r w:rsidRPr="0072101A" w:rsidR="002D6290">
        <w:rPr>
          <w:rFonts w:ascii="Times New Roman" w:hAnsi="Times New Roman"/>
          <w:szCs w:val="22"/>
          <w:lang w:eastAsia="sk-SK"/>
        </w:rPr>
        <w:t>Celková hodnota zásob súhrnného celku k 31.12.201</w:t>
      </w:r>
      <w:r w:rsidR="004638A2">
        <w:rPr>
          <w:rFonts w:ascii="Times New Roman" w:hAnsi="Times New Roman"/>
          <w:szCs w:val="22"/>
          <w:lang w:eastAsia="sk-SK"/>
        </w:rPr>
        <w:t>5</w:t>
      </w:r>
      <w:r w:rsidRPr="0072101A" w:rsidR="002D6290">
        <w:rPr>
          <w:rFonts w:ascii="Times New Roman" w:hAnsi="Times New Roman"/>
          <w:szCs w:val="22"/>
          <w:lang w:eastAsia="sk-SK"/>
        </w:rPr>
        <w:t xml:space="preserve"> dosiahla </w:t>
      </w:r>
      <w:r w:rsidRPr="0072101A" w:rsidR="00794F5F">
        <w:rPr>
          <w:rFonts w:ascii="Times New Roman" w:hAnsi="Times New Roman"/>
          <w:szCs w:val="22"/>
          <w:lang w:eastAsia="sk-SK"/>
        </w:rPr>
        <w:br/>
      </w:r>
      <w:r w:rsidR="004638A2">
        <w:rPr>
          <w:rFonts w:ascii="Times New Roman" w:hAnsi="Times New Roman"/>
          <w:szCs w:val="22"/>
          <w:lang w:eastAsia="sk-SK"/>
        </w:rPr>
        <w:t>1 982 082</w:t>
      </w:r>
      <w:r w:rsidRPr="0072101A" w:rsidR="000D5BCA">
        <w:rPr>
          <w:rFonts w:ascii="Times New Roman" w:hAnsi="Times New Roman"/>
          <w:szCs w:val="22"/>
          <w:lang w:eastAsia="sk-SK"/>
        </w:rPr>
        <w:t xml:space="preserve"> ti</w:t>
      </w:r>
      <w:r w:rsidRPr="0072101A" w:rsidR="00C22596">
        <w:rPr>
          <w:rFonts w:ascii="Times New Roman" w:hAnsi="Times New Roman"/>
          <w:szCs w:val="22"/>
          <w:lang w:eastAsia="sk-SK"/>
        </w:rPr>
        <w:t>s. eur a oproti roku 201</w:t>
      </w:r>
      <w:r w:rsidR="004638A2">
        <w:rPr>
          <w:rFonts w:ascii="Times New Roman" w:hAnsi="Times New Roman"/>
          <w:szCs w:val="22"/>
          <w:lang w:eastAsia="sk-SK"/>
        </w:rPr>
        <w:t>4</w:t>
      </w:r>
      <w:r w:rsidRPr="0072101A" w:rsidR="00C22596">
        <w:rPr>
          <w:rFonts w:ascii="Times New Roman" w:hAnsi="Times New Roman"/>
          <w:szCs w:val="22"/>
          <w:lang w:eastAsia="sk-SK"/>
        </w:rPr>
        <w:t xml:space="preserve"> hodnota zásob </w:t>
      </w:r>
      <w:r w:rsidR="004638A2">
        <w:rPr>
          <w:rFonts w:ascii="Times New Roman" w:hAnsi="Times New Roman"/>
          <w:szCs w:val="22"/>
          <w:lang w:eastAsia="sk-SK"/>
        </w:rPr>
        <w:t xml:space="preserve">poklesla </w:t>
      </w:r>
      <w:r w:rsidRPr="0072101A" w:rsidR="00C22596">
        <w:rPr>
          <w:rFonts w:ascii="Times New Roman" w:hAnsi="Times New Roman"/>
          <w:szCs w:val="22"/>
          <w:lang w:eastAsia="sk-SK"/>
        </w:rPr>
        <w:t>o</w:t>
      </w:r>
      <w:r w:rsidR="004638A2">
        <w:rPr>
          <w:rFonts w:ascii="Times New Roman" w:hAnsi="Times New Roman"/>
          <w:szCs w:val="22"/>
          <w:lang w:eastAsia="sk-SK"/>
        </w:rPr>
        <w:t> 127 442</w:t>
      </w:r>
      <w:r w:rsidRPr="0072101A" w:rsidR="00C22596">
        <w:rPr>
          <w:rFonts w:ascii="Times New Roman" w:hAnsi="Times New Roman"/>
          <w:szCs w:val="22"/>
          <w:lang w:eastAsia="sk-SK"/>
        </w:rPr>
        <w:t xml:space="preserve"> tis. eur. </w:t>
      </w:r>
    </w:p>
    <w:tbl>
      <w:tblPr>
        <w:tblStyle w:val="TableNormal"/>
        <w:tblW w:w="4445" w:type="pct"/>
        <w:jc w:val="center"/>
        <w:tblInd w:w="70" w:type="dxa"/>
        <w:tblLayout w:type="fixed"/>
        <w:tblCellMar>
          <w:left w:w="70" w:type="dxa"/>
          <w:right w:w="70" w:type="dxa"/>
        </w:tblCellMar>
        <w:tblLook w:val="00A0"/>
      </w:tblPr>
      <w:tblGrid>
        <w:gridCol w:w="5376"/>
        <w:gridCol w:w="1418"/>
        <w:gridCol w:w="1395"/>
      </w:tblGrid>
      <w:tr>
        <w:tblPrEx>
          <w:tblW w:w="4445" w:type="pct"/>
          <w:jc w:val="center"/>
          <w:tblInd w:w="70" w:type="dxa"/>
          <w:tblLayout w:type="fixed"/>
          <w:tblCellMar>
            <w:left w:w="70" w:type="dxa"/>
            <w:right w:w="70" w:type="dxa"/>
          </w:tblCellMar>
          <w:tblLook w:val="00A0"/>
        </w:tblPrEx>
        <w:trPr>
          <w:trHeight w:val="330"/>
          <w:jc w:val="center"/>
        </w:trPr>
        <w:tc>
          <w:tcPr>
            <w:tcW w:w="4148" w:type="pct"/>
            <w:gridSpan w:val="2"/>
            <w:tcBorders>
              <w:top w:val="single" w:sz="4" w:space="0" w:color="auto"/>
              <w:left w:val="nil"/>
              <w:bottom w:val="single" w:sz="4" w:space="0" w:color="auto"/>
              <w:right w:val="nil"/>
            </w:tcBorders>
            <w:shd w:val="clear" w:color="000000" w:fill="000000"/>
            <w:noWrap/>
            <w:textDirection w:val="lrTb"/>
            <w:vAlign w:val="center"/>
          </w:tcPr>
          <w:p w:rsidR="00C22596" w:rsidRPr="0072101A" w:rsidP="0002612E">
            <w:pPr>
              <w:bidi w:val="0"/>
              <w:spacing w:after="0" w:line="240" w:lineRule="auto"/>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Zásoby súhrnného celku (v tis. eur)</w:t>
            </w:r>
          </w:p>
        </w:tc>
        <w:tc>
          <w:tcPr>
            <w:tcW w:w="852" w:type="pct"/>
            <w:tcBorders>
              <w:top w:val="single" w:sz="4" w:space="0" w:color="auto"/>
              <w:left w:val="nil"/>
              <w:bottom w:val="single" w:sz="4" w:space="0" w:color="auto"/>
              <w:right w:val="nil"/>
            </w:tcBorders>
            <w:shd w:val="clear" w:color="000000" w:fill="000000"/>
            <w:textDirection w:val="lrTb"/>
            <w:vAlign w:val="center"/>
          </w:tcPr>
          <w:p w:rsidR="00C22596" w:rsidRPr="0072101A" w:rsidP="009A2941">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r>
      <w:tr>
        <w:tblPrEx>
          <w:tblW w:w="4445" w:type="pct"/>
          <w:jc w:val="center"/>
          <w:tblInd w:w="70" w:type="dxa"/>
          <w:tblLayout w:type="fixed"/>
          <w:tblCellMar>
            <w:left w:w="70" w:type="dxa"/>
            <w:right w:w="70" w:type="dxa"/>
          </w:tblCellMar>
          <w:tblLook w:val="00A0"/>
        </w:tblPrEx>
        <w:trPr>
          <w:trHeight w:val="330"/>
          <w:jc w:val="center"/>
        </w:trPr>
        <w:tc>
          <w:tcPr>
            <w:tcW w:w="3282" w:type="pct"/>
            <w:tcBorders>
              <w:top w:val="nil"/>
              <w:left w:val="nil"/>
              <w:bottom w:val="single" w:sz="4" w:space="0" w:color="auto"/>
              <w:right w:val="nil"/>
            </w:tcBorders>
            <w:shd w:val="clear" w:color="000000" w:fill="BFBFBF"/>
            <w:noWrap/>
            <w:textDirection w:val="lrTb"/>
            <w:vAlign w:val="bottom"/>
          </w:tcPr>
          <w:p w:rsidR="00C22596" w:rsidRPr="0072101A" w:rsidP="009A2941">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Druh zásob</w:t>
            </w:r>
          </w:p>
        </w:tc>
        <w:tc>
          <w:tcPr>
            <w:tcW w:w="866" w:type="pct"/>
            <w:tcBorders>
              <w:top w:val="nil"/>
              <w:left w:val="nil"/>
              <w:bottom w:val="single" w:sz="4" w:space="0" w:color="auto"/>
              <w:right w:val="nil"/>
            </w:tcBorders>
            <w:shd w:val="clear" w:color="000000" w:fill="BFBFBF"/>
            <w:noWrap/>
            <w:textDirection w:val="lrTb"/>
            <w:vAlign w:val="bottom"/>
          </w:tcPr>
          <w:p w:rsidR="00C22596" w:rsidRPr="0072101A" w:rsidP="004638A2">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201</w:t>
            </w:r>
            <w:r w:rsidR="004638A2">
              <w:rPr>
                <w:rFonts w:ascii="Times New Roman" w:hAnsi="Times New Roman"/>
                <w:b/>
                <w:bCs/>
                <w:sz w:val="20"/>
                <w:szCs w:val="20"/>
                <w:lang w:eastAsia="sk-SK"/>
              </w:rPr>
              <w:t>5</w:t>
            </w:r>
          </w:p>
        </w:tc>
        <w:tc>
          <w:tcPr>
            <w:tcW w:w="852" w:type="pct"/>
            <w:tcBorders>
              <w:top w:val="nil"/>
              <w:left w:val="nil"/>
              <w:bottom w:val="single" w:sz="4" w:space="0" w:color="auto"/>
              <w:right w:val="nil"/>
            </w:tcBorders>
            <w:shd w:val="clear" w:color="000000" w:fill="BFBFBF"/>
            <w:noWrap/>
            <w:textDirection w:val="lrTb"/>
            <w:vAlign w:val="bottom"/>
          </w:tcPr>
          <w:p w:rsidR="00C22596" w:rsidRPr="0072101A" w:rsidP="004638A2">
            <w:pPr>
              <w:bidi w:val="0"/>
              <w:spacing w:after="0" w:line="240" w:lineRule="auto"/>
              <w:jc w:val="center"/>
              <w:rPr>
                <w:rFonts w:ascii="Times New Roman" w:hAnsi="Times New Roman"/>
                <w:b/>
                <w:bCs/>
                <w:sz w:val="20"/>
                <w:szCs w:val="20"/>
                <w:lang w:eastAsia="sk-SK"/>
              </w:rPr>
            </w:pPr>
            <w:r w:rsidRPr="0072101A" w:rsidR="00AD2668">
              <w:rPr>
                <w:rFonts w:ascii="Times New Roman" w:hAnsi="Times New Roman"/>
                <w:b/>
                <w:bCs/>
                <w:sz w:val="20"/>
                <w:szCs w:val="20"/>
                <w:lang w:eastAsia="sk-SK"/>
              </w:rPr>
              <w:t xml:space="preserve">         </w:t>
            </w:r>
            <w:r w:rsidRPr="0072101A" w:rsidR="00434CB5">
              <w:rPr>
                <w:rFonts w:ascii="Times New Roman" w:hAnsi="Times New Roman"/>
                <w:b/>
                <w:bCs/>
                <w:sz w:val="20"/>
                <w:szCs w:val="20"/>
                <w:lang w:eastAsia="sk-SK"/>
              </w:rPr>
              <w:t xml:space="preserve"> 201</w:t>
            </w:r>
            <w:r w:rsidR="004638A2">
              <w:rPr>
                <w:rFonts w:ascii="Times New Roman" w:hAnsi="Times New Roman"/>
                <w:b/>
                <w:bCs/>
                <w:sz w:val="20"/>
                <w:szCs w:val="20"/>
                <w:lang w:eastAsia="sk-SK"/>
              </w:rPr>
              <w:t>4</w:t>
            </w:r>
          </w:p>
        </w:tc>
      </w:tr>
      <w:tr>
        <w:tblPrEx>
          <w:tblW w:w="4445" w:type="pct"/>
          <w:jc w:val="center"/>
          <w:tblInd w:w="70" w:type="dxa"/>
          <w:tblLayout w:type="fixed"/>
          <w:tblCellMar>
            <w:left w:w="70" w:type="dxa"/>
            <w:right w:w="70" w:type="dxa"/>
          </w:tblCellMar>
          <w:tblLook w:val="00A0"/>
        </w:tblPrEx>
        <w:trPr>
          <w:trHeight w:hRule="exact" w:val="330"/>
          <w:jc w:val="center"/>
        </w:trPr>
        <w:tc>
          <w:tcPr>
            <w:tcW w:w="3282" w:type="pct"/>
            <w:tcBorders>
              <w:top w:val="nil"/>
              <w:left w:val="nil"/>
              <w:bottom w:val="nil"/>
              <w:right w:val="nil"/>
            </w:tcBorders>
            <w:textDirection w:val="lrTb"/>
            <w:vAlign w:val="center"/>
          </w:tcPr>
          <w:p w:rsidR="004638A2" w:rsidRPr="0072101A" w:rsidP="006F7317">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Materiál</w:t>
            </w:r>
          </w:p>
        </w:tc>
        <w:tc>
          <w:tcPr>
            <w:tcW w:w="866" w:type="pct"/>
            <w:tcBorders>
              <w:top w:val="nil"/>
              <w:left w:val="nil"/>
              <w:bottom w:val="nil"/>
              <w:right w:val="nil"/>
            </w:tcBorders>
            <w:textDirection w:val="lrTb"/>
            <w:vAlign w:val="center"/>
          </w:tcPr>
          <w:p w:rsidR="004638A2" w:rsidRPr="0072101A" w:rsidP="006F7317">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1 063 368</w:t>
            </w:r>
          </w:p>
        </w:tc>
        <w:tc>
          <w:tcPr>
            <w:tcW w:w="852" w:type="pct"/>
            <w:tcBorders>
              <w:top w:val="nil"/>
              <w:left w:val="nil"/>
              <w:bottom w:val="nil"/>
              <w:right w:val="nil"/>
            </w:tcBorders>
            <w:textDirection w:val="lrTb"/>
            <w:vAlign w:val="center"/>
          </w:tcPr>
          <w:p w:rsidR="004638A2" w:rsidRPr="0072101A" w:rsidP="00FE3590">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1 172 214</w:t>
            </w:r>
          </w:p>
        </w:tc>
      </w:tr>
      <w:tr>
        <w:tblPrEx>
          <w:tblW w:w="4445" w:type="pct"/>
          <w:jc w:val="center"/>
          <w:tblInd w:w="70" w:type="dxa"/>
          <w:tblLayout w:type="fixed"/>
          <w:tblCellMar>
            <w:left w:w="70" w:type="dxa"/>
            <w:right w:w="70" w:type="dxa"/>
          </w:tblCellMar>
          <w:tblLook w:val="00A0"/>
        </w:tblPrEx>
        <w:trPr>
          <w:trHeight w:hRule="exact" w:val="330"/>
          <w:jc w:val="center"/>
        </w:trPr>
        <w:tc>
          <w:tcPr>
            <w:tcW w:w="3282" w:type="pct"/>
            <w:tcBorders>
              <w:top w:val="nil"/>
              <w:left w:val="nil"/>
              <w:bottom w:val="none" w:sz="0" w:space="0" w:color="auto"/>
              <w:right w:val="nil"/>
            </w:tcBorders>
            <w:shd w:val="clear" w:color="000000" w:fill="auto"/>
            <w:textDirection w:val="lrTb"/>
            <w:vAlign w:val="center"/>
          </w:tcPr>
          <w:p w:rsidR="004638A2" w:rsidRPr="0072101A" w:rsidP="00AE400C">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Tovar</w:t>
            </w:r>
          </w:p>
        </w:tc>
        <w:tc>
          <w:tcPr>
            <w:tcW w:w="866" w:type="pct"/>
            <w:tcBorders>
              <w:top w:val="nil"/>
              <w:left w:val="nil"/>
              <w:bottom w:val="none" w:sz="0" w:space="0" w:color="auto"/>
              <w:right w:val="nil"/>
            </w:tcBorders>
            <w:shd w:val="clear" w:color="000000" w:fill="auto"/>
            <w:textDirection w:val="lrTb"/>
            <w:vAlign w:val="center"/>
          </w:tcPr>
          <w:p w:rsidR="004638A2" w:rsidRPr="0072101A" w:rsidP="00AE400C">
            <w:pPr>
              <w:bidi w:val="0"/>
              <w:spacing w:after="0" w:line="240" w:lineRule="auto"/>
              <w:jc w:val="right"/>
              <w:rPr>
                <w:rFonts w:ascii="Times New Roman" w:hAnsi="Times New Roman"/>
                <w:bCs/>
                <w:color w:val="000000"/>
                <w:sz w:val="20"/>
                <w:szCs w:val="20"/>
                <w:lang w:eastAsia="sk-SK"/>
              </w:rPr>
            </w:pPr>
            <w:r>
              <w:rPr>
                <w:rFonts w:ascii="Times New Roman" w:hAnsi="Times New Roman"/>
                <w:bCs/>
                <w:color w:val="000000"/>
                <w:sz w:val="20"/>
                <w:szCs w:val="20"/>
                <w:lang w:eastAsia="sk-SK"/>
              </w:rPr>
              <w:t>649 289</w:t>
            </w:r>
          </w:p>
        </w:tc>
        <w:tc>
          <w:tcPr>
            <w:tcW w:w="852" w:type="pct"/>
            <w:tcBorders>
              <w:top w:val="nil"/>
              <w:left w:val="nil"/>
              <w:bottom w:val="none" w:sz="0" w:space="0" w:color="auto"/>
              <w:right w:val="nil"/>
            </w:tcBorders>
            <w:shd w:val="clear" w:color="000000" w:fill="auto"/>
            <w:textDirection w:val="lrTb"/>
            <w:vAlign w:val="center"/>
          </w:tcPr>
          <w:p w:rsidR="004638A2" w:rsidRPr="0072101A" w:rsidP="00FE3590">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622 522</w:t>
            </w:r>
          </w:p>
        </w:tc>
      </w:tr>
      <w:tr>
        <w:tblPrEx>
          <w:tblW w:w="4445" w:type="pct"/>
          <w:jc w:val="center"/>
          <w:tblInd w:w="70" w:type="dxa"/>
          <w:tblLayout w:type="fixed"/>
          <w:tblCellMar>
            <w:left w:w="70" w:type="dxa"/>
            <w:right w:w="70" w:type="dxa"/>
          </w:tblCellMar>
          <w:tblLook w:val="00A0"/>
        </w:tblPrEx>
        <w:trPr>
          <w:trHeight w:hRule="exact" w:val="330"/>
          <w:jc w:val="center"/>
        </w:trPr>
        <w:tc>
          <w:tcPr>
            <w:tcW w:w="3282" w:type="pct"/>
            <w:tcBorders>
              <w:top w:val="nil"/>
              <w:left w:val="nil"/>
              <w:bottom w:val="none" w:sz="0" w:space="0" w:color="auto"/>
              <w:right w:val="nil"/>
            </w:tcBorders>
            <w:textDirection w:val="lrTb"/>
            <w:vAlign w:val="center"/>
          </w:tcPr>
          <w:p w:rsidR="004638A2" w:rsidRPr="0072101A" w:rsidP="00AE400C">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Výrobky </w:t>
            </w:r>
            <w:r w:rsidRPr="0072101A">
              <w:rPr>
                <w:color w:val="000000"/>
                <w:sz w:val="20"/>
                <w:szCs w:val="20"/>
                <w:lang w:eastAsia="sk-SK"/>
              </w:rPr>
              <w:t> </w:t>
            </w:r>
          </w:p>
        </w:tc>
        <w:tc>
          <w:tcPr>
            <w:tcW w:w="866" w:type="pct"/>
            <w:tcBorders>
              <w:top w:val="nil"/>
              <w:left w:val="nil"/>
              <w:bottom w:val="none" w:sz="0" w:space="0" w:color="auto"/>
              <w:right w:val="nil"/>
            </w:tcBorders>
            <w:textDirection w:val="lrTb"/>
            <w:vAlign w:val="center"/>
          </w:tcPr>
          <w:p w:rsidR="004638A2" w:rsidRPr="0072101A" w:rsidP="00BA2060">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247 801</w:t>
            </w:r>
          </w:p>
        </w:tc>
        <w:tc>
          <w:tcPr>
            <w:tcW w:w="852" w:type="pct"/>
            <w:tcBorders>
              <w:top w:val="nil"/>
              <w:left w:val="nil"/>
              <w:bottom w:val="none" w:sz="0" w:space="0" w:color="auto"/>
              <w:right w:val="nil"/>
            </w:tcBorders>
            <w:textDirection w:val="lrTb"/>
            <w:vAlign w:val="center"/>
          </w:tcPr>
          <w:p w:rsidR="004638A2" w:rsidRPr="0072101A" w:rsidP="00FE3590">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299 475</w:t>
            </w:r>
          </w:p>
        </w:tc>
      </w:tr>
      <w:tr>
        <w:tblPrEx>
          <w:tblW w:w="4445" w:type="pct"/>
          <w:jc w:val="center"/>
          <w:tblInd w:w="70" w:type="dxa"/>
          <w:tblLayout w:type="fixed"/>
          <w:tblCellMar>
            <w:left w:w="70" w:type="dxa"/>
            <w:right w:w="70" w:type="dxa"/>
          </w:tblCellMar>
          <w:tblLook w:val="00A0"/>
        </w:tblPrEx>
        <w:trPr>
          <w:trHeight w:hRule="exact" w:val="292"/>
          <w:jc w:val="center"/>
        </w:trPr>
        <w:tc>
          <w:tcPr>
            <w:tcW w:w="3282" w:type="pct"/>
            <w:tcBorders>
              <w:top w:val="nil"/>
              <w:left w:val="nil"/>
              <w:bottom w:val="nil"/>
              <w:right w:val="nil"/>
            </w:tcBorders>
            <w:textDirection w:val="lrTb"/>
            <w:vAlign w:val="center"/>
          </w:tcPr>
          <w:p w:rsidR="004638A2" w:rsidRPr="0072101A" w:rsidP="006F7317">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Nedokončená výroba a polotovary</w:t>
            </w:r>
          </w:p>
        </w:tc>
        <w:tc>
          <w:tcPr>
            <w:tcW w:w="866" w:type="pct"/>
            <w:tcBorders>
              <w:top w:val="nil"/>
              <w:left w:val="nil"/>
              <w:bottom w:val="nil"/>
              <w:right w:val="nil"/>
            </w:tcBorders>
            <w:textDirection w:val="lrTb"/>
            <w:vAlign w:val="center"/>
          </w:tcPr>
          <w:p w:rsidR="004638A2" w:rsidRPr="0072101A" w:rsidP="006F7317">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19 494</w:t>
            </w:r>
          </w:p>
        </w:tc>
        <w:tc>
          <w:tcPr>
            <w:tcW w:w="852" w:type="pct"/>
            <w:tcBorders>
              <w:top w:val="nil"/>
              <w:left w:val="nil"/>
              <w:bottom w:val="nil"/>
              <w:right w:val="nil"/>
            </w:tcBorders>
            <w:textDirection w:val="lrTb"/>
            <w:vAlign w:val="center"/>
          </w:tcPr>
          <w:p w:rsidR="004638A2" w:rsidRPr="0072101A" w:rsidP="00FE3590">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13 080</w:t>
            </w:r>
          </w:p>
        </w:tc>
      </w:tr>
      <w:tr>
        <w:tblPrEx>
          <w:tblW w:w="4445" w:type="pct"/>
          <w:jc w:val="center"/>
          <w:tblInd w:w="70" w:type="dxa"/>
          <w:tblLayout w:type="fixed"/>
          <w:tblCellMar>
            <w:left w:w="70" w:type="dxa"/>
            <w:right w:w="70" w:type="dxa"/>
          </w:tblCellMar>
          <w:tblLook w:val="00A0"/>
        </w:tblPrEx>
        <w:trPr>
          <w:trHeight w:hRule="exact" w:val="330"/>
          <w:jc w:val="center"/>
        </w:trPr>
        <w:tc>
          <w:tcPr>
            <w:tcW w:w="3282" w:type="pct"/>
            <w:tcBorders>
              <w:top w:val="nil"/>
              <w:left w:val="nil"/>
              <w:bottom w:val="none" w:sz="0" w:space="0" w:color="auto"/>
              <w:right w:val="nil"/>
            </w:tcBorders>
            <w:shd w:val="clear" w:color="000000" w:fill="auto"/>
            <w:textDirection w:val="lrTb"/>
            <w:vAlign w:val="center"/>
          </w:tcPr>
          <w:p w:rsidR="004638A2" w:rsidRPr="0072101A" w:rsidP="006F7317">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Zvieratá</w:t>
            </w:r>
          </w:p>
        </w:tc>
        <w:tc>
          <w:tcPr>
            <w:tcW w:w="866" w:type="pct"/>
            <w:tcBorders>
              <w:top w:val="nil"/>
              <w:left w:val="nil"/>
              <w:bottom w:val="none" w:sz="0" w:space="0" w:color="auto"/>
              <w:right w:val="nil"/>
            </w:tcBorders>
            <w:shd w:val="clear" w:color="000000" w:fill="auto"/>
            <w:textDirection w:val="lrTb"/>
            <w:vAlign w:val="center"/>
          </w:tcPr>
          <w:p w:rsidR="004638A2" w:rsidRPr="0072101A" w:rsidP="004638A2">
            <w:pPr>
              <w:bidi w:val="0"/>
              <w:spacing w:after="0" w:line="240" w:lineRule="auto"/>
              <w:jc w:val="right"/>
              <w:rPr>
                <w:rFonts w:ascii="Times New Roman" w:hAnsi="Times New Roman"/>
                <w:bCs/>
                <w:color w:val="000000"/>
                <w:sz w:val="20"/>
                <w:szCs w:val="20"/>
                <w:lang w:eastAsia="sk-SK"/>
              </w:rPr>
            </w:pPr>
            <w:r>
              <w:rPr>
                <w:rFonts w:ascii="Times New Roman" w:hAnsi="Times New Roman"/>
                <w:bCs/>
                <w:color w:val="000000"/>
                <w:sz w:val="20"/>
                <w:szCs w:val="20"/>
                <w:lang w:eastAsia="sk-SK"/>
              </w:rPr>
              <w:t>2 130</w:t>
            </w:r>
          </w:p>
        </w:tc>
        <w:tc>
          <w:tcPr>
            <w:tcW w:w="852" w:type="pct"/>
            <w:tcBorders>
              <w:top w:val="nil"/>
              <w:left w:val="nil"/>
              <w:bottom w:val="none" w:sz="0" w:space="0" w:color="auto"/>
              <w:right w:val="nil"/>
            </w:tcBorders>
            <w:shd w:val="clear" w:color="000000" w:fill="auto"/>
            <w:textDirection w:val="lrTb"/>
            <w:vAlign w:val="center"/>
          </w:tcPr>
          <w:p w:rsidR="004638A2" w:rsidRPr="0072101A" w:rsidP="00FE3590">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2 233</w:t>
            </w:r>
          </w:p>
        </w:tc>
      </w:tr>
      <w:tr>
        <w:tblPrEx>
          <w:tblW w:w="4445" w:type="pct"/>
          <w:jc w:val="center"/>
          <w:tblInd w:w="70" w:type="dxa"/>
          <w:tblLayout w:type="fixed"/>
          <w:tblCellMar>
            <w:left w:w="70" w:type="dxa"/>
            <w:right w:w="70" w:type="dxa"/>
          </w:tblCellMar>
          <w:tblLook w:val="00A0"/>
        </w:tblPrEx>
        <w:trPr>
          <w:trHeight w:hRule="exact" w:val="330"/>
          <w:jc w:val="center"/>
        </w:trPr>
        <w:tc>
          <w:tcPr>
            <w:tcW w:w="3282" w:type="pct"/>
            <w:tcBorders>
              <w:top w:val="nil"/>
              <w:left w:val="nil"/>
              <w:bottom w:val="single" w:sz="4" w:space="0" w:color="000000"/>
              <w:right w:val="nil"/>
            </w:tcBorders>
            <w:shd w:val="clear" w:color="000000" w:fill="auto"/>
            <w:textDirection w:val="lrTb"/>
            <w:vAlign w:val="center"/>
          </w:tcPr>
          <w:p w:rsidR="004638A2" w:rsidRPr="0072101A" w:rsidP="006F7317">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Spolu</w:t>
            </w:r>
          </w:p>
        </w:tc>
        <w:tc>
          <w:tcPr>
            <w:tcW w:w="866" w:type="pct"/>
            <w:tcBorders>
              <w:top w:val="nil"/>
              <w:left w:val="nil"/>
              <w:bottom w:val="single" w:sz="4" w:space="0" w:color="000000"/>
              <w:right w:val="nil"/>
            </w:tcBorders>
            <w:shd w:val="clear" w:color="000000" w:fill="auto"/>
            <w:textDirection w:val="lrTb"/>
            <w:vAlign w:val="center"/>
          </w:tcPr>
          <w:p w:rsidR="004638A2" w:rsidRPr="0072101A" w:rsidP="005C35F2">
            <w:pPr>
              <w:bidi w:val="0"/>
              <w:spacing w:after="0" w:line="240" w:lineRule="auto"/>
              <w:jc w:val="right"/>
              <w:rPr>
                <w:rFonts w:ascii="Times New Roman" w:hAnsi="Times New Roman"/>
                <w:b/>
                <w:bCs/>
                <w:color w:val="000000"/>
                <w:sz w:val="20"/>
                <w:szCs w:val="20"/>
                <w:lang w:eastAsia="sk-SK"/>
              </w:rPr>
            </w:pPr>
            <w:r>
              <w:rPr>
                <w:rFonts w:ascii="Times New Roman" w:hAnsi="Times New Roman"/>
                <w:b/>
                <w:bCs/>
                <w:color w:val="000000"/>
                <w:sz w:val="20"/>
                <w:szCs w:val="20"/>
                <w:lang w:eastAsia="sk-SK"/>
              </w:rPr>
              <w:t>1 982 082</w:t>
            </w:r>
          </w:p>
        </w:tc>
        <w:tc>
          <w:tcPr>
            <w:tcW w:w="852" w:type="pct"/>
            <w:tcBorders>
              <w:top w:val="nil"/>
              <w:left w:val="nil"/>
              <w:bottom w:val="single" w:sz="4" w:space="0" w:color="000000"/>
              <w:right w:val="nil"/>
            </w:tcBorders>
            <w:shd w:val="clear" w:color="000000" w:fill="auto"/>
            <w:textDirection w:val="lrTb"/>
            <w:vAlign w:val="center"/>
          </w:tcPr>
          <w:p w:rsidR="004638A2" w:rsidRPr="0072101A" w:rsidP="00FE3590">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2 109 524</w:t>
            </w:r>
          </w:p>
        </w:tc>
      </w:tr>
    </w:tbl>
    <w:p w:rsidR="00C45C0C" w:rsidRPr="0072101A" w:rsidP="00C45C0C">
      <w:pPr>
        <w:bidi w:val="0"/>
        <w:spacing w:before="240" w:after="120" w:line="336" w:lineRule="auto"/>
        <w:jc w:val="both"/>
        <w:rPr>
          <w:rFonts w:ascii="Times New Roman" w:hAnsi="Times New Roman"/>
          <w:bCs/>
          <w:szCs w:val="22"/>
          <w:lang w:eastAsia="sk-SK"/>
        </w:rPr>
      </w:pPr>
      <w:r w:rsidRPr="0072101A" w:rsidR="002D6290">
        <w:rPr>
          <w:rFonts w:ascii="Times New Roman" w:hAnsi="Times New Roman"/>
          <w:bCs/>
          <w:szCs w:val="22"/>
          <w:lang w:eastAsia="sk-SK"/>
        </w:rPr>
        <w:t xml:space="preserve">Na celkovej hodnote zásob sa podieľa najviac ústredná štátna správa </w:t>
      </w:r>
      <w:r w:rsidRPr="0072101A" w:rsidR="00737457">
        <w:rPr>
          <w:rFonts w:ascii="Times New Roman" w:hAnsi="Times New Roman"/>
          <w:bCs/>
          <w:szCs w:val="22"/>
          <w:lang w:eastAsia="sk-SK"/>
        </w:rPr>
        <w:t>(</w:t>
      </w:r>
      <w:r w:rsidR="006C14A5">
        <w:rPr>
          <w:rFonts w:ascii="Times New Roman" w:hAnsi="Times New Roman"/>
          <w:bCs/>
          <w:szCs w:val="22"/>
          <w:lang w:eastAsia="sk-SK"/>
        </w:rPr>
        <w:t>1 355 111</w:t>
      </w:r>
      <w:r w:rsidRPr="0072101A" w:rsidR="00737457">
        <w:rPr>
          <w:rFonts w:ascii="Times New Roman" w:hAnsi="Times New Roman"/>
          <w:bCs/>
          <w:szCs w:val="22"/>
          <w:lang w:eastAsia="sk-SK"/>
        </w:rPr>
        <w:t xml:space="preserve"> tis. eur) </w:t>
      </w:r>
      <w:r w:rsidRPr="0072101A" w:rsidR="002D6290">
        <w:rPr>
          <w:rFonts w:ascii="Times New Roman" w:hAnsi="Times New Roman"/>
          <w:bCs/>
          <w:szCs w:val="22"/>
          <w:lang w:eastAsia="sk-SK"/>
        </w:rPr>
        <w:t>a v rámci nej Ministerstvo obrany SR (</w:t>
      </w:r>
      <w:r w:rsidR="000310DF">
        <w:rPr>
          <w:rFonts w:ascii="Times New Roman" w:hAnsi="Times New Roman"/>
          <w:bCs/>
          <w:szCs w:val="22"/>
          <w:lang w:eastAsia="sk-SK"/>
        </w:rPr>
        <w:t>837 431</w:t>
      </w:r>
      <w:r w:rsidRPr="0072101A" w:rsidR="002D6290">
        <w:rPr>
          <w:rFonts w:ascii="Times New Roman" w:hAnsi="Times New Roman"/>
          <w:bCs/>
          <w:szCs w:val="22"/>
          <w:lang w:eastAsia="sk-SK"/>
        </w:rPr>
        <w:t xml:space="preserve"> </w:t>
      </w:r>
      <w:r w:rsidRPr="0072101A" w:rsidR="007F39AA">
        <w:rPr>
          <w:rFonts w:ascii="Times New Roman" w:hAnsi="Times New Roman"/>
          <w:bCs/>
          <w:szCs w:val="22"/>
          <w:lang w:eastAsia="sk-SK"/>
        </w:rPr>
        <w:t>tis</w:t>
      </w:r>
      <w:r w:rsidRPr="0072101A" w:rsidR="002D6290">
        <w:rPr>
          <w:rFonts w:ascii="Times New Roman" w:hAnsi="Times New Roman"/>
          <w:bCs/>
          <w:szCs w:val="22"/>
          <w:lang w:eastAsia="sk-SK"/>
        </w:rPr>
        <w:t>. eur),</w:t>
      </w:r>
      <w:r w:rsidRPr="0072101A" w:rsidR="00737457">
        <w:rPr>
          <w:rFonts w:ascii="Times New Roman" w:hAnsi="Times New Roman"/>
          <w:bCs/>
          <w:szCs w:val="22"/>
          <w:lang w:eastAsia="sk-SK"/>
        </w:rPr>
        <w:t xml:space="preserve"> </w:t>
      </w:r>
      <w:r w:rsidR="000310DF">
        <w:rPr>
          <w:rFonts w:ascii="Times New Roman" w:hAnsi="Times New Roman"/>
          <w:bCs/>
          <w:szCs w:val="22"/>
          <w:lang w:eastAsia="sk-SK"/>
        </w:rPr>
        <w:t>SPP, a.s.</w:t>
      </w:r>
      <w:r w:rsidRPr="0072101A" w:rsidR="00737457">
        <w:rPr>
          <w:rFonts w:ascii="Times New Roman" w:hAnsi="Times New Roman"/>
          <w:bCs/>
          <w:szCs w:val="22"/>
          <w:lang w:eastAsia="sk-SK"/>
        </w:rPr>
        <w:t xml:space="preserve"> (</w:t>
      </w:r>
      <w:r w:rsidR="000310DF">
        <w:rPr>
          <w:rFonts w:ascii="Times New Roman" w:hAnsi="Times New Roman"/>
          <w:bCs/>
          <w:szCs w:val="22"/>
          <w:lang w:eastAsia="sk-SK"/>
        </w:rPr>
        <w:t>226 244</w:t>
      </w:r>
      <w:r w:rsidRPr="0072101A" w:rsidR="00737457">
        <w:rPr>
          <w:rFonts w:ascii="Times New Roman" w:hAnsi="Times New Roman"/>
          <w:bCs/>
          <w:szCs w:val="22"/>
          <w:lang w:eastAsia="sk-SK"/>
        </w:rPr>
        <w:t xml:space="preserve"> tis. eur),</w:t>
      </w:r>
      <w:r w:rsidRPr="0072101A" w:rsidR="002D6290">
        <w:rPr>
          <w:rFonts w:ascii="Times New Roman" w:hAnsi="Times New Roman"/>
          <w:bCs/>
          <w:szCs w:val="22"/>
          <w:lang w:eastAsia="sk-SK"/>
        </w:rPr>
        <w:t xml:space="preserve"> Správa štátnych hmotných rezerv </w:t>
      </w:r>
      <w:r w:rsidRPr="0072101A" w:rsidR="00BA2060">
        <w:rPr>
          <w:rFonts w:ascii="Times New Roman" w:hAnsi="Times New Roman"/>
          <w:bCs/>
          <w:szCs w:val="22"/>
          <w:lang w:eastAsia="sk-SK"/>
        </w:rPr>
        <w:t xml:space="preserve">SR </w:t>
      </w:r>
      <w:r w:rsidRPr="0072101A" w:rsidR="002D6290">
        <w:rPr>
          <w:rFonts w:ascii="Times New Roman" w:hAnsi="Times New Roman"/>
          <w:bCs/>
          <w:szCs w:val="22"/>
          <w:lang w:eastAsia="sk-SK"/>
        </w:rPr>
        <w:t>(</w:t>
      </w:r>
      <w:r w:rsidRPr="0072101A" w:rsidR="006A311D">
        <w:rPr>
          <w:rFonts w:ascii="Times New Roman" w:hAnsi="Times New Roman"/>
          <w:bCs/>
          <w:szCs w:val="22"/>
          <w:lang w:eastAsia="sk-SK"/>
        </w:rPr>
        <w:t>11</w:t>
      </w:r>
      <w:r w:rsidR="000310DF">
        <w:rPr>
          <w:rFonts w:ascii="Times New Roman" w:hAnsi="Times New Roman"/>
          <w:bCs/>
          <w:szCs w:val="22"/>
          <w:lang w:eastAsia="sk-SK"/>
        </w:rPr>
        <w:t>2</w:t>
      </w:r>
      <w:r w:rsidRPr="0072101A" w:rsidR="006A311D">
        <w:rPr>
          <w:rFonts w:ascii="Times New Roman" w:hAnsi="Times New Roman"/>
          <w:bCs/>
          <w:szCs w:val="22"/>
          <w:lang w:eastAsia="sk-SK"/>
        </w:rPr>
        <w:t xml:space="preserve"> </w:t>
      </w:r>
      <w:r w:rsidR="000310DF">
        <w:rPr>
          <w:rFonts w:ascii="Times New Roman" w:hAnsi="Times New Roman"/>
          <w:bCs/>
          <w:szCs w:val="22"/>
          <w:lang w:eastAsia="sk-SK"/>
        </w:rPr>
        <w:t>702</w:t>
      </w:r>
      <w:r w:rsidRPr="0072101A" w:rsidR="002D6290">
        <w:rPr>
          <w:rFonts w:ascii="Times New Roman" w:hAnsi="Times New Roman"/>
          <w:bCs/>
          <w:szCs w:val="22"/>
          <w:lang w:eastAsia="sk-SK"/>
        </w:rPr>
        <w:t xml:space="preserve"> </w:t>
      </w:r>
      <w:r w:rsidRPr="0072101A" w:rsidR="007F39AA">
        <w:rPr>
          <w:rFonts w:ascii="Times New Roman" w:hAnsi="Times New Roman"/>
          <w:bCs/>
          <w:szCs w:val="22"/>
          <w:lang w:eastAsia="sk-SK"/>
        </w:rPr>
        <w:t>tis</w:t>
      </w:r>
      <w:r w:rsidRPr="0072101A" w:rsidR="002D6290">
        <w:rPr>
          <w:rFonts w:ascii="Times New Roman" w:hAnsi="Times New Roman"/>
          <w:bCs/>
          <w:szCs w:val="22"/>
          <w:lang w:eastAsia="sk-SK"/>
        </w:rPr>
        <w:t>. eur) a Ministerstvo vnútra SR (</w:t>
      </w:r>
      <w:r w:rsidRPr="0072101A" w:rsidR="00737457">
        <w:rPr>
          <w:rFonts w:ascii="Times New Roman" w:hAnsi="Times New Roman"/>
          <w:bCs/>
          <w:szCs w:val="22"/>
          <w:lang w:eastAsia="sk-SK"/>
        </w:rPr>
        <w:t>6</w:t>
      </w:r>
      <w:r w:rsidR="000310DF">
        <w:rPr>
          <w:rFonts w:ascii="Times New Roman" w:hAnsi="Times New Roman"/>
          <w:bCs/>
          <w:szCs w:val="22"/>
          <w:lang w:eastAsia="sk-SK"/>
        </w:rPr>
        <w:t>3</w:t>
      </w:r>
      <w:r w:rsidRPr="0072101A" w:rsidR="00737457">
        <w:rPr>
          <w:rFonts w:ascii="Times New Roman" w:hAnsi="Times New Roman"/>
          <w:bCs/>
          <w:szCs w:val="22"/>
          <w:lang w:eastAsia="sk-SK"/>
        </w:rPr>
        <w:t xml:space="preserve"> </w:t>
      </w:r>
      <w:r w:rsidR="000310DF">
        <w:rPr>
          <w:rFonts w:ascii="Times New Roman" w:hAnsi="Times New Roman"/>
          <w:bCs/>
          <w:szCs w:val="22"/>
          <w:lang w:eastAsia="sk-SK"/>
        </w:rPr>
        <w:t>908</w:t>
      </w:r>
      <w:r w:rsidRPr="0072101A" w:rsidR="002D6290">
        <w:rPr>
          <w:rFonts w:ascii="Times New Roman" w:hAnsi="Times New Roman"/>
          <w:bCs/>
          <w:szCs w:val="22"/>
          <w:lang w:eastAsia="sk-SK"/>
        </w:rPr>
        <w:t xml:space="preserve"> </w:t>
      </w:r>
      <w:r w:rsidRPr="0072101A" w:rsidR="007F39AA">
        <w:rPr>
          <w:rFonts w:ascii="Times New Roman" w:hAnsi="Times New Roman"/>
          <w:bCs/>
          <w:szCs w:val="22"/>
          <w:lang w:eastAsia="sk-SK"/>
        </w:rPr>
        <w:t>tis</w:t>
      </w:r>
      <w:r w:rsidRPr="0072101A" w:rsidR="002D6290">
        <w:rPr>
          <w:rFonts w:ascii="Times New Roman" w:hAnsi="Times New Roman"/>
          <w:bCs/>
          <w:szCs w:val="22"/>
          <w:lang w:eastAsia="sk-SK"/>
        </w:rPr>
        <w:t xml:space="preserve">. eur). Ide najmä o materiál </w:t>
      </w:r>
      <w:r w:rsidRPr="0072101A" w:rsidR="006A311D">
        <w:rPr>
          <w:rFonts w:ascii="Times New Roman" w:hAnsi="Times New Roman"/>
          <w:bCs/>
          <w:szCs w:val="22"/>
          <w:lang w:eastAsia="sk-SK"/>
        </w:rPr>
        <w:t>vojenského a obranného charakteru, núdzové zásoby Slovenskej republiky</w:t>
      </w:r>
      <w:r w:rsidR="006C14A5">
        <w:rPr>
          <w:rFonts w:ascii="Times New Roman" w:hAnsi="Times New Roman"/>
          <w:bCs/>
          <w:szCs w:val="22"/>
          <w:lang w:eastAsia="sk-SK"/>
        </w:rPr>
        <w:t>,</w:t>
      </w:r>
      <w:r w:rsidRPr="0072101A" w:rsidR="006A311D">
        <w:rPr>
          <w:rFonts w:ascii="Times New Roman" w:hAnsi="Times New Roman"/>
          <w:bCs/>
          <w:szCs w:val="22"/>
          <w:lang w:eastAsia="sk-SK"/>
        </w:rPr>
        <w:t xml:space="preserve"> spotrebný </w:t>
      </w:r>
      <w:r w:rsidRPr="0072101A" w:rsidR="004A3879">
        <w:rPr>
          <w:rFonts w:ascii="Times New Roman" w:hAnsi="Times New Roman"/>
          <w:bCs/>
          <w:szCs w:val="22"/>
          <w:lang w:eastAsia="sk-SK"/>
        </w:rPr>
        <w:t>materiál</w:t>
      </w:r>
      <w:r w:rsidR="006C14A5">
        <w:rPr>
          <w:rFonts w:ascii="Times New Roman" w:hAnsi="Times New Roman"/>
          <w:bCs/>
          <w:szCs w:val="22"/>
          <w:lang w:eastAsia="sk-SK"/>
        </w:rPr>
        <w:t>, zdravotnícky materiál a podobne.</w:t>
      </w:r>
    </w:p>
    <w:p w:rsidR="006C14A5" w:rsidP="00DC1327">
      <w:pPr>
        <w:bidi w:val="0"/>
        <w:spacing w:before="180" w:after="120" w:line="336" w:lineRule="auto"/>
        <w:jc w:val="both"/>
        <w:rPr>
          <w:rFonts w:ascii="Times New Roman" w:hAnsi="Times New Roman"/>
          <w:bCs/>
          <w:szCs w:val="22"/>
          <w:lang w:eastAsia="sk-SK"/>
        </w:rPr>
      </w:pPr>
      <w:r>
        <w:rPr>
          <w:rFonts w:ascii="Times New Roman" w:hAnsi="Times New Roman"/>
          <w:bCs/>
          <w:szCs w:val="22"/>
          <w:lang w:eastAsia="sk-SK"/>
        </w:rPr>
        <w:t xml:space="preserve">Z ostatných subjektov súhrnného celku vykazuje významnú hodnotu zásob </w:t>
      </w:r>
      <w:r w:rsidRPr="0072101A" w:rsidR="00737457">
        <w:rPr>
          <w:rFonts w:ascii="Times New Roman" w:hAnsi="Times New Roman"/>
          <w:bCs/>
          <w:szCs w:val="22"/>
          <w:lang w:eastAsia="sk-SK"/>
        </w:rPr>
        <w:t>Agentúr</w:t>
      </w:r>
      <w:r>
        <w:rPr>
          <w:rFonts w:ascii="Times New Roman" w:hAnsi="Times New Roman"/>
          <w:bCs/>
          <w:szCs w:val="22"/>
          <w:lang w:eastAsia="sk-SK"/>
        </w:rPr>
        <w:t>a</w:t>
      </w:r>
      <w:r w:rsidRPr="0072101A" w:rsidR="00737457">
        <w:rPr>
          <w:rFonts w:ascii="Times New Roman" w:hAnsi="Times New Roman"/>
          <w:bCs/>
          <w:szCs w:val="22"/>
          <w:lang w:eastAsia="sk-SK"/>
        </w:rPr>
        <w:t xml:space="preserve"> pre núdzové zásoby ropy a ropných </w:t>
      </w:r>
      <w:r>
        <w:rPr>
          <w:rFonts w:ascii="Times New Roman" w:hAnsi="Times New Roman"/>
          <w:bCs/>
          <w:szCs w:val="22"/>
          <w:lang w:eastAsia="sk-SK"/>
        </w:rPr>
        <w:t>výrobkov, ktorá bola do súhrnného celku zaradená v roku 2014. Hodnota jej zásob</w:t>
      </w:r>
      <w:r w:rsidR="000310DF">
        <w:rPr>
          <w:rFonts w:ascii="Times New Roman" w:hAnsi="Times New Roman"/>
          <w:bCs/>
          <w:szCs w:val="22"/>
          <w:lang w:eastAsia="sk-SK"/>
        </w:rPr>
        <w:t xml:space="preserve"> na položke tovar</w:t>
      </w:r>
      <w:r>
        <w:rPr>
          <w:rFonts w:ascii="Times New Roman" w:hAnsi="Times New Roman"/>
          <w:bCs/>
          <w:szCs w:val="22"/>
          <w:lang w:eastAsia="sk-SK"/>
        </w:rPr>
        <w:t xml:space="preserve"> predstavuje 526 165 tis. eur a ide najmä o zásoby ropy a ropných výrobkov, kto</w:t>
      </w:r>
      <w:r w:rsidR="006C48DD">
        <w:rPr>
          <w:rFonts w:ascii="Times New Roman" w:hAnsi="Times New Roman"/>
          <w:bCs/>
          <w:szCs w:val="22"/>
          <w:lang w:eastAsia="sk-SK"/>
        </w:rPr>
        <w:t>rých správu prevzala od</w:t>
      </w:r>
      <w:r>
        <w:rPr>
          <w:rFonts w:ascii="Times New Roman" w:hAnsi="Times New Roman"/>
          <w:bCs/>
          <w:szCs w:val="22"/>
          <w:lang w:eastAsia="sk-SK"/>
        </w:rPr>
        <w:t xml:space="preserve"> Správy štátnych hmotných rezerv v roku 2014.</w:t>
      </w:r>
      <w:r w:rsidR="000310DF">
        <w:rPr>
          <w:rFonts w:ascii="Times New Roman" w:hAnsi="Times New Roman"/>
          <w:bCs/>
          <w:szCs w:val="22"/>
          <w:lang w:eastAsia="sk-SK"/>
        </w:rPr>
        <w:t xml:space="preserve"> </w:t>
      </w:r>
    </w:p>
    <w:p w:rsidR="00FE3590" w:rsidP="00DC1327">
      <w:pPr>
        <w:bidi w:val="0"/>
        <w:spacing w:before="180" w:after="120" w:line="336" w:lineRule="auto"/>
        <w:jc w:val="both"/>
        <w:rPr>
          <w:rFonts w:ascii="Times New Roman" w:hAnsi="Times New Roman"/>
          <w:bCs/>
          <w:szCs w:val="22"/>
          <w:lang w:eastAsia="sk-SK"/>
        </w:rPr>
      </w:pPr>
      <w:r>
        <w:rPr>
          <w:rFonts w:ascii="Times New Roman" w:hAnsi="Times New Roman"/>
          <w:bCs/>
          <w:szCs w:val="22"/>
          <w:lang w:eastAsia="sk-SK"/>
        </w:rPr>
        <w:t xml:space="preserve">Na hodnote </w:t>
      </w:r>
      <w:r w:rsidRPr="001B66E5">
        <w:rPr>
          <w:rFonts w:ascii="Times New Roman" w:hAnsi="Times New Roman"/>
          <w:bCs/>
          <w:szCs w:val="22"/>
          <w:u w:val="single"/>
          <w:lang w:eastAsia="sk-SK"/>
        </w:rPr>
        <w:t>výrobkov</w:t>
      </w:r>
      <w:r>
        <w:rPr>
          <w:rFonts w:ascii="Times New Roman" w:hAnsi="Times New Roman"/>
          <w:bCs/>
          <w:szCs w:val="22"/>
          <w:lang w:eastAsia="sk-SK"/>
        </w:rPr>
        <w:t xml:space="preserve"> sa </w:t>
      </w:r>
      <w:r w:rsidRPr="001B66E5">
        <w:rPr>
          <w:rFonts w:ascii="Times New Roman" w:hAnsi="Times New Roman"/>
          <w:bCs/>
          <w:szCs w:val="22"/>
          <w:lang w:eastAsia="sk-SK"/>
        </w:rPr>
        <w:t xml:space="preserve">podieľa najmä spoločnosť SPP, a.s. </w:t>
      </w:r>
      <w:r w:rsidRPr="001B66E5" w:rsidR="00737457">
        <w:rPr>
          <w:rFonts w:ascii="Times New Roman" w:hAnsi="Times New Roman"/>
          <w:bCs/>
          <w:szCs w:val="22"/>
          <w:lang w:eastAsia="sk-SK"/>
        </w:rPr>
        <w:t>(2</w:t>
      </w:r>
      <w:r w:rsidRPr="001B66E5">
        <w:rPr>
          <w:rFonts w:ascii="Times New Roman" w:hAnsi="Times New Roman"/>
          <w:bCs/>
          <w:szCs w:val="22"/>
          <w:lang w:eastAsia="sk-SK"/>
        </w:rPr>
        <w:t>26</w:t>
      </w:r>
      <w:r w:rsidRPr="001B66E5" w:rsidR="00737457">
        <w:rPr>
          <w:rFonts w:ascii="Times New Roman" w:hAnsi="Times New Roman"/>
          <w:bCs/>
          <w:szCs w:val="22"/>
          <w:lang w:eastAsia="sk-SK"/>
        </w:rPr>
        <w:t> </w:t>
      </w:r>
      <w:r w:rsidRPr="001B66E5">
        <w:rPr>
          <w:rFonts w:ascii="Times New Roman" w:hAnsi="Times New Roman"/>
          <w:bCs/>
          <w:szCs w:val="22"/>
          <w:lang w:eastAsia="sk-SK"/>
        </w:rPr>
        <w:t>238</w:t>
      </w:r>
      <w:r w:rsidRPr="001B66E5" w:rsidR="00737457">
        <w:rPr>
          <w:rFonts w:ascii="Times New Roman" w:hAnsi="Times New Roman"/>
          <w:bCs/>
          <w:szCs w:val="22"/>
          <w:lang w:eastAsia="sk-SK"/>
        </w:rPr>
        <w:t xml:space="preserve"> tis. eur)</w:t>
      </w:r>
      <w:r w:rsidRPr="001B66E5" w:rsidR="001B66E5">
        <w:rPr>
          <w:rFonts w:ascii="Times New Roman" w:hAnsi="Times New Roman"/>
          <w:bCs/>
          <w:szCs w:val="22"/>
          <w:lang w:eastAsia="sk-SK"/>
        </w:rPr>
        <w:t xml:space="preserve"> v podobe hodnoty zemného plynu</w:t>
      </w:r>
      <w:r w:rsidR="001B66E5">
        <w:rPr>
          <w:rFonts w:ascii="Times New Roman" w:hAnsi="Times New Roman"/>
          <w:bCs/>
          <w:szCs w:val="22"/>
          <w:lang w:eastAsia="sk-SK"/>
        </w:rPr>
        <w:t xml:space="preserve"> určeného na predaj</w:t>
      </w:r>
      <w:r w:rsidRPr="001B66E5" w:rsidR="00737457">
        <w:rPr>
          <w:rFonts w:ascii="Times New Roman" w:hAnsi="Times New Roman"/>
          <w:bCs/>
          <w:szCs w:val="22"/>
          <w:lang w:eastAsia="sk-SK"/>
        </w:rPr>
        <w:t>.</w:t>
      </w:r>
      <w:r w:rsidRPr="001B66E5">
        <w:rPr>
          <w:rFonts w:ascii="Times New Roman" w:hAnsi="Times New Roman"/>
          <w:bCs/>
          <w:szCs w:val="22"/>
          <w:lang w:eastAsia="sk-SK"/>
        </w:rPr>
        <w:t xml:space="preserve"> Na hodnote </w:t>
      </w:r>
      <w:r w:rsidRPr="001B66E5">
        <w:rPr>
          <w:rFonts w:ascii="Times New Roman" w:hAnsi="Times New Roman"/>
          <w:bCs/>
          <w:szCs w:val="22"/>
          <w:u w:val="single"/>
          <w:lang w:eastAsia="sk-SK"/>
        </w:rPr>
        <w:t>materiál</w:t>
      </w:r>
      <w:r w:rsidRPr="001B66E5">
        <w:rPr>
          <w:rFonts w:ascii="Times New Roman" w:hAnsi="Times New Roman"/>
          <w:bCs/>
          <w:szCs w:val="22"/>
          <w:lang w:eastAsia="sk-SK"/>
        </w:rPr>
        <w:t xml:space="preserve"> sa podieľa najmä Ministerstvo obrany SR (837</w:t>
      </w:r>
      <w:r>
        <w:rPr>
          <w:rFonts w:ascii="Times New Roman" w:hAnsi="Times New Roman"/>
          <w:bCs/>
          <w:szCs w:val="22"/>
          <w:lang w:eastAsia="sk-SK"/>
        </w:rPr>
        <w:t> 431 tis. eur) a Ministerstvo vnútra SR (63 682 tis. eur). Medziročný úbytok celkových zásob bol spôsobený hlavne na položke materiál a to u Ministerstva obrany</w:t>
      </w:r>
      <w:r w:rsidR="000751EF">
        <w:rPr>
          <w:rFonts w:ascii="Times New Roman" w:hAnsi="Times New Roman"/>
          <w:bCs/>
          <w:szCs w:val="22"/>
          <w:lang w:eastAsia="sk-SK"/>
        </w:rPr>
        <w:t xml:space="preserve"> SR</w:t>
      </w:r>
      <w:r>
        <w:rPr>
          <w:rFonts w:ascii="Times New Roman" w:hAnsi="Times New Roman"/>
          <w:bCs/>
          <w:szCs w:val="22"/>
          <w:lang w:eastAsia="sk-SK"/>
        </w:rPr>
        <w:t xml:space="preserve"> o 107 673 tis. eur z dôvodu pokračujúceho prehodnocovania využiteľnosti zásob a ich zostatkovej hodnoty. Medziročne Ministerstvo obrany SR vytvorilo k zásobám opravné položky vyššie o 49 453 tis. eur</w:t>
      </w:r>
      <w:r w:rsidR="003435D4">
        <w:rPr>
          <w:rFonts w:ascii="Times New Roman" w:hAnsi="Times New Roman"/>
          <w:bCs/>
          <w:szCs w:val="22"/>
          <w:lang w:eastAsia="sk-SK"/>
        </w:rPr>
        <w:t>, čo je jeden z faktorov nižšej hodnoty materiálu. Ďalej dochádza aj k samotnému vyraďovaniu nepotrebných zásob.</w:t>
      </w:r>
    </w:p>
    <w:p w:rsidR="002D6290" w:rsidRPr="0072101A" w:rsidP="003601E3">
      <w:pPr>
        <w:bidi w:val="0"/>
        <w:spacing w:before="200" w:line="336" w:lineRule="auto"/>
        <w:jc w:val="both"/>
        <w:rPr>
          <w:rFonts w:ascii="Times New Roman" w:hAnsi="Times New Roman"/>
          <w:b/>
          <w:sz w:val="24"/>
          <w:szCs w:val="24"/>
          <w:lang w:eastAsia="sk-SK"/>
        </w:rPr>
      </w:pPr>
      <w:r w:rsidRPr="0072101A">
        <w:rPr>
          <w:rFonts w:ascii="Times New Roman" w:hAnsi="Times New Roman"/>
          <w:b/>
          <w:sz w:val="24"/>
          <w:szCs w:val="24"/>
          <w:lang w:eastAsia="sk-SK"/>
        </w:rPr>
        <w:t xml:space="preserve">B.II. Zúčtovanie medzi </w:t>
      </w:r>
      <w:r w:rsidRPr="0072101A" w:rsidR="0086279B">
        <w:rPr>
          <w:rFonts w:ascii="Times New Roman" w:hAnsi="Times New Roman"/>
          <w:b/>
          <w:sz w:val="24"/>
          <w:szCs w:val="24"/>
          <w:lang w:eastAsia="sk-SK"/>
        </w:rPr>
        <w:t>subjektmi</w:t>
      </w:r>
      <w:r w:rsidRPr="0072101A">
        <w:rPr>
          <w:rFonts w:ascii="Times New Roman" w:hAnsi="Times New Roman"/>
          <w:b/>
          <w:sz w:val="24"/>
          <w:szCs w:val="24"/>
          <w:lang w:eastAsia="sk-SK"/>
        </w:rPr>
        <w:t xml:space="preserve"> verejnej správy </w:t>
      </w:r>
    </w:p>
    <w:p w:rsidR="007B69C7" w:rsidRPr="00BC17C4" w:rsidP="007B69C7">
      <w:pPr>
        <w:bidi w:val="0"/>
        <w:spacing w:after="120" w:line="336" w:lineRule="auto"/>
        <w:jc w:val="both"/>
        <w:rPr>
          <w:rFonts w:ascii="Times New Roman" w:hAnsi="Times New Roman"/>
          <w:szCs w:val="22"/>
          <w:lang w:eastAsia="sk-SK"/>
        </w:rPr>
      </w:pPr>
      <w:r w:rsidRPr="0072101A" w:rsidR="002D6290">
        <w:rPr>
          <w:rFonts w:ascii="Times New Roman" w:hAnsi="Times New Roman"/>
          <w:szCs w:val="22"/>
          <w:lang w:eastAsia="sk-SK"/>
        </w:rPr>
        <w:t>Zúčtovacie vzťahy s</w:t>
      </w:r>
      <w:r w:rsidRPr="0072101A" w:rsidR="00675468">
        <w:rPr>
          <w:rFonts w:ascii="Times New Roman" w:hAnsi="Times New Roman"/>
          <w:szCs w:val="22"/>
          <w:lang w:eastAsia="sk-SK"/>
        </w:rPr>
        <w:t>a</w:t>
      </w:r>
      <w:r w:rsidRPr="0072101A" w:rsidR="002D6290">
        <w:rPr>
          <w:rFonts w:ascii="Times New Roman" w:hAnsi="Times New Roman"/>
          <w:szCs w:val="22"/>
          <w:lang w:eastAsia="sk-SK"/>
        </w:rPr>
        <w:t xml:space="preserve"> používa</w:t>
      </w:r>
      <w:r w:rsidRPr="0072101A" w:rsidR="00675468">
        <w:rPr>
          <w:rFonts w:ascii="Times New Roman" w:hAnsi="Times New Roman"/>
          <w:szCs w:val="22"/>
          <w:lang w:eastAsia="sk-SK"/>
        </w:rPr>
        <w:t>jú</w:t>
      </w:r>
      <w:r w:rsidRPr="0072101A" w:rsidR="002D6290">
        <w:rPr>
          <w:rFonts w:ascii="Times New Roman" w:hAnsi="Times New Roman"/>
          <w:szCs w:val="22"/>
          <w:lang w:eastAsia="sk-SK"/>
        </w:rPr>
        <w:t xml:space="preserve"> na za</w:t>
      </w:r>
      <w:r w:rsidRPr="0072101A" w:rsidR="007A3F0C">
        <w:rPr>
          <w:rFonts w:ascii="Times New Roman" w:hAnsi="Times New Roman"/>
          <w:szCs w:val="22"/>
          <w:lang w:eastAsia="sk-SK"/>
        </w:rPr>
        <w:t>znamenanie</w:t>
      </w:r>
      <w:r w:rsidRPr="0072101A" w:rsidR="002D6290">
        <w:rPr>
          <w:rFonts w:ascii="Times New Roman" w:hAnsi="Times New Roman"/>
          <w:szCs w:val="22"/>
          <w:lang w:eastAsia="sk-SK"/>
        </w:rPr>
        <w:t xml:space="preserve"> poskytnutých a prijatých bežných a kapitálových transferov medzi </w:t>
      </w:r>
      <w:r w:rsidRPr="0072101A" w:rsidR="00F24D21">
        <w:rPr>
          <w:rFonts w:ascii="Times New Roman" w:hAnsi="Times New Roman"/>
          <w:szCs w:val="22"/>
          <w:lang w:eastAsia="sk-SK"/>
        </w:rPr>
        <w:t>subjektmi</w:t>
      </w:r>
      <w:r w:rsidRPr="0072101A" w:rsidR="002D6290">
        <w:rPr>
          <w:rFonts w:ascii="Times New Roman" w:hAnsi="Times New Roman"/>
          <w:szCs w:val="22"/>
          <w:lang w:eastAsia="sk-SK"/>
        </w:rPr>
        <w:t xml:space="preserve"> verejnej správy. Z </w:t>
      </w:r>
      <w:r w:rsidRPr="0072101A" w:rsidR="006C48DD">
        <w:rPr>
          <w:rFonts w:ascii="Times New Roman" w:hAnsi="Times New Roman"/>
          <w:szCs w:val="22"/>
          <w:lang w:eastAsia="sk-SK"/>
        </w:rPr>
        <w:t xml:space="preserve">účtovného </w:t>
      </w:r>
      <w:r w:rsidRPr="0072101A" w:rsidR="002D6290">
        <w:rPr>
          <w:rFonts w:ascii="Times New Roman" w:hAnsi="Times New Roman"/>
          <w:szCs w:val="22"/>
          <w:lang w:eastAsia="sk-SK"/>
        </w:rPr>
        <w:t>pohľadu ide o časovo rozlíšené prostriedky štátneho rozpočtu, rozpočtu obce a vyššieho územného celku, ktoré sú poskytované ostatným organizáciám</w:t>
      </w:r>
      <w:r w:rsidRPr="0072101A" w:rsidR="00937231">
        <w:rPr>
          <w:rFonts w:ascii="Times New Roman" w:hAnsi="Times New Roman"/>
          <w:szCs w:val="22"/>
          <w:lang w:eastAsia="sk-SK"/>
        </w:rPr>
        <w:t xml:space="preserve"> v rámci verejnej správy</w:t>
      </w:r>
      <w:r w:rsidRPr="0072101A" w:rsidR="002D6290">
        <w:rPr>
          <w:rFonts w:ascii="Times New Roman" w:hAnsi="Times New Roman"/>
          <w:szCs w:val="22"/>
          <w:lang w:eastAsia="sk-SK"/>
        </w:rPr>
        <w:t>.</w:t>
      </w:r>
      <w:r w:rsidRPr="0072101A" w:rsidR="00937231">
        <w:rPr>
          <w:rFonts w:ascii="Times New Roman" w:hAnsi="Times New Roman"/>
          <w:szCs w:val="22"/>
          <w:lang w:eastAsia="sk-SK"/>
        </w:rPr>
        <w:t xml:space="preserve"> </w:t>
      </w:r>
      <w:r w:rsidRPr="0072101A" w:rsidR="002D6290">
        <w:rPr>
          <w:rFonts w:ascii="Times New Roman" w:hAnsi="Times New Roman"/>
          <w:szCs w:val="22"/>
          <w:lang w:eastAsia="sk-SK"/>
        </w:rPr>
        <w:t>Hodnota transferov k 31.12.201</w:t>
      </w:r>
      <w:r w:rsidR="007C45D4">
        <w:rPr>
          <w:rFonts w:ascii="Times New Roman" w:hAnsi="Times New Roman"/>
          <w:szCs w:val="22"/>
          <w:lang w:eastAsia="sk-SK"/>
        </w:rPr>
        <w:t>5</w:t>
      </w:r>
      <w:r w:rsidRPr="0072101A" w:rsidR="002D6290">
        <w:rPr>
          <w:rFonts w:ascii="Times New Roman" w:hAnsi="Times New Roman"/>
          <w:szCs w:val="22"/>
          <w:lang w:eastAsia="sk-SK"/>
        </w:rPr>
        <w:t xml:space="preserve"> bola </w:t>
      </w:r>
      <w:r w:rsidR="007C45D4">
        <w:rPr>
          <w:rFonts w:ascii="Times New Roman" w:hAnsi="Times New Roman"/>
          <w:szCs w:val="22"/>
          <w:lang w:eastAsia="sk-SK"/>
        </w:rPr>
        <w:t>676 814</w:t>
      </w:r>
      <w:r w:rsidRPr="0072101A" w:rsidR="006A25BF">
        <w:rPr>
          <w:rFonts w:ascii="Times New Roman" w:hAnsi="Times New Roman"/>
          <w:szCs w:val="22"/>
          <w:lang w:eastAsia="sk-SK"/>
        </w:rPr>
        <w:t xml:space="preserve"> </w:t>
      </w:r>
      <w:r w:rsidRPr="0072101A" w:rsidR="00130865">
        <w:rPr>
          <w:rFonts w:ascii="Times New Roman" w:hAnsi="Times New Roman"/>
          <w:szCs w:val="22"/>
          <w:lang w:eastAsia="sk-SK"/>
        </w:rPr>
        <w:t>tis</w:t>
      </w:r>
      <w:r w:rsidRPr="0072101A" w:rsidR="002D6290">
        <w:rPr>
          <w:rFonts w:ascii="Times New Roman" w:hAnsi="Times New Roman"/>
          <w:szCs w:val="22"/>
          <w:lang w:eastAsia="sk-SK"/>
        </w:rPr>
        <w:t>. eur, z toho ústredná štátna správa vykázala</w:t>
      </w:r>
      <w:r w:rsidRPr="0072101A" w:rsidR="009E0DB1">
        <w:rPr>
          <w:rFonts w:ascii="Times New Roman" w:hAnsi="Times New Roman"/>
          <w:szCs w:val="22"/>
          <w:lang w:eastAsia="sk-SK"/>
        </w:rPr>
        <w:t xml:space="preserve"> </w:t>
      </w:r>
      <w:r w:rsidR="007C45D4">
        <w:rPr>
          <w:rFonts w:ascii="Times New Roman" w:hAnsi="Times New Roman"/>
          <w:szCs w:val="22"/>
          <w:lang w:eastAsia="sk-SK"/>
        </w:rPr>
        <w:t xml:space="preserve">625 515 </w:t>
      </w:r>
      <w:r w:rsidRPr="0072101A" w:rsidR="006A25BF">
        <w:rPr>
          <w:rFonts w:ascii="Times New Roman" w:hAnsi="Times New Roman"/>
          <w:szCs w:val="22"/>
          <w:lang w:eastAsia="sk-SK"/>
        </w:rPr>
        <w:t xml:space="preserve">tis. eur, </w:t>
      </w:r>
      <w:r w:rsidR="007C45D4">
        <w:rPr>
          <w:rFonts w:ascii="Times New Roman" w:hAnsi="Times New Roman"/>
          <w:szCs w:val="22"/>
          <w:lang w:eastAsia="sk-SK"/>
        </w:rPr>
        <w:t xml:space="preserve">Železnice SR 26 276 tis. eur  a </w:t>
      </w:r>
      <w:r w:rsidRPr="0072101A" w:rsidR="002D6290">
        <w:rPr>
          <w:rFonts w:ascii="Times New Roman" w:hAnsi="Times New Roman"/>
          <w:szCs w:val="22"/>
          <w:lang w:eastAsia="sk-SK"/>
        </w:rPr>
        <w:t>územná samospráva</w:t>
      </w:r>
      <w:r w:rsidR="007C45D4">
        <w:rPr>
          <w:rFonts w:ascii="Times New Roman" w:hAnsi="Times New Roman"/>
          <w:szCs w:val="22"/>
          <w:lang w:eastAsia="sk-SK"/>
        </w:rPr>
        <w:t xml:space="preserve"> spolu</w:t>
      </w:r>
      <w:r w:rsidRPr="0072101A" w:rsidR="002D6290">
        <w:rPr>
          <w:rFonts w:ascii="Times New Roman" w:hAnsi="Times New Roman"/>
          <w:szCs w:val="22"/>
          <w:lang w:eastAsia="sk-SK"/>
        </w:rPr>
        <w:t xml:space="preserve"> </w:t>
      </w:r>
      <w:r w:rsidR="007C45D4">
        <w:rPr>
          <w:rFonts w:ascii="Times New Roman" w:hAnsi="Times New Roman"/>
          <w:szCs w:val="22"/>
          <w:lang w:eastAsia="sk-SK"/>
        </w:rPr>
        <w:t>15 561</w:t>
      </w:r>
      <w:r w:rsidRPr="0072101A" w:rsidR="00842DBA">
        <w:rPr>
          <w:rFonts w:ascii="Times New Roman" w:hAnsi="Times New Roman"/>
          <w:szCs w:val="22"/>
          <w:lang w:eastAsia="sk-SK"/>
        </w:rPr>
        <w:t xml:space="preserve"> </w:t>
      </w:r>
      <w:r w:rsidRPr="0072101A" w:rsidR="00130865">
        <w:rPr>
          <w:rFonts w:ascii="Times New Roman" w:hAnsi="Times New Roman"/>
          <w:szCs w:val="22"/>
          <w:lang w:eastAsia="sk-SK"/>
        </w:rPr>
        <w:t>tis</w:t>
      </w:r>
      <w:r w:rsidRPr="0072101A" w:rsidR="002D6290">
        <w:rPr>
          <w:rFonts w:ascii="Times New Roman" w:hAnsi="Times New Roman"/>
          <w:szCs w:val="22"/>
          <w:lang w:eastAsia="sk-SK"/>
        </w:rPr>
        <w:t>. eur</w:t>
      </w:r>
      <w:r w:rsidR="007C45D4">
        <w:rPr>
          <w:rFonts w:ascii="Times New Roman" w:hAnsi="Times New Roman"/>
          <w:szCs w:val="22"/>
          <w:lang w:eastAsia="sk-SK"/>
        </w:rPr>
        <w:t>.</w:t>
      </w:r>
      <w:r w:rsidRPr="0072101A" w:rsidR="002D6290">
        <w:rPr>
          <w:rFonts w:ascii="Times New Roman" w:hAnsi="Times New Roman"/>
          <w:szCs w:val="22"/>
          <w:lang w:eastAsia="sk-SK"/>
        </w:rPr>
        <w:t xml:space="preserve"> </w:t>
      </w:r>
      <w:r w:rsidRPr="00BC17C4">
        <w:rPr>
          <w:rFonts w:ascii="Times New Roman" w:hAnsi="Times New Roman"/>
          <w:szCs w:val="22"/>
          <w:lang w:eastAsia="sk-SK"/>
        </w:rPr>
        <w:t xml:space="preserve">V rámci ústrednej správy vykazuje </w:t>
      </w:r>
      <w:r w:rsidR="007C45D4">
        <w:rPr>
          <w:rFonts w:ascii="Times New Roman" w:hAnsi="Times New Roman"/>
          <w:szCs w:val="22"/>
          <w:lang w:eastAsia="sk-SK"/>
        </w:rPr>
        <w:t xml:space="preserve">najvyššiu hodnotu </w:t>
      </w:r>
      <w:r w:rsidRPr="00BC17C4">
        <w:rPr>
          <w:rFonts w:ascii="Times New Roman" w:hAnsi="Times New Roman"/>
          <w:szCs w:val="22"/>
          <w:lang w:eastAsia="sk-SK"/>
        </w:rPr>
        <w:t xml:space="preserve">Jadrová a vyraďovacia spoločnosť, a.s. hodnotu </w:t>
      </w:r>
      <w:r w:rsidR="007C45D4">
        <w:rPr>
          <w:rFonts w:ascii="Times New Roman" w:hAnsi="Times New Roman"/>
          <w:szCs w:val="22"/>
          <w:lang w:eastAsia="sk-SK"/>
        </w:rPr>
        <w:t>611 748</w:t>
      </w:r>
      <w:r w:rsidRPr="00BC17C4">
        <w:rPr>
          <w:rFonts w:ascii="Times New Roman" w:hAnsi="Times New Roman"/>
          <w:szCs w:val="22"/>
          <w:lang w:eastAsia="sk-SK"/>
        </w:rPr>
        <w:t xml:space="preserve"> tis. eur, </w:t>
      </w:r>
      <w:r w:rsidR="007C45D4">
        <w:rPr>
          <w:rFonts w:ascii="Times New Roman" w:hAnsi="Times New Roman"/>
          <w:szCs w:val="22"/>
          <w:lang w:eastAsia="sk-SK"/>
        </w:rPr>
        <w:t>ako</w:t>
      </w:r>
      <w:r w:rsidRPr="00BC17C4">
        <w:rPr>
          <w:rFonts w:ascii="Times New Roman" w:hAnsi="Times New Roman"/>
          <w:szCs w:val="22"/>
          <w:lang w:eastAsia="sk-SK"/>
        </w:rPr>
        <w:t xml:space="preserve"> pohľadávky z vyraďovania jadrových zariadení a nákladov spojených s odstraňovaním jadrového odpadu.</w:t>
      </w:r>
      <w:r w:rsidR="007C45D4">
        <w:rPr>
          <w:rFonts w:ascii="Times New Roman" w:hAnsi="Times New Roman"/>
          <w:szCs w:val="22"/>
          <w:lang w:eastAsia="sk-SK"/>
        </w:rPr>
        <w:t xml:space="preserve"> Medziročný pokles zúčtovacích vzťahov dosiahla práve Jadrová a vyraďovacia spoločnosť, a.s. (284 175 tis. eur).</w:t>
      </w:r>
    </w:p>
    <w:p w:rsidR="009270BF" w:rsidRPr="0072101A" w:rsidP="00D1792A">
      <w:pPr>
        <w:pStyle w:val="Pismenka"/>
        <w:tabs>
          <w:tab w:val="clear" w:pos="426"/>
        </w:tabs>
        <w:bidi w:val="0"/>
        <w:spacing w:before="200" w:after="200" w:line="336" w:lineRule="auto"/>
        <w:ind w:left="0" w:firstLine="0"/>
        <w:rPr>
          <w:rFonts w:ascii="Times New Roman" w:hAnsi="Times New Roman"/>
          <w:bCs w:val="0"/>
          <w:sz w:val="24"/>
          <w:szCs w:val="24"/>
        </w:rPr>
      </w:pPr>
      <w:r w:rsidRPr="0072101A">
        <w:rPr>
          <w:rFonts w:ascii="Times New Roman" w:hAnsi="Times New Roman"/>
          <w:bCs w:val="0"/>
          <w:sz w:val="24"/>
          <w:szCs w:val="24"/>
        </w:rPr>
        <w:t>B.III. Pohľadávky</w:t>
      </w:r>
    </w:p>
    <w:p w:rsidR="009E0DB1" w:rsidRPr="0072101A" w:rsidP="003601E3">
      <w:pPr>
        <w:pStyle w:val="Pismenka"/>
        <w:tabs>
          <w:tab w:val="clear" w:pos="426"/>
        </w:tabs>
        <w:bidi w:val="0"/>
        <w:spacing w:after="120" w:line="336" w:lineRule="auto"/>
        <w:ind w:left="0" w:firstLine="0"/>
        <w:rPr>
          <w:rFonts w:ascii="Times New Roman" w:hAnsi="Times New Roman"/>
          <w:b w:val="0"/>
          <w:bCs w:val="0"/>
          <w:sz w:val="22"/>
          <w:szCs w:val="22"/>
        </w:rPr>
      </w:pPr>
      <w:r w:rsidRPr="0072101A" w:rsidR="009270BF">
        <w:rPr>
          <w:rFonts w:ascii="Times New Roman" w:hAnsi="Times New Roman"/>
          <w:b w:val="0"/>
          <w:bCs w:val="0"/>
          <w:sz w:val="22"/>
          <w:szCs w:val="22"/>
        </w:rPr>
        <w:t>Pohľadávky súhrnného celku sú</w:t>
      </w:r>
      <w:r w:rsidR="00552CB7">
        <w:rPr>
          <w:rFonts w:ascii="Times New Roman" w:hAnsi="Times New Roman"/>
          <w:b w:val="0"/>
          <w:bCs w:val="0"/>
          <w:sz w:val="22"/>
          <w:szCs w:val="22"/>
        </w:rPr>
        <w:t xml:space="preserve"> v súvahe </w:t>
      </w:r>
      <w:r w:rsidRPr="0072101A" w:rsidR="009270BF">
        <w:rPr>
          <w:rFonts w:ascii="Times New Roman" w:hAnsi="Times New Roman"/>
          <w:b w:val="0"/>
          <w:bCs w:val="0"/>
          <w:sz w:val="22"/>
          <w:szCs w:val="22"/>
        </w:rPr>
        <w:t>vykazované s</w:t>
      </w:r>
      <w:r w:rsidRPr="0072101A" w:rsidR="007A3F0C">
        <w:rPr>
          <w:rFonts w:ascii="Times New Roman" w:hAnsi="Times New Roman"/>
          <w:b w:val="0"/>
          <w:bCs w:val="0"/>
          <w:sz w:val="22"/>
          <w:szCs w:val="22"/>
        </w:rPr>
        <w:t>umárne</w:t>
      </w:r>
      <w:r w:rsidRPr="0072101A" w:rsidR="002528D3">
        <w:rPr>
          <w:rFonts w:ascii="Times New Roman" w:hAnsi="Times New Roman"/>
          <w:b w:val="0"/>
          <w:bCs w:val="0"/>
          <w:sz w:val="22"/>
          <w:szCs w:val="22"/>
        </w:rPr>
        <w:t>, teda</w:t>
      </w:r>
      <w:r w:rsidRPr="0072101A" w:rsidR="009270BF">
        <w:rPr>
          <w:rFonts w:ascii="Times New Roman" w:hAnsi="Times New Roman"/>
          <w:b w:val="0"/>
          <w:bCs w:val="0"/>
          <w:sz w:val="22"/>
          <w:szCs w:val="22"/>
        </w:rPr>
        <w:t xml:space="preserve"> dlhodobé aj krátkodobé</w:t>
      </w:r>
      <w:r w:rsidRPr="0072101A" w:rsidR="007A3F0C">
        <w:rPr>
          <w:rFonts w:ascii="Times New Roman" w:hAnsi="Times New Roman"/>
          <w:b w:val="0"/>
          <w:bCs w:val="0"/>
          <w:sz w:val="22"/>
          <w:szCs w:val="22"/>
        </w:rPr>
        <w:t xml:space="preserve"> </w:t>
      </w:r>
      <w:r w:rsidRPr="0072101A" w:rsidR="002528D3">
        <w:rPr>
          <w:rFonts w:ascii="Times New Roman" w:hAnsi="Times New Roman"/>
          <w:b w:val="0"/>
          <w:bCs w:val="0"/>
          <w:sz w:val="22"/>
          <w:szCs w:val="22"/>
        </w:rPr>
        <w:t>spolu</w:t>
      </w:r>
      <w:r w:rsidRPr="0072101A" w:rsidR="009270BF">
        <w:rPr>
          <w:rFonts w:ascii="Times New Roman" w:hAnsi="Times New Roman"/>
          <w:b w:val="0"/>
          <w:bCs w:val="0"/>
          <w:sz w:val="22"/>
          <w:szCs w:val="22"/>
        </w:rPr>
        <w:t xml:space="preserve">. </w:t>
      </w:r>
      <w:r w:rsidRPr="0072101A" w:rsidR="004C203D">
        <w:rPr>
          <w:rFonts w:ascii="Times New Roman" w:hAnsi="Times New Roman"/>
          <w:b w:val="0"/>
          <w:bCs w:val="0"/>
          <w:sz w:val="22"/>
          <w:szCs w:val="22"/>
        </w:rPr>
        <w:t xml:space="preserve">Za dlhodobé pohľadávky sa považujú také, ktorých zostatková doba splatnosti je dlhšia ako 1 rok odo dňa, ku ktorému sa zostavuje súhrnná účtovná závierka. </w:t>
      </w:r>
      <w:r w:rsidR="004C203D">
        <w:rPr>
          <w:rFonts w:ascii="Times New Roman" w:hAnsi="Times New Roman"/>
          <w:b w:val="0"/>
          <w:bCs w:val="0"/>
          <w:sz w:val="22"/>
          <w:szCs w:val="22"/>
        </w:rPr>
        <w:t>Pohľadávky dosiahli k 31.12.2015</w:t>
      </w:r>
      <w:r w:rsidRPr="0072101A" w:rsidR="009270BF">
        <w:rPr>
          <w:rFonts w:ascii="Times New Roman" w:hAnsi="Times New Roman"/>
          <w:b w:val="0"/>
          <w:bCs w:val="0"/>
          <w:sz w:val="22"/>
          <w:szCs w:val="22"/>
        </w:rPr>
        <w:t xml:space="preserve"> </w:t>
      </w:r>
      <w:r w:rsidR="004C203D">
        <w:rPr>
          <w:rFonts w:ascii="Times New Roman" w:hAnsi="Times New Roman"/>
          <w:b w:val="0"/>
          <w:bCs w:val="0"/>
          <w:sz w:val="22"/>
          <w:szCs w:val="22"/>
        </w:rPr>
        <w:t>ú</w:t>
      </w:r>
      <w:r w:rsidRPr="0072101A" w:rsidR="004C203D">
        <w:rPr>
          <w:rFonts w:ascii="Times New Roman" w:hAnsi="Times New Roman"/>
          <w:b w:val="0"/>
          <w:bCs w:val="0"/>
          <w:sz w:val="22"/>
          <w:szCs w:val="22"/>
        </w:rPr>
        <w:t xml:space="preserve">hrnom </w:t>
      </w:r>
      <w:r w:rsidRPr="0072101A" w:rsidR="009270BF">
        <w:rPr>
          <w:rFonts w:ascii="Times New Roman" w:hAnsi="Times New Roman"/>
          <w:b w:val="0"/>
          <w:bCs w:val="0"/>
          <w:sz w:val="22"/>
          <w:szCs w:val="22"/>
        </w:rPr>
        <w:t xml:space="preserve">sumu </w:t>
      </w:r>
      <w:r w:rsidRPr="00552CB7" w:rsidR="00552CB7">
        <w:rPr>
          <w:rFonts w:ascii="Times New Roman" w:hAnsi="Times New Roman"/>
          <w:b w:val="0"/>
          <w:bCs w:val="0"/>
          <w:sz w:val="22"/>
          <w:szCs w:val="22"/>
        </w:rPr>
        <w:t>6 060 966</w:t>
      </w:r>
      <w:r w:rsidR="00552CB7">
        <w:rPr>
          <w:rFonts w:ascii="Times New Roman" w:hAnsi="Times New Roman"/>
          <w:color w:val="000000"/>
          <w:sz w:val="20"/>
          <w:szCs w:val="20"/>
        </w:rPr>
        <w:t xml:space="preserve"> </w:t>
      </w:r>
      <w:r w:rsidRPr="0072101A" w:rsidR="005017B6">
        <w:rPr>
          <w:rFonts w:ascii="Times New Roman" w:hAnsi="Times New Roman"/>
          <w:b w:val="0"/>
          <w:bCs w:val="0"/>
          <w:sz w:val="22"/>
          <w:szCs w:val="22"/>
        </w:rPr>
        <w:t>tis. eur</w:t>
      </w:r>
      <w:r w:rsidRPr="0072101A" w:rsidR="009270BF">
        <w:rPr>
          <w:rFonts w:ascii="Times New Roman" w:hAnsi="Times New Roman"/>
          <w:b w:val="0"/>
          <w:bCs w:val="0"/>
          <w:sz w:val="22"/>
          <w:szCs w:val="22"/>
        </w:rPr>
        <w:t xml:space="preserve">, z toho dlhodobé </w:t>
      </w:r>
      <w:r w:rsidR="004C203D">
        <w:rPr>
          <w:rFonts w:ascii="Times New Roman" w:hAnsi="Times New Roman"/>
          <w:b w:val="0"/>
          <w:bCs w:val="0"/>
          <w:sz w:val="22"/>
          <w:szCs w:val="22"/>
        </w:rPr>
        <w:t>952 942</w:t>
      </w:r>
      <w:r w:rsidRPr="0072101A" w:rsidR="00F91091">
        <w:rPr>
          <w:rFonts w:ascii="Times New Roman" w:hAnsi="Times New Roman"/>
          <w:b w:val="0"/>
          <w:bCs w:val="0"/>
          <w:sz w:val="22"/>
          <w:szCs w:val="22"/>
        </w:rPr>
        <w:t xml:space="preserve"> </w:t>
      </w:r>
      <w:r w:rsidRPr="0072101A" w:rsidR="00973D6E">
        <w:rPr>
          <w:rFonts w:ascii="Times New Roman" w:hAnsi="Times New Roman"/>
          <w:b w:val="0"/>
          <w:bCs w:val="0"/>
          <w:sz w:val="22"/>
          <w:szCs w:val="22"/>
        </w:rPr>
        <w:t>tis</w:t>
      </w:r>
      <w:r w:rsidRPr="0072101A" w:rsidR="009270BF">
        <w:rPr>
          <w:rFonts w:ascii="Times New Roman" w:hAnsi="Times New Roman"/>
          <w:b w:val="0"/>
          <w:bCs w:val="0"/>
          <w:sz w:val="22"/>
          <w:szCs w:val="22"/>
        </w:rPr>
        <w:t>. eur a</w:t>
      </w:r>
      <w:r w:rsidR="004C203D">
        <w:rPr>
          <w:rFonts w:ascii="Times New Roman" w:hAnsi="Times New Roman"/>
          <w:b w:val="0"/>
          <w:bCs w:val="0"/>
          <w:sz w:val="22"/>
          <w:szCs w:val="22"/>
        </w:rPr>
        <w:t> </w:t>
      </w:r>
      <w:r w:rsidRPr="0072101A" w:rsidR="009270BF">
        <w:rPr>
          <w:rFonts w:ascii="Times New Roman" w:hAnsi="Times New Roman"/>
          <w:b w:val="0"/>
          <w:bCs w:val="0"/>
          <w:sz w:val="22"/>
          <w:szCs w:val="22"/>
        </w:rPr>
        <w:t>krátkodobé</w:t>
      </w:r>
      <w:r w:rsidR="004C203D">
        <w:rPr>
          <w:rFonts w:ascii="Times New Roman" w:hAnsi="Times New Roman"/>
          <w:b w:val="0"/>
          <w:bCs w:val="0"/>
          <w:sz w:val="22"/>
          <w:szCs w:val="22"/>
        </w:rPr>
        <w:t xml:space="preserve"> 5 108 024 tis. eur. Medziročne ide o nárast hodnoty pohľadávok o 1 341 752 </w:t>
      </w:r>
      <w:r w:rsidR="006475DB">
        <w:rPr>
          <w:rFonts w:ascii="Times New Roman" w:hAnsi="Times New Roman"/>
          <w:b w:val="0"/>
          <w:bCs w:val="0"/>
          <w:sz w:val="22"/>
          <w:szCs w:val="22"/>
        </w:rPr>
        <w:t xml:space="preserve">tis. eur, a to najmä krátkodobých o 1 008 922 tis. eur z dôvodu vyšších pohľadávok Ministerstva financií SR z operácií na finančnom trhu pri správe štátneho dlhu. </w:t>
      </w:r>
      <w:r w:rsidRPr="0072101A" w:rsidR="009270BF">
        <w:rPr>
          <w:rFonts w:ascii="Times New Roman" w:hAnsi="Times New Roman"/>
          <w:b w:val="0"/>
          <w:bCs w:val="0"/>
          <w:sz w:val="22"/>
          <w:szCs w:val="22"/>
        </w:rPr>
        <w:t xml:space="preserve"> </w:t>
      </w:r>
    </w:p>
    <w:p w:rsidR="00E7489B" w:rsidRPr="0072101A" w:rsidP="00E7489B">
      <w:pPr>
        <w:pStyle w:val="Pismenka"/>
        <w:tabs>
          <w:tab w:val="num" w:pos="0"/>
          <w:tab w:val="clear" w:pos="426"/>
        </w:tabs>
        <w:bidi w:val="0"/>
        <w:spacing w:after="120"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rPr>
        <w:t xml:space="preserve">Z pohľadu činnosti jednotlivých subjektov súhrnného celku môžeme konštatovať, že za rozpočtové a príspevkové organizácie, obce a vyššie územné celky sú najdôležitejšie pohľadávky z daní, poplatkov a nedaňové pohľadávky. Štátne podniky a obchodné spoločnosti vykazujú najväčší podiel na pohľadávkach z obchodných vzťahov, voči odberateľom, zamestnancom a podobne. Do skupiny špecifických pohľadávok môžeme zaradiť operácie štátu na finančných trhoch a pohľadávky voči zahraničiu. </w:t>
      </w:r>
    </w:p>
    <w:tbl>
      <w:tblPr>
        <w:tblStyle w:val="TableNormal"/>
        <w:tblW w:w="4483" w:type="pct"/>
        <w:jc w:val="center"/>
        <w:tblInd w:w="70" w:type="dxa"/>
        <w:tblLayout w:type="fixed"/>
        <w:tblCellMar>
          <w:left w:w="70" w:type="dxa"/>
          <w:right w:w="70" w:type="dxa"/>
        </w:tblCellMar>
        <w:tblLook w:val="00A0"/>
      </w:tblPr>
      <w:tblGrid>
        <w:gridCol w:w="5246"/>
        <w:gridCol w:w="1619"/>
        <w:gridCol w:w="1394"/>
      </w:tblGrid>
      <w:tr>
        <w:tblPrEx>
          <w:tblW w:w="4483" w:type="pct"/>
          <w:jc w:val="center"/>
          <w:tblInd w:w="70" w:type="dxa"/>
          <w:tblLayout w:type="fixed"/>
          <w:tblCellMar>
            <w:left w:w="70" w:type="dxa"/>
            <w:right w:w="70" w:type="dxa"/>
          </w:tblCellMar>
          <w:tblLook w:val="00A0"/>
        </w:tblPrEx>
        <w:trPr>
          <w:trHeight w:val="330"/>
          <w:jc w:val="center"/>
        </w:trPr>
        <w:tc>
          <w:tcPr>
            <w:tcW w:w="4156" w:type="pct"/>
            <w:gridSpan w:val="2"/>
            <w:tcBorders>
              <w:top w:val="single" w:sz="4" w:space="0" w:color="auto"/>
              <w:left w:val="nil"/>
              <w:bottom w:val="single" w:sz="4" w:space="0" w:color="auto"/>
              <w:right w:val="nil"/>
            </w:tcBorders>
            <w:shd w:val="clear" w:color="000000" w:fill="000000"/>
            <w:noWrap/>
            <w:textDirection w:val="lrTb"/>
            <w:vAlign w:val="center"/>
          </w:tcPr>
          <w:p w:rsidR="007D53FF" w:rsidRPr="0072101A" w:rsidP="00972675">
            <w:pPr>
              <w:bidi w:val="0"/>
              <w:spacing w:after="0" w:line="240" w:lineRule="auto"/>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Pohľadávky súhrnného celku (v tis. eur)</w:t>
            </w:r>
          </w:p>
        </w:tc>
        <w:tc>
          <w:tcPr>
            <w:tcW w:w="844" w:type="pct"/>
            <w:tcBorders>
              <w:top w:val="single" w:sz="4" w:space="0" w:color="auto"/>
              <w:left w:val="nil"/>
              <w:bottom w:val="single" w:sz="4" w:space="0" w:color="auto"/>
              <w:right w:val="nil"/>
            </w:tcBorders>
            <w:shd w:val="clear" w:color="000000" w:fill="000000"/>
            <w:textDirection w:val="lrTb"/>
            <w:vAlign w:val="center"/>
          </w:tcPr>
          <w:p w:rsidR="007D53FF" w:rsidRPr="0072101A" w:rsidP="00972675">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r>
      <w:tr>
        <w:tblPrEx>
          <w:tblW w:w="4483" w:type="pct"/>
          <w:jc w:val="center"/>
          <w:tblInd w:w="70" w:type="dxa"/>
          <w:tblLayout w:type="fixed"/>
          <w:tblCellMar>
            <w:left w:w="70" w:type="dxa"/>
            <w:right w:w="70" w:type="dxa"/>
          </w:tblCellMar>
          <w:tblLook w:val="00A0"/>
        </w:tblPrEx>
        <w:trPr>
          <w:trHeight w:val="330"/>
          <w:jc w:val="center"/>
        </w:trPr>
        <w:tc>
          <w:tcPr>
            <w:tcW w:w="3176" w:type="pct"/>
            <w:tcBorders>
              <w:top w:val="nil"/>
              <w:left w:val="nil"/>
              <w:bottom w:val="single" w:sz="4" w:space="0" w:color="auto"/>
              <w:right w:val="nil"/>
            </w:tcBorders>
            <w:shd w:val="clear" w:color="000000" w:fill="BFBFBF"/>
            <w:noWrap/>
            <w:textDirection w:val="lrTb"/>
            <w:vAlign w:val="bottom"/>
          </w:tcPr>
          <w:p w:rsidR="007D53FF" w:rsidRPr="0072101A" w:rsidP="00972675">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Dlhodobé pohľadávky</w:t>
            </w:r>
          </w:p>
        </w:tc>
        <w:tc>
          <w:tcPr>
            <w:tcW w:w="980" w:type="pct"/>
            <w:tcBorders>
              <w:top w:val="nil"/>
              <w:left w:val="nil"/>
              <w:bottom w:val="single" w:sz="4" w:space="0" w:color="auto"/>
              <w:right w:val="nil"/>
            </w:tcBorders>
            <w:shd w:val="clear" w:color="000000" w:fill="BFBFBF"/>
            <w:noWrap/>
            <w:textDirection w:val="lrTb"/>
            <w:vAlign w:val="bottom"/>
          </w:tcPr>
          <w:p w:rsidR="007D53FF" w:rsidRPr="0072101A" w:rsidP="00972675">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w:t>
            </w:r>
            <w:r w:rsidRPr="0072101A" w:rsidR="00AD2668">
              <w:rPr>
                <w:rFonts w:ascii="Times New Roman" w:hAnsi="Times New Roman"/>
                <w:b/>
                <w:bCs/>
                <w:sz w:val="20"/>
                <w:szCs w:val="20"/>
                <w:lang w:eastAsia="sk-SK"/>
              </w:rPr>
              <w:t xml:space="preserve">      </w:t>
            </w:r>
            <w:r w:rsidR="00660E57">
              <w:rPr>
                <w:rFonts w:ascii="Times New Roman" w:hAnsi="Times New Roman"/>
                <w:b/>
                <w:bCs/>
                <w:sz w:val="20"/>
                <w:szCs w:val="20"/>
                <w:lang w:eastAsia="sk-SK"/>
              </w:rPr>
              <w:t>2015</w:t>
            </w:r>
          </w:p>
        </w:tc>
        <w:tc>
          <w:tcPr>
            <w:tcW w:w="844" w:type="pct"/>
            <w:tcBorders>
              <w:top w:val="nil"/>
              <w:left w:val="nil"/>
              <w:bottom w:val="single" w:sz="4" w:space="0" w:color="auto"/>
              <w:right w:val="nil"/>
            </w:tcBorders>
            <w:shd w:val="clear" w:color="000000" w:fill="BFBFBF"/>
            <w:noWrap/>
            <w:textDirection w:val="lrTb"/>
            <w:vAlign w:val="bottom"/>
          </w:tcPr>
          <w:p w:rsidR="007D53FF" w:rsidRPr="0072101A" w:rsidP="00972675">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w:t>
            </w:r>
            <w:r w:rsidRPr="0072101A" w:rsidR="00AD2668">
              <w:rPr>
                <w:rFonts w:ascii="Times New Roman" w:hAnsi="Times New Roman"/>
                <w:b/>
                <w:bCs/>
                <w:sz w:val="20"/>
                <w:szCs w:val="20"/>
                <w:lang w:eastAsia="sk-SK"/>
              </w:rPr>
              <w:t xml:space="preserve">         </w:t>
            </w:r>
            <w:r w:rsidR="00660E57">
              <w:rPr>
                <w:rFonts w:ascii="Times New Roman" w:hAnsi="Times New Roman"/>
                <w:b/>
                <w:bCs/>
                <w:sz w:val="20"/>
                <w:szCs w:val="20"/>
                <w:lang w:eastAsia="sk-SK"/>
              </w:rPr>
              <w:t>2014</w:t>
            </w:r>
          </w:p>
        </w:tc>
      </w:tr>
      <w:tr>
        <w:tblPrEx>
          <w:tblW w:w="4483" w:type="pct"/>
          <w:jc w:val="center"/>
          <w:tblInd w:w="70" w:type="dxa"/>
          <w:tblLayout w:type="fixed"/>
          <w:tblCellMar>
            <w:left w:w="70" w:type="dxa"/>
            <w:right w:w="70" w:type="dxa"/>
          </w:tblCellMar>
          <w:tblLook w:val="00A0"/>
        </w:tblPrEx>
        <w:trPr>
          <w:trHeight w:hRule="exact" w:val="330"/>
          <w:jc w:val="center"/>
        </w:trPr>
        <w:tc>
          <w:tcPr>
            <w:tcW w:w="3176" w:type="pct"/>
            <w:tcBorders>
              <w:top w:val="nil"/>
              <w:left w:val="nil"/>
              <w:bottom w:val="nil"/>
              <w:right w:val="nil"/>
            </w:tcBorders>
            <w:textDirection w:val="lrTb"/>
            <w:vAlign w:val="center"/>
          </w:tcPr>
          <w:p w:rsidR="00660E57" w:rsidRPr="0072101A" w:rsidP="00972675">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Odberatelia</w:t>
            </w:r>
          </w:p>
        </w:tc>
        <w:tc>
          <w:tcPr>
            <w:tcW w:w="980" w:type="pct"/>
            <w:tcBorders>
              <w:top w:val="nil"/>
              <w:left w:val="nil"/>
              <w:bottom w:val="nil"/>
              <w:right w:val="nil"/>
            </w:tcBorders>
            <w:textDirection w:val="lrTb"/>
            <w:vAlign w:val="center"/>
          </w:tcPr>
          <w:p w:rsidR="00660E57" w:rsidRPr="0072101A" w:rsidP="00972675">
            <w:pPr>
              <w:bidi w:val="0"/>
              <w:spacing w:after="0" w:line="240" w:lineRule="auto"/>
              <w:jc w:val="right"/>
              <w:rPr>
                <w:rFonts w:ascii="Times New Roman" w:hAnsi="Times New Roman"/>
                <w:color w:val="000000"/>
                <w:sz w:val="20"/>
                <w:szCs w:val="20"/>
                <w:lang w:eastAsia="sk-SK"/>
              </w:rPr>
            </w:pPr>
            <w:r w:rsidR="00C74401">
              <w:rPr>
                <w:rFonts w:ascii="Times New Roman" w:hAnsi="Times New Roman"/>
                <w:color w:val="000000"/>
                <w:sz w:val="20"/>
                <w:szCs w:val="20"/>
                <w:lang w:eastAsia="sk-SK"/>
              </w:rPr>
              <w:t>4 388</w:t>
            </w:r>
          </w:p>
        </w:tc>
        <w:tc>
          <w:tcPr>
            <w:tcW w:w="844" w:type="pct"/>
            <w:tcBorders>
              <w:top w:val="nil"/>
              <w:left w:val="nil"/>
              <w:bottom w:val="nil"/>
              <w:right w:val="nil"/>
            </w:tcBorders>
            <w:textDirection w:val="lrTb"/>
            <w:vAlign w:val="center"/>
          </w:tcPr>
          <w:p w:rsidR="00660E57" w:rsidRPr="0072101A" w:rsidP="004A0505">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74 686</w:t>
            </w:r>
          </w:p>
        </w:tc>
      </w:tr>
      <w:tr>
        <w:tblPrEx>
          <w:tblW w:w="4483" w:type="pct"/>
          <w:jc w:val="center"/>
          <w:tblInd w:w="70" w:type="dxa"/>
          <w:tblLayout w:type="fixed"/>
          <w:tblCellMar>
            <w:left w:w="70" w:type="dxa"/>
            <w:right w:w="70" w:type="dxa"/>
          </w:tblCellMar>
          <w:tblLook w:val="00A0"/>
        </w:tblPrEx>
        <w:trPr>
          <w:trHeight w:hRule="exact" w:val="292"/>
          <w:jc w:val="center"/>
        </w:trPr>
        <w:tc>
          <w:tcPr>
            <w:tcW w:w="3176" w:type="pct"/>
            <w:tcBorders>
              <w:top w:val="nil"/>
              <w:left w:val="nil"/>
              <w:bottom w:val="nil"/>
              <w:right w:val="nil"/>
            </w:tcBorders>
            <w:textDirection w:val="lrTb"/>
            <w:vAlign w:val="center"/>
          </w:tcPr>
          <w:p w:rsidR="00660E57" w:rsidRPr="0072101A" w:rsidP="00972675">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Pohľadávky voči zamestnancom</w:t>
            </w:r>
          </w:p>
        </w:tc>
        <w:tc>
          <w:tcPr>
            <w:tcW w:w="980" w:type="pct"/>
            <w:tcBorders>
              <w:top w:val="nil"/>
              <w:left w:val="nil"/>
              <w:bottom w:val="nil"/>
              <w:right w:val="nil"/>
            </w:tcBorders>
            <w:textDirection w:val="lrTb"/>
            <w:vAlign w:val="center"/>
          </w:tcPr>
          <w:p w:rsidR="00660E57" w:rsidRPr="0072101A" w:rsidP="00972675">
            <w:pPr>
              <w:bidi w:val="0"/>
              <w:spacing w:after="0" w:line="240" w:lineRule="auto"/>
              <w:jc w:val="right"/>
              <w:rPr>
                <w:rFonts w:ascii="Times New Roman" w:hAnsi="Times New Roman"/>
                <w:color w:val="000000"/>
                <w:sz w:val="20"/>
                <w:szCs w:val="20"/>
                <w:lang w:eastAsia="sk-SK"/>
              </w:rPr>
            </w:pPr>
            <w:r w:rsidR="00C74401">
              <w:rPr>
                <w:rFonts w:ascii="Times New Roman" w:hAnsi="Times New Roman"/>
                <w:color w:val="000000"/>
                <w:sz w:val="20"/>
                <w:szCs w:val="20"/>
                <w:lang w:eastAsia="sk-SK"/>
              </w:rPr>
              <w:t>24 825</w:t>
            </w:r>
          </w:p>
        </w:tc>
        <w:tc>
          <w:tcPr>
            <w:tcW w:w="844" w:type="pct"/>
            <w:tcBorders>
              <w:top w:val="nil"/>
              <w:left w:val="nil"/>
              <w:bottom w:val="nil"/>
              <w:right w:val="nil"/>
            </w:tcBorders>
            <w:textDirection w:val="lrTb"/>
            <w:vAlign w:val="center"/>
          </w:tcPr>
          <w:p w:rsidR="00660E57" w:rsidRPr="0072101A" w:rsidP="004A0505">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20 842</w:t>
            </w:r>
          </w:p>
        </w:tc>
      </w:tr>
      <w:tr>
        <w:tblPrEx>
          <w:tblW w:w="4483" w:type="pct"/>
          <w:jc w:val="center"/>
          <w:tblInd w:w="70" w:type="dxa"/>
          <w:tblLayout w:type="fixed"/>
          <w:tblCellMar>
            <w:left w:w="70" w:type="dxa"/>
            <w:right w:w="70" w:type="dxa"/>
          </w:tblCellMar>
          <w:tblLook w:val="00A0"/>
        </w:tblPrEx>
        <w:trPr>
          <w:trHeight w:hRule="exact" w:val="330"/>
          <w:jc w:val="center"/>
        </w:trPr>
        <w:tc>
          <w:tcPr>
            <w:tcW w:w="3176" w:type="pct"/>
            <w:tcBorders>
              <w:top w:val="nil"/>
              <w:left w:val="nil"/>
              <w:bottom w:val="none" w:sz="0" w:space="0" w:color="auto"/>
              <w:right w:val="nil"/>
            </w:tcBorders>
            <w:textDirection w:val="lrTb"/>
            <w:vAlign w:val="center"/>
          </w:tcPr>
          <w:p w:rsidR="00660E57" w:rsidRPr="0072101A" w:rsidP="00972675">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Ostatné pohľadávky  </w:t>
            </w:r>
          </w:p>
        </w:tc>
        <w:tc>
          <w:tcPr>
            <w:tcW w:w="980" w:type="pct"/>
            <w:tcBorders>
              <w:top w:val="nil"/>
              <w:left w:val="nil"/>
              <w:bottom w:val="none" w:sz="0" w:space="0" w:color="auto"/>
              <w:right w:val="nil"/>
            </w:tcBorders>
            <w:textDirection w:val="lrTb"/>
            <w:vAlign w:val="center"/>
          </w:tcPr>
          <w:p w:rsidR="00660E57" w:rsidRPr="0072101A" w:rsidP="00E63E8A">
            <w:pPr>
              <w:bidi w:val="0"/>
              <w:spacing w:after="0" w:line="240" w:lineRule="auto"/>
              <w:jc w:val="right"/>
              <w:rPr>
                <w:rFonts w:ascii="Times New Roman" w:hAnsi="Times New Roman"/>
                <w:color w:val="000000"/>
                <w:sz w:val="20"/>
                <w:szCs w:val="20"/>
                <w:lang w:eastAsia="sk-SK"/>
              </w:rPr>
            </w:pPr>
            <w:r w:rsidR="00C74401">
              <w:rPr>
                <w:rFonts w:ascii="Times New Roman" w:hAnsi="Times New Roman"/>
                <w:color w:val="000000"/>
                <w:sz w:val="20"/>
                <w:szCs w:val="20"/>
                <w:lang w:eastAsia="sk-SK"/>
              </w:rPr>
              <w:t>923 729</w:t>
            </w:r>
          </w:p>
        </w:tc>
        <w:tc>
          <w:tcPr>
            <w:tcW w:w="844" w:type="pct"/>
            <w:tcBorders>
              <w:top w:val="nil"/>
              <w:left w:val="nil"/>
              <w:bottom w:val="none" w:sz="0" w:space="0" w:color="auto"/>
              <w:right w:val="nil"/>
            </w:tcBorders>
            <w:textDirection w:val="lrTb"/>
            <w:vAlign w:val="center"/>
          </w:tcPr>
          <w:p w:rsidR="00660E57" w:rsidRPr="0072101A" w:rsidP="004A0505">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524 586</w:t>
            </w:r>
          </w:p>
        </w:tc>
      </w:tr>
      <w:tr>
        <w:tblPrEx>
          <w:tblW w:w="4483" w:type="pct"/>
          <w:jc w:val="center"/>
          <w:tblInd w:w="70" w:type="dxa"/>
          <w:tblLayout w:type="fixed"/>
          <w:tblCellMar>
            <w:left w:w="70" w:type="dxa"/>
            <w:right w:w="70" w:type="dxa"/>
          </w:tblCellMar>
          <w:tblLook w:val="00A0"/>
        </w:tblPrEx>
        <w:trPr>
          <w:trHeight w:hRule="exact" w:val="330"/>
          <w:jc w:val="center"/>
        </w:trPr>
        <w:tc>
          <w:tcPr>
            <w:tcW w:w="3176" w:type="pct"/>
            <w:tcBorders>
              <w:top w:val="nil"/>
              <w:left w:val="nil"/>
              <w:bottom w:val="single" w:sz="4" w:space="0" w:color="000000"/>
              <w:right w:val="nil"/>
            </w:tcBorders>
            <w:textDirection w:val="lrTb"/>
            <w:vAlign w:val="center"/>
          </w:tcPr>
          <w:p w:rsidR="00660E57" w:rsidRPr="0072101A" w:rsidP="00972675">
            <w:pPr>
              <w:bidi w:val="0"/>
              <w:spacing w:after="0" w:line="240" w:lineRule="auto"/>
              <w:rPr>
                <w:rFonts w:ascii="Times New Roman" w:hAnsi="Times New Roman"/>
                <w:b/>
                <w:color w:val="000000"/>
                <w:sz w:val="20"/>
                <w:szCs w:val="20"/>
                <w:lang w:eastAsia="sk-SK"/>
              </w:rPr>
            </w:pPr>
            <w:r w:rsidRPr="0072101A">
              <w:rPr>
                <w:rFonts w:ascii="Times New Roman" w:hAnsi="Times New Roman"/>
                <w:b/>
                <w:color w:val="000000"/>
                <w:sz w:val="20"/>
                <w:szCs w:val="20"/>
                <w:lang w:eastAsia="sk-SK"/>
              </w:rPr>
              <w:t>Spolu</w:t>
            </w:r>
          </w:p>
        </w:tc>
        <w:tc>
          <w:tcPr>
            <w:tcW w:w="980" w:type="pct"/>
            <w:tcBorders>
              <w:top w:val="nil"/>
              <w:left w:val="nil"/>
              <w:bottom w:val="single" w:sz="4" w:space="0" w:color="000000"/>
              <w:right w:val="nil"/>
            </w:tcBorders>
            <w:textDirection w:val="lrTb"/>
            <w:vAlign w:val="center"/>
          </w:tcPr>
          <w:p w:rsidR="00660E57" w:rsidRPr="0072101A" w:rsidP="00E63E8A">
            <w:pPr>
              <w:bidi w:val="0"/>
              <w:spacing w:after="0" w:line="240" w:lineRule="auto"/>
              <w:jc w:val="right"/>
              <w:rPr>
                <w:rFonts w:ascii="Times New Roman" w:hAnsi="Times New Roman"/>
                <w:b/>
                <w:color w:val="000000"/>
                <w:sz w:val="20"/>
                <w:szCs w:val="20"/>
                <w:lang w:eastAsia="sk-SK"/>
              </w:rPr>
            </w:pPr>
            <w:r w:rsidR="00C74401">
              <w:rPr>
                <w:rFonts w:ascii="Times New Roman" w:hAnsi="Times New Roman"/>
                <w:b/>
                <w:color w:val="000000"/>
                <w:sz w:val="20"/>
                <w:szCs w:val="20"/>
                <w:lang w:eastAsia="sk-SK"/>
              </w:rPr>
              <w:t>952 942</w:t>
            </w:r>
          </w:p>
        </w:tc>
        <w:tc>
          <w:tcPr>
            <w:tcW w:w="844" w:type="pct"/>
            <w:tcBorders>
              <w:top w:val="nil"/>
              <w:left w:val="nil"/>
              <w:bottom w:val="single" w:sz="4" w:space="0" w:color="000000"/>
              <w:right w:val="nil"/>
            </w:tcBorders>
            <w:textDirection w:val="lrTb"/>
            <w:vAlign w:val="center"/>
          </w:tcPr>
          <w:p w:rsidR="00660E57" w:rsidRPr="0072101A" w:rsidP="004A0505">
            <w:pPr>
              <w:bidi w:val="0"/>
              <w:spacing w:after="0" w:line="240" w:lineRule="auto"/>
              <w:jc w:val="right"/>
              <w:rPr>
                <w:rFonts w:ascii="Times New Roman" w:hAnsi="Times New Roman"/>
                <w:b/>
                <w:color w:val="000000"/>
                <w:sz w:val="20"/>
                <w:szCs w:val="20"/>
                <w:lang w:eastAsia="sk-SK"/>
              </w:rPr>
            </w:pPr>
            <w:r w:rsidRPr="0072101A">
              <w:rPr>
                <w:rFonts w:ascii="Times New Roman" w:hAnsi="Times New Roman"/>
                <w:b/>
                <w:color w:val="000000"/>
                <w:sz w:val="20"/>
                <w:szCs w:val="20"/>
                <w:lang w:eastAsia="sk-SK"/>
              </w:rPr>
              <w:t>620 114</w:t>
            </w:r>
          </w:p>
        </w:tc>
      </w:tr>
    </w:tbl>
    <w:p w:rsidR="00F05E1F">
      <w:pPr>
        <w:bidi w:val="0"/>
      </w:pPr>
      <w:r>
        <w:br w:type="page"/>
      </w:r>
    </w:p>
    <w:tbl>
      <w:tblPr>
        <w:tblStyle w:val="TableNormal"/>
        <w:tblW w:w="4483" w:type="pct"/>
        <w:jc w:val="center"/>
        <w:tblInd w:w="70" w:type="dxa"/>
        <w:tblLayout w:type="fixed"/>
        <w:tblCellMar>
          <w:left w:w="70" w:type="dxa"/>
          <w:right w:w="70" w:type="dxa"/>
        </w:tblCellMar>
        <w:tblLook w:val="00A0"/>
      </w:tblPr>
      <w:tblGrid>
        <w:gridCol w:w="5246"/>
        <w:gridCol w:w="1619"/>
        <w:gridCol w:w="1394"/>
      </w:tblGrid>
      <w:tr>
        <w:tblPrEx>
          <w:tblW w:w="4483" w:type="pct"/>
          <w:jc w:val="center"/>
          <w:tblInd w:w="70" w:type="dxa"/>
          <w:tblLayout w:type="fixed"/>
          <w:tblCellMar>
            <w:left w:w="70" w:type="dxa"/>
            <w:right w:w="70" w:type="dxa"/>
          </w:tblCellMar>
          <w:tblLook w:val="00A0"/>
        </w:tblPrEx>
        <w:trPr>
          <w:trHeight w:hRule="exact" w:val="330"/>
          <w:jc w:val="center"/>
        </w:trPr>
        <w:tc>
          <w:tcPr>
            <w:tcW w:w="3176" w:type="pct"/>
            <w:tcBorders>
              <w:top w:val="single" w:sz="4" w:space="0" w:color="000000"/>
              <w:left w:val="nil"/>
              <w:bottom w:val="single" w:sz="4" w:space="0" w:color="000000"/>
              <w:right w:val="nil"/>
            </w:tcBorders>
            <w:shd w:val="clear" w:color="000000" w:fill="BFBFBF"/>
            <w:textDirection w:val="lrTb"/>
            <w:vAlign w:val="bottom"/>
          </w:tcPr>
          <w:p w:rsidR="00660E57" w:rsidRPr="0072101A" w:rsidP="00972675">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Krátkodobé pohľadávky</w:t>
            </w:r>
          </w:p>
        </w:tc>
        <w:tc>
          <w:tcPr>
            <w:tcW w:w="980" w:type="pct"/>
            <w:tcBorders>
              <w:top w:val="single" w:sz="4" w:space="0" w:color="000000"/>
              <w:left w:val="nil"/>
              <w:bottom w:val="single" w:sz="4" w:space="0" w:color="000000"/>
              <w:right w:val="nil"/>
            </w:tcBorders>
            <w:shd w:val="clear" w:color="000000" w:fill="BFBFBF"/>
            <w:textDirection w:val="lrTb"/>
            <w:vAlign w:val="bottom"/>
          </w:tcPr>
          <w:p w:rsidR="00660E57" w:rsidRPr="0072101A" w:rsidP="00AD2668">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w:t>
            </w:r>
            <w:r>
              <w:rPr>
                <w:rFonts w:ascii="Times New Roman" w:hAnsi="Times New Roman"/>
                <w:b/>
                <w:bCs/>
                <w:sz w:val="20"/>
                <w:szCs w:val="20"/>
                <w:lang w:eastAsia="sk-SK"/>
              </w:rPr>
              <w:t>2015</w:t>
            </w:r>
          </w:p>
        </w:tc>
        <w:tc>
          <w:tcPr>
            <w:tcW w:w="844" w:type="pct"/>
            <w:tcBorders>
              <w:top w:val="single" w:sz="4" w:space="0" w:color="000000"/>
              <w:left w:val="nil"/>
              <w:bottom w:val="single" w:sz="4" w:space="0" w:color="000000"/>
              <w:right w:val="nil"/>
            </w:tcBorders>
            <w:shd w:val="clear" w:color="000000" w:fill="BFBFBF"/>
            <w:textDirection w:val="lrTb"/>
            <w:vAlign w:val="bottom"/>
          </w:tcPr>
          <w:p w:rsidR="00660E57" w:rsidRPr="0072101A" w:rsidP="00972675">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w:t>
            </w:r>
            <w:r>
              <w:rPr>
                <w:rFonts w:ascii="Times New Roman" w:hAnsi="Times New Roman"/>
                <w:b/>
                <w:bCs/>
                <w:sz w:val="20"/>
                <w:szCs w:val="20"/>
                <w:lang w:eastAsia="sk-SK"/>
              </w:rPr>
              <w:t xml:space="preserve"> 2014</w:t>
            </w:r>
          </w:p>
        </w:tc>
      </w:tr>
      <w:tr>
        <w:tblPrEx>
          <w:tblW w:w="4483" w:type="pct"/>
          <w:jc w:val="center"/>
          <w:tblInd w:w="70" w:type="dxa"/>
          <w:tblLayout w:type="fixed"/>
          <w:tblCellMar>
            <w:left w:w="70" w:type="dxa"/>
            <w:right w:w="70" w:type="dxa"/>
          </w:tblCellMar>
          <w:tblLook w:val="00A0"/>
        </w:tblPrEx>
        <w:trPr>
          <w:trHeight w:hRule="exact" w:val="330"/>
          <w:jc w:val="center"/>
        </w:trPr>
        <w:tc>
          <w:tcPr>
            <w:tcW w:w="3176" w:type="pct"/>
            <w:tcBorders>
              <w:top w:val="single" w:sz="4" w:space="0" w:color="000000"/>
              <w:left w:val="nil"/>
              <w:bottom w:val="none" w:sz="0" w:space="0" w:color="auto"/>
              <w:right w:val="nil"/>
            </w:tcBorders>
            <w:shd w:val="clear" w:color="000000" w:fill="auto"/>
            <w:textDirection w:val="lrTb"/>
            <w:vAlign w:val="center"/>
          </w:tcPr>
          <w:p w:rsidR="00660E57" w:rsidRPr="0072101A" w:rsidP="00972675">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Odberatelia</w:t>
            </w:r>
          </w:p>
        </w:tc>
        <w:tc>
          <w:tcPr>
            <w:tcW w:w="980" w:type="pct"/>
            <w:tcBorders>
              <w:top w:val="single" w:sz="4" w:space="0" w:color="000000"/>
              <w:left w:val="nil"/>
              <w:bottom w:val="none" w:sz="0" w:space="0" w:color="auto"/>
              <w:right w:val="nil"/>
            </w:tcBorders>
            <w:shd w:val="clear" w:color="000000" w:fill="auto"/>
            <w:textDirection w:val="lrTb"/>
            <w:vAlign w:val="center"/>
          </w:tcPr>
          <w:p w:rsidR="00660E57" w:rsidRPr="0072101A" w:rsidP="00972675">
            <w:pPr>
              <w:bidi w:val="0"/>
              <w:spacing w:after="0" w:line="240" w:lineRule="auto"/>
              <w:jc w:val="right"/>
              <w:rPr>
                <w:rFonts w:ascii="Times New Roman" w:hAnsi="Times New Roman"/>
                <w:bCs/>
                <w:color w:val="000000"/>
                <w:sz w:val="20"/>
                <w:szCs w:val="20"/>
                <w:lang w:eastAsia="sk-SK"/>
              </w:rPr>
            </w:pPr>
            <w:r w:rsidR="00DE7F94">
              <w:rPr>
                <w:rFonts w:ascii="Times New Roman" w:hAnsi="Times New Roman"/>
                <w:bCs/>
                <w:color w:val="000000"/>
                <w:sz w:val="20"/>
                <w:szCs w:val="20"/>
                <w:lang w:eastAsia="sk-SK"/>
              </w:rPr>
              <w:t>581 775</w:t>
            </w:r>
          </w:p>
        </w:tc>
        <w:tc>
          <w:tcPr>
            <w:tcW w:w="844" w:type="pct"/>
            <w:tcBorders>
              <w:top w:val="single" w:sz="4" w:space="0" w:color="000000"/>
              <w:left w:val="nil"/>
              <w:bottom w:val="none" w:sz="0" w:space="0" w:color="auto"/>
              <w:right w:val="nil"/>
            </w:tcBorders>
            <w:shd w:val="clear" w:color="000000" w:fill="auto"/>
            <w:textDirection w:val="lrTb"/>
            <w:vAlign w:val="center"/>
          </w:tcPr>
          <w:p w:rsidR="00660E57" w:rsidRPr="0072101A" w:rsidP="004A0505">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604 638</w:t>
            </w:r>
          </w:p>
        </w:tc>
      </w:tr>
      <w:tr>
        <w:tblPrEx>
          <w:tblW w:w="4483" w:type="pct"/>
          <w:jc w:val="center"/>
          <w:tblInd w:w="70" w:type="dxa"/>
          <w:tblLayout w:type="fixed"/>
          <w:tblCellMar>
            <w:left w:w="70" w:type="dxa"/>
            <w:right w:w="70" w:type="dxa"/>
          </w:tblCellMar>
          <w:tblLook w:val="00A0"/>
        </w:tblPrEx>
        <w:trPr>
          <w:trHeight w:hRule="exact" w:val="330"/>
          <w:jc w:val="center"/>
        </w:trPr>
        <w:tc>
          <w:tcPr>
            <w:tcW w:w="3176" w:type="pct"/>
            <w:tcBorders>
              <w:top w:val="nil"/>
              <w:left w:val="nil"/>
              <w:bottom w:val="none" w:sz="0" w:space="0" w:color="auto"/>
              <w:right w:val="nil"/>
            </w:tcBorders>
            <w:shd w:val="clear" w:color="000000" w:fill="auto"/>
            <w:textDirection w:val="lrTb"/>
            <w:vAlign w:val="center"/>
          </w:tcPr>
          <w:p w:rsidR="00660E57" w:rsidRPr="0072101A" w:rsidP="00972675">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Pohľadávky z daňových a colných príjmov</w:t>
            </w:r>
          </w:p>
        </w:tc>
        <w:tc>
          <w:tcPr>
            <w:tcW w:w="980" w:type="pct"/>
            <w:tcBorders>
              <w:top w:val="nil"/>
              <w:left w:val="nil"/>
              <w:bottom w:val="none" w:sz="0" w:space="0" w:color="auto"/>
              <w:right w:val="nil"/>
            </w:tcBorders>
            <w:shd w:val="clear" w:color="000000" w:fill="auto"/>
            <w:textDirection w:val="lrTb"/>
            <w:vAlign w:val="center"/>
          </w:tcPr>
          <w:p w:rsidR="00660E57" w:rsidRPr="0072101A" w:rsidP="00972675">
            <w:pPr>
              <w:bidi w:val="0"/>
              <w:spacing w:after="0" w:line="240" w:lineRule="auto"/>
              <w:jc w:val="right"/>
              <w:rPr>
                <w:rFonts w:ascii="Times New Roman" w:hAnsi="Times New Roman"/>
                <w:bCs/>
                <w:color w:val="000000"/>
                <w:sz w:val="20"/>
                <w:szCs w:val="20"/>
                <w:lang w:eastAsia="sk-SK"/>
              </w:rPr>
            </w:pPr>
            <w:r w:rsidR="00386D57">
              <w:rPr>
                <w:rFonts w:ascii="Times New Roman" w:hAnsi="Times New Roman"/>
                <w:bCs/>
                <w:color w:val="000000"/>
                <w:sz w:val="20"/>
                <w:szCs w:val="20"/>
                <w:lang w:eastAsia="sk-SK"/>
              </w:rPr>
              <w:t>433 003</w:t>
            </w:r>
          </w:p>
        </w:tc>
        <w:tc>
          <w:tcPr>
            <w:tcW w:w="844" w:type="pct"/>
            <w:tcBorders>
              <w:top w:val="nil"/>
              <w:left w:val="nil"/>
              <w:bottom w:val="none" w:sz="0" w:space="0" w:color="auto"/>
              <w:right w:val="nil"/>
            </w:tcBorders>
            <w:shd w:val="clear" w:color="000000" w:fill="auto"/>
            <w:textDirection w:val="lrTb"/>
            <w:vAlign w:val="center"/>
          </w:tcPr>
          <w:p w:rsidR="00660E57" w:rsidRPr="0072101A" w:rsidP="00386D57">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7</w:t>
            </w:r>
            <w:r w:rsidR="00386D57">
              <w:rPr>
                <w:rFonts w:ascii="Times New Roman" w:hAnsi="Times New Roman"/>
                <w:bCs/>
                <w:color w:val="000000"/>
                <w:sz w:val="20"/>
                <w:szCs w:val="20"/>
                <w:lang w:eastAsia="sk-SK"/>
              </w:rPr>
              <w:t>4</w:t>
            </w:r>
            <w:r w:rsidRPr="0072101A">
              <w:rPr>
                <w:rFonts w:ascii="Times New Roman" w:hAnsi="Times New Roman"/>
                <w:bCs/>
                <w:color w:val="000000"/>
                <w:sz w:val="20"/>
                <w:szCs w:val="20"/>
                <w:lang w:eastAsia="sk-SK"/>
              </w:rPr>
              <w:t xml:space="preserve">8 </w:t>
            </w:r>
            <w:r w:rsidR="00386D57">
              <w:rPr>
                <w:rFonts w:ascii="Times New Roman" w:hAnsi="Times New Roman"/>
                <w:bCs/>
                <w:color w:val="000000"/>
                <w:sz w:val="20"/>
                <w:szCs w:val="20"/>
                <w:lang w:eastAsia="sk-SK"/>
              </w:rPr>
              <w:t>545</w:t>
            </w:r>
          </w:p>
        </w:tc>
      </w:tr>
      <w:tr>
        <w:tblPrEx>
          <w:tblW w:w="4483" w:type="pct"/>
          <w:jc w:val="center"/>
          <w:tblInd w:w="70" w:type="dxa"/>
          <w:tblLayout w:type="fixed"/>
          <w:tblCellMar>
            <w:left w:w="70" w:type="dxa"/>
            <w:right w:w="70" w:type="dxa"/>
          </w:tblCellMar>
          <w:tblLook w:val="00A0"/>
        </w:tblPrEx>
        <w:trPr>
          <w:trHeight w:hRule="exact" w:val="330"/>
          <w:jc w:val="center"/>
        </w:trPr>
        <w:tc>
          <w:tcPr>
            <w:tcW w:w="3176" w:type="pct"/>
            <w:tcBorders>
              <w:top w:val="nil"/>
              <w:left w:val="nil"/>
              <w:bottom w:val="none" w:sz="0" w:space="0" w:color="auto"/>
              <w:right w:val="nil"/>
            </w:tcBorders>
            <w:shd w:val="clear" w:color="000000" w:fill="auto"/>
            <w:textDirection w:val="lrTb"/>
            <w:vAlign w:val="center"/>
          </w:tcPr>
          <w:p w:rsidR="00660E57" w:rsidRPr="0072101A" w:rsidP="00972675">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Pohľadávky z nedaňových rozpočtových príjmov</w:t>
            </w:r>
          </w:p>
        </w:tc>
        <w:tc>
          <w:tcPr>
            <w:tcW w:w="980" w:type="pct"/>
            <w:tcBorders>
              <w:top w:val="nil"/>
              <w:left w:val="nil"/>
              <w:bottom w:val="none" w:sz="0" w:space="0" w:color="auto"/>
              <w:right w:val="nil"/>
            </w:tcBorders>
            <w:shd w:val="clear" w:color="000000" w:fill="auto"/>
            <w:textDirection w:val="lrTb"/>
            <w:vAlign w:val="center"/>
          </w:tcPr>
          <w:p w:rsidR="00660E57" w:rsidRPr="0072101A" w:rsidP="00972675">
            <w:pPr>
              <w:bidi w:val="0"/>
              <w:spacing w:after="0" w:line="240" w:lineRule="auto"/>
              <w:jc w:val="right"/>
              <w:rPr>
                <w:rFonts w:ascii="Times New Roman" w:hAnsi="Times New Roman"/>
                <w:bCs/>
                <w:color w:val="000000"/>
                <w:sz w:val="20"/>
                <w:szCs w:val="20"/>
                <w:lang w:eastAsia="sk-SK"/>
              </w:rPr>
            </w:pPr>
            <w:r w:rsidR="009E3B72">
              <w:rPr>
                <w:rFonts w:ascii="Times New Roman" w:hAnsi="Times New Roman"/>
                <w:bCs/>
                <w:color w:val="000000"/>
                <w:sz w:val="20"/>
                <w:szCs w:val="20"/>
                <w:lang w:eastAsia="sk-SK"/>
              </w:rPr>
              <w:t>230 918</w:t>
            </w:r>
          </w:p>
        </w:tc>
        <w:tc>
          <w:tcPr>
            <w:tcW w:w="844" w:type="pct"/>
            <w:tcBorders>
              <w:top w:val="nil"/>
              <w:left w:val="nil"/>
              <w:bottom w:val="none" w:sz="0" w:space="0" w:color="auto"/>
              <w:right w:val="nil"/>
            </w:tcBorders>
            <w:shd w:val="clear" w:color="000000" w:fill="auto"/>
            <w:textDirection w:val="lrTb"/>
            <w:vAlign w:val="center"/>
          </w:tcPr>
          <w:p w:rsidR="00660E57" w:rsidRPr="0072101A" w:rsidP="004A0505">
            <w:pPr>
              <w:bidi w:val="0"/>
              <w:spacing w:after="0" w:line="240" w:lineRule="auto"/>
              <w:jc w:val="right"/>
              <w:rPr>
                <w:rFonts w:ascii="Times New Roman" w:hAnsi="Times New Roman"/>
                <w:bCs/>
                <w:color w:val="000000"/>
                <w:sz w:val="20"/>
                <w:szCs w:val="20"/>
                <w:lang w:eastAsia="sk-SK"/>
              </w:rPr>
            </w:pPr>
            <w:r w:rsidR="009E3B72">
              <w:rPr>
                <w:rFonts w:ascii="Times New Roman" w:hAnsi="Times New Roman"/>
                <w:bCs/>
                <w:color w:val="000000"/>
                <w:sz w:val="20"/>
                <w:szCs w:val="20"/>
                <w:lang w:eastAsia="sk-SK"/>
              </w:rPr>
              <w:t>244 572</w:t>
            </w:r>
          </w:p>
        </w:tc>
      </w:tr>
      <w:tr>
        <w:tblPrEx>
          <w:tblW w:w="4483" w:type="pct"/>
          <w:jc w:val="center"/>
          <w:tblInd w:w="70" w:type="dxa"/>
          <w:tblLayout w:type="fixed"/>
          <w:tblCellMar>
            <w:left w:w="70" w:type="dxa"/>
            <w:right w:w="70" w:type="dxa"/>
          </w:tblCellMar>
          <w:tblLook w:val="00A0"/>
        </w:tblPrEx>
        <w:trPr>
          <w:trHeight w:hRule="exact" w:val="330"/>
          <w:jc w:val="center"/>
        </w:trPr>
        <w:tc>
          <w:tcPr>
            <w:tcW w:w="3176" w:type="pct"/>
            <w:tcBorders>
              <w:top w:val="nil"/>
              <w:left w:val="nil"/>
              <w:bottom w:val="none" w:sz="0" w:space="0" w:color="auto"/>
              <w:right w:val="nil"/>
            </w:tcBorders>
            <w:shd w:val="clear" w:color="000000" w:fill="auto"/>
            <w:textDirection w:val="lrTb"/>
            <w:vAlign w:val="center"/>
          </w:tcPr>
          <w:p w:rsidR="00660E57" w:rsidRPr="0072101A" w:rsidP="00972675">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Zúčtovanie s EÚ</w:t>
            </w:r>
          </w:p>
        </w:tc>
        <w:tc>
          <w:tcPr>
            <w:tcW w:w="980" w:type="pct"/>
            <w:tcBorders>
              <w:top w:val="nil"/>
              <w:left w:val="nil"/>
              <w:bottom w:val="none" w:sz="0" w:space="0" w:color="auto"/>
              <w:right w:val="nil"/>
            </w:tcBorders>
            <w:shd w:val="clear" w:color="000000" w:fill="auto"/>
            <w:textDirection w:val="lrTb"/>
            <w:vAlign w:val="center"/>
          </w:tcPr>
          <w:p w:rsidR="00660E57" w:rsidRPr="0072101A" w:rsidP="00972675">
            <w:pPr>
              <w:bidi w:val="0"/>
              <w:spacing w:after="0" w:line="240" w:lineRule="auto"/>
              <w:jc w:val="right"/>
              <w:rPr>
                <w:rFonts w:ascii="Times New Roman" w:hAnsi="Times New Roman"/>
                <w:bCs/>
                <w:color w:val="000000"/>
                <w:sz w:val="20"/>
                <w:szCs w:val="20"/>
                <w:lang w:eastAsia="sk-SK"/>
              </w:rPr>
            </w:pPr>
            <w:r w:rsidR="00DE7F94">
              <w:rPr>
                <w:rFonts w:ascii="Times New Roman" w:hAnsi="Times New Roman"/>
                <w:bCs/>
                <w:color w:val="000000"/>
                <w:sz w:val="20"/>
                <w:szCs w:val="20"/>
                <w:lang w:eastAsia="sk-SK"/>
              </w:rPr>
              <w:t>480 175</w:t>
            </w:r>
          </w:p>
        </w:tc>
        <w:tc>
          <w:tcPr>
            <w:tcW w:w="844" w:type="pct"/>
            <w:tcBorders>
              <w:top w:val="nil"/>
              <w:left w:val="nil"/>
              <w:bottom w:val="none" w:sz="0" w:space="0" w:color="auto"/>
              <w:right w:val="nil"/>
            </w:tcBorders>
            <w:shd w:val="clear" w:color="000000" w:fill="auto"/>
            <w:textDirection w:val="lrTb"/>
            <w:vAlign w:val="center"/>
          </w:tcPr>
          <w:p w:rsidR="00660E57" w:rsidRPr="0072101A" w:rsidP="004A0505">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574 432</w:t>
            </w:r>
          </w:p>
        </w:tc>
      </w:tr>
      <w:tr>
        <w:tblPrEx>
          <w:tblW w:w="4483" w:type="pct"/>
          <w:jc w:val="center"/>
          <w:tblInd w:w="70" w:type="dxa"/>
          <w:tblLayout w:type="fixed"/>
          <w:tblCellMar>
            <w:left w:w="70" w:type="dxa"/>
            <w:right w:w="70" w:type="dxa"/>
          </w:tblCellMar>
          <w:tblLook w:val="00A0"/>
        </w:tblPrEx>
        <w:trPr>
          <w:trHeight w:hRule="exact" w:val="330"/>
          <w:jc w:val="center"/>
        </w:trPr>
        <w:tc>
          <w:tcPr>
            <w:tcW w:w="3176" w:type="pct"/>
            <w:tcBorders>
              <w:top w:val="nil"/>
              <w:left w:val="nil"/>
              <w:bottom w:val="none" w:sz="0" w:space="0" w:color="auto"/>
              <w:right w:val="nil"/>
            </w:tcBorders>
            <w:shd w:val="clear" w:color="000000" w:fill="auto"/>
            <w:textDirection w:val="lrTb"/>
            <w:vAlign w:val="center"/>
          </w:tcPr>
          <w:p w:rsidR="00660E57" w:rsidRPr="0072101A" w:rsidP="00972675">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Poskytnuté prevádzkové preddavky</w:t>
            </w:r>
          </w:p>
        </w:tc>
        <w:tc>
          <w:tcPr>
            <w:tcW w:w="980" w:type="pct"/>
            <w:tcBorders>
              <w:top w:val="nil"/>
              <w:left w:val="nil"/>
              <w:bottom w:val="none" w:sz="0" w:space="0" w:color="auto"/>
              <w:right w:val="nil"/>
            </w:tcBorders>
            <w:shd w:val="clear" w:color="000000" w:fill="auto"/>
            <w:textDirection w:val="lrTb"/>
            <w:vAlign w:val="center"/>
          </w:tcPr>
          <w:p w:rsidR="00660E57" w:rsidRPr="0072101A" w:rsidP="00972675">
            <w:pPr>
              <w:bidi w:val="0"/>
              <w:spacing w:after="0" w:line="240" w:lineRule="auto"/>
              <w:jc w:val="right"/>
              <w:rPr>
                <w:rFonts w:ascii="Times New Roman" w:hAnsi="Times New Roman"/>
                <w:bCs/>
                <w:color w:val="000000"/>
                <w:sz w:val="20"/>
                <w:szCs w:val="20"/>
                <w:lang w:eastAsia="sk-SK"/>
              </w:rPr>
            </w:pPr>
            <w:r w:rsidR="00DE7F94">
              <w:rPr>
                <w:rFonts w:ascii="Times New Roman" w:hAnsi="Times New Roman"/>
                <w:bCs/>
                <w:color w:val="000000"/>
                <w:sz w:val="20"/>
                <w:szCs w:val="20"/>
                <w:lang w:eastAsia="sk-SK"/>
              </w:rPr>
              <w:t>210 314</w:t>
            </w:r>
          </w:p>
        </w:tc>
        <w:tc>
          <w:tcPr>
            <w:tcW w:w="844" w:type="pct"/>
            <w:tcBorders>
              <w:top w:val="nil"/>
              <w:left w:val="nil"/>
              <w:bottom w:val="none" w:sz="0" w:space="0" w:color="auto"/>
              <w:right w:val="nil"/>
            </w:tcBorders>
            <w:shd w:val="clear" w:color="000000" w:fill="auto"/>
            <w:textDirection w:val="lrTb"/>
            <w:vAlign w:val="center"/>
          </w:tcPr>
          <w:p w:rsidR="00660E57" w:rsidRPr="0072101A" w:rsidP="004A0505">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117 238</w:t>
            </w:r>
          </w:p>
        </w:tc>
      </w:tr>
      <w:tr>
        <w:tblPrEx>
          <w:tblW w:w="4483" w:type="pct"/>
          <w:jc w:val="center"/>
          <w:tblInd w:w="70" w:type="dxa"/>
          <w:tblLayout w:type="fixed"/>
          <w:tblCellMar>
            <w:left w:w="70" w:type="dxa"/>
            <w:right w:w="70" w:type="dxa"/>
          </w:tblCellMar>
          <w:tblLook w:val="00A0"/>
        </w:tblPrEx>
        <w:trPr>
          <w:trHeight w:hRule="exact" w:val="330"/>
          <w:jc w:val="center"/>
        </w:trPr>
        <w:tc>
          <w:tcPr>
            <w:tcW w:w="3176" w:type="pct"/>
            <w:tcBorders>
              <w:top w:val="nil"/>
              <w:left w:val="nil"/>
              <w:bottom w:val="none" w:sz="0" w:space="0" w:color="auto"/>
              <w:right w:val="nil"/>
            </w:tcBorders>
            <w:shd w:val="clear" w:color="000000" w:fill="auto"/>
            <w:textDirection w:val="lrTb"/>
            <w:vAlign w:val="center"/>
          </w:tcPr>
          <w:p w:rsidR="00660E57" w:rsidRPr="0072101A" w:rsidP="00972675">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Pohľadávky voči zamestnancom</w:t>
            </w:r>
          </w:p>
        </w:tc>
        <w:tc>
          <w:tcPr>
            <w:tcW w:w="980" w:type="pct"/>
            <w:tcBorders>
              <w:top w:val="nil"/>
              <w:left w:val="nil"/>
              <w:bottom w:val="none" w:sz="0" w:space="0" w:color="auto"/>
              <w:right w:val="nil"/>
            </w:tcBorders>
            <w:shd w:val="clear" w:color="000000" w:fill="auto"/>
            <w:textDirection w:val="lrTb"/>
            <w:vAlign w:val="center"/>
          </w:tcPr>
          <w:p w:rsidR="00660E57" w:rsidRPr="0072101A" w:rsidP="00972675">
            <w:pPr>
              <w:bidi w:val="0"/>
              <w:spacing w:after="0" w:line="240" w:lineRule="auto"/>
              <w:jc w:val="right"/>
              <w:rPr>
                <w:rFonts w:ascii="Times New Roman" w:hAnsi="Times New Roman"/>
                <w:bCs/>
                <w:color w:val="000000"/>
                <w:sz w:val="20"/>
                <w:szCs w:val="20"/>
                <w:lang w:eastAsia="sk-SK"/>
              </w:rPr>
            </w:pPr>
            <w:r w:rsidR="000F54E7">
              <w:rPr>
                <w:rFonts w:ascii="Times New Roman" w:hAnsi="Times New Roman"/>
                <w:bCs/>
                <w:color w:val="000000"/>
                <w:sz w:val="20"/>
                <w:szCs w:val="20"/>
                <w:lang w:eastAsia="sk-SK"/>
              </w:rPr>
              <w:t>4 247</w:t>
            </w:r>
          </w:p>
        </w:tc>
        <w:tc>
          <w:tcPr>
            <w:tcW w:w="844" w:type="pct"/>
            <w:tcBorders>
              <w:top w:val="nil"/>
              <w:left w:val="nil"/>
              <w:bottom w:val="none" w:sz="0" w:space="0" w:color="auto"/>
              <w:right w:val="nil"/>
            </w:tcBorders>
            <w:shd w:val="clear" w:color="000000" w:fill="auto"/>
            <w:textDirection w:val="lrTb"/>
            <w:vAlign w:val="center"/>
          </w:tcPr>
          <w:p w:rsidR="00660E57" w:rsidRPr="0072101A" w:rsidP="004A0505">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6 247</w:t>
            </w:r>
          </w:p>
        </w:tc>
      </w:tr>
      <w:tr>
        <w:tblPrEx>
          <w:tblW w:w="4483" w:type="pct"/>
          <w:jc w:val="center"/>
          <w:tblInd w:w="70" w:type="dxa"/>
          <w:tblLayout w:type="fixed"/>
          <w:tblCellMar>
            <w:left w:w="70" w:type="dxa"/>
            <w:right w:w="70" w:type="dxa"/>
          </w:tblCellMar>
          <w:tblLook w:val="00A0"/>
        </w:tblPrEx>
        <w:trPr>
          <w:trHeight w:hRule="exact" w:val="330"/>
          <w:jc w:val="center"/>
        </w:trPr>
        <w:tc>
          <w:tcPr>
            <w:tcW w:w="3176" w:type="pct"/>
            <w:tcBorders>
              <w:top w:val="nil"/>
              <w:left w:val="nil"/>
              <w:bottom w:val="none" w:sz="0" w:space="0" w:color="auto"/>
              <w:right w:val="nil"/>
            </w:tcBorders>
            <w:shd w:val="clear" w:color="000000" w:fill="auto"/>
            <w:textDirection w:val="lrTb"/>
            <w:vAlign w:val="center"/>
          </w:tcPr>
          <w:p w:rsidR="00660E57" w:rsidRPr="0072101A" w:rsidP="00972675">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Ostatné pohľadávky</w:t>
            </w:r>
          </w:p>
        </w:tc>
        <w:tc>
          <w:tcPr>
            <w:tcW w:w="980" w:type="pct"/>
            <w:tcBorders>
              <w:top w:val="nil"/>
              <w:left w:val="nil"/>
              <w:bottom w:val="none" w:sz="0" w:space="0" w:color="auto"/>
              <w:right w:val="nil"/>
            </w:tcBorders>
            <w:shd w:val="clear" w:color="000000" w:fill="auto"/>
            <w:textDirection w:val="lrTb"/>
            <w:vAlign w:val="center"/>
          </w:tcPr>
          <w:p w:rsidR="00660E57" w:rsidRPr="0072101A" w:rsidP="009238E8">
            <w:pPr>
              <w:bidi w:val="0"/>
              <w:spacing w:after="0" w:line="240" w:lineRule="auto"/>
              <w:jc w:val="right"/>
              <w:rPr>
                <w:rFonts w:ascii="Times New Roman" w:hAnsi="Times New Roman"/>
                <w:bCs/>
                <w:color w:val="000000"/>
                <w:sz w:val="20"/>
                <w:szCs w:val="20"/>
                <w:lang w:eastAsia="sk-SK"/>
              </w:rPr>
            </w:pPr>
            <w:r w:rsidR="000F54E7">
              <w:rPr>
                <w:rFonts w:ascii="Times New Roman" w:hAnsi="Times New Roman"/>
                <w:bCs/>
                <w:color w:val="000000"/>
                <w:sz w:val="20"/>
                <w:szCs w:val="20"/>
                <w:lang w:eastAsia="sk-SK"/>
              </w:rPr>
              <w:t>3</w:t>
            </w:r>
            <w:r w:rsidR="009238E8">
              <w:rPr>
                <w:rFonts w:ascii="Times New Roman" w:hAnsi="Times New Roman"/>
                <w:bCs/>
                <w:color w:val="000000"/>
                <w:sz w:val="20"/>
                <w:szCs w:val="20"/>
                <w:lang w:eastAsia="sk-SK"/>
              </w:rPr>
              <w:t> 167 592</w:t>
            </w:r>
          </w:p>
        </w:tc>
        <w:tc>
          <w:tcPr>
            <w:tcW w:w="844" w:type="pct"/>
            <w:tcBorders>
              <w:top w:val="nil"/>
              <w:left w:val="nil"/>
              <w:bottom w:val="none" w:sz="0" w:space="0" w:color="auto"/>
              <w:right w:val="nil"/>
            </w:tcBorders>
            <w:shd w:val="clear" w:color="000000" w:fill="auto"/>
            <w:textDirection w:val="lrTb"/>
            <w:vAlign w:val="center"/>
          </w:tcPr>
          <w:p w:rsidR="00660E57" w:rsidRPr="0072101A" w:rsidP="009238E8">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1</w:t>
            </w:r>
            <w:r w:rsidR="009238E8">
              <w:rPr>
                <w:rFonts w:ascii="Times New Roman" w:hAnsi="Times New Roman"/>
                <w:bCs/>
                <w:color w:val="000000"/>
                <w:sz w:val="20"/>
                <w:szCs w:val="20"/>
                <w:lang w:eastAsia="sk-SK"/>
              </w:rPr>
              <w:t> 803 428</w:t>
            </w:r>
          </w:p>
        </w:tc>
      </w:tr>
      <w:tr>
        <w:tblPrEx>
          <w:tblW w:w="4483" w:type="pct"/>
          <w:jc w:val="center"/>
          <w:tblInd w:w="70" w:type="dxa"/>
          <w:tblLayout w:type="fixed"/>
          <w:tblCellMar>
            <w:left w:w="70" w:type="dxa"/>
            <w:right w:w="70" w:type="dxa"/>
          </w:tblCellMar>
          <w:tblLook w:val="00A0"/>
        </w:tblPrEx>
        <w:trPr>
          <w:trHeight w:hRule="exact" w:val="330"/>
          <w:jc w:val="center"/>
        </w:trPr>
        <w:tc>
          <w:tcPr>
            <w:tcW w:w="3176" w:type="pct"/>
            <w:tcBorders>
              <w:top w:val="nil"/>
              <w:left w:val="nil"/>
              <w:bottom w:val="single" w:sz="4" w:space="0" w:color="000000"/>
              <w:right w:val="nil"/>
            </w:tcBorders>
            <w:shd w:val="clear" w:color="000000" w:fill="auto"/>
            <w:textDirection w:val="lrTb"/>
            <w:vAlign w:val="center"/>
          </w:tcPr>
          <w:p w:rsidR="00660E57" w:rsidRPr="0072101A" w:rsidP="00972675">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Spolu</w:t>
            </w:r>
          </w:p>
        </w:tc>
        <w:tc>
          <w:tcPr>
            <w:tcW w:w="980" w:type="pct"/>
            <w:tcBorders>
              <w:top w:val="nil"/>
              <w:left w:val="nil"/>
              <w:bottom w:val="single" w:sz="4" w:space="0" w:color="000000"/>
              <w:right w:val="nil"/>
            </w:tcBorders>
            <w:shd w:val="clear" w:color="000000" w:fill="auto"/>
            <w:textDirection w:val="lrTb"/>
            <w:vAlign w:val="center"/>
          </w:tcPr>
          <w:p w:rsidR="00660E57" w:rsidRPr="008C586C" w:rsidP="00972675">
            <w:pPr>
              <w:bidi w:val="0"/>
              <w:spacing w:after="0" w:line="240" w:lineRule="auto"/>
              <w:jc w:val="right"/>
              <w:rPr>
                <w:rFonts w:ascii="Times New Roman" w:hAnsi="Times New Roman"/>
                <w:b/>
                <w:bCs/>
                <w:color w:val="000000"/>
                <w:sz w:val="20"/>
                <w:szCs w:val="20"/>
                <w:lang w:eastAsia="sk-SK"/>
              </w:rPr>
            </w:pPr>
            <w:r w:rsidRPr="008C586C" w:rsidR="00DE7F94">
              <w:rPr>
                <w:rFonts w:ascii="Times New Roman" w:hAnsi="Times New Roman"/>
                <w:b/>
                <w:bCs/>
                <w:color w:val="000000"/>
                <w:sz w:val="20"/>
                <w:szCs w:val="20"/>
                <w:lang w:eastAsia="sk-SK"/>
              </w:rPr>
              <w:t>5 108 024</w:t>
            </w:r>
          </w:p>
        </w:tc>
        <w:tc>
          <w:tcPr>
            <w:tcW w:w="844" w:type="pct"/>
            <w:tcBorders>
              <w:top w:val="nil"/>
              <w:left w:val="nil"/>
              <w:bottom w:val="single" w:sz="4" w:space="0" w:color="000000"/>
              <w:right w:val="nil"/>
            </w:tcBorders>
            <w:shd w:val="clear" w:color="000000" w:fill="auto"/>
            <w:textDirection w:val="lrTb"/>
            <w:vAlign w:val="center"/>
          </w:tcPr>
          <w:p w:rsidR="00660E57" w:rsidRPr="008C586C" w:rsidP="004A0505">
            <w:pPr>
              <w:bidi w:val="0"/>
              <w:spacing w:after="0" w:line="240" w:lineRule="auto"/>
              <w:jc w:val="right"/>
              <w:rPr>
                <w:rFonts w:ascii="Times New Roman" w:hAnsi="Times New Roman"/>
                <w:b/>
                <w:bCs/>
                <w:color w:val="000000"/>
                <w:sz w:val="20"/>
                <w:szCs w:val="20"/>
                <w:lang w:eastAsia="sk-SK"/>
              </w:rPr>
            </w:pPr>
            <w:r w:rsidRPr="008C586C">
              <w:rPr>
                <w:rFonts w:ascii="Times New Roman" w:hAnsi="Times New Roman"/>
                <w:b/>
                <w:bCs/>
                <w:color w:val="000000"/>
                <w:sz w:val="20"/>
                <w:szCs w:val="20"/>
                <w:lang w:eastAsia="sk-SK"/>
              </w:rPr>
              <w:t>4 099 100</w:t>
            </w:r>
          </w:p>
        </w:tc>
      </w:tr>
    </w:tbl>
    <w:p w:rsidR="00DC3289" w:rsidP="007D53FF">
      <w:pPr>
        <w:pStyle w:val="Pismenka"/>
        <w:tabs>
          <w:tab w:val="clear" w:pos="426"/>
        </w:tabs>
        <w:bidi w:val="0"/>
        <w:spacing w:before="240" w:after="120" w:line="336" w:lineRule="auto"/>
        <w:ind w:left="0" w:firstLine="0"/>
        <w:rPr>
          <w:rFonts w:ascii="Times New Roman" w:hAnsi="Times New Roman"/>
          <w:b w:val="0"/>
          <w:bCs w:val="0"/>
          <w:sz w:val="22"/>
          <w:szCs w:val="22"/>
        </w:rPr>
      </w:pPr>
      <w:r w:rsidRPr="0072101A" w:rsidR="005017B6">
        <w:rPr>
          <w:rFonts w:ascii="Times New Roman" w:hAnsi="Times New Roman"/>
          <w:b w:val="0"/>
          <w:bCs w:val="0"/>
          <w:sz w:val="22"/>
          <w:szCs w:val="22"/>
          <w:u w:val="single"/>
        </w:rPr>
        <w:t>Z dlhodobých pohľadávok</w:t>
      </w:r>
      <w:r w:rsidRPr="0072101A" w:rsidR="005017B6">
        <w:rPr>
          <w:rFonts w:ascii="Times New Roman" w:hAnsi="Times New Roman"/>
          <w:b w:val="0"/>
          <w:bCs w:val="0"/>
          <w:sz w:val="22"/>
          <w:szCs w:val="22"/>
        </w:rPr>
        <w:t xml:space="preserve"> </w:t>
      </w:r>
      <w:r w:rsidR="00396D51">
        <w:rPr>
          <w:rFonts w:ascii="Times New Roman" w:hAnsi="Times New Roman"/>
          <w:b w:val="0"/>
          <w:bCs w:val="0"/>
          <w:sz w:val="22"/>
          <w:szCs w:val="22"/>
        </w:rPr>
        <w:t xml:space="preserve">na položke </w:t>
      </w:r>
      <w:r w:rsidR="006C48DD">
        <w:rPr>
          <w:rFonts w:ascii="Times New Roman" w:hAnsi="Times New Roman"/>
          <w:b w:val="0"/>
          <w:bCs w:val="0"/>
          <w:sz w:val="22"/>
          <w:szCs w:val="22"/>
        </w:rPr>
        <w:t>“</w:t>
      </w:r>
      <w:r w:rsidR="00396D51">
        <w:rPr>
          <w:rFonts w:ascii="Times New Roman" w:hAnsi="Times New Roman"/>
          <w:b w:val="0"/>
          <w:bCs w:val="0"/>
          <w:sz w:val="22"/>
          <w:szCs w:val="22"/>
        </w:rPr>
        <w:t>ostatn</w:t>
      </w:r>
      <w:r w:rsidR="006C48DD">
        <w:rPr>
          <w:rFonts w:ascii="Times New Roman" w:hAnsi="Times New Roman"/>
          <w:b w:val="0"/>
          <w:bCs w:val="0"/>
          <w:sz w:val="22"/>
          <w:szCs w:val="22"/>
        </w:rPr>
        <w:t>é“</w:t>
      </w:r>
      <w:r w:rsidR="00396D51">
        <w:rPr>
          <w:rFonts w:ascii="Times New Roman" w:hAnsi="Times New Roman"/>
          <w:b w:val="0"/>
          <w:bCs w:val="0"/>
          <w:sz w:val="22"/>
          <w:szCs w:val="22"/>
        </w:rPr>
        <w:t xml:space="preserve"> </w:t>
      </w:r>
      <w:r w:rsidRPr="0072101A" w:rsidR="005017B6">
        <w:rPr>
          <w:rFonts w:ascii="Times New Roman" w:hAnsi="Times New Roman"/>
          <w:b w:val="0"/>
          <w:bCs w:val="0"/>
          <w:sz w:val="22"/>
          <w:szCs w:val="22"/>
        </w:rPr>
        <w:t xml:space="preserve">vykazuje najvyššiu hodnotu Slovenská záručná a rozvojová banka, a.s. </w:t>
      </w:r>
      <w:r w:rsidRPr="0072101A" w:rsidR="003B31B6">
        <w:rPr>
          <w:rFonts w:ascii="Times New Roman" w:hAnsi="Times New Roman"/>
          <w:b w:val="0"/>
          <w:bCs w:val="0"/>
          <w:sz w:val="22"/>
          <w:szCs w:val="22"/>
        </w:rPr>
        <w:t>(</w:t>
      </w:r>
      <w:r w:rsidR="00396D51">
        <w:rPr>
          <w:rFonts w:ascii="Times New Roman" w:hAnsi="Times New Roman"/>
          <w:b w:val="0"/>
          <w:bCs w:val="0"/>
          <w:sz w:val="22"/>
          <w:szCs w:val="22"/>
        </w:rPr>
        <w:t>258 679</w:t>
      </w:r>
      <w:r w:rsidRPr="0072101A" w:rsidR="005017B6">
        <w:rPr>
          <w:rFonts w:ascii="Times New Roman" w:hAnsi="Times New Roman"/>
          <w:b w:val="0"/>
          <w:bCs w:val="0"/>
          <w:sz w:val="22"/>
          <w:szCs w:val="22"/>
        </w:rPr>
        <w:t xml:space="preserve"> tis. eur</w:t>
      </w:r>
      <w:r w:rsidRPr="0072101A" w:rsidR="003B31B6">
        <w:rPr>
          <w:rFonts w:ascii="Times New Roman" w:hAnsi="Times New Roman"/>
          <w:b w:val="0"/>
          <w:bCs w:val="0"/>
          <w:sz w:val="22"/>
          <w:szCs w:val="22"/>
        </w:rPr>
        <w:t>)</w:t>
      </w:r>
      <w:r w:rsidR="00396D51">
        <w:rPr>
          <w:rFonts w:ascii="Times New Roman" w:hAnsi="Times New Roman"/>
          <w:b w:val="0"/>
          <w:bCs w:val="0"/>
          <w:sz w:val="22"/>
          <w:szCs w:val="22"/>
        </w:rPr>
        <w:t>. Ide</w:t>
      </w:r>
      <w:r w:rsidRPr="0072101A" w:rsidR="005017B6">
        <w:rPr>
          <w:rFonts w:ascii="Times New Roman" w:hAnsi="Times New Roman"/>
          <w:b w:val="0"/>
          <w:bCs w:val="0"/>
          <w:sz w:val="22"/>
          <w:szCs w:val="22"/>
        </w:rPr>
        <w:t xml:space="preserve"> </w:t>
      </w:r>
      <w:r w:rsidR="00396D51">
        <w:rPr>
          <w:rFonts w:ascii="Times New Roman" w:hAnsi="Times New Roman"/>
          <w:b w:val="0"/>
          <w:bCs w:val="0"/>
          <w:sz w:val="22"/>
          <w:szCs w:val="22"/>
        </w:rPr>
        <w:t>o</w:t>
      </w:r>
      <w:r w:rsidRPr="0072101A" w:rsidR="005017B6">
        <w:rPr>
          <w:rFonts w:ascii="Times New Roman" w:hAnsi="Times New Roman"/>
          <w:b w:val="0"/>
          <w:bCs w:val="0"/>
          <w:sz w:val="22"/>
          <w:szCs w:val="22"/>
        </w:rPr>
        <w:t xml:space="preserve"> pohľadávky voči prijímateľom </w:t>
      </w:r>
      <w:r w:rsidRPr="0072101A" w:rsidR="00973881">
        <w:rPr>
          <w:rFonts w:ascii="Times New Roman" w:hAnsi="Times New Roman"/>
          <w:b w:val="0"/>
          <w:bCs w:val="0"/>
          <w:sz w:val="22"/>
          <w:szCs w:val="22"/>
        </w:rPr>
        <w:t>úverov</w:t>
      </w:r>
      <w:r w:rsidR="00396D51">
        <w:rPr>
          <w:rFonts w:ascii="Times New Roman" w:hAnsi="Times New Roman"/>
          <w:b w:val="0"/>
          <w:bCs w:val="0"/>
          <w:sz w:val="22"/>
          <w:szCs w:val="22"/>
        </w:rPr>
        <w:t xml:space="preserve"> a finančných výpomocí, ktorými banka podporuje podnikateľskú činnosť malých a stredných podnikateľov, poľnohospodárskych prvovýrobcov, obnovu bytového fondu a realizáciu projektov z EÚ fondov</w:t>
      </w:r>
      <w:r w:rsidRPr="0072101A">
        <w:rPr>
          <w:rFonts w:ascii="Times New Roman" w:hAnsi="Times New Roman"/>
          <w:b w:val="0"/>
          <w:bCs w:val="0"/>
          <w:sz w:val="22"/>
          <w:szCs w:val="22"/>
        </w:rPr>
        <w:t xml:space="preserve">. </w:t>
      </w:r>
      <w:r w:rsidR="00396D51">
        <w:rPr>
          <w:rFonts w:ascii="Times New Roman" w:hAnsi="Times New Roman"/>
          <w:b w:val="0"/>
          <w:bCs w:val="0"/>
          <w:sz w:val="22"/>
          <w:szCs w:val="22"/>
        </w:rPr>
        <w:t xml:space="preserve">V rámci podnikateľských subjektov vykazuje </w:t>
      </w:r>
      <w:r w:rsidR="0017320D">
        <w:rPr>
          <w:rFonts w:ascii="Times New Roman" w:hAnsi="Times New Roman"/>
          <w:b w:val="0"/>
          <w:bCs w:val="0"/>
          <w:sz w:val="22"/>
          <w:szCs w:val="22"/>
        </w:rPr>
        <w:t xml:space="preserve">ďalej </w:t>
      </w:r>
      <w:r w:rsidR="00396D51">
        <w:rPr>
          <w:rFonts w:ascii="Times New Roman" w:hAnsi="Times New Roman"/>
          <w:b w:val="0"/>
          <w:bCs w:val="0"/>
          <w:sz w:val="22"/>
          <w:szCs w:val="22"/>
        </w:rPr>
        <w:t>významnú sumu</w:t>
      </w:r>
      <w:r w:rsidRPr="0072101A" w:rsidR="007D53FF">
        <w:rPr>
          <w:rFonts w:ascii="Times New Roman" w:hAnsi="Times New Roman"/>
          <w:b w:val="0"/>
          <w:bCs w:val="0"/>
          <w:sz w:val="22"/>
          <w:szCs w:val="22"/>
        </w:rPr>
        <w:t xml:space="preserve"> </w:t>
      </w:r>
      <w:r w:rsidRPr="0072101A">
        <w:rPr>
          <w:rFonts w:ascii="Times New Roman" w:hAnsi="Times New Roman"/>
          <w:b w:val="0"/>
          <w:bCs w:val="0"/>
          <w:sz w:val="22"/>
          <w:szCs w:val="22"/>
        </w:rPr>
        <w:t>Exportno-importná banka 19</w:t>
      </w:r>
      <w:r w:rsidR="00396D51">
        <w:rPr>
          <w:rFonts w:ascii="Times New Roman" w:hAnsi="Times New Roman"/>
          <w:b w:val="0"/>
          <w:bCs w:val="0"/>
          <w:sz w:val="22"/>
          <w:szCs w:val="22"/>
        </w:rPr>
        <w:t>3</w:t>
      </w:r>
      <w:r w:rsidRPr="0072101A">
        <w:rPr>
          <w:rFonts w:ascii="Times New Roman" w:hAnsi="Times New Roman"/>
          <w:b w:val="0"/>
          <w:bCs w:val="0"/>
          <w:sz w:val="22"/>
          <w:szCs w:val="22"/>
        </w:rPr>
        <w:t> </w:t>
      </w:r>
      <w:r w:rsidR="00396D51">
        <w:rPr>
          <w:rFonts w:ascii="Times New Roman" w:hAnsi="Times New Roman"/>
          <w:b w:val="0"/>
          <w:bCs w:val="0"/>
          <w:sz w:val="22"/>
          <w:szCs w:val="22"/>
        </w:rPr>
        <w:t>624</w:t>
      </w:r>
      <w:r w:rsidRPr="0072101A">
        <w:rPr>
          <w:rFonts w:ascii="Times New Roman" w:hAnsi="Times New Roman"/>
          <w:b w:val="0"/>
          <w:bCs w:val="0"/>
          <w:sz w:val="22"/>
          <w:szCs w:val="22"/>
        </w:rPr>
        <w:t xml:space="preserve"> tis. eur z </w:t>
      </w:r>
      <w:r w:rsidR="00396D51">
        <w:rPr>
          <w:rFonts w:ascii="Times New Roman" w:hAnsi="Times New Roman"/>
          <w:b w:val="0"/>
          <w:bCs w:val="0"/>
          <w:sz w:val="22"/>
          <w:szCs w:val="22"/>
        </w:rPr>
        <w:t>poskyt</w:t>
      </w:r>
      <w:r w:rsidR="0017320D">
        <w:rPr>
          <w:rFonts w:ascii="Times New Roman" w:hAnsi="Times New Roman"/>
          <w:b w:val="0"/>
          <w:bCs w:val="0"/>
          <w:sz w:val="22"/>
          <w:szCs w:val="22"/>
        </w:rPr>
        <w:t>nutých</w:t>
      </w:r>
      <w:r w:rsidR="00396D51">
        <w:rPr>
          <w:rFonts w:ascii="Times New Roman" w:hAnsi="Times New Roman"/>
          <w:b w:val="0"/>
          <w:bCs w:val="0"/>
          <w:sz w:val="22"/>
          <w:szCs w:val="22"/>
        </w:rPr>
        <w:t xml:space="preserve"> úverov a záruk </w:t>
      </w:r>
      <w:r w:rsidR="0017320D">
        <w:rPr>
          <w:rFonts w:ascii="Times New Roman" w:hAnsi="Times New Roman"/>
          <w:b w:val="0"/>
          <w:bCs w:val="0"/>
          <w:sz w:val="22"/>
          <w:szCs w:val="22"/>
        </w:rPr>
        <w:t>exportujúcim podnikom</w:t>
      </w:r>
      <w:r w:rsidRPr="0072101A">
        <w:rPr>
          <w:rFonts w:ascii="Times New Roman" w:hAnsi="Times New Roman"/>
          <w:b w:val="0"/>
          <w:bCs w:val="0"/>
          <w:sz w:val="22"/>
          <w:szCs w:val="22"/>
        </w:rPr>
        <w:t>.</w:t>
      </w:r>
    </w:p>
    <w:p w:rsidR="0017320D" w:rsidP="007D53FF">
      <w:pPr>
        <w:pStyle w:val="Pismenka"/>
        <w:tabs>
          <w:tab w:val="clear" w:pos="426"/>
        </w:tabs>
        <w:bidi w:val="0"/>
        <w:spacing w:before="240" w:after="120" w:line="336" w:lineRule="auto"/>
        <w:ind w:left="0" w:firstLine="0"/>
        <w:rPr>
          <w:rFonts w:ascii="Times New Roman" w:hAnsi="Times New Roman"/>
          <w:b w:val="0"/>
          <w:bCs w:val="0"/>
          <w:sz w:val="22"/>
          <w:szCs w:val="22"/>
        </w:rPr>
      </w:pPr>
      <w:r>
        <w:rPr>
          <w:rFonts w:ascii="Times New Roman" w:hAnsi="Times New Roman"/>
          <w:b w:val="0"/>
          <w:bCs w:val="0"/>
          <w:sz w:val="22"/>
          <w:szCs w:val="22"/>
        </w:rPr>
        <w:t>Ministerstvo Financií SR na položke ostatných pohľadávok vykazuje medziročnú zmenu vo finančných derivátoch, ktoré používa pri riadení likvidity štá</w:t>
      </w:r>
      <w:r w:rsidR="00564E85">
        <w:rPr>
          <w:rFonts w:ascii="Times New Roman" w:hAnsi="Times New Roman"/>
          <w:b w:val="0"/>
          <w:bCs w:val="0"/>
          <w:sz w:val="22"/>
          <w:szCs w:val="22"/>
        </w:rPr>
        <w:t>tneho rozpočtu a štátneho dlhu. Ide </w:t>
      </w:r>
      <w:r>
        <w:rPr>
          <w:rFonts w:ascii="Times New Roman" w:hAnsi="Times New Roman"/>
          <w:b w:val="0"/>
          <w:bCs w:val="0"/>
          <w:sz w:val="22"/>
          <w:szCs w:val="22"/>
        </w:rPr>
        <w:t>o pohľadávky z pevných termínových operácií, ktoré v</w:t>
      </w:r>
      <w:r w:rsidR="00DC11E4">
        <w:rPr>
          <w:rFonts w:ascii="Times New Roman" w:hAnsi="Times New Roman"/>
          <w:b w:val="0"/>
          <w:bCs w:val="0"/>
          <w:sz w:val="22"/>
          <w:szCs w:val="22"/>
        </w:rPr>
        <w:t xml:space="preserve"> minulom účtovnom období </w:t>
      </w:r>
      <w:r>
        <w:rPr>
          <w:rFonts w:ascii="Times New Roman" w:hAnsi="Times New Roman"/>
          <w:b w:val="0"/>
          <w:bCs w:val="0"/>
          <w:sz w:val="22"/>
          <w:szCs w:val="22"/>
        </w:rPr>
        <w:t>dosiahli pasívny zostatok</w:t>
      </w:r>
      <w:r w:rsidR="008E2412">
        <w:rPr>
          <w:rFonts w:ascii="Times New Roman" w:hAnsi="Times New Roman"/>
          <w:b w:val="0"/>
          <w:bCs w:val="0"/>
          <w:sz w:val="22"/>
          <w:szCs w:val="22"/>
        </w:rPr>
        <w:t>, v roku 2015 aktívny</w:t>
      </w:r>
      <w:r>
        <w:rPr>
          <w:rFonts w:ascii="Times New Roman" w:hAnsi="Times New Roman"/>
          <w:b w:val="0"/>
          <w:bCs w:val="0"/>
          <w:sz w:val="22"/>
          <w:szCs w:val="22"/>
        </w:rPr>
        <w:t>. Nárast hodnoty dlhodobých pohľadávok tvorí práve prírastok týchto pohľadávok, a to v hodnote</w:t>
      </w:r>
      <w:r w:rsidR="00564E85">
        <w:rPr>
          <w:rFonts w:ascii="Times New Roman" w:hAnsi="Times New Roman"/>
          <w:b w:val="0"/>
          <w:bCs w:val="0"/>
          <w:sz w:val="22"/>
          <w:szCs w:val="22"/>
        </w:rPr>
        <w:t xml:space="preserve"> 267 524 tis. </w:t>
      </w:r>
      <w:r>
        <w:rPr>
          <w:rFonts w:ascii="Times New Roman" w:hAnsi="Times New Roman"/>
          <w:b w:val="0"/>
          <w:bCs w:val="0"/>
          <w:sz w:val="22"/>
          <w:szCs w:val="22"/>
        </w:rPr>
        <w:t>eur.</w:t>
      </w:r>
    </w:p>
    <w:p w:rsidR="0017320D" w:rsidP="007D53FF">
      <w:pPr>
        <w:pStyle w:val="Pismenka"/>
        <w:tabs>
          <w:tab w:val="clear" w:pos="426"/>
        </w:tabs>
        <w:bidi w:val="0"/>
        <w:spacing w:before="240" w:after="120" w:line="336" w:lineRule="auto"/>
        <w:ind w:left="0" w:firstLine="0"/>
        <w:rPr>
          <w:rFonts w:ascii="Times New Roman" w:hAnsi="Times New Roman"/>
          <w:b w:val="0"/>
          <w:bCs w:val="0"/>
          <w:sz w:val="22"/>
          <w:szCs w:val="22"/>
        </w:rPr>
      </w:pPr>
      <w:r>
        <w:rPr>
          <w:rFonts w:ascii="Times New Roman" w:hAnsi="Times New Roman"/>
          <w:b w:val="0"/>
          <w:bCs w:val="0"/>
          <w:sz w:val="22"/>
          <w:szCs w:val="22"/>
        </w:rPr>
        <w:t>Z ostatných dlhodobých pohľadávok vykazujú významnú sumu Železnice SR (33 605 tis. eur), Krajský súd v Bratislave (26 502 tis. eur),</w:t>
      </w:r>
      <w:r w:rsidR="00FD7DB9">
        <w:rPr>
          <w:rFonts w:ascii="Times New Roman" w:hAnsi="Times New Roman"/>
          <w:b w:val="0"/>
          <w:bCs w:val="0"/>
          <w:sz w:val="22"/>
          <w:szCs w:val="22"/>
        </w:rPr>
        <w:t xml:space="preserve"> </w:t>
      </w:r>
      <w:r>
        <w:rPr>
          <w:rFonts w:ascii="Times New Roman" w:hAnsi="Times New Roman"/>
          <w:b w:val="0"/>
          <w:bCs w:val="0"/>
          <w:sz w:val="22"/>
          <w:szCs w:val="22"/>
        </w:rPr>
        <w:t xml:space="preserve">SPP, a.s. (21 050 tis. eur), Všeobecná zdravotná poisťovňa, a.s. (13 306 tis. eur). V prípade Krajského súdu v Bratislave ide o pohľadávky </w:t>
      </w:r>
      <w:r w:rsidR="00FD7DB9">
        <w:rPr>
          <w:rFonts w:ascii="Times New Roman" w:hAnsi="Times New Roman"/>
          <w:b w:val="0"/>
          <w:bCs w:val="0"/>
          <w:sz w:val="22"/>
          <w:szCs w:val="22"/>
        </w:rPr>
        <w:t xml:space="preserve">za civilné a správne súdne poplatky, obchodné súdne poplatky a preddavky v súdnom konaní. </w:t>
      </w:r>
    </w:p>
    <w:p w:rsidR="00FB61C3" w:rsidP="0006029A">
      <w:pPr>
        <w:pStyle w:val="Pismenka"/>
        <w:tabs>
          <w:tab w:val="clear" w:pos="426"/>
        </w:tabs>
        <w:bidi w:val="0"/>
        <w:spacing w:after="120" w:line="336" w:lineRule="auto"/>
        <w:ind w:left="0" w:firstLine="0"/>
        <w:rPr>
          <w:rFonts w:ascii="Times New Roman" w:hAnsi="Times New Roman"/>
          <w:b w:val="0"/>
          <w:bCs w:val="0"/>
          <w:sz w:val="22"/>
          <w:szCs w:val="22"/>
        </w:rPr>
      </w:pPr>
      <w:r w:rsidRPr="0072101A" w:rsidR="0006029A">
        <w:rPr>
          <w:rFonts w:ascii="Times New Roman" w:hAnsi="Times New Roman"/>
          <w:b w:val="0"/>
          <w:bCs w:val="0"/>
          <w:sz w:val="22"/>
          <w:szCs w:val="22"/>
          <w:u w:val="single"/>
        </w:rPr>
        <w:t xml:space="preserve">V rámci </w:t>
      </w:r>
      <w:r w:rsidRPr="0072101A" w:rsidR="00BF02EF">
        <w:rPr>
          <w:rFonts w:ascii="Times New Roman" w:hAnsi="Times New Roman"/>
          <w:b w:val="0"/>
          <w:bCs w:val="0"/>
          <w:sz w:val="22"/>
          <w:szCs w:val="22"/>
          <w:u w:val="single"/>
        </w:rPr>
        <w:t xml:space="preserve">krátkodobých </w:t>
      </w:r>
      <w:r w:rsidRPr="0072101A" w:rsidR="0006029A">
        <w:rPr>
          <w:rFonts w:ascii="Times New Roman" w:hAnsi="Times New Roman"/>
          <w:b w:val="0"/>
          <w:bCs w:val="0"/>
          <w:sz w:val="22"/>
          <w:szCs w:val="22"/>
          <w:u w:val="single"/>
        </w:rPr>
        <w:t>pohľadávok</w:t>
      </w:r>
      <w:r w:rsidRPr="0072101A" w:rsidR="0006029A">
        <w:rPr>
          <w:rFonts w:ascii="Times New Roman" w:hAnsi="Times New Roman"/>
          <w:b w:val="0"/>
          <w:bCs w:val="0"/>
          <w:sz w:val="22"/>
          <w:szCs w:val="22"/>
        </w:rPr>
        <w:t xml:space="preserve"> </w:t>
      </w:r>
      <w:r w:rsidRPr="0072101A">
        <w:rPr>
          <w:rFonts w:ascii="Times New Roman" w:hAnsi="Times New Roman"/>
          <w:b w:val="0"/>
          <w:bCs w:val="0"/>
          <w:sz w:val="22"/>
          <w:szCs w:val="22"/>
        </w:rPr>
        <w:t xml:space="preserve">vykazuje rozhodujúcu hodnotu Ministerstvo financií SR </w:t>
      </w:r>
      <w:r w:rsidR="006C48DD">
        <w:rPr>
          <w:rFonts w:ascii="Times New Roman" w:hAnsi="Times New Roman"/>
          <w:b w:val="0"/>
          <w:bCs w:val="0"/>
          <w:sz w:val="22"/>
          <w:szCs w:val="22"/>
        </w:rPr>
        <w:t>2 514 349 </w:t>
      </w:r>
      <w:r w:rsidR="00AA6471">
        <w:rPr>
          <w:rFonts w:ascii="Times New Roman" w:hAnsi="Times New Roman"/>
          <w:b w:val="0"/>
          <w:bCs w:val="0"/>
          <w:sz w:val="22"/>
          <w:szCs w:val="22"/>
        </w:rPr>
        <w:t xml:space="preserve">tis. eur, </w:t>
      </w:r>
      <w:r w:rsidRPr="0072101A">
        <w:rPr>
          <w:rFonts w:ascii="Times New Roman" w:hAnsi="Times New Roman"/>
          <w:b w:val="0"/>
          <w:bCs w:val="0"/>
          <w:sz w:val="22"/>
          <w:szCs w:val="22"/>
        </w:rPr>
        <w:t>z titulu špecifických operácií štátu (najmä uloženie finančných prostriedkov v bankách za účelom zhodnotenia voľnej likvidity)</w:t>
      </w:r>
      <w:r w:rsidR="00AA6471">
        <w:rPr>
          <w:rFonts w:ascii="Times New Roman" w:hAnsi="Times New Roman"/>
          <w:b w:val="0"/>
          <w:bCs w:val="0"/>
          <w:sz w:val="22"/>
          <w:szCs w:val="22"/>
        </w:rPr>
        <w:t xml:space="preserve"> a</w:t>
      </w:r>
      <w:r w:rsidRPr="0072101A">
        <w:rPr>
          <w:rFonts w:ascii="Times New Roman" w:hAnsi="Times New Roman"/>
          <w:b w:val="0"/>
          <w:bCs w:val="0"/>
          <w:sz w:val="22"/>
          <w:szCs w:val="22"/>
        </w:rPr>
        <w:t> pohľadávky voči zahraničiu.</w:t>
      </w:r>
      <w:r w:rsidR="00AA6471">
        <w:rPr>
          <w:rFonts w:ascii="Times New Roman" w:hAnsi="Times New Roman"/>
          <w:b w:val="0"/>
          <w:bCs w:val="0"/>
          <w:sz w:val="22"/>
          <w:szCs w:val="22"/>
        </w:rPr>
        <w:t xml:space="preserve"> </w:t>
      </w:r>
    </w:p>
    <w:p w:rsidR="00AA6471" w:rsidP="0006029A">
      <w:pPr>
        <w:pStyle w:val="Pismenka"/>
        <w:tabs>
          <w:tab w:val="clear" w:pos="426"/>
        </w:tabs>
        <w:bidi w:val="0"/>
        <w:spacing w:after="120" w:line="336" w:lineRule="auto"/>
        <w:ind w:left="0" w:firstLine="0"/>
        <w:rPr>
          <w:rFonts w:ascii="Times New Roman" w:hAnsi="Times New Roman"/>
          <w:b w:val="0"/>
          <w:bCs w:val="0"/>
          <w:sz w:val="22"/>
          <w:szCs w:val="22"/>
        </w:rPr>
      </w:pPr>
      <w:r>
        <w:rPr>
          <w:rFonts w:ascii="Times New Roman" w:hAnsi="Times New Roman"/>
          <w:b w:val="0"/>
          <w:bCs w:val="0"/>
          <w:sz w:val="22"/>
          <w:szCs w:val="22"/>
        </w:rPr>
        <w:t xml:space="preserve">Jadrová a vyraďovacia spoločnosť, a.s. vykazuje pohľadávky úhrnom za 465 421 tis. eur, najmä na položke </w:t>
      </w:r>
      <w:r w:rsidRPr="00392625">
        <w:rPr>
          <w:rFonts w:ascii="Times New Roman" w:hAnsi="Times New Roman"/>
          <w:b w:val="0"/>
          <w:bCs w:val="0"/>
          <w:sz w:val="22"/>
          <w:szCs w:val="22"/>
          <w:u w:val="single"/>
        </w:rPr>
        <w:t>zúčtovanie s EÚ</w:t>
      </w:r>
      <w:r>
        <w:rPr>
          <w:rFonts w:ascii="Times New Roman" w:hAnsi="Times New Roman"/>
          <w:b w:val="0"/>
          <w:bCs w:val="0"/>
          <w:sz w:val="22"/>
          <w:szCs w:val="22"/>
        </w:rPr>
        <w:t xml:space="preserve"> (458 738 tis. eur) z dôvodu projektu vyraďovania jadrových zariadení na území SR.</w:t>
      </w:r>
    </w:p>
    <w:p w:rsidR="002E0E30" w:rsidP="0006029A">
      <w:pPr>
        <w:pStyle w:val="Pismenka"/>
        <w:tabs>
          <w:tab w:val="clear" w:pos="426"/>
        </w:tabs>
        <w:bidi w:val="0"/>
        <w:spacing w:after="120" w:line="336" w:lineRule="auto"/>
        <w:ind w:left="0" w:firstLine="0"/>
        <w:rPr>
          <w:rFonts w:ascii="Times New Roman" w:hAnsi="Times New Roman"/>
          <w:b w:val="0"/>
          <w:bCs w:val="0"/>
          <w:sz w:val="22"/>
          <w:szCs w:val="22"/>
        </w:rPr>
      </w:pPr>
      <w:r>
        <w:rPr>
          <w:rFonts w:ascii="Times New Roman" w:hAnsi="Times New Roman"/>
          <w:b w:val="0"/>
          <w:bCs w:val="0"/>
          <w:sz w:val="22"/>
          <w:szCs w:val="22"/>
        </w:rPr>
        <w:t>SPP, a.s. vykazuje celkovo pohľadávky vo výške 277 518 tis. eur, najmä na položke odberatelia 201 600 tis. eur.</w:t>
      </w:r>
      <w:r w:rsidR="009E3B72">
        <w:rPr>
          <w:rFonts w:ascii="Times New Roman" w:hAnsi="Times New Roman"/>
          <w:b w:val="0"/>
          <w:bCs w:val="0"/>
          <w:sz w:val="22"/>
          <w:szCs w:val="22"/>
        </w:rPr>
        <w:t xml:space="preserve"> </w:t>
      </w:r>
    </w:p>
    <w:p w:rsidR="00242746" w:rsidP="0006029A">
      <w:pPr>
        <w:pStyle w:val="Pismenka"/>
        <w:tabs>
          <w:tab w:val="clear" w:pos="426"/>
        </w:tabs>
        <w:bidi w:val="0"/>
        <w:spacing w:after="120" w:line="336" w:lineRule="auto"/>
        <w:ind w:left="0" w:firstLine="0"/>
        <w:rPr>
          <w:rFonts w:ascii="Times New Roman" w:hAnsi="Times New Roman"/>
          <w:b w:val="0"/>
          <w:bCs w:val="0"/>
          <w:sz w:val="22"/>
          <w:szCs w:val="22"/>
        </w:rPr>
      </w:pPr>
      <w:r w:rsidRPr="00C63157" w:rsidR="009E3B72">
        <w:rPr>
          <w:rFonts w:ascii="Times New Roman" w:hAnsi="Times New Roman"/>
          <w:b w:val="0"/>
          <w:bCs w:val="0"/>
          <w:sz w:val="22"/>
          <w:szCs w:val="22"/>
          <w:u w:val="single"/>
        </w:rPr>
        <w:t>Pohľadávky z daňových a colných príjmov</w:t>
      </w:r>
      <w:r w:rsidR="009E3B72">
        <w:rPr>
          <w:rFonts w:ascii="Times New Roman" w:hAnsi="Times New Roman"/>
          <w:b w:val="0"/>
          <w:bCs w:val="0"/>
          <w:sz w:val="22"/>
          <w:szCs w:val="22"/>
        </w:rPr>
        <w:t xml:space="preserve"> vykazuje za ústrednú správu Ministerstvo financií SR vo výške 396 459 tis. eur</w:t>
      </w:r>
      <w:r w:rsidR="008C586C">
        <w:rPr>
          <w:rFonts w:ascii="Times New Roman" w:hAnsi="Times New Roman"/>
          <w:b w:val="0"/>
          <w:bCs w:val="0"/>
          <w:sz w:val="22"/>
          <w:szCs w:val="22"/>
        </w:rPr>
        <w:t xml:space="preserve">, obce vykázali </w:t>
      </w:r>
      <w:r w:rsidR="00184A04">
        <w:rPr>
          <w:rFonts w:ascii="Times New Roman" w:hAnsi="Times New Roman"/>
          <w:b w:val="0"/>
          <w:bCs w:val="0"/>
          <w:sz w:val="22"/>
          <w:szCs w:val="22"/>
        </w:rPr>
        <w:t>36 54</w:t>
      </w:r>
      <w:r>
        <w:rPr>
          <w:rFonts w:ascii="Times New Roman" w:hAnsi="Times New Roman"/>
          <w:b w:val="0"/>
          <w:bCs w:val="0"/>
          <w:sz w:val="22"/>
          <w:szCs w:val="22"/>
        </w:rPr>
        <w:t>4</w:t>
      </w:r>
      <w:r w:rsidR="008C586C">
        <w:rPr>
          <w:rFonts w:ascii="Times New Roman" w:hAnsi="Times New Roman"/>
          <w:b w:val="0"/>
          <w:bCs w:val="0"/>
          <w:sz w:val="22"/>
          <w:szCs w:val="22"/>
        </w:rPr>
        <w:t xml:space="preserve"> </w:t>
      </w:r>
      <w:r w:rsidR="00184A04">
        <w:rPr>
          <w:rFonts w:ascii="Times New Roman" w:hAnsi="Times New Roman"/>
          <w:b w:val="0"/>
          <w:bCs w:val="0"/>
          <w:sz w:val="22"/>
          <w:szCs w:val="22"/>
        </w:rPr>
        <w:t>tis. eur</w:t>
      </w:r>
      <w:r w:rsidR="009E3B72">
        <w:rPr>
          <w:rFonts w:ascii="Times New Roman" w:hAnsi="Times New Roman"/>
          <w:b w:val="0"/>
          <w:bCs w:val="0"/>
          <w:sz w:val="22"/>
          <w:szCs w:val="22"/>
        </w:rPr>
        <w:t>. Medziročný pokles je spôsobený zmenou v účtovaní opravných položiek k pohľadávkam za oblasť daňových príjmov</w:t>
      </w:r>
      <w:r w:rsidR="003A7ACD">
        <w:rPr>
          <w:rFonts w:ascii="Times New Roman" w:hAnsi="Times New Roman"/>
          <w:b w:val="0"/>
          <w:bCs w:val="0"/>
          <w:sz w:val="22"/>
          <w:szCs w:val="22"/>
        </w:rPr>
        <w:t xml:space="preserve"> ústrednej správy</w:t>
      </w:r>
      <w:r w:rsidR="009E3B72">
        <w:rPr>
          <w:rFonts w:ascii="Times New Roman" w:hAnsi="Times New Roman"/>
          <w:b w:val="0"/>
          <w:bCs w:val="0"/>
          <w:sz w:val="22"/>
          <w:szCs w:val="22"/>
        </w:rPr>
        <w:t>, ktorá zvýšila ich tvorbu a tým netto hodnota pohľadávok poklesla.</w:t>
      </w:r>
      <w:r w:rsidR="00E73BF4">
        <w:rPr>
          <w:rFonts w:ascii="Times New Roman" w:hAnsi="Times New Roman"/>
          <w:b w:val="0"/>
          <w:bCs w:val="0"/>
          <w:sz w:val="22"/>
          <w:szCs w:val="22"/>
        </w:rPr>
        <w:t xml:space="preserve"> Netto hodnota daňových pohľadávok obcí medziročne </w:t>
      </w:r>
      <w:r>
        <w:rPr>
          <w:rFonts w:ascii="Times New Roman" w:hAnsi="Times New Roman"/>
          <w:b w:val="0"/>
          <w:bCs w:val="0"/>
          <w:sz w:val="22"/>
          <w:szCs w:val="22"/>
        </w:rPr>
        <w:t>poklesla</w:t>
      </w:r>
      <w:r w:rsidR="00E73BF4">
        <w:rPr>
          <w:rFonts w:ascii="Times New Roman" w:hAnsi="Times New Roman"/>
          <w:b w:val="0"/>
          <w:bCs w:val="0"/>
          <w:sz w:val="22"/>
          <w:szCs w:val="22"/>
        </w:rPr>
        <w:t xml:space="preserve"> o</w:t>
      </w:r>
      <w:r>
        <w:rPr>
          <w:rFonts w:ascii="Times New Roman" w:hAnsi="Times New Roman"/>
          <w:b w:val="0"/>
          <w:bCs w:val="0"/>
          <w:sz w:val="22"/>
          <w:szCs w:val="22"/>
        </w:rPr>
        <w:t> 3 853</w:t>
      </w:r>
      <w:r w:rsidR="00E73BF4">
        <w:rPr>
          <w:rFonts w:ascii="Times New Roman" w:hAnsi="Times New Roman"/>
          <w:b w:val="0"/>
          <w:bCs w:val="0"/>
          <w:sz w:val="22"/>
          <w:szCs w:val="22"/>
        </w:rPr>
        <w:t xml:space="preserve"> tis. eur </w:t>
      </w:r>
    </w:p>
    <w:p w:rsidR="009E3B72" w:rsidP="0006029A">
      <w:pPr>
        <w:pStyle w:val="Pismenka"/>
        <w:tabs>
          <w:tab w:val="clear" w:pos="426"/>
        </w:tabs>
        <w:bidi w:val="0"/>
        <w:spacing w:after="120" w:line="336" w:lineRule="auto"/>
        <w:ind w:left="0" w:firstLine="0"/>
        <w:rPr>
          <w:rFonts w:ascii="Times New Roman" w:hAnsi="Times New Roman"/>
          <w:b w:val="0"/>
          <w:bCs w:val="0"/>
          <w:sz w:val="22"/>
          <w:szCs w:val="22"/>
        </w:rPr>
      </w:pPr>
      <w:r w:rsidRPr="00F51BB4">
        <w:rPr>
          <w:rFonts w:ascii="Times New Roman" w:hAnsi="Times New Roman"/>
          <w:b w:val="0"/>
          <w:bCs w:val="0"/>
          <w:sz w:val="22"/>
          <w:szCs w:val="22"/>
          <w:u w:val="single"/>
        </w:rPr>
        <w:t>Z nedaňových pohľadávok</w:t>
      </w:r>
      <w:r>
        <w:rPr>
          <w:rFonts w:ascii="Times New Roman" w:hAnsi="Times New Roman"/>
          <w:b w:val="0"/>
          <w:bCs w:val="0"/>
          <w:sz w:val="22"/>
          <w:szCs w:val="22"/>
        </w:rPr>
        <w:t xml:space="preserve"> vykazuje </w:t>
      </w:r>
      <w:r w:rsidR="00F51BB4">
        <w:rPr>
          <w:rFonts w:ascii="Times New Roman" w:hAnsi="Times New Roman"/>
          <w:b w:val="0"/>
          <w:bCs w:val="0"/>
          <w:sz w:val="22"/>
          <w:szCs w:val="22"/>
        </w:rPr>
        <w:t xml:space="preserve">ústredná správa 152 409 tis. eur a v rámci nej </w:t>
      </w:r>
      <w:r>
        <w:rPr>
          <w:rFonts w:ascii="Times New Roman" w:hAnsi="Times New Roman"/>
          <w:b w:val="0"/>
          <w:bCs w:val="0"/>
          <w:sz w:val="22"/>
          <w:szCs w:val="22"/>
        </w:rPr>
        <w:t>najvyššiu hodnotu</w:t>
      </w:r>
      <w:r w:rsidR="00F51BB4">
        <w:rPr>
          <w:rFonts w:ascii="Times New Roman" w:hAnsi="Times New Roman"/>
          <w:b w:val="0"/>
          <w:bCs w:val="0"/>
          <w:sz w:val="22"/>
          <w:szCs w:val="22"/>
        </w:rPr>
        <w:t xml:space="preserve"> Protimonopolný úrad SR (53 289 tis. eur) </w:t>
      </w:r>
      <w:r w:rsidRPr="00E75530" w:rsidR="00F51BB4">
        <w:rPr>
          <w:rFonts w:ascii="Times New Roman" w:hAnsi="Times New Roman"/>
          <w:b w:val="0"/>
          <w:bCs w:val="0"/>
          <w:sz w:val="22"/>
          <w:szCs w:val="22"/>
        </w:rPr>
        <w:t xml:space="preserve">zo svojich rozhodnutí </w:t>
      </w:r>
      <w:r w:rsidR="00E75530">
        <w:rPr>
          <w:rFonts w:ascii="Times New Roman" w:hAnsi="Times New Roman"/>
          <w:b w:val="0"/>
          <w:bCs w:val="0"/>
          <w:sz w:val="22"/>
          <w:szCs w:val="22"/>
        </w:rPr>
        <w:t>za porušovanie hospodárskej súťaže (napríklad kartelových dohôd, zneužívanie dominantného postavenia na trhu)</w:t>
      </w:r>
      <w:r w:rsidRPr="00E75530" w:rsidR="00F51BB4">
        <w:rPr>
          <w:rFonts w:ascii="Times New Roman" w:hAnsi="Times New Roman"/>
          <w:b w:val="0"/>
          <w:bCs w:val="0"/>
          <w:sz w:val="22"/>
          <w:szCs w:val="22"/>
        </w:rPr>
        <w:t>,</w:t>
      </w:r>
      <w:r w:rsidR="00F51BB4">
        <w:rPr>
          <w:rFonts w:ascii="Times New Roman" w:hAnsi="Times New Roman"/>
          <w:b w:val="0"/>
          <w:bCs w:val="0"/>
          <w:sz w:val="22"/>
          <w:szCs w:val="22"/>
        </w:rPr>
        <w:t xml:space="preserve"> Krajský súd v Bratislave (47 512 tis. eur) za súdne a správne poplatky a pokuty</w:t>
      </w:r>
      <w:r w:rsidRPr="00F32389" w:rsidR="00F51BB4">
        <w:rPr>
          <w:rFonts w:ascii="Times New Roman" w:hAnsi="Times New Roman"/>
          <w:b w:val="0"/>
          <w:bCs w:val="0"/>
          <w:sz w:val="22"/>
          <w:szCs w:val="22"/>
        </w:rPr>
        <w:t>,</w:t>
      </w:r>
      <w:r w:rsidR="00564E85">
        <w:rPr>
          <w:rFonts w:ascii="Times New Roman" w:hAnsi="Times New Roman"/>
          <w:b w:val="0"/>
          <w:bCs w:val="0"/>
          <w:sz w:val="22"/>
          <w:szCs w:val="22"/>
        </w:rPr>
        <w:t xml:space="preserve"> Ministerstvo vnútra SR (10 443 </w:t>
      </w:r>
      <w:r w:rsidRPr="00F32389" w:rsidR="00F51BB4">
        <w:rPr>
          <w:rFonts w:ascii="Times New Roman" w:hAnsi="Times New Roman"/>
          <w:b w:val="0"/>
          <w:bCs w:val="0"/>
          <w:sz w:val="22"/>
          <w:szCs w:val="22"/>
        </w:rPr>
        <w:t>tis. eur)</w:t>
      </w:r>
      <w:r w:rsidRPr="00F32389" w:rsidR="00F32389">
        <w:rPr>
          <w:rFonts w:ascii="Times New Roman" w:hAnsi="Times New Roman"/>
          <w:b w:val="0"/>
          <w:bCs w:val="0"/>
          <w:sz w:val="22"/>
          <w:szCs w:val="22"/>
        </w:rPr>
        <w:t xml:space="preserve"> najmä z pokút za priestupky udelené policajnými útvarmi, hasičským a záchranným zborom a okresnými úradmi</w:t>
      </w:r>
      <w:r w:rsidRPr="00F32389" w:rsidR="00C67901">
        <w:rPr>
          <w:rFonts w:ascii="Times New Roman" w:hAnsi="Times New Roman"/>
          <w:b w:val="0"/>
          <w:bCs w:val="0"/>
          <w:sz w:val="22"/>
          <w:szCs w:val="22"/>
        </w:rPr>
        <w:t>. Obce vykázali nedaňové pohľadávky vo výške</w:t>
      </w:r>
      <w:r w:rsidR="00C67901">
        <w:rPr>
          <w:rFonts w:ascii="Times New Roman" w:hAnsi="Times New Roman"/>
          <w:b w:val="0"/>
          <w:bCs w:val="0"/>
          <w:sz w:val="22"/>
          <w:szCs w:val="22"/>
        </w:rPr>
        <w:t xml:space="preserve"> 71 281 tis. eur a vyššie územné celky 7 036 tis. eur.</w:t>
      </w:r>
    </w:p>
    <w:p w:rsidR="001722C5" w:rsidP="0006029A">
      <w:pPr>
        <w:pStyle w:val="Pismenka"/>
        <w:tabs>
          <w:tab w:val="clear" w:pos="426"/>
        </w:tabs>
        <w:bidi w:val="0"/>
        <w:spacing w:after="120" w:line="336" w:lineRule="auto"/>
        <w:ind w:left="0" w:firstLine="0"/>
        <w:rPr>
          <w:rFonts w:ascii="Times New Roman" w:hAnsi="Times New Roman"/>
          <w:b w:val="0"/>
          <w:bCs w:val="0"/>
          <w:sz w:val="22"/>
          <w:szCs w:val="22"/>
        </w:rPr>
      </w:pPr>
      <w:r w:rsidRPr="001722C5">
        <w:rPr>
          <w:rFonts w:ascii="Times New Roman" w:hAnsi="Times New Roman"/>
          <w:b w:val="0"/>
          <w:bCs w:val="0"/>
          <w:sz w:val="22"/>
          <w:szCs w:val="22"/>
          <w:u w:val="single"/>
        </w:rPr>
        <w:t>Poskytnuté prevádzkové preddavky</w:t>
      </w:r>
      <w:r>
        <w:rPr>
          <w:rFonts w:ascii="Times New Roman" w:hAnsi="Times New Roman"/>
          <w:b w:val="0"/>
          <w:bCs w:val="0"/>
          <w:sz w:val="22"/>
          <w:szCs w:val="22"/>
        </w:rPr>
        <w:t xml:space="preserve"> vykazuje najmä ústredná správa, a to 196 200 tis. eur. V rámci nej Ministerstvo školstva, vedy, výskumu a športu SR v hodnote 60 014 tis. eur, Ministerstvo pôdohospodárstva a rozvoja vidieka SR v hodnote 24 257 tis. eur, Ministerstvo životného prostredia SR vo výške 10 777 tis. eur a ďalšie ministerstvá, ktoré vykonávajú aj činnosti platobných jednotiek, pri poskytovaní prostriedkov EÚ fondov konečným prijímateľom. Z obchodných spoločností ústrednej správy vykazuje významnú hodnotu SPP, a.s. 44 393 </w:t>
      </w:r>
      <w:r w:rsidR="001D6E84">
        <w:rPr>
          <w:rFonts w:ascii="Times New Roman" w:hAnsi="Times New Roman"/>
          <w:b w:val="0"/>
          <w:bCs w:val="0"/>
          <w:sz w:val="22"/>
          <w:szCs w:val="22"/>
        </w:rPr>
        <w:t>tis. eur a Všeobecná zdravotná poisťovňa, a.s. 5 701 tis. eur.</w:t>
      </w:r>
    </w:p>
    <w:p w:rsidR="00767E94" w:rsidP="00767E94">
      <w:pPr>
        <w:pStyle w:val="Pismenka"/>
        <w:tabs>
          <w:tab w:val="clear" w:pos="426"/>
        </w:tabs>
        <w:bidi w:val="0"/>
        <w:spacing w:after="120" w:line="336" w:lineRule="auto"/>
        <w:ind w:left="0" w:firstLine="0"/>
        <w:rPr>
          <w:rFonts w:ascii="Times New Roman" w:hAnsi="Times New Roman"/>
          <w:b w:val="0"/>
          <w:bCs w:val="0"/>
          <w:sz w:val="22"/>
          <w:szCs w:val="22"/>
        </w:rPr>
      </w:pPr>
      <w:r w:rsidR="002E5184">
        <w:rPr>
          <w:rFonts w:ascii="Times New Roman" w:hAnsi="Times New Roman"/>
          <w:b w:val="0"/>
          <w:bCs w:val="0"/>
          <w:sz w:val="22"/>
          <w:szCs w:val="22"/>
          <w:u w:val="single"/>
        </w:rPr>
        <w:t>V rámci ostatných krátkodobých pohľadávok</w:t>
      </w:r>
      <w:r w:rsidR="002E5184">
        <w:rPr>
          <w:rFonts w:ascii="Times New Roman" w:hAnsi="Times New Roman"/>
          <w:b w:val="0"/>
          <w:bCs w:val="0"/>
          <w:sz w:val="22"/>
          <w:szCs w:val="22"/>
        </w:rPr>
        <w:t xml:space="preserve"> vykazuje Ministerstvo financií SR pohľadávky z úložiek v komerčných bankách v </w:t>
      </w:r>
      <w:r w:rsidRPr="00BA539A" w:rsidR="002E5184">
        <w:rPr>
          <w:rFonts w:ascii="Times New Roman" w:hAnsi="Times New Roman"/>
          <w:b w:val="0"/>
          <w:bCs w:val="0"/>
          <w:sz w:val="22"/>
          <w:szCs w:val="22"/>
        </w:rPr>
        <w:t>hodnote 1 9</w:t>
      </w:r>
      <w:r w:rsidRPr="00BA539A" w:rsidR="00BA539A">
        <w:rPr>
          <w:rFonts w:ascii="Times New Roman" w:hAnsi="Times New Roman"/>
          <w:b w:val="0"/>
          <w:bCs w:val="0"/>
          <w:sz w:val="22"/>
          <w:szCs w:val="22"/>
        </w:rPr>
        <w:t>21</w:t>
      </w:r>
      <w:r w:rsidRPr="00BA539A" w:rsidR="002E5184">
        <w:rPr>
          <w:rFonts w:ascii="Times New Roman" w:hAnsi="Times New Roman"/>
          <w:b w:val="0"/>
          <w:bCs w:val="0"/>
          <w:sz w:val="22"/>
          <w:szCs w:val="22"/>
        </w:rPr>
        <w:t> </w:t>
      </w:r>
      <w:r w:rsidRPr="00BA539A" w:rsidR="00BA539A">
        <w:rPr>
          <w:rFonts w:ascii="Times New Roman" w:hAnsi="Times New Roman"/>
          <w:b w:val="0"/>
          <w:bCs w:val="0"/>
          <w:sz w:val="22"/>
          <w:szCs w:val="22"/>
        </w:rPr>
        <w:t>941</w:t>
      </w:r>
      <w:r w:rsidRPr="00BA539A" w:rsidR="002E5184">
        <w:rPr>
          <w:rFonts w:ascii="Times New Roman" w:hAnsi="Times New Roman"/>
          <w:b w:val="0"/>
          <w:bCs w:val="0"/>
          <w:sz w:val="22"/>
          <w:szCs w:val="22"/>
        </w:rPr>
        <w:t xml:space="preserve"> tis. eur.</w:t>
      </w:r>
      <w:r w:rsidRPr="00BA539A">
        <w:rPr>
          <w:rFonts w:ascii="Times New Roman" w:hAnsi="Times New Roman"/>
          <w:b w:val="0"/>
          <w:bCs w:val="0"/>
          <w:sz w:val="22"/>
          <w:szCs w:val="22"/>
        </w:rPr>
        <w:t xml:space="preserve"> Všeobecná</w:t>
      </w:r>
      <w:r w:rsidRPr="00B274DA">
        <w:rPr>
          <w:rFonts w:ascii="Times New Roman" w:hAnsi="Times New Roman"/>
          <w:b w:val="0"/>
          <w:bCs w:val="0"/>
          <w:sz w:val="22"/>
          <w:szCs w:val="22"/>
        </w:rPr>
        <w:t xml:space="preserve"> zdravotná poisťovňa, a.s. vykazuje pohľadávky z poistného vo výške 3</w:t>
      </w:r>
      <w:r w:rsidRPr="00B274DA" w:rsidR="00B72790">
        <w:rPr>
          <w:rFonts w:ascii="Times New Roman" w:hAnsi="Times New Roman"/>
          <w:b w:val="0"/>
          <w:bCs w:val="0"/>
          <w:sz w:val="22"/>
          <w:szCs w:val="22"/>
        </w:rPr>
        <w:t>15</w:t>
      </w:r>
      <w:r w:rsidRPr="00B274DA">
        <w:rPr>
          <w:rFonts w:ascii="Times New Roman" w:hAnsi="Times New Roman"/>
          <w:b w:val="0"/>
          <w:bCs w:val="0"/>
          <w:sz w:val="22"/>
          <w:szCs w:val="22"/>
        </w:rPr>
        <w:t> </w:t>
      </w:r>
      <w:r w:rsidRPr="00B274DA" w:rsidR="00B72790">
        <w:rPr>
          <w:rFonts w:ascii="Times New Roman" w:hAnsi="Times New Roman"/>
          <w:b w:val="0"/>
          <w:bCs w:val="0"/>
          <w:sz w:val="22"/>
          <w:szCs w:val="22"/>
        </w:rPr>
        <w:t>234</w:t>
      </w:r>
      <w:r w:rsidRPr="00B274DA">
        <w:rPr>
          <w:rFonts w:ascii="Times New Roman" w:hAnsi="Times New Roman"/>
          <w:b w:val="0"/>
          <w:bCs w:val="0"/>
          <w:sz w:val="22"/>
          <w:szCs w:val="22"/>
        </w:rPr>
        <w:t xml:space="preserve"> tis. eur, Sociálna poisťovňa vykazuje pohľadávky z odvodov v hodnote </w:t>
      </w:r>
      <w:r w:rsidRPr="00B274DA" w:rsidR="00B72790">
        <w:rPr>
          <w:rFonts w:ascii="Times New Roman" w:hAnsi="Times New Roman"/>
          <w:b w:val="0"/>
          <w:bCs w:val="0"/>
          <w:sz w:val="22"/>
          <w:szCs w:val="22"/>
        </w:rPr>
        <w:t>288 863 tis. eur, Úrad pre dohľad nad z</w:t>
      </w:r>
      <w:r w:rsidR="00B72790">
        <w:rPr>
          <w:rFonts w:ascii="Times New Roman" w:hAnsi="Times New Roman"/>
          <w:b w:val="0"/>
          <w:bCs w:val="0"/>
          <w:sz w:val="22"/>
          <w:szCs w:val="22"/>
        </w:rPr>
        <w:t>dravotnou starostlivosťou pohľadávky vo výške 61 447 tis. eur najmä voči zdravotným poisťovniam a iným štátom z činnosti styčného orgánu.</w:t>
      </w:r>
    </w:p>
    <w:tbl>
      <w:tblPr>
        <w:tblStyle w:val="TableNormal"/>
        <w:tblW w:w="4722" w:type="pct"/>
        <w:jc w:val="center"/>
        <w:tblCellMar>
          <w:left w:w="70" w:type="dxa"/>
          <w:right w:w="70" w:type="dxa"/>
        </w:tblCellMar>
        <w:tblLook w:val="04A0"/>
      </w:tblPr>
      <w:tblGrid>
        <w:gridCol w:w="5680"/>
        <w:gridCol w:w="1829"/>
        <w:gridCol w:w="1190"/>
      </w:tblGrid>
      <w:tr>
        <w:tblPrEx>
          <w:tblW w:w="4722" w:type="pct"/>
          <w:jc w:val="center"/>
          <w:tblCellMar>
            <w:left w:w="70" w:type="dxa"/>
            <w:right w:w="70" w:type="dxa"/>
          </w:tblCellMar>
          <w:tblLook w:val="04A0"/>
        </w:tblPrEx>
        <w:trPr>
          <w:trHeight w:val="330"/>
          <w:jc w:val="center"/>
        </w:trPr>
        <w:tc>
          <w:tcPr>
            <w:tcW w:w="4316" w:type="pct"/>
            <w:gridSpan w:val="2"/>
            <w:tcBorders>
              <w:top w:val="single" w:sz="4" w:space="0" w:color="auto"/>
              <w:left w:val="nil"/>
              <w:bottom w:val="single" w:sz="4" w:space="0" w:color="auto"/>
              <w:right w:val="nil"/>
            </w:tcBorders>
            <w:shd w:val="clear" w:color="000000" w:fill="000000"/>
            <w:noWrap/>
            <w:textDirection w:val="lrTb"/>
            <w:vAlign w:val="center"/>
          </w:tcPr>
          <w:p w:rsidR="006C48DD" w:rsidRPr="0072101A" w:rsidP="00683393">
            <w:pPr>
              <w:bidi w:val="0"/>
              <w:spacing w:after="0" w:line="240" w:lineRule="auto"/>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Vybrané pohľadávky SR voči zahraničiu v rámci štátnych finančných aktív (v tis. eur)</w:t>
            </w:r>
          </w:p>
        </w:tc>
        <w:tc>
          <w:tcPr>
            <w:tcW w:w="684" w:type="pct"/>
            <w:tcBorders>
              <w:top w:val="single" w:sz="4" w:space="0" w:color="auto"/>
              <w:left w:val="nil"/>
              <w:bottom w:val="single" w:sz="4" w:space="0" w:color="auto"/>
              <w:right w:val="nil"/>
            </w:tcBorders>
            <w:shd w:val="clear" w:color="000000" w:fill="000000"/>
            <w:textDirection w:val="lrTb"/>
            <w:vAlign w:val="center"/>
          </w:tcPr>
          <w:p w:rsidR="006C48DD" w:rsidRPr="0072101A" w:rsidP="00683393">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r>
      <w:tr>
        <w:tblPrEx>
          <w:tblW w:w="4722" w:type="pct"/>
          <w:jc w:val="center"/>
          <w:tblCellMar>
            <w:left w:w="70" w:type="dxa"/>
            <w:right w:w="70" w:type="dxa"/>
          </w:tblCellMar>
          <w:tblLook w:val="04A0"/>
        </w:tblPrEx>
        <w:trPr>
          <w:trHeight w:val="330"/>
          <w:jc w:val="center"/>
        </w:trPr>
        <w:tc>
          <w:tcPr>
            <w:tcW w:w="3265" w:type="pct"/>
            <w:tcBorders>
              <w:top w:val="nil"/>
              <w:left w:val="nil"/>
              <w:bottom w:val="single" w:sz="4" w:space="0" w:color="auto"/>
              <w:right w:val="nil"/>
            </w:tcBorders>
            <w:shd w:val="clear" w:color="000000" w:fill="BFBFBF"/>
            <w:noWrap/>
            <w:textDirection w:val="lrTb"/>
            <w:vAlign w:val="bottom"/>
          </w:tcPr>
          <w:p w:rsidR="006C48DD" w:rsidRPr="0072101A" w:rsidP="00683393">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Dlžnícka krajina</w:t>
            </w:r>
          </w:p>
        </w:tc>
        <w:tc>
          <w:tcPr>
            <w:tcW w:w="1051" w:type="pct"/>
            <w:tcBorders>
              <w:top w:val="nil"/>
              <w:left w:val="nil"/>
              <w:bottom w:val="single" w:sz="4" w:space="0" w:color="auto"/>
              <w:right w:val="nil"/>
            </w:tcBorders>
            <w:shd w:val="clear" w:color="000000" w:fill="BFBFBF"/>
            <w:noWrap/>
            <w:textDirection w:val="lrTb"/>
            <w:vAlign w:val="bottom"/>
          </w:tcPr>
          <w:p w:rsidR="006C48DD" w:rsidRPr="0072101A" w:rsidP="00683393">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w:t>
            </w:r>
            <w:r>
              <w:rPr>
                <w:rFonts w:ascii="Times New Roman" w:hAnsi="Times New Roman"/>
                <w:b/>
                <w:bCs/>
                <w:sz w:val="20"/>
                <w:szCs w:val="20"/>
                <w:lang w:eastAsia="sk-SK"/>
              </w:rPr>
              <w:t>2015</w:t>
            </w:r>
          </w:p>
        </w:tc>
        <w:tc>
          <w:tcPr>
            <w:tcW w:w="684" w:type="pct"/>
            <w:tcBorders>
              <w:top w:val="nil"/>
              <w:left w:val="nil"/>
              <w:bottom w:val="single" w:sz="4" w:space="0" w:color="auto"/>
              <w:right w:val="nil"/>
            </w:tcBorders>
            <w:shd w:val="clear" w:color="000000" w:fill="BFBFBF"/>
            <w:noWrap/>
            <w:textDirection w:val="lrTb"/>
            <w:vAlign w:val="bottom"/>
          </w:tcPr>
          <w:p w:rsidR="006C48DD" w:rsidRPr="0072101A" w:rsidP="00683393">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201</w:t>
            </w:r>
            <w:r>
              <w:rPr>
                <w:rFonts w:ascii="Times New Roman" w:hAnsi="Times New Roman"/>
                <w:b/>
                <w:bCs/>
                <w:sz w:val="20"/>
                <w:szCs w:val="20"/>
                <w:lang w:eastAsia="sk-SK"/>
              </w:rPr>
              <w:t>4</w:t>
            </w:r>
          </w:p>
        </w:tc>
      </w:tr>
      <w:tr>
        <w:tblPrEx>
          <w:tblW w:w="4722" w:type="pct"/>
          <w:jc w:val="center"/>
          <w:tblCellMar>
            <w:left w:w="70" w:type="dxa"/>
            <w:right w:w="70" w:type="dxa"/>
          </w:tblCellMar>
          <w:tblLook w:val="04A0"/>
        </w:tblPrEx>
        <w:trPr>
          <w:trHeight w:val="330"/>
          <w:jc w:val="center"/>
        </w:trPr>
        <w:tc>
          <w:tcPr>
            <w:tcW w:w="3265"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Kubánska republika</w:t>
            </w:r>
          </w:p>
        </w:tc>
        <w:tc>
          <w:tcPr>
            <w:tcW w:w="1051"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116 563</w:t>
            </w:r>
          </w:p>
        </w:tc>
        <w:tc>
          <w:tcPr>
            <w:tcW w:w="684"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115 134</w:t>
            </w:r>
          </w:p>
        </w:tc>
      </w:tr>
      <w:tr>
        <w:tblPrEx>
          <w:tblW w:w="4722" w:type="pct"/>
          <w:jc w:val="center"/>
          <w:tblCellMar>
            <w:left w:w="70" w:type="dxa"/>
            <w:right w:w="70" w:type="dxa"/>
          </w:tblCellMar>
          <w:tblLook w:val="04A0"/>
        </w:tblPrEx>
        <w:trPr>
          <w:trHeight w:val="330"/>
          <w:jc w:val="center"/>
        </w:trPr>
        <w:tc>
          <w:tcPr>
            <w:tcW w:w="3265"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bývalá Zväzová republika Juhoslávia</w:t>
            </w:r>
          </w:p>
        </w:tc>
        <w:tc>
          <w:tcPr>
            <w:tcW w:w="1051"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100 049</w:t>
            </w:r>
          </w:p>
        </w:tc>
        <w:tc>
          <w:tcPr>
            <w:tcW w:w="684"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85 343</w:t>
            </w:r>
          </w:p>
        </w:tc>
      </w:tr>
      <w:tr>
        <w:tblPrEx>
          <w:tblW w:w="4722" w:type="pct"/>
          <w:jc w:val="center"/>
          <w:tblCellMar>
            <w:left w:w="70" w:type="dxa"/>
            <w:right w:w="70" w:type="dxa"/>
          </w:tblCellMar>
          <w:tblLook w:val="04A0"/>
        </w:tblPrEx>
        <w:trPr>
          <w:trHeight w:val="330"/>
          <w:jc w:val="center"/>
        </w:trPr>
        <w:tc>
          <w:tcPr>
            <w:tcW w:w="3265"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rPr>
                <w:rFonts w:ascii="Times New Roman" w:hAnsi="Times New Roman"/>
                <w:color w:val="000000"/>
                <w:sz w:val="20"/>
                <w:szCs w:val="20"/>
                <w:lang w:eastAsia="sk-SK"/>
              </w:rPr>
            </w:pPr>
            <w:r>
              <w:rPr>
                <w:rFonts w:ascii="Times New Roman" w:hAnsi="Times New Roman"/>
                <w:color w:val="000000"/>
                <w:sz w:val="20"/>
                <w:szCs w:val="20"/>
                <w:lang w:eastAsia="sk-SK"/>
              </w:rPr>
              <w:t>Slovinsko</w:t>
            </w:r>
          </w:p>
        </w:tc>
        <w:tc>
          <w:tcPr>
            <w:tcW w:w="1051" w:type="pct"/>
            <w:tcBorders>
              <w:top w:val="nil"/>
              <w:left w:val="nil"/>
              <w:bottom w:val="nil"/>
              <w:right w:val="nil"/>
            </w:tcBorders>
            <w:shd w:val="clear" w:color="000000" w:fill="FFFFFF"/>
            <w:textDirection w:val="lrTb"/>
            <w:vAlign w:val="center"/>
          </w:tcPr>
          <w:p w:rsidR="006C48DD" w:rsidP="00683393">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104</w:t>
            </w:r>
          </w:p>
        </w:tc>
        <w:tc>
          <w:tcPr>
            <w:tcW w:w="684"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0</w:t>
            </w:r>
          </w:p>
        </w:tc>
      </w:tr>
      <w:tr>
        <w:tblPrEx>
          <w:tblW w:w="4722" w:type="pct"/>
          <w:jc w:val="center"/>
          <w:tblCellMar>
            <w:left w:w="70" w:type="dxa"/>
            <w:right w:w="70" w:type="dxa"/>
          </w:tblCellMar>
          <w:tblLook w:val="04A0"/>
        </w:tblPrEx>
        <w:trPr>
          <w:trHeight w:val="330"/>
          <w:jc w:val="center"/>
        </w:trPr>
        <w:tc>
          <w:tcPr>
            <w:tcW w:w="3265"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Alžírska demokratická ľudová republika</w:t>
            </w:r>
          </w:p>
        </w:tc>
        <w:tc>
          <w:tcPr>
            <w:tcW w:w="1051"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13 698</w:t>
            </w:r>
          </w:p>
        </w:tc>
        <w:tc>
          <w:tcPr>
            <w:tcW w:w="684"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12 058</w:t>
            </w:r>
          </w:p>
        </w:tc>
      </w:tr>
      <w:tr>
        <w:tblPrEx>
          <w:tblW w:w="4722" w:type="pct"/>
          <w:jc w:val="center"/>
          <w:tblCellMar>
            <w:left w:w="70" w:type="dxa"/>
            <w:right w:w="70" w:type="dxa"/>
          </w:tblCellMar>
          <w:tblLook w:val="04A0"/>
        </w:tblPrEx>
        <w:trPr>
          <w:trHeight w:val="330"/>
          <w:jc w:val="center"/>
        </w:trPr>
        <w:tc>
          <w:tcPr>
            <w:tcW w:w="3265"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Čínska ľudová republika</w:t>
            </w:r>
          </w:p>
        </w:tc>
        <w:tc>
          <w:tcPr>
            <w:tcW w:w="1051"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10 594</w:t>
            </w:r>
          </w:p>
        </w:tc>
        <w:tc>
          <w:tcPr>
            <w:tcW w:w="684"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9 547</w:t>
            </w:r>
          </w:p>
        </w:tc>
      </w:tr>
      <w:tr>
        <w:tblPrEx>
          <w:tblW w:w="4722" w:type="pct"/>
          <w:jc w:val="center"/>
          <w:tblCellMar>
            <w:left w:w="70" w:type="dxa"/>
            <w:right w:w="70" w:type="dxa"/>
          </w:tblCellMar>
          <w:tblLook w:val="04A0"/>
        </w:tblPrEx>
        <w:trPr>
          <w:trHeight w:val="330"/>
          <w:jc w:val="center"/>
        </w:trPr>
        <w:tc>
          <w:tcPr>
            <w:tcW w:w="3265"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Ruská federácia - Krivoj Rog</w:t>
            </w:r>
          </w:p>
        </w:tc>
        <w:tc>
          <w:tcPr>
            <w:tcW w:w="1051"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4 285</w:t>
            </w:r>
          </w:p>
        </w:tc>
        <w:tc>
          <w:tcPr>
            <w:tcW w:w="684"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4 212</w:t>
            </w:r>
          </w:p>
        </w:tc>
      </w:tr>
      <w:tr>
        <w:tblPrEx>
          <w:tblW w:w="4722" w:type="pct"/>
          <w:jc w:val="center"/>
          <w:tblCellMar>
            <w:left w:w="70" w:type="dxa"/>
            <w:right w:w="70" w:type="dxa"/>
          </w:tblCellMar>
          <w:tblLook w:val="04A0"/>
        </w:tblPrEx>
        <w:trPr>
          <w:trHeight w:val="330"/>
          <w:jc w:val="center"/>
        </w:trPr>
        <w:tc>
          <w:tcPr>
            <w:tcW w:w="3265"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Kórejská ľudovodemokratická republika</w:t>
            </w:r>
          </w:p>
        </w:tc>
        <w:tc>
          <w:tcPr>
            <w:tcW w:w="1051"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1 731</w:t>
            </w:r>
          </w:p>
        </w:tc>
        <w:tc>
          <w:tcPr>
            <w:tcW w:w="684"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1 552</w:t>
            </w:r>
          </w:p>
        </w:tc>
      </w:tr>
      <w:tr>
        <w:tblPrEx>
          <w:tblW w:w="4722" w:type="pct"/>
          <w:jc w:val="center"/>
          <w:tblCellMar>
            <w:left w:w="70" w:type="dxa"/>
            <w:right w:w="70" w:type="dxa"/>
          </w:tblCellMar>
          <w:tblLook w:val="04A0"/>
        </w:tblPrEx>
        <w:trPr>
          <w:trHeight w:val="330"/>
          <w:jc w:val="center"/>
        </w:trPr>
        <w:tc>
          <w:tcPr>
            <w:tcW w:w="3265"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India</w:t>
            </w:r>
          </w:p>
        </w:tc>
        <w:tc>
          <w:tcPr>
            <w:tcW w:w="1051"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26</w:t>
            </w:r>
          </w:p>
        </w:tc>
        <w:tc>
          <w:tcPr>
            <w:tcW w:w="684" w:type="pct"/>
            <w:tcBorders>
              <w:top w:val="nil"/>
              <w:left w:val="nil"/>
              <w:bottom w:val="nil"/>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24</w:t>
            </w:r>
          </w:p>
        </w:tc>
      </w:tr>
      <w:tr>
        <w:tblPrEx>
          <w:tblW w:w="4722" w:type="pct"/>
          <w:jc w:val="center"/>
          <w:tblCellMar>
            <w:left w:w="70" w:type="dxa"/>
            <w:right w:w="70" w:type="dxa"/>
          </w:tblCellMar>
          <w:tblLook w:val="04A0"/>
        </w:tblPrEx>
        <w:trPr>
          <w:trHeight w:val="330"/>
          <w:jc w:val="center"/>
        </w:trPr>
        <w:tc>
          <w:tcPr>
            <w:tcW w:w="3265" w:type="pct"/>
            <w:tcBorders>
              <w:top w:val="nil"/>
              <w:left w:val="nil"/>
              <w:bottom w:val="single" w:sz="4" w:space="0" w:color="auto"/>
              <w:right w:val="nil"/>
            </w:tcBorders>
            <w:shd w:val="clear" w:color="000000" w:fill="FFFFFF"/>
            <w:textDirection w:val="lrTb"/>
            <w:vAlign w:val="center"/>
          </w:tcPr>
          <w:p w:rsidR="006C48DD" w:rsidRPr="0072101A" w:rsidP="00683393">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Spolu</w:t>
            </w:r>
          </w:p>
        </w:tc>
        <w:tc>
          <w:tcPr>
            <w:tcW w:w="1051" w:type="pct"/>
            <w:tcBorders>
              <w:top w:val="nil"/>
              <w:left w:val="nil"/>
              <w:bottom w:val="single" w:sz="4" w:space="0" w:color="auto"/>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b/>
                <w:bCs/>
                <w:color w:val="000000"/>
                <w:sz w:val="20"/>
                <w:szCs w:val="20"/>
                <w:lang w:eastAsia="sk-SK"/>
              </w:rPr>
            </w:pPr>
            <w:r>
              <w:rPr>
                <w:rFonts w:ascii="Times New Roman" w:hAnsi="Times New Roman"/>
                <w:b/>
                <w:bCs/>
                <w:color w:val="000000"/>
                <w:sz w:val="20"/>
                <w:szCs w:val="20"/>
                <w:lang w:eastAsia="sk-SK"/>
              </w:rPr>
              <w:t>247 050</w:t>
            </w:r>
          </w:p>
        </w:tc>
        <w:tc>
          <w:tcPr>
            <w:tcW w:w="684" w:type="pct"/>
            <w:tcBorders>
              <w:top w:val="nil"/>
              <w:left w:val="nil"/>
              <w:bottom w:val="single" w:sz="4" w:space="0" w:color="auto"/>
              <w:right w:val="nil"/>
            </w:tcBorders>
            <w:shd w:val="clear" w:color="000000" w:fill="FFFFFF"/>
            <w:textDirection w:val="lrTb"/>
            <w:vAlign w:val="center"/>
          </w:tcPr>
          <w:p w:rsidR="006C48DD" w:rsidRPr="0072101A" w:rsidP="00683393">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227 870</w:t>
            </w:r>
          </w:p>
        </w:tc>
      </w:tr>
    </w:tbl>
    <w:p w:rsidR="006C48DD" w:rsidRPr="0072101A" w:rsidP="006C48DD">
      <w:pPr>
        <w:bidi w:val="0"/>
        <w:spacing w:before="120" w:after="120" w:line="336" w:lineRule="auto"/>
        <w:ind w:firstLine="425"/>
        <w:rPr>
          <w:rFonts w:ascii="Times New Roman" w:hAnsi="Times New Roman"/>
          <w:szCs w:val="22"/>
          <w:u w:val="single"/>
          <w:lang w:eastAsia="sk-SK"/>
        </w:rPr>
      </w:pPr>
      <w:r w:rsidRPr="0072101A">
        <w:rPr>
          <w:rFonts w:ascii="Times New Roman" w:hAnsi="Times New Roman"/>
          <w:iCs/>
          <w:szCs w:val="22"/>
          <w:u w:val="single"/>
          <w:lang w:eastAsia="sk-SK"/>
        </w:rPr>
        <w:t>Kubánska republika</w:t>
      </w:r>
    </w:p>
    <w:p w:rsidR="006C48DD" w:rsidP="006C48DD">
      <w:pPr>
        <w:bidi w:val="0"/>
        <w:spacing w:after="120" w:line="336" w:lineRule="auto"/>
        <w:jc w:val="both"/>
        <w:rPr>
          <w:rFonts w:ascii="Times New Roman" w:hAnsi="Times New Roman"/>
          <w:szCs w:val="22"/>
          <w:lang w:eastAsia="sk-SK"/>
        </w:rPr>
      </w:pPr>
      <w:r w:rsidRPr="0072101A">
        <w:rPr>
          <w:rFonts w:ascii="Times New Roman" w:hAnsi="Times New Roman"/>
          <w:szCs w:val="22"/>
          <w:lang w:eastAsia="sk-SK"/>
        </w:rPr>
        <w:t>Pohľadávka Slovenskej republiky</w:t>
      </w:r>
      <w:r w:rsidRPr="0072101A">
        <w:rPr>
          <w:rFonts w:ascii="Times New Roman" w:hAnsi="Times New Roman"/>
          <w:color w:val="000000"/>
          <w:szCs w:val="22"/>
          <w:lang w:eastAsia="sk-SK"/>
        </w:rPr>
        <w:t xml:space="preserve"> voči </w:t>
      </w:r>
      <w:r w:rsidRPr="0072101A">
        <w:rPr>
          <w:rFonts w:ascii="Times New Roman" w:hAnsi="Times New Roman"/>
          <w:szCs w:val="22"/>
          <w:lang w:eastAsia="sk-SK"/>
        </w:rPr>
        <w:t>Kubánskej republike</w:t>
      </w:r>
      <w:r w:rsidRPr="0072101A">
        <w:rPr>
          <w:rFonts w:ascii="Times New Roman" w:hAnsi="Times New Roman"/>
          <w:color w:val="000000"/>
          <w:szCs w:val="22"/>
          <w:lang w:eastAsia="sk-SK"/>
        </w:rPr>
        <w:t xml:space="preserve"> vznikla na základe viacerých úverových dohôd uzatvorených medzi vládou Československej socialistickej republiky a vládou </w:t>
      </w:r>
      <w:r w:rsidRPr="0072101A">
        <w:rPr>
          <w:rFonts w:ascii="Times New Roman" w:hAnsi="Times New Roman"/>
          <w:szCs w:val="22"/>
          <w:lang w:eastAsia="sk-SK"/>
        </w:rPr>
        <w:t xml:space="preserve">Kubánskej republiky. Doposiaľ nebola zrealizovaná žiadna forma vysporiadania pohľadávok voči Kubánskej republike. </w:t>
      </w:r>
      <w:r w:rsidRPr="0072101A">
        <w:rPr>
          <w:rFonts w:ascii="Times New Roman" w:hAnsi="Times New Roman"/>
          <w:color w:val="000000"/>
          <w:szCs w:val="22"/>
          <w:lang w:eastAsia="sk-SK"/>
        </w:rPr>
        <w:t xml:space="preserve"> </w:t>
      </w:r>
      <w:r w:rsidRPr="0072101A">
        <w:rPr>
          <w:rFonts w:ascii="Times New Roman" w:hAnsi="Times New Roman"/>
          <w:szCs w:val="22"/>
          <w:lang w:eastAsia="sk-SK"/>
        </w:rPr>
        <w:t xml:space="preserve">V roku 2012 kubánska strana potvrdila svoju pripravenosť riešiť </w:t>
      </w:r>
      <w:r>
        <w:rPr>
          <w:rFonts w:ascii="Times New Roman" w:hAnsi="Times New Roman"/>
          <w:szCs w:val="22"/>
          <w:lang w:eastAsia="sk-SK"/>
        </w:rPr>
        <w:t xml:space="preserve">svoj </w:t>
      </w:r>
      <w:r w:rsidRPr="0072101A">
        <w:rPr>
          <w:rFonts w:ascii="Times New Roman" w:hAnsi="Times New Roman"/>
          <w:szCs w:val="22"/>
          <w:lang w:eastAsia="sk-SK"/>
        </w:rPr>
        <w:t>dlh  voči Slovenskej republike</w:t>
      </w:r>
      <w:r>
        <w:rPr>
          <w:rFonts w:ascii="Times New Roman" w:hAnsi="Times New Roman"/>
          <w:szCs w:val="22"/>
          <w:lang w:eastAsia="sk-SK"/>
        </w:rPr>
        <w:t xml:space="preserve">, dôsledkom čoho sa v nasledujúcich rokoch uskutočnilo viacero </w:t>
      </w:r>
      <w:r w:rsidRPr="0072101A">
        <w:rPr>
          <w:rFonts w:ascii="Times New Roman" w:hAnsi="Times New Roman"/>
          <w:szCs w:val="22"/>
          <w:lang w:eastAsia="sk-SK"/>
        </w:rPr>
        <w:t xml:space="preserve"> stretnutí </w:t>
      </w:r>
      <w:r>
        <w:rPr>
          <w:rFonts w:ascii="Times New Roman" w:hAnsi="Times New Roman"/>
          <w:szCs w:val="22"/>
          <w:lang w:eastAsia="sk-SK"/>
        </w:rPr>
        <w:t>medzi zástupcami Slovenskej republiky a Kubánskej republiky</w:t>
      </w:r>
      <w:r w:rsidRPr="0072101A">
        <w:rPr>
          <w:rFonts w:ascii="Times New Roman" w:hAnsi="Times New Roman"/>
          <w:szCs w:val="22"/>
          <w:lang w:eastAsia="sk-SK"/>
        </w:rPr>
        <w:t xml:space="preserve"> za účelom prerokovania nedoriešených finančných otázok medzi obidvomi štátmi a stanovenia vhodného mechanizmu na ich vyriešenie.</w:t>
      </w:r>
    </w:p>
    <w:p w:rsidR="006C48DD" w:rsidRPr="0072101A" w:rsidP="006C48DD">
      <w:pPr>
        <w:bidi w:val="0"/>
        <w:spacing w:after="120" w:line="336" w:lineRule="auto"/>
        <w:jc w:val="both"/>
        <w:rPr>
          <w:rFonts w:ascii="Times New Roman" w:hAnsi="Times New Roman"/>
          <w:szCs w:val="22"/>
          <w:lang w:eastAsia="sk-SK"/>
        </w:rPr>
      </w:pPr>
      <w:r>
        <w:rPr>
          <w:rFonts w:ascii="Times New Roman" w:hAnsi="Times New Roman"/>
          <w:szCs w:val="22"/>
          <w:lang w:eastAsia="sk-SK"/>
        </w:rPr>
        <w:t xml:space="preserve">Počas návštevy slovenskej delegácie v Kubánskej republike bola dňa 8.10.2015 v Havane podpísaná Dohoda o urovnaní medzi vládou Slovenskej republiky a vládou Kubánskej republiky (ďalej len „Dohoda“). Dohodou boli ustanovené základné spôsoby vysporiadania uznaného kubánskeho dlhu. Dohoda nadobudla účinnosť 23.1.2016 a v zmysle jej ustanovení je potrebné v roku 2016 pristúpiť k podpisu ďalších zmlúv/dohôd, ktoré reálne zabezpečia jej plnenie. Dohoda a všetky ďalšie na ňu nadväzujúce zmluvné dokumenty podliehajú, resp. budú podliehať utajeniu. </w:t>
      </w:r>
    </w:p>
    <w:p w:rsidR="006C48DD" w:rsidRPr="0072101A" w:rsidP="006C48DD">
      <w:pPr>
        <w:bidi w:val="0"/>
        <w:spacing w:after="120" w:line="336" w:lineRule="auto"/>
        <w:ind w:firstLine="425"/>
        <w:jc w:val="both"/>
        <w:rPr>
          <w:rFonts w:ascii="Times New Roman" w:hAnsi="Times New Roman"/>
          <w:szCs w:val="22"/>
          <w:u w:val="single"/>
          <w:lang w:eastAsia="sk-SK"/>
        </w:rPr>
      </w:pPr>
      <w:r w:rsidRPr="0072101A">
        <w:rPr>
          <w:rFonts w:ascii="Times New Roman" w:hAnsi="Times New Roman"/>
          <w:szCs w:val="22"/>
          <w:lang w:eastAsia="sk-SK"/>
        </w:rPr>
        <w:t xml:space="preserve"> </w:t>
      </w:r>
      <w:r w:rsidRPr="0072101A">
        <w:rPr>
          <w:rFonts w:ascii="Times New Roman" w:hAnsi="Times New Roman"/>
          <w:iCs/>
          <w:szCs w:val="22"/>
          <w:u w:val="single"/>
          <w:lang w:eastAsia="sk-SK"/>
        </w:rPr>
        <w:t>Bývalá Zväzová republika Juhoslávia a Slovinsko</w:t>
      </w:r>
    </w:p>
    <w:p w:rsidR="006C48DD" w:rsidRPr="0072101A" w:rsidP="006C48DD">
      <w:pPr>
        <w:bidi w:val="0"/>
        <w:spacing w:after="120" w:line="336" w:lineRule="auto"/>
        <w:jc w:val="both"/>
        <w:rPr>
          <w:rFonts w:ascii="Times New Roman" w:hAnsi="Times New Roman"/>
          <w:szCs w:val="22"/>
          <w:lang w:eastAsia="sk-SK"/>
        </w:rPr>
      </w:pPr>
      <w:r w:rsidRPr="0072101A">
        <w:rPr>
          <w:rFonts w:ascii="Times New Roman" w:hAnsi="Times New Roman"/>
          <w:szCs w:val="22"/>
          <w:lang w:eastAsia="sk-SK"/>
        </w:rPr>
        <w:t xml:space="preserve">Pohľadávka bývalej ČSFR voči bývalej ZRJ vznikla z titulu predbežného vykonávania Platobnej dohody zo dňa 8.2.1991, ktorá bola doplnená Protokolom z roku 1992. </w:t>
      </w:r>
    </w:p>
    <w:p w:rsidR="006C48DD" w:rsidRPr="0072101A" w:rsidP="006C48DD">
      <w:pPr>
        <w:bidi w:val="0"/>
        <w:spacing w:after="120" w:line="336" w:lineRule="auto"/>
        <w:jc w:val="both"/>
        <w:rPr>
          <w:rFonts w:ascii="Times New Roman" w:hAnsi="Times New Roman"/>
          <w:szCs w:val="22"/>
          <w:lang w:eastAsia="sk-SK"/>
        </w:rPr>
      </w:pPr>
      <w:r w:rsidRPr="0072101A">
        <w:rPr>
          <w:rFonts w:ascii="Times New Roman" w:hAnsi="Times New Roman"/>
          <w:szCs w:val="22"/>
          <w:lang w:eastAsia="sk-SK"/>
        </w:rPr>
        <w:t>Protokol z roku 1992 rieši, okrem iného úročenie salda na clearingovom likvidačnom účte a prepočítací kurz z nekonvertibilnej meny (clearingový USD) na konvertibilnú menu (USD). Vyriešenie otázky platnosti Protokolu z roku 1992 je dôležité z toho dôvodu, že v súčasnosti suma úrokov viac ako 2-krát prevyšuje sumu istiny.</w:t>
      </w:r>
    </w:p>
    <w:p w:rsidR="006C48DD" w:rsidRPr="0072101A" w:rsidP="006C48DD">
      <w:pPr>
        <w:bidi w:val="0"/>
        <w:spacing w:after="120" w:line="336" w:lineRule="auto"/>
        <w:jc w:val="both"/>
        <w:rPr>
          <w:rFonts w:ascii="Times New Roman" w:hAnsi="Times New Roman"/>
          <w:szCs w:val="22"/>
          <w:lang w:eastAsia="sk-SK"/>
        </w:rPr>
      </w:pPr>
      <w:r w:rsidRPr="0072101A">
        <w:rPr>
          <w:rFonts w:ascii="Times New Roman" w:hAnsi="Times New Roman"/>
          <w:szCs w:val="22"/>
          <w:lang w:eastAsia="sk-SK"/>
        </w:rPr>
        <w:t>Pohľadávka SR však nebola uznaná dlžníkom, resp. nebola rozdelená medzi jednotlivé nástupnícke  štáty a nebola ani externe rozdelená medzi Slovenskú republiku a Českú republiku. Ministerstvo financií SR preto eviduje pohľadávku voči bývalej Juhoslávii ako celku a nie jednotlivo voči jej nástupníckym štátom.</w:t>
      </w:r>
    </w:p>
    <w:p w:rsidR="006C48DD" w:rsidRPr="0072101A" w:rsidP="006C48DD">
      <w:pPr>
        <w:bidi w:val="0"/>
        <w:spacing w:after="120" w:line="336" w:lineRule="auto"/>
        <w:jc w:val="both"/>
        <w:rPr>
          <w:rFonts w:ascii="Times New Roman" w:hAnsi="Times New Roman"/>
          <w:szCs w:val="22"/>
          <w:lang w:eastAsia="sk-SK"/>
        </w:rPr>
      </w:pPr>
      <w:r w:rsidRPr="0072101A">
        <w:rPr>
          <w:rFonts w:ascii="Times New Roman" w:hAnsi="Times New Roman"/>
          <w:szCs w:val="22"/>
          <w:lang w:eastAsia="sk-SK"/>
        </w:rPr>
        <w:t xml:space="preserve">V marci 2007 sa v Srbsku uskutočnilo trojstranné expertné rokovanie medzi zástupcami Slovenskej republiky, Českej republiky a Srbska. Obdobné rokovanie prebehlo následne v apríli 2007 v Čiernej Hore za účasti príslušných expertov. </w:t>
      </w:r>
    </w:p>
    <w:p w:rsidR="006C48DD" w:rsidRPr="0072101A" w:rsidP="006C48DD">
      <w:pPr>
        <w:bidi w:val="0"/>
        <w:spacing w:after="120" w:line="336" w:lineRule="auto"/>
        <w:jc w:val="both"/>
        <w:rPr>
          <w:rFonts w:ascii="Times New Roman" w:hAnsi="Times New Roman"/>
          <w:szCs w:val="22"/>
          <w:lang w:eastAsia="sk-SK"/>
        </w:rPr>
      </w:pPr>
      <w:r w:rsidRPr="0072101A">
        <w:rPr>
          <w:rFonts w:ascii="Times New Roman" w:hAnsi="Times New Roman"/>
          <w:szCs w:val="22"/>
          <w:lang w:eastAsia="sk-SK"/>
        </w:rPr>
        <w:t xml:space="preserve">V júni 2013 sa v Belehrade konalo 5. zasadnutie Zmiešanej komisie medzi SR a Srbskou republikou pre hospodársku spoluprácu, na ktorom srbská strana potvrdila platnosť Platobnej dohody zo dňa 8.2.1991, ale odmietla uznať platnosť Protokolu z roku 1992. </w:t>
      </w:r>
    </w:p>
    <w:p w:rsidR="006C48DD" w:rsidP="006C48DD">
      <w:pPr>
        <w:bidi w:val="0"/>
        <w:spacing w:after="120" w:line="336" w:lineRule="auto"/>
        <w:jc w:val="both"/>
        <w:rPr>
          <w:rFonts w:ascii="Times New Roman" w:hAnsi="Times New Roman"/>
          <w:szCs w:val="22"/>
          <w:lang w:eastAsia="sk-SK"/>
        </w:rPr>
      </w:pPr>
      <w:r w:rsidRPr="0072101A">
        <w:rPr>
          <w:rFonts w:ascii="Times New Roman" w:hAnsi="Times New Roman"/>
          <w:szCs w:val="22"/>
          <w:lang w:eastAsia="sk-SK"/>
        </w:rPr>
        <w:t>Počas 6. zasadnutia Zmiešanej komisie medzi SR a Srbskou republikou pre hospodársku spoluprácu v Bratislave, ktorá sa konala začiatkom decembra 2014 srbská strana pot</w:t>
      </w:r>
      <w:r w:rsidR="00564E85">
        <w:rPr>
          <w:rFonts w:ascii="Times New Roman" w:hAnsi="Times New Roman"/>
          <w:szCs w:val="22"/>
          <w:lang w:eastAsia="sk-SK"/>
        </w:rPr>
        <w:t>vrdila výšku istiny 11 119 tis. </w:t>
      </w:r>
      <w:r w:rsidRPr="0072101A">
        <w:rPr>
          <w:rFonts w:ascii="Times New Roman" w:hAnsi="Times New Roman"/>
          <w:szCs w:val="22"/>
          <w:lang w:eastAsia="sk-SK"/>
        </w:rPr>
        <w:t xml:space="preserve">clearingových USD ako svoj záväzok voči SR. Parita clearingového USD voči USD, nominálna úroková sadzba, metóda výpočtu akumulovaných úrokov ako aj podmienky splácania srbského dlhu mali byť predmetom ďalších bilaterálnych rokovaní. </w:t>
      </w:r>
    </w:p>
    <w:p w:rsidR="006C48DD" w:rsidRPr="0072101A" w:rsidP="006C48DD">
      <w:pPr>
        <w:bidi w:val="0"/>
        <w:spacing w:line="336" w:lineRule="auto"/>
        <w:jc w:val="both"/>
        <w:rPr>
          <w:rFonts w:ascii="Times New Roman" w:hAnsi="Times New Roman"/>
          <w:szCs w:val="22"/>
          <w:lang w:eastAsia="sk-SK"/>
        </w:rPr>
      </w:pPr>
      <w:r>
        <w:rPr>
          <w:rFonts w:ascii="Times New Roman" w:hAnsi="Times New Roman"/>
          <w:szCs w:val="22"/>
          <w:lang w:eastAsia="sk-SK"/>
        </w:rPr>
        <w:t>V decembri 2015 sa v Belehrade konalo 7. zasadnutie zmiešanej komisie pre hospodársku spoluprácu. Problematika srbského dlhu voči Slovenskej republike nebola predmetom jej rokovania.</w:t>
      </w:r>
      <w:r w:rsidR="00295DC0">
        <w:rPr>
          <w:rFonts w:ascii="Times New Roman" w:hAnsi="Times New Roman"/>
          <w:szCs w:val="22"/>
          <w:lang w:eastAsia="sk-SK"/>
        </w:rPr>
        <w:t xml:space="preserve"> </w:t>
      </w:r>
      <w:r>
        <w:rPr>
          <w:rFonts w:ascii="Times New Roman" w:hAnsi="Times New Roman"/>
          <w:szCs w:val="22"/>
          <w:lang w:eastAsia="sk-SK"/>
        </w:rPr>
        <w:t>V decembri 2015 bola pohľadávka voči krajinám bývalej Juhoslávie, ktorá je vedená na likvidačnom účte v ČSOB, a.s., Praha, znížená o pohľadávky voči dvom slovinským podnikom (Kovintrade a Smelt). K tomuto vylúčeniu podnikových pohľadávok z likvidačného účtu došlo na základe vzájomnej dohody medzi Ministerstvom financií SR a  Ministerstvom financií ČR. Pohľadávky voči slovinským podnikom sú teda vedené samostatne.</w:t>
      </w:r>
    </w:p>
    <w:p w:rsidR="00F05E1F">
      <w:pPr>
        <w:bidi w:val="0"/>
        <w:spacing w:after="0" w:line="240" w:lineRule="auto"/>
        <w:rPr>
          <w:rFonts w:ascii="Times New Roman" w:hAnsi="Times New Roman"/>
          <w:iCs/>
          <w:color w:val="000000"/>
          <w:szCs w:val="22"/>
          <w:u w:val="single"/>
          <w:lang w:eastAsia="sk-SK"/>
        </w:rPr>
      </w:pPr>
      <w:r>
        <w:rPr>
          <w:rFonts w:ascii="Times New Roman" w:hAnsi="Times New Roman"/>
          <w:iCs/>
          <w:color w:val="000000"/>
          <w:szCs w:val="22"/>
          <w:u w:val="single"/>
          <w:lang w:eastAsia="sk-SK"/>
        </w:rPr>
        <w:br w:type="page"/>
      </w:r>
    </w:p>
    <w:p w:rsidR="006C48DD" w:rsidRPr="0072101A" w:rsidP="006C48DD">
      <w:pPr>
        <w:bidi w:val="0"/>
        <w:spacing w:after="120" w:line="336" w:lineRule="auto"/>
        <w:ind w:right="51" w:firstLine="425"/>
        <w:jc w:val="both"/>
        <w:rPr>
          <w:rFonts w:ascii="Times New Roman" w:hAnsi="Times New Roman"/>
          <w:szCs w:val="22"/>
          <w:u w:val="single"/>
          <w:lang w:eastAsia="sk-SK"/>
        </w:rPr>
      </w:pPr>
      <w:r w:rsidRPr="0072101A">
        <w:rPr>
          <w:rFonts w:ascii="Times New Roman" w:hAnsi="Times New Roman"/>
          <w:iCs/>
          <w:color w:val="000000"/>
          <w:szCs w:val="22"/>
          <w:u w:val="single"/>
          <w:lang w:eastAsia="sk-SK"/>
        </w:rPr>
        <w:t>Alžírska demokratická ľudová republika</w:t>
      </w:r>
    </w:p>
    <w:p w:rsidR="006C48DD" w:rsidP="000549E5">
      <w:pPr>
        <w:bidi w:val="0"/>
        <w:spacing w:line="360" w:lineRule="auto"/>
        <w:jc w:val="both"/>
        <w:rPr>
          <w:rFonts w:ascii="Times New Roman" w:hAnsi="Times New Roman"/>
          <w:color w:val="000000"/>
          <w:szCs w:val="22"/>
          <w:lang w:eastAsia="sk-SK"/>
        </w:rPr>
      </w:pPr>
      <w:r w:rsidRPr="0072101A">
        <w:rPr>
          <w:rFonts w:ascii="Times New Roman" w:hAnsi="Times New Roman"/>
          <w:color w:val="000000"/>
          <w:szCs w:val="22"/>
          <w:lang w:eastAsia="sk-SK"/>
        </w:rPr>
        <w:t xml:space="preserve">Pohľadávka vznikla z nesplateného úveru poskytnutého Alžírsku na základe Úverovej dohody medzi vládou Československej socialistickej republiky a vládou Alžírskej demokratickej ľudovej republiky podpísanej dňa 16.11.1984. </w:t>
      </w:r>
      <w:r w:rsidRPr="0072101A">
        <w:rPr>
          <w:rFonts w:ascii="Times New Roman" w:hAnsi="Times New Roman"/>
          <w:szCs w:val="22"/>
          <w:lang w:eastAsia="sk-SK"/>
        </w:rPr>
        <w:t xml:space="preserve">Evidovaná pohľadávka </w:t>
      </w:r>
      <w:r w:rsidRPr="0072101A">
        <w:rPr>
          <w:rFonts w:ascii="Times New Roman" w:hAnsi="Times New Roman"/>
          <w:color w:val="000000"/>
          <w:szCs w:val="22"/>
          <w:lang w:eastAsia="sk-SK"/>
        </w:rPr>
        <w:t>predstavuje pohľadávku, ktorú alžírska strana neuznáva ako svojho záväzok. Dôvodom je nedokončenie investičnej akcie a jej neuvedenie do prevádzky v súlade s čl. 7 úverovej dohody zo dňa 16.11.1984. S</w:t>
      </w:r>
      <w:r>
        <w:rPr>
          <w:rFonts w:ascii="Times New Roman" w:hAnsi="Times New Roman"/>
          <w:color w:val="000000"/>
          <w:szCs w:val="22"/>
          <w:lang w:eastAsia="sk-SK"/>
        </w:rPr>
        <w:t>lovenská republika</w:t>
      </w:r>
      <w:r w:rsidRPr="0072101A">
        <w:rPr>
          <w:rFonts w:ascii="Times New Roman" w:hAnsi="Times New Roman"/>
          <w:color w:val="000000"/>
          <w:szCs w:val="22"/>
          <w:lang w:eastAsia="sk-SK"/>
        </w:rPr>
        <w:t xml:space="preserve"> eviduje jednu tretinu tejto pohľadávky a Česká republika jej zvyšné dve tretiny. </w:t>
      </w:r>
    </w:p>
    <w:p w:rsidR="006C48DD" w:rsidRPr="0072101A" w:rsidP="006C48DD">
      <w:pPr>
        <w:bidi w:val="0"/>
        <w:spacing w:after="120" w:line="336" w:lineRule="auto"/>
        <w:ind w:firstLine="425"/>
        <w:jc w:val="both"/>
        <w:rPr>
          <w:rFonts w:ascii="Times New Roman" w:hAnsi="Times New Roman"/>
          <w:szCs w:val="22"/>
          <w:u w:val="single"/>
          <w:lang w:eastAsia="sk-SK"/>
        </w:rPr>
      </w:pPr>
      <w:r w:rsidRPr="0072101A">
        <w:rPr>
          <w:rFonts w:ascii="Times New Roman" w:hAnsi="Times New Roman"/>
          <w:iCs/>
          <w:color w:val="000000"/>
          <w:szCs w:val="22"/>
          <w:u w:val="single"/>
          <w:lang w:eastAsia="sk-SK"/>
        </w:rPr>
        <w:t>Čínska ľudová republika</w:t>
      </w:r>
    </w:p>
    <w:p w:rsidR="006C48DD" w:rsidRPr="0072101A" w:rsidP="006C48DD">
      <w:pPr>
        <w:bidi w:val="0"/>
        <w:spacing w:line="360" w:lineRule="auto"/>
        <w:jc w:val="both"/>
        <w:rPr>
          <w:rFonts w:ascii="Times New Roman" w:hAnsi="Times New Roman"/>
          <w:color w:val="000000"/>
          <w:szCs w:val="22"/>
          <w:lang w:eastAsia="sk-SK"/>
        </w:rPr>
      </w:pPr>
      <w:r w:rsidRPr="0072101A">
        <w:rPr>
          <w:rFonts w:ascii="Times New Roman" w:hAnsi="Times New Roman"/>
          <w:color w:val="000000"/>
          <w:szCs w:val="22"/>
          <w:lang w:eastAsia="sk-SK"/>
        </w:rPr>
        <w:t>Pohľadávka vznikla na základe tzv. barterových obchodov, ktoré sa uskutočňovali medzi bývalými československými podnikmi zahraničného obchodu a príslušnými čínskymi podnikmi v rokoch</w:t>
        <w:br/>
        <w:t>1986 - 1990 a 1990 - 1992. V zmysle Protokolu podpísaného medzi Ministerstvom financií SR a Ministerstvom financií ČR o ďalšom postupe pri vysporiadaní pohľadávok a záväzkov Slovenskej republiky a Českej republiky voči zahraničiu zo dňa 1.2.1999 v znení neskorších dodatkov postupujú na základe vzájomnej dohody obe ministerstvá spoločne pri vysporiadaní pohľadávok voči Čínskej ľudovej republike. Doterajšie aktivity vyvinuté Ministerstvom financií SR, Ministerstvom financií ČR a Československou obchodnou bankou, a.s., Praha s cieľom riešiť splácanie pohľadávky, však narazili na komunikačnú bariéru, pretože oslovené inštitúcie štátnej správy Čínskej ľudovej republiky vyhlásili, že Čínska ľudová republika nemá žiadny nesplatený vládny dlh a že existujúci dlh je dlhom, ktorý vznikol na úrovni čínskych spoločností pôsobiacich v jednotlivých provinciách, ktoré  by si ich mali vyriešiť samé. Komunikácia s </w:t>
      </w:r>
      <w:r w:rsidRPr="0072101A">
        <w:rPr>
          <w:rFonts w:ascii="Times New Roman" w:hAnsi="Times New Roman"/>
          <w:szCs w:val="22"/>
          <w:lang w:eastAsia="sk-SK"/>
        </w:rPr>
        <w:t>týmito podnikmi</w:t>
      </w:r>
      <w:r w:rsidRPr="0072101A">
        <w:rPr>
          <w:rFonts w:ascii="Times New Roman" w:hAnsi="Times New Roman"/>
          <w:color w:val="000000"/>
          <w:szCs w:val="22"/>
          <w:lang w:eastAsia="sk-SK"/>
        </w:rPr>
        <w:t xml:space="preserve"> je veľmi zložitá a  prakticky nemožná.</w:t>
      </w:r>
    </w:p>
    <w:p w:rsidR="006C48DD" w:rsidRPr="0072101A" w:rsidP="006C48DD">
      <w:pPr>
        <w:bidi w:val="0"/>
        <w:spacing w:after="120" w:line="336" w:lineRule="auto"/>
        <w:ind w:firstLine="425"/>
        <w:rPr>
          <w:rFonts w:ascii="Times New Roman" w:hAnsi="Times New Roman"/>
          <w:szCs w:val="22"/>
          <w:u w:val="single"/>
          <w:lang w:eastAsia="sk-SK"/>
        </w:rPr>
      </w:pPr>
      <w:r w:rsidRPr="0072101A">
        <w:rPr>
          <w:rFonts w:ascii="Times New Roman" w:hAnsi="Times New Roman"/>
          <w:color w:val="000000"/>
          <w:szCs w:val="22"/>
          <w:lang w:eastAsia="sk-SK"/>
        </w:rPr>
        <w:t xml:space="preserve"> </w:t>
      </w:r>
      <w:r w:rsidRPr="0072101A">
        <w:rPr>
          <w:rFonts w:ascii="Times New Roman" w:hAnsi="Times New Roman"/>
          <w:iCs/>
          <w:szCs w:val="22"/>
          <w:u w:val="single"/>
          <w:lang w:eastAsia="sk-SK"/>
        </w:rPr>
        <w:t>Ruská federácia – Krivoj Rog</w:t>
      </w:r>
    </w:p>
    <w:p w:rsidR="006C48DD" w:rsidRPr="0072101A" w:rsidP="006C48DD">
      <w:pPr>
        <w:bidi w:val="0"/>
        <w:spacing w:line="336" w:lineRule="auto"/>
        <w:ind w:right="51"/>
        <w:jc w:val="both"/>
        <w:rPr>
          <w:rFonts w:ascii="Times New Roman" w:hAnsi="Times New Roman"/>
          <w:szCs w:val="22"/>
          <w:lang w:eastAsia="sk-SK"/>
        </w:rPr>
      </w:pPr>
      <w:r w:rsidRPr="0072101A">
        <w:rPr>
          <w:rFonts w:ascii="Times New Roman" w:hAnsi="Times New Roman"/>
          <w:szCs w:val="22"/>
          <w:lang w:eastAsia="sk-SK"/>
        </w:rPr>
        <w:t>Ide o pohľadávku z vládneho úveru poskytnutého bývalou Českou a Slovenskou Federatívnou Republikou (ČSFR) bývalému Zväzu sovietskych socialistických republík (ZSSR) na výstavbu Krivorožského ťažobného a úpravárenského kombinátu okysličených rúd (ďalej „KŤUK“) na území Ukrajiny – Krivoj Rog. Vlastnícke vzťahy ku KŤUK medzi Ruskou federáciou a Ukrajinou však nie sú doteraz vyriešené, a preto je táto pohľadávka vedená samostatne voči Ruskej federácii. Vecná stránka tejto pohľadávky je riešená Ministerstvom hospodárstva SR a za jej účtovno-evidenčnú stránku zodpovedá Ministerstvo financií SR. Vzhľadom na politickú situáciu medzi Ruskou federáciou a Ukrajinou sa nepredpokladá posun v riešení tejto pohľadávky.</w:t>
      </w:r>
    </w:p>
    <w:p w:rsidR="006C48DD" w:rsidRPr="0072101A" w:rsidP="006C48DD">
      <w:pPr>
        <w:bidi w:val="0"/>
        <w:spacing w:after="120" w:line="336" w:lineRule="auto"/>
        <w:ind w:firstLine="425"/>
        <w:rPr>
          <w:rFonts w:ascii="Times New Roman" w:hAnsi="Times New Roman"/>
          <w:szCs w:val="22"/>
          <w:u w:val="single"/>
          <w:lang w:eastAsia="sk-SK"/>
        </w:rPr>
      </w:pPr>
      <w:r w:rsidRPr="0072101A">
        <w:rPr>
          <w:rFonts w:ascii="Times New Roman" w:hAnsi="Times New Roman"/>
          <w:iCs/>
          <w:szCs w:val="22"/>
          <w:u w:val="single"/>
          <w:lang w:eastAsia="sk-SK"/>
        </w:rPr>
        <w:t>Kórejská ľudovodemokratická republika</w:t>
      </w:r>
    </w:p>
    <w:p w:rsidR="006C48DD" w:rsidRPr="0072101A" w:rsidP="006C48DD">
      <w:pPr>
        <w:bidi w:val="0"/>
        <w:spacing w:after="120" w:line="336" w:lineRule="auto"/>
        <w:jc w:val="both"/>
        <w:rPr>
          <w:rFonts w:ascii="Times New Roman" w:hAnsi="Times New Roman"/>
          <w:szCs w:val="22"/>
          <w:lang w:eastAsia="sk-SK"/>
        </w:rPr>
      </w:pPr>
      <w:r w:rsidRPr="0072101A">
        <w:rPr>
          <w:rFonts w:ascii="Times New Roman" w:hAnsi="Times New Roman"/>
          <w:szCs w:val="22"/>
          <w:lang w:eastAsia="sk-SK"/>
        </w:rPr>
        <w:t>SR eviduje voči KĽDR dve pohľadávky</w:t>
      </w:r>
      <w:r w:rsidR="000549E5">
        <w:rPr>
          <w:rFonts w:ascii="Times New Roman" w:hAnsi="Times New Roman"/>
          <w:szCs w:val="22"/>
          <w:lang w:eastAsia="sk-SK"/>
        </w:rPr>
        <w:t>, a to</w:t>
      </w:r>
      <w:r w:rsidRPr="0072101A">
        <w:rPr>
          <w:rFonts w:ascii="Times New Roman" w:hAnsi="Times New Roman"/>
          <w:szCs w:val="22"/>
          <w:lang w:eastAsia="sk-SK"/>
        </w:rPr>
        <w:t xml:space="preserve"> jednu v konvertibilnej mene (USD) a druhú v nekonvertibilnej mene. Severokórejská strana prostredníctvom veľvyslanca Slovenskej republiky v Soule požiadala slovenskú stranu o úľavy pri riešení svojho dlhu. Otázku možných úľav severokórejského dlhu Ministerstvo financií SR konzultovalo s Ministerstvom zahraničných vecí a európskych záležitostí SR. Počas opätovnej pracovnej cesty veľvyslanca Slovenskej republiky v Soule do KĽDR, ktorá sa konala na prelome októbra a novembra 2013, veľvyslanec tlmočil severokórejskej strane odmietavé stanovisko Slovenskej republiky k odpusteniu dlhu KĽDR.</w:t>
      </w:r>
    </w:p>
    <w:p w:rsidR="006C48DD" w:rsidRPr="0072101A" w:rsidP="006C48DD">
      <w:pPr>
        <w:bidi w:val="0"/>
        <w:spacing w:after="120" w:line="336" w:lineRule="auto"/>
        <w:ind w:firstLine="425"/>
        <w:jc w:val="both"/>
        <w:rPr>
          <w:rFonts w:ascii="Times New Roman" w:hAnsi="Times New Roman"/>
          <w:szCs w:val="22"/>
          <w:u w:val="single"/>
          <w:lang w:eastAsia="sk-SK"/>
        </w:rPr>
      </w:pPr>
      <w:r w:rsidRPr="0072101A">
        <w:rPr>
          <w:rFonts w:ascii="Times New Roman" w:hAnsi="Times New Roman"/>
          <w:szCs w:val="22"/>
          <w:u w:val="single"/>
          <w:lang w:eastAsia="sk-SK"/>
        </w:rPr>
        <w:t>India</w:t>
      </w:r>
    </w:p>
    <w:p w:rsidR="006C48DD" w:rsidRPr="0072101A" w:rsidP="006C48DD">
      <w:pPr>
        <w:bidi w:val="0"/>
        <w:spacing w:after="120" w:line="336" w:lineRule="auto"/>
        <w:jc w:val="both"/>
        <w:rPr>
          <w:rFonts w:ascii="Times New Roman" w:hAnsi="Times New Roman"/>
          <w:szCs w:val="22"/>
          <w:lang w:eastAsia="sk-SK"/>
        </w:rPr>
      </w:pPr>
      <w:r w:rsidRPr="0072101A">
        <w:rPr>
          <w:rFonts w:ascii="Times New Roman" w:hAnsi="Times New Roman"/>
          <w:szCs w:val="22"/>
          <w:lang w:eastAsia="sk-SK"/>
        </w:rPr>
        <w:t>Pohľadávka Slovenskej republiky voči Indickej republike bola v plnej výške vysporiadaná v roku 2004 formou deblokácií. V roku 2006 si Československá obchodná banka, a.s., Praha uplatnila u Reserve Bank of India nárok zo zaisťovacej doložky v trojstrannej dohode o externom rozdelení pohľadávok uzatvorenej medzi Reserve Bank of India, ČSOB, a.s., Praha a NBS. Tento nárok Reserve Bank of India akceptovala ako nárok Slovenskej republiky za obdobie, v ktorom pohľadávka nebola rozdelená medzi SR a ČR. O tejto skutočnosti bolo Ministerstvo financií SR informované listom NBS z júla 2013.</w:t>
      </w:r>
    </w:p>
    <w:p w:rsidR="006C48DD" w:rsidP="006C48DD">
      <w:pPr>
        <w:bidi w:val="0"/>
        <w:spacing w:after="120" w:line="336" w:lineRule="auto"/>
        <w:jc w:val="both"/>
      </w:pPr>
      <w:r w:rsidRPr="0072101A">
        <w:rPr>
          <w:rFonts w:ascii="Times New Roman" w:hAnsi="Times New Roman"/>
          <w:szCs w:val="22"/>
          <w:lang w:eastAsia="sk-SK"/>
        </w:rPr>
        <w:t>V záujme riešenia tejto pohľadávky sa uskutočnilo stretnutie zástupcov Veľvyslanectva Indickej republiky v SR so zástupcami NBS</w:t>
      </w:r>
      <w:r w:rsidR="00F05E1F">
        <w:rPr>
          <w:rFonts w:ascii="Times New Roman" w:hAnsi="Times New Roman"/>
          <w:szCs w:val="22"/>
          <w:lang w:eastAsia="sk-SK"/>
        </w:rPr>
        <w:t xml:space="preserve">. </w:t>
      </w:r>
      <w:r w:rsidRPr="00FF7DE1">
        <w:rPr>
          <w:rFonts w:ascii="Times New Roman" w:hAnsi="Times New Roman"/>
          <w:szCs w:val="22"/>
          <w:lang w:eastAsia="sk-SK"/>
        </w:rPr>
        <w:t>Zároveň NBS tlmočila požiadavku MF SR na vysporiadanie pohľadávky v mene EUR alebo v inej konvertibilnej mene. Indická strana požiadala  o písomné zaslanie podkladov a vyžiadala si aj kópie medzibankového protokolu. NBS požadované dokumenty zaslala Veľvyslanectvu</w:t>
      </w:r>
      <w:r w:rsidRPr="00FF7DE1" w:rsidR="00FF7DE1">
        <w:rPr>
          <w:rFonts w:ascii="Times New Roman" w:hAnsi="Times New Roman"/>
          <w:szCs w:val="22"/>
          <w:lang w:eastAsia="sk-SK"/>
        </w:rPr>
        <w:t xml:space="preserve"> Indickej republiky v júni 2014, pričom do konca roku 2015 nebola zo strany Indickej republiky zaznamená žiadna komunikácia v tejto veci</w:t>
      </w:r>
      <w:r w:rsidR="00FF7DE1">
        <w:rPr>
          <w:rFonts w:ascii="Times New Roman" w:hAnsi="Times New Roman"/>
          <w:szCs w:val="22"/>
          <w:lang w:eastAsia="sk-SK"/>
        </w:rPr>
        <w:t>.</w:t>
      </w:r>
    </w:p>
    <w:p w:rsidR="00AD2668" w:rsidRPr="0072101A">
      <w:pPr>
        <w:bidi w:val="0"/>
        <w:spacing w:after="0" w:line="240" w:lineRule="auto"/>
        <w:rPr>
          <w:rFonts w:ascii="Times New Roman" w:hAnsi="Times New Roman"/>
          <w:b/>
          <w:szCs w:val="22"/>
          <w:lang w:eastAsia="sk-SK"/>
        </w:rPr>
      </w:pPr>
    </w:p>
    <w:p w:rsidR="00675468" w:rsidRPr="0072101A" w:rsidP="00630605">
      <w:pPr>
        <w:pStyle w:val="Pismenka"/>
        <w:tabs>
          <w:tab w:val="clear" w:pos="426"/>
        </w:tabs>
        <w:bidi w:val="0"/>
        <w:spacing w:after="200" w:line="336" w:lineRule="auto"/>
        <w:ind w:left="0" w:firstLine="0"/>
        <w:rPr>
          <w:rFonts w:ascii="Times New Roman" w:hAnsi="Times New Roman"/>
          <w:bCs w:val="0"/>
          <w:sz w:val="24"/>
          <w:szCs w:val="24"/>
        </w:rPr>
      </w:pPr>
      <w:r w:rsidRPr="0072101A" w:rsidR="009270BF">
        <w:rPr>
          <w:rFonts w:ascii="Times New Roman" w:hAnsi="Times New Roman"/>
          <w:bCs w:val="0"/>
          <w:sz w:val="24"/>
          <w:szCs w:val="24"/>
        </w:rPr>
        <w:t>B.IV.</w:t>
      </w:r>
      <w:r w:rsidRPr="0072101A">
        <w:rPr>
          <w:rFonts w:ascii="Times New Roman" w:hAnsi="Times New Roman"/>
          <w:bCs w:val="0"/>
          <w:sz w:val="24"/>
          <w:szCs w:val="24"/>
        </w:rPr>
        <w:t xml:space="preserve"> </w:t>
      </w:r>
      <w:r w:rsidRPr="0072101A" w:rsidR="009270BF">
        <w:rPr>
          <w:rFonts w:ascii="Times New Roman" w:hAnsi="Times New Roman"/>
          <w:bCs w:val="0"/>
          <w:sz w:val="24"/>
          <w:szCs w:val="24"/>
        </w:rPr>
        <w:t>Finan</w:t>
      </w:r>
      <w:r w:rsidRPr="0072101A">
        <w:rPr>
          <w:rFonts w:ascii="Times New Roman" w:hAnsi="Times New Roman"/>
          <w:bCs w:val="0"/>
          <w:sz w:val="24"/>
          <w:szCs w:val="24"/>
        </w:rPr>
        <w:t>č</w:t>
      </w:r>
      <w:r w:rsidRPr="0072101A" w:rsidR="009270BF">
        <w:rPr>
          <w:rFonts w:ascii="Times New Roman" w:hAnsi="Times New Roman"/>
          <w:bCs w:val="0"/>
          <w:sz w:val="24"/>
          <w:szCs w:val="24"/>
        </w:rPr>
        <w:t>né účty</w:t>
      </w:r>
      <w:r w:rsidRPr="0072101A" w:rsidR="00E458AA">
        <w:rPr>
          <w:rFonts w:ascii="Times New Roman" w:hAnsi="Times New Roman"/>
          <w:bCs w:val="0"/>
          <w:sz w:val="24"/>
          <w:szCs w:val="24"/>
        </w:rPr>
        <w:t xml:space="preserve"> a krátkodobý finančný majetok</w:t>
      </w:r>
    </w:p>
    <w:p w:rsidR="009270BF" w:rsidRPr="0072101A" w:rsidP="003601E3">
      <w:pPr>
        <w:pStyle w:val="Pismenka"/>
        <w:tabs>
          <w:tab w:val="clear" w:pos="426"/>
        </w:tabs>
        <w:bidi w:val="0"/>
        <w:spacing w:after="120"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rPr>
        <w:t>Ako finančné účty</w:t>
      </w:r>
      <w:r w:rsidRPr="0072101A" w:rsidR="00675468">
        <w:rPr>
          <w:rFonts w:ascii="Times New Roman" w:hAnsi="Times New Roman"/>
          <w:b w:val="0"/>
          <w:bCs w:val="0"/>
          <w:sz w:val="22"/>
          <w:szCs w:val="22"/>
        </w:rPr>
        <w:t>,</w:t>
      </w:r>
      <w:r w:rsidRPr="0072101A">
        <w:rPr>
          <w:rFonts w:ascii="Times New Roman" w:hAnsi="Times New Roman"/>
          <w:b w:val="0"/>
          <w:bCs w:val="0"/>
          <w:sz w:val="22"/>
          <w:szCs w:val="22"/>
        </w:rPr>
        <w:t xml:space="preserve"> resp. krátkodobý finančný majetok sa vykazujú </w:t>
      </w:r>
      <w:r w:rsidRPr="0072101A" w:rsidR="00010B53">
        <w:rPr>
          <w:rFonts w:ascii="Times New Roman" w:hAnsi="Times New Roman"/>
          <w:b w:val="0"/>
          <w:bCs w:val="0"/>
          <w:sz w:val="22"/>
          <w:szCs w:val="22"/>
        </w:rPr>
        <w:t>hlavne</w:t>
      </w:r>
      <w:r w:rsidR="00B93256">
        <w:rPr>
          <w:rFonts w:ascii="Times New Roman" w:hAnsi="Times New Roman"/>
          <w:b w:val="0"/>
          <w:bCs w:val="0"/>
          <w:sz w:val="22"/>
          <w:szCs w:val="22"/>
        </w:rPr>
        <w:t xml:space="preserve"> zostatok prostriedkov</w:t>
      </w:r>
      <w:r w:rsidRPr="0072101A" w:rsidR="00010B53">
        <w:rPr>
          <w:rFonts w:ascii="Times New Roman" w:hAnsi="Times New Roman"/>
          <w:b w:val="0"/>
          <w:bCs w:val="0"/>
          <w:sz w:val="22"/>
          <w:szCs w:val="22"/>
        </w:rPr>
        <w:t xml:space="preserve"> </w:t>
      </w:r>
      <w:r w:rsidR="00B93256">
        <w:rPr>
          <w:rFonts w:ascii="Times New Roman" w:hAnsi="Times New Roman"/>
          <w:b w:val="0"/>
          <w:bCs w:val="0"/>
          <w:sz w:val="22"/>
          <w:szCs w:val="22"/>
        </w:rPr>
        <w:t>na bankových účtoch, účto</w:t>
      </w:r>
      <w:r w:rsidR="00B5027E">
        <w:rPr>
          <w:rFonts w:ascii="Times New Roman" w:hAnsi="Times New Roman"/>
          <w:b w:val="0"/>
          <w:bCs w:val="0"/>
          <w:sz w:val="22"/>
          <w:szCs w:val="22"/>
        </w:rPr>
        <w:t>ch</w:t>
      </w:r>
      <w:r w:rsidRPr="0072101A">
        <w:rPr>
          <w:rFonts w:ascii="Times New Roman" w:hAnsi="Times New Roman"/>
          <w:b w:val="0"/>
          <w:bCs w:val="0"/>
          <w:sz w:val="22"/>
          <w:szCs w:val="22"/>
        </w:rPr>
        <w:t xml:space="preserve"> </w:t>
      </w:r>
      <w:r w:rsidRPr="0072101A" w:rsidR="00675468">
        <w:rPr>
          <w:rFonts w:ascii="Times New Roman" w:hAnsi="Times New Roman"/>
          <w:b w:val="0"/>
          <w:bCs w:val="0"/>
          <w:sz w:val="22"/>
          <w:szCs w:val="22"/>
        </w:rPr>
        <w:t>Š</w:t>
      </w:r>
      <w:r w:rsidRPr="0072101A">
        <w:rPr>
          <w:rFonts w:ascii="Times New Roman" w:hAnsi="Times New Roman"/>
          <w:b w:val="0"/>
          <w:bCs w:val="0"/>
          <w:sz w:val="22"/>
          <w:szCs w:val="22"/>
        </w:rPr>
        <w:t>tátnej pokladnic</w:t>
      </w:r>
      <w:r w:rsidR="00B93256">
        <w:rPr>
          <w:rFonts w:ascii="Times New Roman" w:hAnsi="Times New Roman"/>
          <w:b w:val="0"/>
          <w:bCs w:val="0"/>
          <w:sz w:val="22"/>
          <w:szCs w:val="22"/>
        </w:rPr>
        <w:t>e</w:t>
      </w:r>
      <w:r w:rsidRPr="0072101A">
        <w:rPr>
          <w:rFonts w:ascii="Times New Roman" w:hAnsi="Times New Roman"/>
          <w:b w:val="0"/>
          <w:bCs w:val="0"/>
          <w:sz w:val="22"/>
          <w:szCs w:val="22"/>
        </w:rPr>
        <w:t>, ceniny (napr. kolky, poštové zn</w:t>
      </w:r>
      <w:r w:rsidR="00B93256">
        <w:rPr>
          <w:rFonts w:ascii="Times New Roman" w:hAnsi="Times New Roman"/>
          <w:b w:val="0"/>
          <w:bCs w:val="0"/>
          <w:sz w:val="22"/>
          <w:szCs w:val="22"/>
        </w:rPr>
        <w:t>ámky, stravné lístky a podobne) a</w:t>
      </w:r>
      <w:r w:rsidRPr="0072101A">
        <w:rPr>
          <w:rFonts w:ascii="Times New Roman" w:hAnsi="Times New Roman"/>
          <w:b w:val="0"/>
          <w:bCs w:val="0"/>
          <w:sz w:val="22"/>
          <w:szCs w:val="22"/>
        </w:rPr>
        <w:t xml:space="preserve"> krátkodobé majetkové a dlhové cenné papiere.</w:t>
      </w:r>
    </w:p>
    <w:p w:rsidR="008C11BF" w:rsidRPr="0072101A" w:rsidP="003601E3">
      <w:pPr>
        <w:pStyle w:val="Pismenka"/>
        <w:tabs>
          <w:tab w:val="clear" w:pos="426"/>
        </w:tabs>
        <w:bidi w:val="0"/>
        <w:spacing w:after="120" w:line="336" w:lineRule="auto"/>
        <w:ind w:left="0" w:firstLine="0"/>
        <w:rPr>
          <w:rFonts w:ascii="Times New Roman" w:hAnsi="Times New Roman"/>
          <w:b w:val="0"/>
          <w:bCs w:val="0"/>
          <w:sz w:val="22"/>
          <w:szCs w:val="22"/>
        </w:rPr>
      </w:pPr>
      <w:r w:rsidRPr="0072101A" w:rsidR="009270BF">
        <w:rPr>
          <w:rFonts w:ascii="Times New Roman" w:hAnsi="Times New Roman"/>
          <w:b w:val="0"/>
          <w:bCs w:val="0"/>
          <w:sz w:val="22"/>
          <w:szCs w:val="22"/>
        </w:rPr>
        <w:t xml:space="preserve">Hodnota </w:t>
      </w:r>
      <w:r w:rsidRPr="0072101A" w:rsidR="008133AC">
        <w:rPr>
          <w:rFonts w:ascii="Times New Roman" w:hAnsi="Times New Roman"/>
          <w:b w:val="0"/>
          <w:bCs w:val="0"/>
          <w:sz w:val="22"/>
          <w:szCs w:val="22"/>
        </w:rPr>
        <w:t xml:space="preserve">finančných účtov a </w:t>
      </w:r>
      <w:r w:rsidRPr="0072101A" w:rsidR="009270BF">
        <w:rPr>
          <w:rFonts w:ascii="Times New Roman" w:hAnsi="Times New Roman"/>
          <w:b w:val="0"/>
          <w:bCs w:val="0"/>
          <w:sz w:val="22"/>
          <w:szCs w:val="22"/>
        </w:rPr>
        <w:t>krátkodobého finančného majetku k 31.12.201</w:t>
      </w:r>
      <w:r w:rsidR="006A2DB8">
        <w:rPr>
          <w:rFonts w:ascii="Times New Roman" w:hAnsi="Times New Roman"/>
          <w:b w:val="0"/>
          <w:bCs w:val="0"/>
          <w:sz w:val="22"/>
          <w:szCs w:val="22"/>
        </w:rPr>
        <w:t>5</w:t>
      </w:r>
      <w:r w:rsidRPr="0072101A" w:rsidR="009270BF">
        <w:rPr>
          <w:rFonts w:ascii="Times New Roman" w:hAnsi="Times New Roman"/>
          <w:b w:val="0"/>
          <w:bCs w:val="0"/>
          <w:sz w:val="22"/>
          <w:szCs w:val="22"/>
        </w:rPr>
        <w:t xml:space="preserve"> bola </w:t>
      </w:r>
      <w:r w:rsidR="006A2DB8">
        <w:rPr>
          <w:rFonts w:ascii="Times New Roman" w:hAnsi="Times New Roman"/>
          <w:b w:val="0"/>
          <w:bCs w:val="0"/>
          <w:sz w:val="22"/>
          <w:szCs w:val="22"/>
        </w:rPr>
        <w:t>2 576 34</w:t>
      </w:r>
      <w:r w:rsidR="00B5027E">
        <w:rPr>
          <w:rFonts w:ascii="Times New Roman" w:hAnsi="Times New Roman"/>
          <w:b w:val="0"/>
          <w:bCs w:val="0"/>
          <w:sz w:val="22"/>
          <w:szCs w:val="22"/>
        </w:rPr>
        <w:t>7</w:t>
      </w:r>
      <w:r w:rsidR="006A2DB8">
        <w:rPr>
          <w:rFonts w:ascii="Times New Roman" w:hAnsi="Times New Roman"/>
          <w:b w:val="0"/>
          <w:bCs w:val="0"/>
          <w:sz w:val="22"/>
          <w:szCs w:val="22"/>
        </w:rPr>
        <w:t xml:space="preserve"> tis. eur</w:t>
      </w:r>
      <w:r w:rsidRPr="0072101A" w:rsidR="009270BF">
        <w:rPr>
          <w:rFonts w:ascii="Times New Roman" w:hAnsi="Times New Roman"/>
          <w:b w:val="0"/>
          <w:bCs w:val="0"/>
          <w:sz w:val="22"/>
          <w:szCs w:val="22"/>
        </w:rPr>
        <w:t xml:space="preserve">. Z toho najvyššiu sumu tvorili </w:t>
      </w:r>
      <w:r w:rsidRPr="0072101A" w:rsidR="009270BF">
        <w:rPr>
          <w:rFonts w:ascii="Times New Roman" w:hAnsi="Times New Roman"/>
          <w:b w:val="0"/>
          <w:bCs w:val="0"/>
          <w:i/>
          <w:sz w:val="22"/>
          <w:szCs w:val="22"/>
          <w:u w:val="single"/>
        </w:rPr>
        <w:t>bankové účty</w:t>
      </w:r>
      <w:r w:rsidRPr="0072101A" w:rsidR="009270BF">
        <w:rPr>
          <w:rFonts w:ascii="Times New Roman" w:hAnsi="Times New Roman"/>
          <w:b w:val="0"/>
          <w:bCs w:val="0"/>
          <w:sz w:val="22"/>
          <w:szCs w:val="22"/>
        </w:rPr>
        <w:t xml:space="preserve"> v hodnote </w:t>
      </w:r>
      <w:r w:rsidR="006A2DB8">
        <w:rPr>
          <w:rFonts w:ascii="Times New Roman" w:hAnsi="Times New Roman"/>
          <w:b w:val="0"/>
          <w:bCs w:val="0"/>
          <w:sz w:val="22"/>
          <w:szCs w:val="22"/>
        </w:rPr>
        <w:t>2 18</w:t>
      </w:r>
      <w:r w:rsidR="00BC3EEB">
        <w:rPr>
          <w:rFonts w:ascii="Times New Roman" w:hAnsi="Times New Roman"/>
          <w:b w:val="0"/>
          <w:bCs w:val="0"/>
          <w:sz w:val="22"/>
          <w:szCs w:val="22"/>
        </w:rPr>
        <w:t>4</w:t>
      </w:r>
      <w:r w:rsidR="006A2DB8">
        <w:rPr>
          <w:rFonts w:ascii="Times New Roman" w:hAnsi="Times New Roman"/>
          <w:b w:val="0"/>
          <w:bCs w:val="0"/>
          <w:sz w:val="22"/>
          <w:szCs w:val="22"/>
        </w:rPr>
        <w:t> </w:t>
      </w:r>
      <w:r w:rsidR="00BC3EEB">
        <w:rPr>
          <w:rFonts w:ascii="Times New Roman" w:hAnsi="Times New Roman"/>
          <w:b w:val="0"/>
          <w:bCs w:val="0"/>
          <w:sz w:val="22"/>
          <w:szCs w:val="22"/>
        </w:rPr>
        <w:t>629</w:t>
      </w:r>
      <w:r w:rsidR="006A2DB8">
        <w:rPr>
          <w:rFonts w:ascii="Times New Roman" w:hAnsi="Times New Roman"/>
          <w:b w:val="0"/>
          <w:bCs w:val="0"/>
          <w:sz w:val="22"/>
          <w:szCs w:val="22"/>
        </w:rPr>
        <w:t xml:space="preserve"> ti</w:t>
      </w:r>
      <w:r w:rsidRPr="0072101A" w:rsidR="00973D6E">
        <w:rPr>
          <w:rFonts w:ascii="Times New Roman" w:hAnsi="Times New Roman"/>
          <w:b w:val="0"/>
          <w:bCs w:val="0"/>
          <w:sz w:val="22"/>
          <w:szCs w:val="22"/>
        </w:rPr>
        <w:t>s.</w:t>
      </w:r>
      <w:r w:rsidRPr="0072101A" w:rsidR="008133AC">
        <w:rPr>
          <w:rFonts w:ascii="Times New Roman" w:hAnsi="Times New Roman"/>
          <w:b w:val="0"/>
          <w:bCs w:val="0"/>
          <w:sz w:val="22"/>
          <w:szCs w:val="22"/>
        </w:rPr>
        <w:t xml:space="preserve"> eur</w:t>
      </w:r>
      <w:r w:rsidRPr="0072101A" w:rsidR="009270BF">
        <w:rPr>
          <w:rFonts w:ascii="Times New Roman" w:hAnsi="Times New Roman"/>
          <w:b w:val="0"/>
          <w:bCs w:val="0"/>
          <w:sz w:val="22"/>
          <w:szCs w:val="22"/>
        </w:rPr>
        <w:t xml:space="preserve"> </w:t>
      </w:r>
      <w:r w:rsidRPr="0072101A" w:rsidR="009463A1">
        <w:rPr>
          <w:rFonts w:ascii="Times New Roman" w:hAnsi="Times New Roman"/>
          <w:b w:val="0"/>
          <w:bCs w:val="0"/>
          <w:sz w:val="22"/>
          <w:szCs w:val="22"/>
        </w:rPr>
        <w:t>a</w:t>
      </w:r>
      <w:r w:rsidR="006A2DB8">
        <w:rPr>
          <w:rFonts w:ascii="Times New Roman" w:hAnsi="Times New Roman"/>
          <w:b w:val="0"/>
          <w:bCs w:val="0"/>
          <w:sz w:val="22"/>
          <w:szCs w:val="22"/>
        </w:rPr>
        <w:t> krátkodobé cenné papiere</w:t>
      </w:r>
      <w:r w:rsidRPr="0072101A" w:rsidR="009463A1">
        <w:rPr>
          <w:rFonts w:ascii="Times New Roman" w:hAnsi="Times New Roman"/>
          <w:b w:val="0"/>
          <w:bCs w:val="0"/>
          <w:sz w:val="22"/>
          <w:szCs w:val="22"/>
        </w:rPr>
        <w:t xml:space="preserve"> </w:t>
      </w:r>
      <w:r w:rsidRPr="0072101A" w:rsidR="008133AC">
        <w:rPr>
          <w:rFonts w:ascii="Times New Roman" w:hAnsi="Times New Roman"/>
          <w:b w:val="0"/>
          <w:bCs w:val="0"/>
          <w:sz w:val="22"/>
          <w:szCs w:val="22"/>
        </w:rPr>
        <w:t xml:space="preserve">v sume </w:t>
      </w:r>
      <w:r w:rsidR="006A2DB8">
        <w:rPr>
          <w:rFonts w:ascii="Times New Roman" w:hAnsi="Times New Roman"/>
          <w:b w:val="0"/>
          <w:bCs w:val="0"/>
          <w:sz w:val="22"/>
          <w:szCs w:val="22"/>
        </w:rPr>
        <w:t>236 594</w:t>
      </w:r>
      <w:r w:rsidRPr="0072101A" w:rsidR="009463A1">
        <w:rPr>
          <w:rFonts w:ascii="Times New Roman" w:hAnsi="Times New Roman"/>
          <w:b w:val="0"/>
          <w:bCs w:val="0"/>
          <w:sz w:val="22"/>
          <w:szCs w:val="22"/>
        </w:rPr>
        <w:t xml:space="preserve"> tis. eur</w:t>
      </w:r>
      <w:r w:rsidRPr="0072101A" w:rsidR="00A92434">
        <w:rPr>
          <w:rFonts w:ascii="Times New Roman" w:hAnsi="Times New Roman"/>
          <w:b w:val="0"/>
          <w:bCs w:val="0"/>
          <w:sz w:val="22"/>
          <w:szCs w:val="22"/>
        </w:rPr>
        <w:t>.</w:t>
      </w:r>
      <w:r w:rsidR="00BC741D">
        <w:rPr>
          <w:rFonts w:ascii="Times New Roman" w:hAnsi="Times New Roman"/>
          <w:b w:val="0"/>
          <w:bCs w:val="0"/>
          <w:sz w:val="22"/>
          <w:szCs w:val="22"/>
        </w:rPr>
        <w:t xml:space="preserve"> Medziročný pokles bol spôsobený najmä</w:t>
      </w:r>
      <w:r w:rsidR="00295DC0">
        <w:rPr>
          <w:rFonts w:ascii="Times New Roman" w:hAnsi="Times New Roman"/>
          <w:b w:val="0"/>
          <w:bCs w:val="0"/>
          <w:sz w:val="22"/>
          <w:szCs w:val="22"/>
        </w:rPr>
        <w:t xml:space="preserve"> poklesom zostatku účtov Štátnej pokladnice, ktorý bol zároveň kompenzovaný vyšším zostatkom účtov </w:t>
      </w:r>
      <w:r w:rsidR="00DB6E56">
        <w:rPr>
          <w:rFonts w:ascii="Times New Roman" w:hAnsi="Times New Roman"/>
          <w:b w:val="0"/>
          <w:bCs w:val="0"/>
          <w:sz w:val="22"/>
          <w:szCs w:val="22"/>
        </w:rPr>
        <w:t>subjektov územnej samosprávy.</w:t>
      </w:r>
    </w:p>
    <w:tbl>
      <w:tblPr>
        <w:tblStyle w:val="TableNormal"/>
        <w:tblW w:w="4605" w:type="pct"/>
        <w:jc w:val="center"/>
        <w:tblInd w:w="70" w:type="dxa"/>
        <w:tblLayout w:type="fixed"/>
        <w:tblCellMar>
          <w:left w:w="70" w:type="dxa"/>
          <w:right w:w="70" w:type="dxa"/>
        </w:tblCellMar>
        <w:tblLook w:val="00A0"/>
      </w:tblPr>
      <w:tblGrid>
        <w:gridCol w:w="5670"/>
        <w:gridCol w:w="1418"/>
        <w:gridCol w:w="1395"/>
      </w:tblGrid>
      <w:tr>
        <w:tblPrEx>
          <w:tblW w:w="4605" w:type="pct"/>
          <w:jc w:val="center"/>
          <w:tblInd w:w="70" w:type="dxa"/>
          <w:tblLayout w:type="fixed"/>
          <w:tblCellMar>
            <w:left w:w="70" w:type="dxa"/>
            <w:right w:w="70" w:type="dxa"/>
          </w:tblCellMar>
          <w:tblLook w:val="00A0"/>
        </w:tblPrEx>
        <w:trPr>
          <w:trHeight w:val="330"/>
          <w:jc w:val="center"/>
        </w:trPr>
        <w:tc>
          <w:tcPr>
            <w:tcW w:w="4178" w:type="pct"/>
            <w:gridSpan w:val="2"/>
            <w:tcBorders>
              <w:top w:val="single" w:sz="4" w:space="0" w:color="auto"/>
              <w:left w:val="nil"/>
              <w:bottom w:val="single" w:sz="4" w:space="0" w:color="auto"/>
              <w:right w:val="nil"/>
            </w:tcBorders>
            <w:shd w:val="clear" w:color="000000" w:fill="000000"/>
            <w:noWrap/>
            <w:textDirection w:val="lrTb"/>
            <w:vAlign w:val="center"/>
          </w:tcPr>
          <w:p w:rsidR="005969A8" w:rsidRPr="0072101A" w:rsidP="008133AC">
            <w:pPr>
              <w:bidi w:val="0"/>
              <w:spacing w:after="0" w:line="240" w:lineRule="auto"/>
              <w:rPr>
                <w:b/>
                <w:bCs/>
                <w:szCs w:val="22"/>
              </w:rPr>
            </w:pPr>
            <w:r w:rsidRPr="0072101A" w:rsidR="008C11BF">
              <w:rPr>
                <w:b/>
                <w:bCs/>
                <w:szCs w:val="22"/>
              </w:rPr>
              <w:br w:type="page"/>
            </w:r>
            <w:r w:rsidRPr="0072101A" w:rsidR="0097612B">
              <w:rPr>
                <w:b/>
                <w:bCs/>
                <w:szCs w:val="22"/>
              </w:rPr>
              <w:br w:type="page"/>
            </w:r>
            <w:r w:rsidRPr="0072101A" w:rsidR="00763C8D">
              <w:rPr>
                <w:b/>
                <w:bCs/>
                <w:szCs w:val="22"/>
              </w:rPr>
              <w:t xml:space="preserve"> </w:t>
            </w:r>
            <w:r w:rsidRPr="0072101A" w:rsidR="008133AC">
              <w:rPr>
                <w:rFonts w:ascii="Times New Roman" w:hAnsi="Times New Roman"/>
                <w:b/>
                <w:bCs/>
                <w:color w:val="FFFFFF"/>
                <w:sz w:val="20"/>
                <w:szCs w:val="20"/>
                <w:lang w:eastAsia="sk-SK"/>
              </w:rPr>
              <w:t>Finančné účty a k</w:t>
            </w:r>
            <w:r w:rsidRPr="0072101A">
              <w:rPr>
                <w:rFonts w:ascii="Times New Roman" w:hAnsi="Times New Roman"/>
                <w:b/>
                <w:bCs/>
                <w:color w:val="FFFFFF"/>
                <w:sz w:val="20"/>
                <w:szCs w:val="20"/>
                <w:lang w:eastAsia="sk-SK"/>
              </w:rPr>
              <w:t>rátkodobý finančný majetok súhrnného celku (v tis. eur)</w:t>
            </w:r>
          </w:p>
        </w:tc>
        <w:tc>
          <w:tcPr>
            <w:tcW w:w="822" w:type="pct"/>
            <w:tcBorders>
              <w:top w:val="single" w:sz="4" w:space="0" w:color="auto"/>
              <w:left w:val="nil"/>
              <w:bottom w:val="single" w:sz="4" w:space="0" w:color="auto"/>
              <w:right w:val="nil"/>
            </w:tcBorders>
            <w:shd w:val="clear" w:color="000000" w:fill="000000"/>
            <w:textDirection w:val="lrTb"/>
            <w:vAlign w:val="center"/>
          </w:tcPr>
          <w:p w:rsidR="005969A8" w:rsidRPr="0072101A" w:rsidP="009A2941">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r>
      <w:tr>
        <w:tblPrEx>
          <w:tblW w:w="4605" w:type="pct"/>
          <w:jc w:val="center"/>
          <w:tblInd w:w="70" w:type="dxa"/>
          <w:tblLayout w:type="fixed"/>
          <w:tblCellMar>
            <w:left w:w="70" w:type="dxa"/>
            <w:right w:w="70" w:type="dxa"/>
          </w:tblCellMar>
          <w:tblLook w:val="00A0"/>
        </w:tblPrEx>
        <w:trPr>
          <w:trHeight w:val="330"/>
          <w:jc w:val="center"/>
        </w:trPr>
        <w:tc>
          <w:tcPr>
            <w:tcW w:w="3342" w:type="pct"/>
            <w:tcBorders>
              <w:top w:val="nil"/>
              <w:left w:val="nil"/>
              <w:bottom w:val="single" w:sz="4" w:space="0" w:color="auto"/>
              <w:right w:val="nil"/>
            </w:tcBorders>
            <w:shd w:val="clear" w:color="000000" w:fill="BFBFBF"/>
            <w:noWrap/>
            <w:textDirection w:val="lrTb"/>
            <w:vAlign w:val="bottom"/>
          </w:tcPr>
          <w:p w:rsidR="005969A8" w:rsidRPr="0072101A" w:rsidP="009A2941">
            <w:pPr>
              <w:bidi w:val="0"/>
              <w:spacing w:after="0" w:line="240" w:lineRule="auto"/>
              <w:rPr>
                <w:rFonts w:ascii="Times New Roman" w:hAnsi="Times New Roman"/>
                <w:b/>
                <w:bCs/>
                <w:sz w:val="20"/>
                <w:szCs w:val="20"/>
                <w:lang w:eastAsia="sk-SK"/>
              </w:rPr>
            </w:pPr>
            <w:r w:rsidRPr="0072101A" w:rsidR="006F7317">
              <w:rPr>
                <w:rFonts w:ascii="Times New Roman" w:hAnsi="Times New Roman"/>
                <w:b/>
                <w:bCs/>
                <w:sz w:val="20"/>
                <w:szCs w:val="20"/>
                <w:lang w:eastAsia="sk-SK"/>
              </w:rPr>
              <w:t>Finančné účty</w:t>
            </w:r>
          </w:p>
        </w:tc>
        <w:tc>
          <w:tcPr>
            <w:tcW w:w="836" w:type="pct"/>
            <w:tcBorders>
              <w:top w:val="nil"/>
              <w:left w:val="nil"/>
              <w:bottom w:val="single" w:sz="4" w:space="0" w:color="auto"/>
              <w:right w:val="nil"/>
            </w:tcBorders>
            <w:shd w:val="clear" w:color="000000" w:fill="BFBFBF"/>
            <w:noWrap/>
            <w:textDirection w:val="lrTb"/>
            <w:vAlign w:val="bottom"/>
          </w:tcPr>
          <w:p w:rsidR="005969A8" w:rsidRPr="0072101A" w:rsidP="00004199">
            <w:pPr>
              <w:bidi w:val="0"/>
              <w:spacing w:after="0" w:line="240" w:lineRule="auto"/>
              <w:jc w:val="center"/>
              <w:rPr>
                <w:rFonts w:ascii="Times New Roman" w:hAnsi="Times New Roman"/>
                <w:b/>
                <w:bCs/>
                <w:sz w:val="20"/>
                <w:szCs w:val="20"/>
                <w:lang w:eastAsia="sk-SK"/>
              </w:rPr>
            </w:pPr>
            <w:r w:rsidRPr="0072101A" w:rsidR="005B42B1">
              <w:rPr>
                <w:rFonts w:ascii="Times New Roman" w:hAnsi="Times New Roman"/>
                <w:b/>
                <w:bCs/>
                <w:sz w:val="20"/>
                <w:szCs w:val="20"/>
                <w:lang w:eastAsia="sk-SK"/>
              </w:rPr>
              <w:t xml:space="preserve">         201</w:t>
            </w:r>
            <w:r w:rsidR="00BC741D">
              <w:rPr>
                <w:rFonts w:ascii="Times New Roman" w:hAnsi="Times New Roman"/>
                <w:b/>
                <w:bCs/>
                <w:sz w:val="20"/>
                <w:szCs w:val="20"/>
                <w:lang w:eastAsia="sk-SK"/>
              </w:rPr>
              <w:t>5</w:t>
            </w:r>
          </w:p>
        </w:tc>
        <w:tc>
          <w:tcPr>
            <w:tcW w:w="822" w:type="pct"/>
            <w:tcBorders>
              <w:top w:val="nil"/>
              <w:left w:val="nil"/>
              <w:bottom w:val="single" w:sz="4" w:space="0" w:color="auto"/>
              <w:right w:val="nil"/>
            </w:tcBorders>
            <w:shd w:val="clear" w:color="000000" w:fill="BFBFBF"/>
            <w:noWrap/>
            <w:textDirection w:val="lrTb"/>
            <w:vAlign w:val="bottom"/>
          </w:tcPr>
          <w:p w:rsidR="005969A8" w:rsidRPr="0072101A" w:rsidP="00004199">
            <w:pPr>
              <w:bidi w:val="0"/>
              <w:spacing w:after="0" w:line="240" w:lineRule="auto"/>
              <w:jc w:val="center"/>
              <w:rPr>
                <w:rFonts w:ascii="Times New Roman" w:hAnsi="Times New Roman"/>
                <w:b/>
                <w:bCs/>
                <w:sz w:val="20"/>
                <w:szCs w:val="20"/>
                <w:lang w:eastAsia="sk-SK"/>
              </w:rPr>
            </w:pPr>
            <w:r w:rsidRPr="0072101A" w:rsidR="00C33C20">
              <w:rPr>
                <w:rFonts w:ascii="Times New Roman" w:hAnsi="Times New Roman"/>
                <w:b/>
                <w:bCs/>
                <w:sz w:val="20"/>
                <w:szCs w:val="20"/>
                <w:lang w:eastAsia="sk-SK"/>
              </w:rPr>
              <w:t xml:space="preserve">      </w:t>
            </w:r>
            <w:r w:rsidRPr="0072101A">
              <w:rPr>
                <w:rFonts w:ascii="Times New Roman" w:hAnsi="Times New Roman"/>
                <w:b/>
                <w:bCs/>
                <w:sz w:val="20"/>
                <w:szCs w:val="20"/>
                <w:lang w:eastAsia="sk-SK"/>
              </w:rPr>
              <w:t xml:space="preserve"> 201</w:t>
            </w:r>
            <w:r w:rsidR="00BC741D">
              <w:rPr>
                <w:rFonts w:ascii="Times New Roman" w:hAnsi="Times New Roman"/>
                <w:b/>
                <w:bCs/>
                <w:sz w:val="20"/>
                <w:szCs w:val="20"/>
                <w:lang w:eastAsia="sk-SK"/>
              </w:rPr>
              <w:t>4</w:t>
            </w:r>
          </w:p>
        </w:tc>
      </w:tr>
      <w:tr>
        <w:tblPrEx>
          <w:tblW w:w="4605" w:type="pct"/>
          <w:jc w:val="center"/>
          <w:tblInd w:w="70" w:type="dxa"/>
          <w:tblLayout w:type="fixed"/>
          <w:tblCellMar>
            <w:left w:w="70" w:type="dxa"/>
            <w:right w:w="70" w:type="dxa"/>
          </w:tblCellMar>
          <w:tblLook w:val="00A0"/>
        </w:tblPrEx>
        <w:trPr>
          <w:trHeight w:val="324"/>
          <w:jc w:val="center"/>
        </w:trPr>
        <w:tc>
          <w:tcPr>
            <w:tcW w:w="3342" w:type="pct"/>
            <w:tcBorders>
              <w:top w:val="nil"/>
              <w:left w:val="nil"/>
              <w:bottom w:val="nil"/>
              <w:right w:val="nil"/>
            </w:tcBorders>
            <w:textDirection w:val="lrTb"/>
            <w:vAlign w:val="center"/>
          </w:tcPr>
          <w:p w:rsidR="00BC741D" w:rsidRPr="0072101A" w:rsidP="00AE400C">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Bankové účty</w:t>
            </w:r>
          </w:p>
        </w:tc>
        <w:tc>
          <w:tcPr>
            <w:tcW w:w="836" w:type="pct"/>
            <w:tcBorders>
              <w:top w:val="nil"/>
              <w:left w:val="nil"/>
              <w:bottom w:val="nil"/>
              <w:right w:val="nil"/>
            </w:tcBorders>
            <w:textDirection w:val="lrTb"/>
            <w:vAlign w:val="center"/>
          </w:tcPr>
          <w:p w:rsidR="00BC741D" w:rsidRPr="0072101A" w:rsidP="00BC3EEB">
            <w:pPr>
              <w:bidi w:val="0"/>
              <w:spacing w:after="0" w:line="240" w:lineRule="auto"/>
              <w:jc w:val="right"/>
              <w:rPr>
                <w:rFonts w:ascii="Times New Roman" w:hAnsi="Times New Roman"/>
                <w:color w:val="000000"/>
                <w:sz w:val="20"/>
                <w:szCs w:val="20"/>
                <w:lang w:eastAsia="sk-SK"/>
              </w:rPr>
            </w:pPr>
            <w:r w:rsidR="005D0CC6">
              <w:rPr>
                <w:rFonts w:ascii="Times New Roman" w:hAnsi="Times New Roman"/>
                <w:color w:val="000000"/>
                <w:sz w:val="20"/>
                <w:szCs w:val="20"/>
                <w:lang w:eastAsia="sk-SK"/>
              </w:rPr>
              <w:t>2 18</w:t>
            </w:r>
            <w:r w:rsidR="00BC3EEB">
              <w:rPr>
                <w:rFonts w:ascii="Times New Roman" w:hAnsi="Times New Roman"/>
                <w:color w:val="000000"/>
                <w:sz w:val="20"/>
                <w:szCs w:val="20"/>
                <w:lang w:eastAsia="sk-SK"/>
              </w:rPr>
              <w:t>4</w:t>
            </w:r>
            <w:r w:rsidR="005D0CC6">
              <w:rPr>
                <w:rFonts w:ascii="Times New Roman" w:hAnsi="Times New Roman"/>
                <w:color w:val="000000"/>
                <w:sz w:val="20"/>
                <w:szCs w:val="20"/>
                <w:lang w:eastAsia="sk-SK"/>
              </w:rPr>
              <w:t xml:space="preserve"> </w:t>
            </w:r>
            <w:r w:rsidR="00BC3EEB">
              <w:rPr>
                <w:rFonts w:ascii="Times New Roman" w:hAnsi="Times New Roman"/>
                <w:color w:val="000000"/>
                <w:sz w:val="20"/>
                <w:szCs w:val="20"/>
                <w:lang w:eastAsia="sk-SK"/>
              </w:rPr>
              <w:t>629</w:t>
            </w:r>
          </w:p>
        </w:tc>
        <w:tc>
          <w:tcPr>
            <w:tcW w:w="822" w:type="pct"/>
            <w:tcBorders>
              <w:top w:val="nil"/>
              <w:left w:val="nil"/>
              <w:bottom w:val="nil"/>
              <w:right w:val="nil"/>
            </w:tcBorders>
            <w:textDirection w:val="lrTb"/>
            <w:vAlign w:val="center"/>
          </w:tcPr>
          <w:p w:rsidR="00BC741D" w:rsidRPr="0072101A" w:rsidP="004A0505">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1 795 595</w:t>
            </w:r>
          </w:p>
        </w:tc>
      </w:tr>
      <w:tr>
        <w:tblPrEx>
          <w:tblW w:w="4605" w:type="pct"/>
          <w:jc w:val="center"/>
          <w:tblInd w:w="70" w:type="dxa"/>
          <w:tblLayout w:type="fixed"/>
          <w:tblCellMar>
            <w:left w:w="70" w:type="dxa"/>
            <w:right w:w="70" w:type="dxa"/>
          </w:tblCellMar>
          <w:tblLook w:val="00A0"/>
        </w:tblPrEx>
        <w:trPr>
          <w:trHeight w:val="324"/>
          <w:jc w:val="center"/>
        </w:trPr>
        <w:tc>
          <w:tcPr>
            <w:tcW w:w="3342" w:type="pct"/>
            <w:tcBorders>
              <w:top w:val="nil"/>
              <w:left w:val="nil"/>
              <w:bottom w:val="none" w:sz="0" w:space="0" w:color="auto"/>
              <w:right w:val="nil"/>
            </w:tcBorders>
            <w:textDirection w:val="lrTb"/>
            <w:vAlign w:val="center"/>
          </w:tcPr>
          <w:p w:rsidR="00BC741D" w:rsidRPr="0072101A" w:rsidP="00AE400C">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Účty Štátnej pokladnice</w:t>
            </w:r>
          </w:p>
        </w:tc>
        <w:tc>
          <w:tcPr>
            <w:tcW w:w="836" w:type="pct"/>
            <w:tcBorders>
              <w:top w:val="nil"/>
              <w:left w:val="nil"/>
              <w:bottom w:val="none" w:sz="0" w:space="0" w:color="auto"/>
              <w:right w:val="nil"/>
            </w:tcBorders>
            <w:textDirection w:val="lrTb"/>
            <w:vAlign w:val="center"/>
          </w:tcPr>
          <w:p w:rsidR="00BC741D" w:rsidRPr="0072101A" w:rsidP="00AE400C">
            <w:pPr>
              <w:bidi w:val="0"/>
              <w:spacing w:after="0" w:line="240" w:lineRule="auto"/>
              <w:jc w:val="right"/>
              <w:rPr>
                <w:rFonts w:ascii="Times New Roman" w:hAnsi="Times New Roman"/>
                <w:color w:val="000000"/>
                <w:sz w:val="20"/>
                <w:szCs w:val="20"/>
                <w:lang w:eastAsia="sk-SK"/>
              </w:rPr>
            </w:pPr>
            <w:r w:rsidR="00BC3EEB">
              <w:rPr>
                <w:rFonts w:ascii="Times New Roman" w:hAnsi="Times New Roman"/>
                <w:color w:val="000000"/>
                <w:sz w:val="20"/>
                <w:szCs w:val="20"/>
                <w:lang w:eastAsia="sk-SK"/>
              </w:rPr>
              <w:t>89 938</w:t>
            </w:r>
          </w:p>
        </w:tc>
        <w:tc>
          <w:tcPr>
            <w:tcW w:w="822" w:type="pct"/>
            <w:tcBorders>
              <w:top w:val="nil"/>
              <w:left w:val="nil"/>
              <w:bottom w:val="none" w:sz="0" w:space="0" w:color="auto"/>
              <w:right w:val="nil"/>
            </w:tcBorders>
            <w:textDirection w:val="lrTb"/>
            <w:vAlign w:val="center"/>
          </w:tcPr>
          <w:p w:rsidR="00BC741D" w:rsidRPr="0072101A" w:rsidP="004A0505">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1 039 754</w:t>
            </w:r>
          </w:p>
        </w:tc>
      </w:tr>
      <w:tr>
        <w:tblPrEx>
          <w:tblW w:w="4605" w:type="pct"/>
          <w:jc w:val="center"/>
          <w:tblInd w:w="70" w:type="dxa"/>
          <w:tblLayout w:type="fixed"/>
          <w:tblCellMar>
            <w:left w:w="70" w:type="dxa"/>
            <w:right w:w="70" w:type="dxa"/>
          </w:tblCellMar>
          <w:tblLook w:val="00A0"/>
        </w:tblPrEx>
        <w:trPr>
          <w:trHeight w:val="324"/>
          <w:jc w:val="center"/>
        </w:trPr>
        <w:tc>
          <w:tcPr>
            <w:tcW w:w="3342" w:type="pct"/>
            <w:tcBorders>
              <w:top w:val="nil"/>
              <w:left w:val="nil"/>
              <w:bottom w:val="nil"/>
              <w:right w:val="nil"/>
            </w:tcBorders>
            <w:textDirection w:val="lrTb"/>
            <w:vAlign w:val="center"/>
          </w:tcPr>
          <w:p w:rsidR="00BC741D" w:rsidRPr="0072101A" w:rsidP="006F7317">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Pokladnica a ceniny</w:t>
            </w:r>
          </w:p>
        </w:tc>
        <w:tc>
          <w:tcPr>
            <w:tcW w:w="836" w:type="pct"/>
            <w:tcBorders>
              <w:top w:val="nil"/>
              <w:left w:val="nil"/>
              <w:bottom w:val="nil"/>
              <w:right w:val="nil"/>
            </w:tcBorders>
            <w:textDirection w:val="lrTb"/>
            <w:vAlign w:val="center"/>
          </w:tcPr>
          <w:p w:rsidR="00BC741D" w:rsidRPr="0072101A" w:rsidP="006F7317">
            <w:pPr>
              <w:bidi w:val="0"/>
              <w:spacing w:after="0" w:line="240" w:lineRule="auto"/>
              <w:jc w:val="right"/>
              <w:rPr>
                <w:rFonts w:ascii="Times New Roman" w:hAnsi="Times New Roman"/>
                <w:color w:val="000000"/>
                <w:sz w:val="20"/>
                <w:szCs w:val="20"/>
                <w:lang w:eastAsia="sk-SK"/>
              </w:rPr>
            </w:pPr>
            <w:r w:rsidR="005D0CC6">
              <w:rPr>
                <w:rFonts w:ascii="Times New Roman" w:hAnsi="Times New Roman"/>
                <w:color w:val="000000"/>
                <w:sz w:val="20"/>
                <w:szCs w:val="20"/>
                <w:lang w:eastAsia="sk-SK"/>
              </w:rPr>
              <w:t>64 452</w:t>
            </w:r>
          </w:p>
        </w:tc>
        <w:tc>
          <w:tcPr>
            <w:tcW w:w="822" w:type="pct"/>
            <w:tcBorders>
              <w:top w:val="nil"/>
              <w:left w:val="nil"/>
              <w:bottom w:val="nil"/>
              <w:right w:val="nil"/>
            </w:tcBorders>
            <w:textDirection w:val="lrTb"/>
            <w:vAlign w:val="center"/>
          </w:tcPr>
          <w:p w:rsidR="00BC741D" w:rsidRPr="0072101A" w:rsidP="004A0505">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65 591</w:t>
            </w:r>
          </w:p>
        </w:tc>
      </w:tr>
      <w:tr>
        <w:tblPrEx>
          <w:tblW w:w="4605" w:type="pct"/>
          <w:jc w:val="center"/>
          <w:tblInd w:w="70" w:type="dxa"/>
          <w:tblLayout w:type="fixed"/>
          <w:tblCellMar>
            <w:left w:w="70" w:type="dxa"/>
            <w:right w:w="70" w:type="dxa"/>
          </w:tblCellMar>
          <w:tblLook w:val="00A0"/>
        </w:tblPrEx>
        <w:trPr>
          <w:trHeight w:val="206"/>
          <w:jc w:val="center"/>
        </w:trPr>
        <w:tc>
          <w:tcPr>
            <w:tcW w:w="3342" w:type="pct"/>
            <w:tcBorders>
              <w:top w:val="nil"/>
              <w:left w:val="nil"/>
              <w:bottom w:val="single" w:sz="4" w:space="0" w:color="auto"/>
              <w:right w:val="nil"/>
            </w:tcBorders>
            <w:textDirection w:val="lrTb"/>
            <w:vAlign w:val="bottom"/>
          </w:tcPr>
          <w:p w:rsidR="00BC741D" w:rsidRPr="0072101A" w:rsidP="006F7317">
            <w:pPr>
              <w:bidi w:val="0"/>
              <w:spacing w:after="0" w:line="240" w:lineRule="auto"/>
              <w:rPr>
                <w:rFonts w:ascii="Times New Roman" w:hAnsi="Times New Roman"/>
                <w:b/>
                <w:color w:val="000000"/>
                <w:sz w:val="20"/>
                <w:szCs w:val="20"/>
                <w:lang w:eastAsia="sk-SK"/>
              </w:rPr>
            </w:pPr>
            <w:r w:rsidRPr="0072101A">
              <w:rPr>
                <w:rFonts w:ascii="Times New Roman" w:hAnsi="Times New Roman"/>
                <w:b/>
                <w:color w:val="000000"/>
                <w:sz w:val="20"/>
                <w:szCs w:val="20"/>
                <w:lang w:eastAsia="sk-SK"/>
              </w:rPr>
              <w:t>Spolu</w:t>
            </w:r>
          </w:p>
        </w:tc>
        <w:tc>
          <w:tcPr>
            <w:tcW w:w="836" w:type="pct"/>
            <w:tcBorders>
              <w:top w:val="nil"/>
              <w:left w:val="nil"/>
              <w:bottom w:val="single" w:sz="4" w:space="0" w:color="auto"/>
              <w:right w:val="nil"/>
            </w:tcBorders>
            <w:textDirection w:val="lrTb"/>
            <w:vAlign w:val="bottom"/>
          </w:tcPr>
          <w:p w:rsidR="00BC741D" w:rsidRPr="0072101A" w:rsidP="00BC3EEB">
            <w:pPr>
              <w:bidi w:val="0"/>
              <w:spacing w:after="0" w:line="240" w:lineRule="auto"/>
              <w:jc w:val="right"/>
              <w:rPr>
                <w:rFonts w:ascii="Times New Roman" w:hAnsi="Times New Roman"/>
                <w:b/>
                <w:color w:val="000000"/>
                <w:sz w:val="20"/>
                <w:szCs w:val="20"/>
                <w:lang w:eastAsia="sk-SK"/>
              </w:rPr>
            </w:pPr>
            <w:r w:rsidR="005D0CC6">
              <w:rPr>
                <w:rFonts w:ascii="Times New Roman" w:hAnsi="Times New Roman"/>
                <w:b/>
                <w:color w:val="000000"/>
                <w:sz w:val="20"/>
                <w:szCs w:val="20"/>
                <w:lang w:eastAsia="sk-SK"/>
              </w:rPr>
              <w:t>2 33</w:t>
            </w:r>
            <w:r w:rsidR="00BC3EEB">
              <w:rPr>
                <w:rFonts w:ascii="Times New Roman" w:hAnsi="Times New Roman"/>
                <w:b/>
                <w:color w:val="000000"/>
                <w:sz w:val="20"/>
                <w:szCs w:val="20"/>
                <w:lang w:eastAsia="sk-SK"/>
              </w:rPr>
              <w:t>9</w:t>
            </w:r>
            <w:r w:rsidR="005D0CC6">
              <w:rPr>
                <w:rFonts w:ascii="Times New Roman" w:hAnsi="Times New Roman"/>
                <w:b/>
                <w:color w:val="000000"/>
                <w:sz w:val="20"/>
                <w:szCs w:val="20"/>
                <w:lang w:eastAsia="sk-SK"/>
              </w:rPr>
              <w:t xml:space="preserve"> 0</w:t>
            </w:r>
            <w:r w:rsidR="00BC3EEB">
              <w:rPr>
                <w:rFonts w:ascii="Times New Roman" w:hAnsi="Times New Roman"/>
                <w:b/>
                <w:color w:val="000000"/>
                <w:sz w:val="20"/>
                <w:szCs w:val="20"/>
                <w:lang w:eastAsia="sk-SK"/>
              </w:rPr>
              <w:t>19</w:t>
            </w:r>
          </w:p>
        </w:tc>
        <w:tc>
          <w:tcPr>
            <w:tcW w:w="822" w:type="pct"/>
            <w:tcBorders>
              <w:top w:val="nil"/>
              <w:left w:val="nil"/>
              <w:bottom w:val="single" w:sz="4" w:space="0" w:color="auto"/>
              <w:right w:val="nil"/>
            </w:tcBorders>
            <w:textDirection w:val="lrTb"/>
            <w:vAlign w:val="bottom"/>
          </w:tcPr>
          <w:p w:rsidR="00BC741D" w:rsidRPr="0072101A" w:rsidP="004A0505">
            <w:pPr>
              <w:bidi w:val="0"/>
              <w:spacing w:after="0" w:line="240" w:lineRule="auto"/>
              <w:jc w:val="right"/>
              <w:rPr>
                <w:rFonts w:ascii="Times New Roman" w:hAnsi="Times New Roman"/>
                <w:b/>
                <w:color w:val="000000"/>
                <w:sz w:val="20"/>
                <w:szCs w:val="20"/>
                <w:lang w:eastAsia="sk-SK"/>
              </w:rPr>
            </w:pPr>
            <w:r w:rsidRPr="0072101A">
              <w:rPr>
                <w:rFonts w:ascii="Times New Roman" w:hAnsi="Times New Roman"/>
                <w:b/>
                <w:color w:val="000000"/>
                <w:sz w:val="20"/>
                <w:szCs w:val="20"/>
                <w:lang w:eastAsia="sk-SK"/>
              </w:rPr>
              <w:t>2 900 940</w:t>
            </w:r>
          </w:p>
        </w:tc>
      </w:tr>
      <w:tr>
        <w:tblPrEx>
          <w:tblW w:w="4605" w:type="pct"/>
          <w:jc w:val="center"/>
          <w:tblInd w:w="70" w:type="dxa"/>
          <w:tblLayout w:type="fixed"/>
          <w:tblCellMar>
            <w:left w:w="70" w:type="dxa"/>
            <w:right w:w="70" w:type="dxa"/>
          </w:tblCellMar>
          <w:tblLook w:val="00A0"/>
        </w:tblPrEx>
        <w:trPr>
          <w:trHeight w:val="324"/>
          <w:jc w:val="center"/>
        </w:trPr>
        <w:tc>
          <w:tcPr>
            <w:tcW w:w="3342" w:type="pct"/>
            <w:tcBorders>
              <w:top w:val="nil"/>
              <w:left w:val="nil"/>
              <w:bottom w:val="single" w:sz="4" w:space="0" w:color="auto"/>
              <w:right w:val="nil"/>
            </w:tcBorders>
            <w:shd w:val="clear" w:color="auto" w:fill="BFBFBF"/>
            <w:textDirection w:val="lrTb"/>
            <w:vAlign w:val="bottom"/>
          </w:tcPr>
          <w:p w:rsidR="00BC741D" w:rsidRPr="0072101A" w:rsidP="006F7317">
            <w:pPr>
              <w:bidi w:val="0"/>
              <w:spacing w:after="0" w:line="240" w:lineRule="auto"/>
              <w:rPr>
                <w:rFonts w:ascii="Times New Roman" w:hAnsi="Times New Roman"/>
                <w:b/>
                <w:color w:val="000000"/>
                <w:sz w:val="20"/>
                <w:szCs w:val="20"/>
                <w:lang w:eastAsia="sk-SK"/>
              </w:rPr>
            </w:pPr>
            <w:r>
              <w:br w:type="page"/>
            </w:r>
            <w:r w:rsidRPr="0072101A">
              <w:rPr>
                <w:rFonts w:ascii="Times New Roman" w:hAnsi="Times New Roman"/>
                <w:b/>
                <w:color w:val="000000"/>
                <w:sz w:val="20"/>
                <w:szCs w:val="20"/>
                <w:lang w:eastAsia="sk-SK"/>
              </w:rPr>
              <w:t>Krátkodobý finančný majetok</w:t>
            </w:r>
          </w:p>
        </w:tc>
        <w:tc>
          <w:tcPr>
            <w:tcW w:w="836" w:type="pct"/>
            <w:tcBorders>
              <w:top w:val="nil"/>
              <w:left w:val="nil"/>
              <w:bottom w:val="single" w:sz="4" w:space="0" w:color="auto"/>
              <w:right w:val="nil"/>
            </w:tcBorders>
            <w:shd w:val="clear" w:color="auto" w:fill="BFBFBF"/>
            <w:textDirection w:val="lrTb"/>
            <w:vAlign w:val="bottom"/>
          </w:tcPr>
          <w:p w:rsidR="00BC741D" w:rsidRPr="0072101A" w:rsidP="00270FC4">
            <w:pPr>
              <w:bidi w:val="0"/>
              <w:spacing w:after="0" w:line="240" w:lineRule="auto"/>
              <w:jc w:val="center"/>
              <w:rPr>
                <w:rFonts w:ascii="Times New Roman" w:hAnsi="Times New Roman"/>
                <w:b/>
                <w:color w:val="000000"/>
                <w:sz w:val="20"/>
                <w:szCs w:val="20"/>
                <w:lang w:eastAsia="sk-SK"/>
              </w:rPr>
            </w:pPr>
            <w:r w:rsidRPr="0072101A">
              <w:rPr>
                <w:rFonts w:ascii="Times New Roman" w:hAnsi="Times New Roman"/>
                <w:b/>
                <w:color w:val="000000"/>
                <w:sz w:val="20"/>
                <w:szCs w:val="20"/>
                <w:lang w:eastAsia="sk-SK"/>
              </w:rPr>
              <w:t xml:space="preserve">          </w:t>
            </w:r>
            <w:r>
              <w:rPr>
                <w:rFonts w:ascii="Times New Roman" w:hAnsi="Times New Roman"/>
                <w:b/>
                <w:color w:val="000000"/>
                <w:sz w:val="20"/>
                <w:szCs w:val="20"/>
                <w:lang w:eastAsia="sk-SK"/>
              </w:rPr>
              <w:t>2015</w:t>
            </w:r>
          </w:p>
        </w:tc>
        <w:tc>
          <w:tcPr>
            <w:tcW w:w="822" w:type="pct"/>
            <w:tcBorders>
              <w:top w:val="nil"/>
              <w:left w:val="nil"/>
              <w:bottom w:val="single" w:sz="4" w:space="0" w:color="auto"/>
              <w:right w:val="nil"/>
            </w:tcBorders>
            <w:shd w:val="clear" w:color="auto" w:fill="BFBFBF"/>
            <w:textDirection w:val="lrTb"/>
            <w:vAlign w:val="bottom"/>
          </w:tcPr>
          <w:p w:rsidR="00BC741D" w:rsidRPr="0072101A" w:rsidP="00E82454">
            <w:pPr>
              <w:bidi w:val="0"/>
              <w:spacing w:after="0" w:line="240" w:lineRule="auto"/>
              <w:jc w:val="center"/>
              <w:rPr>
                <w:rFonts w:ascii="Times New Roman" w:hAnsi="Times New Roman"/>
                <w:b/>
                <w:color w:val="000000"/>
                <w:sz w:val="20"/>
                <w:szCs w:val="20"/>
                <w:lang w:eastAsia="sk-SK"/>
              </w:rPr>
            </w:pPr>
            <w:r w:rsidRPr="0072101A">
              <w:rPr>
                <w:rFonts w:ascii="Times New Roman" w:hAnsi="Times New Roman"/>
                <w:b/>
                <w:color w:val="000000"/>
                <w:sz w:val="20"/>
                <w:szCs w:val="20"/>
                <w:lang w:eastAsia="sk-SK"/>
              </w:rPr>
              <w:t xml:space="preserve">        </w:t>
            </w:r>
            <w:r>
              <w:rPr>
                <w:rFonts w:ascii="Times New Roman" w:hAnsi="Times New Roman"/>
                <w:b/>
                <w:color w:val="000000"/>
                <w:sz w:val="20"/>
                <w:szCs w:val="20"/>
                <w:lang w:eastAsia="sk-SK"/>
              </w:rPr>
              <w:t>2014</w:t>
            </w:r>
          </w:p>
        </w:tc>
      </w:tr>
      <w:tr>
        <w:tblPrEx>
          <w:tblW w:w="4605" w:type="pct"/>
          <w:jc w:val="center"/>
          <w:tblInd w:w="70" w:type="dxa"/>
          <w:tblLayout w:type="fixed"/>
          <w:tblCellMar>
            <w:left w:w="70" w:type="dxa"/>
            <w:right w:w="70" w:type="dxa"/>
          </w:tblCellMar>
          <w:tblLook w:val="00A0"/>
        </w:tblPrEx>
        <w:trPr>
          <w:trHeight w:val="324"/>
          <w:jc w:val="center"/>
        </w:trPr>
        <w:tc>
          <w:tcPr>
            <w:tcW w:w="3342" w:type="pct"/>
            <w:tcBorders>
              <w:top w:val="nil"/>
              <w:left w:val="nil"/>
              <w:bottom w:val="none" w:sz="0" w:space="0" w:color="auto"/>
              <w:right w:val="nil"/>
            </w:tcBorders>
            <w:shd w:val="clear" w:color="000000" w:fill="auto"/>
            <w:textDirection w:val="lrTb"/>
            <w:vAlign w:val="center"/>
          </w:tcPr>
          <w:p w:rsidR="00BC741D" w:rsidRPr="0072101A" w:rsidP="00AE400C">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Realizovateľné cenné papiere</w:t>
            </w:r>
          </w:p>
        </w:tc>
        <w:tc>
          <w:tcPr>
            <w:tcW w:w="836" w:type="pct"/>
            <w:tcBorders>
              <w:top w:val="nil"/>
              <w:left w:val="nil"/>
              <w:bottom w:val="none" w:sz="0" w:space="0" w:color="auto"/>
              <w:right w:val="nil"/>
            </w:tcBorders>
            <w:shd w:val="clear" w:color="000000" w:fill="auto"/>
            <w:textDirection w:val="lrTb"/>
            <w:vAlign w:val="center"/>
          </w:tcPr>
          <w:p w:rsidR="00BC741D" w:rsidRPr="0072101A" w:rsidP="00AE400C">
            <w:pPr>
              <w:bidi w:val="0"/>
              <w:spacing w:after="0" w:line="240" w:lineRule="auto"/>
              <w:jc w:val="right"/>
              <w:rPr>
                <w:rFonts w:ascii="Times New Roman" w:hAnsi="Times New Roman"/>
                <w:bCs/>
                <w:color w:val="000000"/>
                <w:sz w:val="20"/>
                <w:szCs w:val="20"/>
                <w:lang w:eastAsia="sk-SK"/>
              </w:rPr>
            </w:pPr>
            <w:r w:rsidR="00BC3EEB">
              <w:rPr>
                <w:rFonts w:ascii="Times New Roman" w:hAnsi="Times New Roman"/>
                <w:bCs/>
                <w:color w:val="000000"/>
                <w:sz w:val="20"/>
                <w:szCs w:val="20"/>
                <w:lang w:eastAsia="sk-SK"/>
              </w:rPr>
              <w:t>236 594</w:t>
            </w:r>
          </w:p>
        </w:tc>
        <w:tc>
          <w:tcPr>
            <w:tcW w:w="822" w:type="pct"/>
            <w:tcBorders>
              <w:top w:val="nil"/>
              <w:left w:val="nil"/>
              <w:bottom w:val="none" w:sz="0" w:space="0" w:color="auto"/>
              <w:right w:val="nil"/>
            </w:tcBorders>
            <w:shd w:val="clear" w:color="000000" w:fill="auto"/>
            <w:textDirection w:val="lrTb"/>
            <w:vAlign w:val="center"/>
          </w:tcPr>
          <w:p w:rsidR="00BC741D" w:rsidRPr="0072101A" w:rsidP="004A0505">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255 742</w:t>
            </w:r>
          </w:p>
        </w:tc>
      </w:tr>
      <w:tr>
        <w:tblPrEx>
          <w:tblW w:w="4605" w:type="pct"/>
          <w:jc w:val="center"/>
          <w:tblInd w:w="70" w:type="dxa"/>
          <w:tblLayout w:type="fixed"/>
          <w:tblCellMar>
            <w:left w:w="70" w:type="dxa"/>
            <w:right w:w="70" w:type="dxa"/>
          </w:tblCellMar>
          <w:tblLook w:val="00A0"/>
        </w:tblPrEx>
        <w:trPr>
          <w:trHeight w:val="324"/>
          <w:jc w:val="center"/>
        </w:trPr>
        <w:tc>
          <w:tcPr>
            <w:tcW w:w="3342" w:type="pct"/>
            <w:tcBorders>
              <w:top w:val="nil"/>
              <w:left w:val="nil"/>
              <w:bottom w:val="none" w:sz="0" w:space="0" w:color="auto"/>
              <w:right w:val="nil"/>
            </w:tcBorders>
            <w:shd w:val="clear" w:color="000000" w:fill="auto"/>
            <w:textDirection w:val="lrTb"/>
            <w:vAlign w:val="center"/>
          </w:tcPr>
          <w:p w:rsidR="00BC741D" w:rsidRPr="0072101A" w:rsidP="00AE400C">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Dlhové cenné papiere</w:t>
            </w:r>
          </w:p>
        </w:tc>
        <w:tc>
          <w:tcPr>
            <w:tcW w:w="836" w:type="pct"/>
            <w:tcBorders>
              <w:top w:val="nil"/>
              <w:left w:val="nil"/>
              <w:bottom w:val="none" w:sz="0" w:space="0" w:color="auto"/>
              <w:right w:val="nil"/>
            </w:tcBorders>
            <w:shd w:val="clear" w:color="000000" w:fill="auto"/>
            <w:textDirection w:val="lrTb"/>
            <w:vAlign w:val="center"/>
          </w:tcPr>
          <w:p w:rsidR="00BC741D" w:rsidRPr="0072101A" w:rsidP="00B5027E">
            <w:pPr>
              <w:bidi w:val="0"/>
              <w:spacing w:after="0" w:line="240" w:lineRule="auto"/>
              <w:jc w:val="right"/>
              <w:rPr>
                <w:rFonts w:ascii="Times New Roman" w:hAnsi="Times New Roman"/>
                <w:bCs/>
                <w:color w:val="000000"/>
                <w:sz w:val="20"/>
                <w:szCs w:val="20"/>
                <w:lang w:eastAsia="sk-SK"/>
              </w:rPr>
            </w:pPr>
            <w:r w:rsidR="00BC3EEB">
              <w:rPr>
                <w:rFonts w:ascii="Times New Roman" w:hAnsi="Times New Roman"/>
                <w:bCs/>
                <w:color w:val="000000"/>
                <w:sz w:val="20"/>
                <w:szCs w:val="20"/>
                <w:lang w:eastAsia="sk-SK"/>
              </w:rPr>
              <w:t>59</w:t>
            </w:r>
            <w:r w:rsidR="00B5027E">
              <w:rPr>
                <w:rFonts w:ascii="Times New Roman" w:hAnsi="Times New Roman"/>
                <w:bCs/>
                <w:color w:val="000000"/>
                <w:sz w:val="20"/>
                <w:szCs w:val="20"/>
                <w:lang w:eastAsia="sk-SK"/>
              </w:rPr>
              <w:t>3</w:t>
            </w:r>
          </w:p>
        </w:tc>
        <w:tc>
          <w:tcPr>
            <w:tcW w:w="822" w:type="pct"/>
            <w:tcBorders>
              <w:top w:val="nil"/>
              <w:left w:val="nil"/>
              <w:bottom w:val="none" w:sz="0" w:space="0" w:color="auto"/>
              <w:right w:val="nil"/>
            </w:tcBorders>
            <w:shd w:val="clear" w:color="000000" w:fill="auto"/>
            <w:textDirection w:val="lrTb"/>
            <w:vAlign w:val="center"/>
          </w:tcPr>
          <w:p w:rsidR="00BC741D" w:rsidRPr="0072101A" w:rsidP="004A0505">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51 349</w:t>
            </w:r>
          </w:p>
        </w:tc>
      </w:tr>
      <w:tr>
        <w:tblPrEx>
          <w:tblW w:w="4605" w:type="pct"/>
          <w:jc w:val="center"/>
          <w:tblInd w:w="70" w:type="dxa"/>
          <w:tblLayout w:type="fixed"/>
          <w:tblCellMar>
            <w:left w:w="70" w:type="dxa"/>
            <w:right w:w="70" w:type="dxa"/>
          </w:tblCellMar>
          <w:tblLook w:val="00A0"/>
        </w:tblPrEx>
        <w:trPr>
          <w:trHeight w:val="324"/>
          <w:jc w:val="center"/>
        </w:trPr>
        <w:tc>
          <w:tcPr>
            <w:tcW w:w="3342" w:type="pct"/>
            <w:tcBorders>
              <w:top w:val="none" w:sz="0" w:space="0" w:color="auto"/>
              <w:left w:val="nil"/>
              <w:bottom w:val="none" w:sz="0" w:space="0" w:color="auto"/>
              <w:right w:val="nil"/>
            </w:tcBorders>
            <w:shd w:val="clear" w:color="000000" w:fill="auto"/>
            <w:textDirection w:val="lrTb"/>
            <w:vAlign w:val="center"/>
          </w:tcPr>
          <w:p w:rsidR="00BC741D" w:rsidRPr="0072101A" w:rsidP="006F7317">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Majetkové cenné papiere</w:t>
            </w:r>
          </w:p>
        </w:tc>
        <w:tc>
          <w:tcPr>
            <w:tcW w:w="836" w:type="pct"/>
            <w:tcBorders>
              <w:top w:val="none" w:sz="0" w:space="0" w:color="auto"/>
              <w:left w:val="nil"/>
              <w:bottom w:val="none" w:sz="0" w:space="0" w:color="auto"/>
              <w:right w:val="nil"/>
            </w:tcBorders>
            <w:shd w:val="clear" w:color="000000" w:fill="auto"/>
            <w:textDirection w:val="lrTb"/>
            <w:vAlign w:val="center"/>
          </w:tcPr>
          <w:p w:rsidR="00BC741D" w:rsidRPr="0072101A" w:rsidP="00E82454">
            <w:pPr>
              <w:bidi w:val="0"/>
              <w:spacing w:after="0" w:line="240" w:lineRule="auto"/>
              <w:jc w:val="right"/>
              <w:rPr>
                <w:rFonts w:ascii="Times New Roman" w:hAnsi="Times New Roman"/>
                <w:bCs/>
                <w:color w:val="000000"/>
                <w:sz w:val="20"/>
                <w:szCs w:val="20"/>
                <w:lang w:eastAsia="sk-SK"/>
              </w:rPr>
            </w:pPr>
            <w:r w:rsidR="00BC3EEB">
              <w:rPr>
                <w:rFonts w:ascii="Times New Roman" w:hAnsi="Times New Roman"/>
                <w:bCs/>
                <w:color w:val="000000"/>
                <w:sz w:val="20"/>
                <w:szCs w:val="20"/>
                <w:lang w:eastAsia="sk-SK"/>
              </w:rPr>
              <w:t>22</w:t>
            </w:r>
          </w:p>
        </w:tc>
        <w:tc>
          <w:tcPr>
            <w:tcW w:w="822" w:type="pct"/>
            <w:tcBorders>
              <w:top w:val="none" w:sz="0" w:space="0" w:color="auto"/>
              <w:left w:val="nil"/>
              <w:bottom w:val="none" w:sz="0" w:space="0" w:color="auto"/>
              <w:right w:val="nil"/>
            </w:tcBorders>
            <w:shd w:val="clear" w:color="000000" w:fill="auto"/>
            <w:textDirection w:val="lrTb"/>
            <w:vAlign w:val="center"/>
          </w:tcPr>
          <w:p w:rsidR="00BC741D" w:rsidRPr="0072101A" w:rsidP="004A0505">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95</w:t>
            </w:r>
          </w:p>
        </w:tc>
      </w:tr>
      <w:tr>
        <w:tblPrEx>
          <w:tblW w:w="4605" w:type="pct"/>
          <w:jc w:val="center"/>
          <w:tblInd w:w="70" w:type="dxa"/>
          <w:tblLayout w:type="fixed"/>
          <w:tblCellMar>
            <w:left w:w="70" w:type="dxa"/>
            <w:right w:w="70" w:type="dxa"/>
          </w:tblCellMar>
          <w:tblLook w:val="00A0"/>
        </w:tblPrEx>
        <w:trPr>
          <w:trHeight w:val="324"/>
          <w:jc w:val="center"/>
        </w:trPr>
        <w:tc>
          <w:tcPr>
            <w:tcW w:w="3342" w:type="pct"/>
            <w:tcBorders>
              <w:top w:val="nil"/>
              <w:left w:val="nil"/>
              <w:bottom w:val="none" w:sz="0" w:space="0" w:color="auto"/>
              <w:right w:val="nil"/>
            </w:tcBorders>
            <w:shd w:val="clear" w:color="000000" w:fill="auto"/>
            <w:textDirection w:val="lrTb"/>
            <w:vAlign w:val="center"/>
          </w:tcPr>
          <w:p w:rsidR="00BC741D" w:rsidRPr="0072101A" w:rsidP="006F7317">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Ostatný krátkodobý finančný majetok</w:t>
            </w:r>
          </w:p>
        </w:tc>
        <w:tc>
          <w:tcPr>
            <w:tcW w:w="836" w:type="pct"/>
            <w:tcBorders>
              <w:top w:val="nil"/>
              <w:left w:val="nil"/>
              <w:bottom w:val="none" w:sz="0" w:space="0" w:color="auto"/>
              <w:right w:val="nil"/>
            </w:tcBorders>
            <w:shd w:val="clear" w:color="000000" w:fill="auto"/>
            <w:textDirection w:val="lrTb"/>
            <w:vAlign w:val="center"/>
          </w:tcPr>
          <w:p w:rsidR="00BC741D" w:rsidRPr="0072101A" w:rsidP="00B17D0C">
            <w:pPr>
              <w:bidi w:val="0"/>
              <w:spacing w:after="0" w:line="240" w:lineRule="auto"/>
              <w:jc w:val="right"/>
              <w:rPr>
                <w:rFonts w:ascii="Times New Roman" w:hAnsi="Times New Roman"/>
                <w:bCs/>
                <w:color w:val="000000"/>
                <w:sz w:val="20"/>
                <w:szCs w:val="20"/>
                <w:lang w:eastAsia="sk-SK"/>
              </w:rPr>
            </w:pPr>
            <w:r w:rsidR="00BC3EEB">
              <w:rPr>
                <w:rFonts w:ascii="Times New Roman" w:hAnsi="Times New Roman"/>
                <w:bCs/>
                <w:color w:val="000000"/>
                <w:sz w:val="20"/>
                <w:szCs w:val="20"/>
                <w:lang w:eastAsia="sk-SK"/>
              </w:rPr>
              <w:t>119</w:t>
            </w:r>
          </w:p>
        </w:tc>
        <w:tc>
          <w:tcPr>
            <w:tcW w:w="822" w:type="pct"/>
            <w:tcBorders>
              <w:top w:val="nil"/>
              <w:left w:val="nil"/>
              <w:bottom w:val="none" w:sz="0" w:space="0" w:color="auto"/>
              <w:right w:val="nil"/>
            </w:tcBorders>
            <w:shd w:val="clear" w:color="000000" w:fill="auto"/>
            <w:textDirection w:val="lrTb"/>
            <w:vAlign w:val="center"/>
          </w:tcPr>
          <w:p w:rsidR="00BC741D" w:rsidRPr="0072101A" w:rsidP="004A0505">
            <w:pPr>
              <w:bidi w:val="0"/>
              <w:spacing w:after="0" w:line="240" w:lineRule="auto"/>
              <w:jc w:val="right"/>
              <w:rPr>
                <w:rFonts w:ascii="Times New Roman" w:hAnsi="Times New Roman"/>
                <w:bCs/>
                <w:color w:val="000000"/>
                <w:sz w:val="20"/>
                <w:szCs w:val="20"/>
                <w:lang w:eastAsia="sk-SK"/>
              </w:rPr>
            </w:pPr>
            <w:r>
              <w:rPr>
                <w:rFonts w:ascii="Times New Roman" w:hAnsi="Times New Roman"/>
                <w:bCs/>
                <w:color w:val="000000"/>
                <w:sz w:val="20"/>
                <w:szCs w:val="20"/>
                <w:lang w:eastAsia="sk-SK"/>
              </w:rPr>
              <w:t>190</w:t>
            </w:r>
          </w:p>
        </w:tc>
      </w:tr>
      <w:tr>
        <w:tblPrEx>
          <w:tblW w:w="4605" w:type="pct"/>
          <w:jc w:val="center"/>
          <w:tblInd w:w="70" w:type="dxa"/>
          <w:tblLayout w:type="fixed"/>
          <w:tblCellMar>
            <w:left w:w="70" w:type="dxa"/>
            <w:right w:w="70" w:type="dxa"/>
          </w:tblCellMar>
          <w:tblLook w:val="00A0"/>
        </w:tblPrEx>
        <w:trPr>
          <w:trHeight w:val="324"/>
          <w:jc w:val="center"/>
        </w:trPr>
        <w:tc>
          <w:tcPr>
            <w:tcW w:w="3342" w:type="pct"/>
            <w:tcBorders>
              <w:top w:val="none" w:sz="0" w:space="0" w:color="auto"/>
              <w:left w:val="nil"/>
              <w:bottom w:val="single" w:sz="4" w:space="0" w:color="000000"/>
              <w:right w:val="nil"/>
            </w:tcBorders>
            <w:shd w:val="clear" w:color="000000" w:fill="auto"/>
            <w:textDirection w:val="lrTb"/>
            <w:vAlign w:val="center"/>
          </w:tcPr>
          <w:p w:rsidR="00BC741D" w:rsidRPr="0072101A" w:rsidP="006F7317">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Spolu</w:t>
            </w:r>
          </w:p>
        </w:tc>
        <w:tc>
          <w:tcPr>
            <w:tcW w:w="836" w:type="pct"/>
            <w:tcBorders>
              <w:top w:val="none" w:sz="0" w:space="0" w:color="auto"/>
              <w:left w:val="nil"/>
              <w:bottom w:val="single" w:sz="4" w:space="0" w:color="000000"/>
              <w:right w:val="nil"/>
            </w:tcBorders>
            <w:shd w:val="clear" w:color="000000" w:fill="auto"/>
            <w:textDirection w:val="lrTb"/>
            <w:vAlign w:val="center"/>
          </w:tcPr>
          <w:p w:rsidR="00BC741D" w:rsidRPr="0072101A" w:rsidP="00B5027E">
            <w:pPr>
              <w:bidi w:val="0"/>
              <w:spacing w:after="0" w:line="240" w:lineRule="auto"/>
              <w:jc w:val="right"/>
              <w:rPr>
                <w:rFonts w:ascii="Times New Roman" w:hAnsi="Times New Roman"/>
                <w:b/>
                <w:bCs/>
                <w:color w:val="000000"/>
                <w:sz w:val="20"/>
                <w:szCs w:val="20"/>
                <w:lang w:eastAsia="sk-SK"/>
              </w:rPr>
            </w:pPr>
            <w:r w:rsidR="00BC3EEB">
              <w:rPr>
                <w:rFonts w:ascii="Times New Roman" w:hAnsi="Times New Roman"/>
                <w:b/>
                <w:bCs/>
                <w:color w:val="000000"/>
                <w:sz w:val="20"/>
                <w:szCs w:val="20"/>
                <w:lang w:eastAsia="sk-SK"/>
              </w:rPr>
              <w:t>237 32</w:t>
            </w:r>
            <w:r w:rsidR="00B5027E">
              <w:rPr>
                <w:rFonts w:ascii="Times New Roman" w:hAnsi="Times New Roman"/>
                <w:b/>
                <w:bCs/>
                <w:color w:val="000000"/>
                <w:sz w:val="20"/>
                <w:szCs w:val="20"/>
                <w:lang w:eastAsia="sk-SK"/>
              </w:rPr>
              <w:t>8</w:t>
            </w:r>
          </w:p>
        </w:tc>
        <w:tc>
          <w:tcPr>
            <w:tcW w:w="822" w:type="pct"/>
            <w:tcBorders>
              <w:top w:val="none" w:sz="0" w:space="0" w:color="auto"/>
              <w:left w:val="nil"/>
              <w:bottom w:val="single" w:sz="4" w:space="0" w:color="000000"/>
              <w:right w:val="nil"/>
            </w:tcBorders>
            <w:shd w:val="clear" w:color="000000" w:fill="auto"/>
            <w:textDirection w:val="lrTb"/>
            <w:vAlign w:val="center"/>
          </w:tcPr>
          <w:p w:rsidR="00BC741D" w:rsidRPr="0072101A" w:rsidP="004A0505">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307 376</w:t>
            </w:r>
          </w:p>
        </w:tc>
      </w:tr>
    </w:tbl>
    <w:p w:rsidR="002425C8" w:rsidP="0097612B">
      <w:pPr>
        <w:pStyle w:val="Pismenka"/>
        <w:tabs>
          <w:tab w:val="clear" w:pos="426"/>
        </w:tabs>
        <w:bidi w:val="0"/>
        <w:spacing w:before="180" w:after="120" w:line="336" w:lineRule="auto"/>
        <w:ind w:left="0" w:firstLine="0"/>
        <w:rPr>
          <w:rFonts w:ascii="Times New Roman" w:hAnsi="Times New Roman"/>
          <w:b w:val="0"/>
          <w:bCs w:val="0"/>
          <w:sz w:val="22"/>
          <w:szCs w:val="22"/>
        </w:rPr>
      </w:pPr>
      <w:r w:rsidRPr="0072101A" w:rsidR="00C4293D">
        <w:rPr>
          <w:rFonts w:ascii="Times New Roman" w:hAnsi="Times New Roman"/>
          <w:b w:val="0"/>
          <w:bCs w:val="0"/>
          <w:sz w:val="22"/>
          <w:szCs w:val="22"/>
        </w:rPr>
        <w:t>Z bankových účtov vykazuj</w:t>
      </w:r>
      <w:r w:rsidRPr="0072101A" w:rsidR="003F43AB">
        <w:rPr>
          <w:rFonts w:ascii="Times New Roman" w:hAnsi="Times New Roman"/>
          <w:b w:val="0"/>
          <w:bCs w:val="0"/>
          <w:sz w:val="22"/>
          <w:szCs w:val="22"/>
        </w:rPr>
        <w:t>ú</w:t>
      </w:r>
      <w:r w:rsidRPr="0072101A" w:rsidR="00C4293D">
        <w:rPr>
          <w:rFonts w:ascii="Times New Roman" w:hAnsi="Times New Roman"/>
          <w:b w:val="0"/>
          <w:bCs w:val="0"/>
          <w:sz w:val="22"/>
          <w:szCs w:val="22"/>
        </w:rPr>
        <w:t xml:space="preserve"> najvyššiu hodnotu </w:t>
      </w:r>
      <w:r w:rsidRPr="0072101A" w:rsidR="003F43AB">
        <w:rPr>
          <w:rFonts w:ascii="Times New Roman" w:hAnsi="Times New Roman"/>
          <w:b w:val="0"/>
          <w:bCs w:val="0"/>
          <w:sz w:val="22"/>
          <w:szCs w:val="22"/>
        </w:rPr>
        <w:t>obce</w:t>
      </w:r>
      <w:r w:rsidRPr="0072101A" w:rsidR="00E17146">
        <w:rPr>
          <w:rFonts w:ascii="Times New Roman" w:hAnsi="Times New Roman"/>
          <w:b w:val="0"/>
          <w:bCs w:val="0"/>
          <w:sz w:val="22"/>
          <w:szCs w:val="22"/>
        </w:rPr>
        <w:t xml:space="preserve"> (</w:t>
      </w:r>
      <w:r>
        <w:rPr>
          <w:rFonts w:ascii="Times New Roman" w:hAnsi="Times New Roman"/>
          <w:b w:val="0"/>
          <w:bCs w:val="0"/>
          <w:sz w:val="22"/>
          <w:szCs w:val="22"/>
        </w:rPr>
        <w:t>808 976 tis. eur)</w:t>
      </w:r>
      <w:r w:rsidRPr="0072101A" w:rsidR="00B5680C">
        <w:rPr>
          <w:rFonts w:ascii="Times New Roman" w:hAnsi="Times New Roman"/>
          <w:b w:val="0"/>
          <w:bCs w:val="0"/>
          <w:sz w:val="22"/>
          <w:szCs w:val="22"/>
        </w:rPr>
        <w:t>, ústredná správa</w:t>
      </w:r>
      <w:r w:rsidR="00DB6E56">
        <w:rPr>
          <w:rFonts w:ascii="Times New Roman" w:hAnsi="Times New Roman"/>
          <w:b w:val="0"/>
          <w:bCs w:val="0"/>
          <w:sz w:val="22"/>
          <w:szCs w:val="22"/>
        </w:rPr>
        <w:t xml:space="preserve"> 987 851 tis. </w:t>
      </w:r>
      <w:r>
        <w:rPr>
          <w:rFonts w:ascii="Times New Roman" w:hAnsi="Times New Roman"/>
          <w:b w:val="0"/>
          <w:bCs w:val="0"/>
          <w:sz w:val="22"/>
          <w:szCs w:val="22"/>
        </w:rPr>
        <w:t xml:space="preserve">eur </w:t>
      </w:r>
      <w:r w:rsidRPr="0072101A" w:rsidR="006766CF">
        <w:rPr>
          <w:rFonts w:ascii="Times New Roman" w:hAnsi="Times New Roman"/>
          <w:b w:val="0"/>
          <w:bCs w:val="0"/>
          <w:sz w:val="22"/>
          <w:szCs w:val="22"/>
        </w:rPr>
        <w:t xml:space="preserve">a ostatné subjekty súhrnného celku </w:t>
      </w:r>
      <w:r w:rsidRPr="0072101A" w:rsidR="00277542">
        <w:rPr>
          <w:rFonts w:ascii="Times New Roman" w:hAnsi="Times New Roman"/>
          <w:b w:val="0"/>
          <w:bCs w:val="0"/>
          <w:sz w:val="22"/>
          <w:szCs w:val="22"/>
        </w:rPr>
        <w:t>(</w:t>
      </w:r>
      <w:r>
        <w:rPr>
          <w:rFonts w:ascii="Times New Roman" w:hAnsi="Times New Roman"/>
          <w:b w:val="0"/>
          <w:bCs w:val="0"/>
          <w:sz w:val="22"/>
          <w:szCs w:val="22"/>
        </w:rPr>
        <w:t>273 554</w:t>
      </w:r>
      <w:r w:rsidRPr="0072101A" w:rsidR="006766CF">
        <w:rPr>
          <w:rFonts w:ascii="Times New Roman" w:hAnsi="Times New Roman"/>
          <w:b w:val="0"/>
          <w:bCs w:val="0"/>
          <w:sz w:val="22"/>
          <w:szCs w:val="22"/>
        </w:rPr>
        <w:t xml:space="preserve"> tis. eur</w:t>
      </w:r>
      <w:r w:rsidRPr="0072101A" w:rsidR="00277542">
        <w:rPr>
          <w:rFonts w:ascii="Times New Roman" w:hAnsi="Times New Roman"/>
          <w:b w:val="0"/>
          <w:bCs w:val="0"/>
          <w:sz w:val="22"/>
          <w:szCs w:val="22"/>
        </w:rPr>
        <w:t>)</w:t>
      </w:r>
      <w:r w:rsidRPr="0072101A" w:rsidR="006766CF">
        <w:rPr>
          <w:rFonts w:ascii="Times New Roman" w:hAnsi="Times New Roman"/>
          <w:b w:val="0"/>
          <w:bCs w:val="0"/>
          <w:sz w:val="22"/>
          <w:szCs w:val="22"/>
        </w:rPr>
        <w:t xml:space="preserve">. </w:t>
      </w:r>
      <w:r w:rsidRPr="0072101A" w:rsidR="00353383">
        <w:rPr>
          <w:rFonts w:ascii="Times New Roman" w:hAnsi="Times New Roman"/>
          <w:b w:val="0"/>
          <w:bCs w:val="0"/>
          <w:sz w:val="22"/>
          <w:szCs w:val="22"/>
        </w:rPr>
        <w:t xml:space="preserve">Z hodnoty bankových účtov bola eliminovaná čiastka </w:t>
      </w:r>
      <w:r>
        <w:rPr>
          <w:rFonts w:ascii="Times New Roman" w:hAnsi="Times New Roman"/>
          <w:b w:val="0"/>
          <w:bCs w:val="0"/>
          <w:sz w:val="22"/>
          <w:szCs w:val="22"/>
        </w:rPr>
        <w:t>3 250 505</w:t>
      </w:r>
      <w:r w:rsidRPr="0072101A" w:rsidR="00353383">
        <w:rPr>
          <w:rFonts w:ascii="Times New Roman" w:hAnsi="Times New Roman"/>
          <w:b w:val="0"/>
          <w:bCs w:val="0"/>
          <w:sz w:val="22"/>
          <w:szCs w:val="22"/>
        </w:rPr>
        <w:t xml:space="preserve"> tis. eur</w:t>
      </w:r>
      <w:r w:rsidRPr="0072101A" w:rsidR="00DE1AD3">
        <w:rPr>
          <w:rFonts w:ascii="Times New Roman" w:hAnsi="Times New Roman"/>
          <w:b w:val="0"/>
          <w:bCs w:val="0"/>
          <w:sz w:val="22"/>
          <w:szCs w:val="22"/>
        </w:rPr>
        <w:t xml:space="preserve"> z dôvodu, že išlo o účty klientov Štátnej pokladnice a tieto sú predmetom konsolidácie.</w:t>
      </w:r>
      <w:r w:rsidRPr="0072101A" w:rsidR="00353383">
        <w:rPr>
          <w:rFonts w:ascii="Times New Roman" w:hAnsi="Times New Roman"/>
          <w:b w:val="0"/>
          <w:bCs w:val="0"/>
          <w:sz w:val="22"/>
          <w:szCs w:val="22"/>
        </w:rPr>
        <w:t> </w:t>
      </w:r>
      <w:r w:rsidRPr="0072101A" w:rsidR="00F01C8D">
        <w:rPr>
          <w:rFonts w:ascii="Times New Roman" w:hAnsi="Times New Roman"/>
          <w:b w:val="0"/>
          <w:bCs w:val="0"/>
          <w:sz w:val="22"/>
          <w:szCs w:val="22"/>
        </w:rPr>
        <w:t>Z</w:t>
      </w:r>
      <w:r w:rsidRPr="0072101A" w:rsidR="00353383">
        <w:rPr>
          <w:rFonts w:ascii="Times New Roman" w:hAnsi="Times New Roman"/>
          <w:b w:val="0"/>
          <w:bCs w:val="0"/>
          <w:sz w:val="22"/>
          <w:szCs w:val="22"/>
        </w:rPr>
        <w:t xml:space="preserve"> </w:t>
      </w:r>
      <w:r w:rsidRPr="0072101A" w:rsidR="00DE1AD3">
        <w:rPr>
          <w:rFonts w:ascii="Times New Roman" w:hAnsi="Times New Roman"/>
          <w:b w:val="0"/>
          <w:bCs w:val="0"/>
          <w:sz w:val="22"/>
          <w:szCs w:val="22"/>
        </w:rPr>
        <w:t>eliminovan</w:t>
      </w:r>
      <w:r w:rsidRPr="0072101A" w:rsidR="00974489">
        <w:rPr>
          <w:rFonts w:ascii="Times New Roman" w:hAnsi="Times New Roman"/>
          <w:b w:val="0"/>
          <w:bCs w:val="0"/>
          <w:sz w:val="22"/>
          <w:szCs w:val="22"/>
        </w:rPr>
        <w:t>ej</w:t>
      </w:r>
      <w:r w:rsidRPr="0072101A" w:rsidR="00DE1AD3">
        <w:rPr>
          <w:rFonts w:ascii="Times New Roman" w:hAnsi="Times New Roman"/>
          <w:b w:val="0"/>
          <w:bCs w:val="0"/>
          <w:sz w:val="22"/>
          <w:szCs w:val="22"/>
        </w:rPr>
        <w:t xml:space="preserve"> hodn</w:t>
      </w:r>
      <w:r w:rsidRPr="0072101A" w:rsidR="00974489">
        <w:rPr>
          <w:rFonts w:ascii="Times New Roman" w:hAnsi="Times New Roman"/>
          <w:b w:val="0"/>
          <w:bCs w:val="0"/>
          <w:sz w:val="22"/>
          <w:szCs w:val="22"/>
        </w:rPr>
        <w:t>o</w:t>
      </w:r>
      <w:r w:rsidRPr="0072101A" w:rsidR="00DE1AD3">
        <w:rPr>
          <w:rFonts w:ascii="Times New Roman" w:hAnsi="Times New Roman"/>
          <w:b w:val="0"/>
          <w:bCs w:val="0"/>
          <w:sz w:val="22"/>
          <w:szCs w:val="22"/>
        </w:rPr>
        <w:t>t</w:t>
      </w:r>
      <w:r w:rsidRPr="0072101A" w:rsidR="00974489">
        <w:rPr>
          <w:rFonts w:ascii="Times New Roman" w:hAnsi="Times New Roman"/>
          <w:b w:val="0"/>
          <w:bCs w:val="0"/>
          <w:sz w:val="22"/>
          <w:szCs w:val="22"/>
        </w:rPr>
        <w:t>y</w:t>
      </w:r>
      <w:r w:rsidRPr="0072101A" w:rsidR="00DE1AD3">
        <w:rPr>
          <w:rFonts w:ascii="Times New Roman" w:hAnsi="Times New Roman"/>
          <w:b w:val="0"/>
          <w:bCs w:val="0"/>
          <w:sz w:val="22"/>
          <w:szCs w:val="22"/>
        </w:rPr>
        <w:t xml:space="preserve"> </w:t>
      </w:r>
      <w:r w:rsidRPr="0072101A" w:rsidR="00353383">
        <w:rPr>
          <w:rFonts w:ascii="Times New Roman" w:hAnsi="Times New Roman"/>
          <w:b w:val="0"/>
          <w:bCs w:val="0"/>
          <w:sz w:val="22"/>
          <w:szCs w:val="22"/>
        </w:rPr>
        <w:t xml:space="preserve">tvorili najvyššiu </w:t>
      </w:r>
      <w:r w:rsidRPr="0072101A" w:rsidR="002E7E63">
        <w:rPr>
          <w:rFonts w:ascii="Times New Roman" w:hAnsi="Times New Roman"/>
          <w:b w:val="0"/>
          <w:bCs w:val="0"/>
          <w:sz w:val="22"/>
          <w:szCs w:val="22"/>
        </w:rPr>
        <w:t>časť</w:t>
      </w:r>
      <w:r w:rsidRPr="0072101A" w:rsidR="00353383">
        <w:rPr>
          <w:rFonts w:ascii="Times New Roman" w:hAnsi="Times New Roman"/>
          <w:b w:val="0"/>
          <w:bCs w:val="0"/>
          <w:sz w:val="22"/>
          <w:szCs w:val="22"/>
        </w:rPr>
        <w:t xml:space="preserve"> účty Národného jadrového fondu (</w:t>
      </w:r>
      <w:r w:rsidRPr="0072101A" w:rsidR="00717E99">
        <w:rPr>
          <w:rFonts w:ascii="Times New Roman" w:hAnsi="Times New Roman"/>
          <w:b w:val="0"/>
          <w:bCs w:val="0"/>
          <w:sz w:val="22"/>
          <w:szCs w:val="22"/>
        </w:rPr>
        <w:t>1</w:t>
      </w:r>
      <w:r>
        <w:rPr>
          <w:rFonts w:ascii="Times New Roman" w:hAnsi="Times New Roman"/>
          <w:b w:val="0"/>
          <w:bCs w:val="0"/>
          <w:sz w:val="22"/>
          <w:szCs w:val="22"/>
        </w:rPr>
        <w:t> 322 972</w:t>
      </w:r>
      <w:r w:rsidRPr="0072101A" w:rsidR="00353383">
        <w:rPr>
          <w:rFonts w:ascii="Times New Roman" w:hAnsi="Times New Roman"/>
          <w:b w:val="0"/>
          <w:bCs w:val="0"/>
          <w:sz w:val="22"/>
          <w:szCs w:val="22"/>
        </w:rPr>
        <w:t xml:space="preserve"> tis. eur) a Sociálnej poisťovne (</w:t>
      </w:r>
      <w:r>
        <w:rPr>
          <w:rFonts w:ascii="Times New Roman" w:hAnsi="Times New Roman"/>
          <w:b w:val="0"/>
          <w:bCs w:val="0"/>
          <w:sz w:val="22"/>
          <w:szCs w:val="22"/>
        </w:rPr>
        <w:t>727 672</w:t>
      </w:r>
      <w:r w:rsidRPr="0072101A" w:rsidR="00353383">
        <w:rPr>
          <w:rFonts w:ascii="Times New Roman" w:hAnsi="Times New Roman"/>
          <w:b w:val="0"/>
          <w:bCs w:val="0"/>
          <w:sz w:val="22"/>
          <w:szCs w:val="22"/>
        </w:rPr>
        <w:t xml:space="preserve"> tis. eur)</w:t>
      </w:r>
      <w:r>
        <w:rPr>
          <w:rFonts w:ascii="Times New Roman" w:hAnsi="Times New Roman"/>
          <w:b w:val="0"/>
          <w:bCs w:val="0"/>
          <w:sz w:val="22"/>
          <w:szCs w:val="22"/>
        </w:rPr>
        <w:t xml:space="preserve"> a Štátneho fondu rozvoja bývania (247 528 tis. eur)</w:t>
      </w:r>
      <w:r w:rsidRPr="0072101A" w:rsidR="00353383">
        <w:rPr>
          <w:rFonts w:ascii="Times New Roman" w:hAnsi="Times New Roman"/>
          <w:b w:val="0"/>
          <w:bCs w:val="0"/>
          <w:sz w:val="22"/>
          <w:szCs w:val="22"/>
        </w:rPr>
        <w:t>.</w:t>
      </w:r>
    </w:p>
    <w:p w:rsidR="002425C8" w:rsidP="0097612B">
      <w:pPr>
        <w:pStyle w:val="Pismenka"/>
        <w:tabs>
          <w:tab w:val="clear" w:pos="426"/>
        </w:tabs>
        <w:bidi w:val="0"/>
        <w:spacing w:before="180" w:after="120" w:line="336" w:lineRule="auto"/>
        <w:ind w:left="0" w:firstLine="0"/>
        <w:rPr>
          <w:rFonts w:ascii="Times New Roman" w:hAnsi="Times New Roman"/>
          <w:b w:val="0"/>
          <w:bCs w:val="0"/>
          <w:sz w:val="22"/>
          <w:szCs w:val="22"/>
        </w:rPr>
      </w:pPr>
      <w:r w:rsidRPr="0072101A" w:rsidR="00717E99">
        <w:rPr>
          <w:rFonts w:ascii="Times New Roman" w:hAnsi="Times New Roman"/>
          <w:b w:val="0"/>
          <w:bCs w:val="0"/>
          <w:sz w:val="22"/>
          <w:szCs w:val="22"/>
        </w:rPr>
        <w:t>Medziročný úbytok na finančných účtoch v</w:t>
      </w:r>
      <w:r>
        <w:rPr>
          <w:rFonts w:ascii="Times New Roman" w:hAnsi="Times New Roman"/>
          <w:b w:val="0"/>
          <w:bCs w:val="0"/>
          <w:sz w:val="22"/>
          <w:szCs w:val="22"/>
        </w:rPr>
        <w:t xml:space="preserve"> celkovej </w:t>
      </w:r>
      <w:r w:rsidRPr="0072101A" w:rsidR="00717E99">
        <w:rPr>
          <w:rFonts w:ascii="Times New Roman" w:hAnsi="Times New Roman"/>
          <w:b w:val="0"/>
          <w:bCs w:val="0"/>
          <w:sz w:val="22"/>
          <w:szCs w:val="22"/>
        </w:rPr>
        <w:t xml:space="preserve">hodnote </w:t>
      </w:r>
      <w:r>
        <w:rPr>
          <w:rFonts w:ascii="Times New Roman" w:hAnsi="Times New Roman"/>
          <w:b w:val="0"/>
          <w:bCs w:val="0"/>
          <w:sz w:val="22"/>
          <w:szCs w:val="22"/>
        </w:rPr>
        <w:t>561 921</w:t>
      </w:r>
      <w:r w:rsidRPr="0072101A" w:rsidR="00717E99">
        <w:rPr>
          <w:rFonts w:ascii="Times New Roman" w:hAnsi="Times New Roman"/>
          <w:b w:val="0"/>
          <w:bCs w:val="0"/>
          <w:sz w:val="22"/>
          <w:szCs w:val="22"/>
        </w:rPr>
        <w:t xml:space="preserve"> tis. eur bol spôsobený </w:t>
      </w:r>
      <w:r>
        <w:rPr>
          <w:rFonts w:ascii="Times New Roman" w:hAnsi="Times New Roman"/>
          <w:b w:val="0"/>
          <w:bCs w:val="0"/>
          <w:sz w:val="22"/>
          <w:szCs w:val="22"/>
        </w:rPr>
        <w:t>dvomi opačnými vplyvmi. Na jednej strane išlo o úbytok účtov Štátnej pokladnice o 949 816 tis. eur, ktoré sa v rozhodujúcej miere presunuli do položky krátkodobých pohľadávok voči komerčným bankám. Štátna pokladnica znížila zostatky na účtoch v Národnej banke Slovenska a umiestnila ich ako krátkodobé úložky na finančnom trhu. Na strane prírastkov zaznamenali vyššie zostatky účtov najmä obce o 115 345 tis. eur a ústredná správa o 234 497 tis. eur.</w:t>
      </w:r>
      <w:r w:rsidR="00B71ABF">
        <w:rPr>
          <w:rFonts w:ascii="Times New Roman" w:hAnsi="Times New Roman"/>
          <w:b w:val="0"/>
          <w:bCs w:val="0"/>
          <w:sz w:val="22"/>
          <w:szCs w:val="22"/>
        </w:rPr>
        <w:t xml:space="preserve"> Z nej </w:t>
      </w:r>
      <w:r w:rsidR="00BA1F6D">
        <w:rPr>
          <w:rFonts w:ascii="Times New Roman" w:hAnsi="Times New Roman"/>
          <w:b w:val="0"/>
          <w:bCs w:val="0"/>
          <w:sz w:val="22"/>
          <w:szCs w:val="22"/>
        </w:rPr>
        <w:t>mal medziročne najvyšší prírastok SPP, a.s. o 169 494 tis. eur z</w:t>
      </w:r>
      <w:r w:rsidR="0084497C">
        <w:rPr>
          <w:rFonts w:ascii="Times New Roman" w:hAnsi="Times New Roman"/>
          <w:b w:val="0"/>
          <w:bCs w:val="0"/>
          <w:sz w:val="22"/>
          <w:szCs w:val="22"/>
        </w:rPr>
        <w:t> </w:t>
      </w:r>
      <w:r w:rsidR="00BA1F6D">
        <w:rPr>
          <w:rFonts w:ascii="Times New Roman" w:hAnsi="Times New Roman"/>
          <w:b w:val="0"/>
          <w:bCs w:val="0"/>
          <w:sz w:val="22"/>
          <w:szCs w:val="22"/>
        </w:rPr>
        <w:t>dôvodu</w:t>
      </w:r>
      <w:r w:rsidR="0084497C">
        <w:rPr>
          <w:rFonts w:ascii="Times New Roman" w:hAnsi="Times New Roman"/>
          <w:b w:val="0"/>
          <w:bCs w:val="0"/>
          <w:sz w:val="22"/>
          <w:szCs w:val="22"/>
        </w:rPr>
        <w:t xml:space="preserve"> prijatých dividend.</w:t>
      </w:r>
    </w:p>
    <w:p w:rsidR="009270BF" w:rsidRPr="0072101A" w:rsidP="003601E3">
      <w:pPr>
        <w:pStyle w:val="Pismenka"/>
        <w:tabs>
          <w:tab w:val="clear" w:pos="426"/>
        </w:tabs>
        <w:bidi w:val="0"/>
        <w:spacing w:before="120" w:after="120" w:line="336" w:lineRule="auto"/>
        <w:ind w:left="0" w:firstLine="0"/>
        <w:rPr>
          <w:rFonts w:ascii="Times New Roman" w:hAnsi="Times New Roman"/>
          <w:b w:val="0"/>
          <w:bCs w:val="0"/>
          <w:i/>
          <w:sz w:val="22"/>
          <w:szCs w:val="22"/>
          <w:u w:val="single"/>
        </w:rPr>
      </w:pPr>
      <w:r w:rsidRPr="0072101A">
        <w:rPr>
          <w:rFonts w:ascii="Times New Roman" w:hAnsi="Times New Roman"/>
          <w:b w:val="0"/>
          <w:bCs w:val="0"/>
          <w:i/>
          <w:sz w:val="22"/>
          <w:szCs w:val="22"/>
          <w:u w:val="single"/>
        </w:rPr>
        <w:t>Krátkodob</w:t>
      </w:r>
      <w:r w:rsidRPr="0072101A" w:rsidR="00A676CD">
        <w:rPr>
          <w:rFonts w:ascii="Times New Roman" w:hAnsi="Times New Roman"/>
          <w:b w:val="0"/>
          <w:bCs w:val="0"/>
          <w:i/>
          <w:sz w:val="22"/>
          <w:szCs w:val="22"/>
          <w:u w:val="single"/>
        </w:rPr>
        <w:t>ý finančný majetok</w:t>
      </w:r>
    </w:p>
    <w:p w:rsidR="007C0A96" w:rsidP="003601E3">
      <w:pPr>
        <w:pStyle w:val="Pismenka"/>
        <w:tabs>
          <w:tab w:val="clear" w:pos="426"/>
        </w:tabs>
        <w:bidi w:val="0"/>
        <w:spacing w:after="120" w:line="336" w:lineRule="auto"/>
        <w:ind w:left="0" w:firstLine="0"/>
        <w:rPr>
          <w:rFonts w:ascii="Times New Roman" w:hAnsi="Times New Roman"/>
          <w:b w:val="0"/>
          <w:bCs w:val="0"/>
          <w:sz w:val="22"/>
          <w:szCs w:val="22"/>
        </w:rPr>
      </w:pPr>
      <w:r w:rsidRPr="0072101A" w:rsidR="00ED0AAE">
        <w:rPr>
          <w:rFonts w:ascii="Times New Roman" w:hAnsi="Times New Roman"/>
          <w:b w:val="0"/>
          <w:bCs w:val="0"/>
          <w:sz w:val="22"/>
          <w:szCs w:val="22"/>
        </w:rPr>
        <w:t xml:space="preserve">V rámci krátkodobého finančného majetku došlo </w:t>
      </w:r>
      <w:r w:rsidRPr="0072101A" w:rsidR="00275D35">
        <w:rPr>
          <w:rFonts w:ascii="Times New Roman" w:hAnsi="Times New Roman"/>
          <w:b w:val="0"/>
          <w:bCs w:val="0"/>
          <w:sz w:val="22"/>
          <w:szCs w:val="22"/>
        </w:rPr>
        <w:t xml:space="preserve">medziročne </w:t>
      </w:r>
      <w:r w:rsidRPr="0072101A" w:rsidR="00ED0AAE">
        <w:rPr>
          <w:rFonts w:ascii="Times New Roman" w:hAnsi="Times New Roman"/>
          <w:b w:val="0"/>
          <w:bCs w:val="0"/>
          <w:sz w:val="22"/>
          <w:szCs w:val="22"/>
        </w:rPr>
        <w:t>k</w:t>
      </w:r>
      <w:r w:rsidRPr="0072101A" w:rsidR="00717E99">
        <w:rPr>
          <w:rFonts w:ascii="Times New Roman" w:hAnsi="Times New Roman"/>
          <w:b w:val="0"/>
          <w:bCs w:val="0"/>
          <w:sz w:val="22"/>
          <w:szCs w:val="22"/>
        </w:rPr>
        <w:t xml:space="preserve"> poklesu </w:t>
      </w:r>
      <w:r>
        <w:rPr>
          <w:rFonts w:ascii="Times New Roman" w:hAnsi="Times New Roman"/>
          <w:b w:val="0"/>
          <w:bCs w:val="0"/>
          <w:sz w:val="22"/>
          <w:szCs w:val="22"/>
        </w:rPr>
        <w:t xml:space="preserve">hodnoty o 70 049 tis. eur </w:t>
      </w:r>
      <w:r w:rsidRPr="0072101A" w:rsidR="00717E99">
        <w:rPr>
          <w:rFonts w:ascii="Times New Roman" w:hAnsi="Times New Roman"/>
          <w:b w:val="0"/>
          <w:bCs w:val="0"/>
          <w:sz w:val="22"/>
          <w:szCs w:val="22"/>
        </w:rPr>
        <w:t>najmä</w:t>
      </w:r>
      <w:r>
        <w:rPr>
          <w:rFonts w:ascii="Times New Roman" w:hAnsi="Times New Roman"/>
          <w:b w:val="0"/>
          <w:bCs w:val="0"/>
          <w:sz w:val="22"/>
          <w:szCs w:val="22"/>
        </w:rPr>
        <w:t xml:space="preserve"> konsolidáciou štátnych cenných papierov Slovenskej záručnej a rozvojovej banky, a.s.</w:t>
      </w:r>
      <w:r w:rsidRPr="0072101A" w:rsidR="00717E99">
        <w:rPr>
          <w:rFonts w:ascii="Times New Roman" w:hAnsi="Times New Roman"/>
          <w:b w:val="0"/>
          <w:bCs w:val="0"/>
          <w:sz w:val="22"/>
          <w:szCs w:val="22"/>
        </w:rPr>
        <w:t xml:space="preserve"> </w:t>
      </w:r>
      <w:r>
        <w:rPr>
          <w:rFonts w:ascii="Times New Roman" w:hAnsi="Times New Roman"/>
          <w:b w:val="0"/>
          <w:bCs w:val="0"/>
          <w:sz w:val="22"/>
          <w:szCs w:val="22"/>
        </w:rPr>
        <w:t>v hodnote 19 156 tis. eur, splatením bankových zmeniek u Nemocnici sv. Michala, a.s. v hodnote 31 634 tis. eur a znížením hodnoty cenných papierov v správe Fondu národného majetku o 18</w:t>
      </w:r>
      <w:r w:rsidR="00DB6E56">
        <w:rPr>
          <w:rFonts w:ascii="Times New Roman" w:hAnsi="Times New Roman"/>
          <w:b w:val="0"/>
          <w:bCs w:val="0"/>
          <w:sz w:val="22"/>
          <w:szCs w:val="22"/>
        </w:rPr>
        <w:t> </w:t>
      </w:r>
      <w:r>
        <w:rPr>
          <w:rFonts w:ascii="Times New Roman" w:hAnsi="Times New Roman"/>
          <w:b w:val="0"/>
          <w:bCs w:val="0"/>
          <w:sz w:val="22"/>
          <w:szCs w:val="22"/>
        </w:rPr>
        <w:t>924</w:t>
      </w:r>
      <w:r w:rsidR="00DB6E56">
        <w:rPr>
          <w:rFonts w:ascii="Times New Roman" w:hAnsi="Times New Roman"/>
          <w:b w:val="0"/>
          <w:bCs w:val="0"/>
          <w:sz w:val="22"/>
          <w:szCs w:val="22"/>
        </w:rPr>
        <w:t> tis. </w:t>
      </w:r>
      <w:r>
        <w:rPr>
          <w:rFonts w:ascii="Times New Roman" w:hAnsi="Times New Roman"/>
          <w:b w:val="0"/>
          <w:bCs w:val="0"/>
          <w:sz w:val="22"/>
          <w:szCs w:val="22"/>
        </w:rPr>
        <w:t xml:space="preserve">eur.  </w:t>
      </w:r>
    </w:p>
    <w:p w:rsidR="009270BF" w:rsidRPr="0072101A" w:rsidP="00630605">
      <w:pPr>
        <w:pStyle w:val="Pismenka"/>
        <w:tabs>
          <w:tab w:val="clear" w:pos="426"/>
        </w:tabs>
        <w:bidi w:val="0"/>
        <w:spacing w:after="200" w:line="336" w:lineRule="auto"/>
        <w:ind w:left="0" w:firstLine="0"/>
        <w:rPr>
          <w:rFonts w:ascii="Times New Roman" w:hAnsi="Times New Roman"/>
          <w:bCs w:val="0"/>
          <w:color w:val="FF0000"/>
          <w:sz w:val="22"/>
          <w:szCs w:val="22"/>
        </w:rPr>
      </w:pPr>
      <w:r w:rsidRPr="0072101A">
        <w:rPr>
          <w:rFonts w:ascii="Times New Roman" w:hAnsi="Times New Roman"/>
          <w:bCs w:val="0"/>
          <w:sz w:val="22"/>
          <w:szCs w:val="22"/>
        </w:rPr>
        <w:t xml:space="preserve">B.V. Poskytnuté návratné finančné výpomoci </w:t>
      </w:r>
    </w:p>
    <w:p w:rsidR="006D3882" w:rsidRPr="0072101A" w:rsidP="003601E3">
      <w:pPr>
        <w:pStyle w:val="Pismenka"/>
        <w:tabs>
          <w:tab w:val="clear" w:pos="426"/>
        </w:tabs>
        <w:bidi w:val="0"/>
        <w:spacing w:after="120" w:line="336" w:lineRule="auto"/>
        <w:ind w:left="0" w:firstLine="0"/>
        <w:rPr>
          <w:rFonts w:ascii="Times New Roman" w:hAnsi="Times New Roman"/>
          <w:b w:val="0"/>
          <w:bCs w:val="0"/>
          <w:sz w:val="22"/>
          <w:szCs w:val="22"/>
        </w:rPr>
      </w:pPr>
      <w:r w:rsidRPr="0072101A" w:rsidR="009270BF">
        <w:rPr>
          <w:rFonts w:ascii="Times New Roman" w:hAnsi="Times New Roman"/>
          <w:b w:val="0"/>
          <w:bCs w:val="0"/>
          <w:sz w:val="22"/>
          <w:szCs w:val="22"/>
        </w:rPr>
        <w:t xml:space="preserve">Návratné finančné výpomoci sú špecifikom pre štátnu správu a územnú samosprávu. V rámci </w:t>
      </w:r>
      <w:r w:rsidRPr="0072101A" w:rsidR="00A676CD">
        <w:rPr>
          <w:rFonts w:ascii="Times New Roman" w:hAnsi="Times New Roman"/>
          <w:b w:val="0"/>
          <w:bCs w:val="0"/>
          <w:sz w:val="22"/>
          <w:szCs w:val="22"/>
        </w:rPr>
        <w:t xml:space="preserve">ústrednej správy </w:t>
      </w:r>
      <w:r w:rsidRPr="0072101A" w:rsidR="009270BF">
        <w:rPr>
          <w:rFonts w:ascii="Times New Roman" w:hAnsi="Times New Roman"/>
          <w:b w:val="0"/>
          <w:bCs w:val="0"/>
          <w:sz w:val="22"/>
          <w:szCs w:val="22"/>
        </w:rPr>
        <w:t>môže návratné finančné výpomoci poskytovať Ministerstvo financií SR a iný orgán štátnej správy</w:t>
      </w:r>
      <w:r w:rsidRPr="0072101A" w:rsidR="00405030">
        <w:rPr>
          <w:rFonts w:ascii="Times New Roman" w:hAnsi="Times New Roman"/>
          <w:b w:val="0"/>
          <w:bCs w:val="0"/>
          <w:sz w:val="22"/>
          <w:szCs w:val="22"/>
        </w:rPr>
        <w:t>,</w:t>
      </w:r>
      <w:r w:rsidRPr="0072101A" w:rsidR="009270BF">
        <w:rPr>
          <w:rFonts w:ascii="Times New Roman" w:hAnsi="Times New Roman"/>
          <w:b w:val="0"/>
          <w:bCs w:val="0"/>
          <w:sz w:val="22"/>
          <w:szCs w:val="22"/>
        </w:rPr>
        <w:t xml:space="preserve"> ak tak umožňuje príslušný zákon</w:t>
      </w:r>
      <w:r w:rsidRPr="0072101A" w:rsidR="00D46E1B">
        <w:rPr>
          <w:rFonts w:ascii="Times New Roman" w:hAnsi="Times New Roman"/>
          <w:b w:val="0"/>
          <w:bCs w:val="0"/>
          <w:sz w:val="22"/>
          <w:szCs w:val="22"/>
        </w:rPr>
        <w:t xml:space="preserve"> (</w:t>
      </w:r>
      <w:r w:rsidR="00987071">
        <w:rPr>
          <w:rFonts w:ascii="Times New Roman" w:hAnsi="Times New Roman"/>
          <w:b w:val="0"/>
          <w:bCs w:val="0"/>
          <w:sz w:val="22"/>
          <w:szCs w:val="22"/>
        </w:rPr>
        <w:t xml:space="preserve">napríklad </w:t>
      </w:r>
      <w:r w:rsidRPr="0072101A" w:rsidR="00D46E1B">
        <w:rPr>
          <w:rFonts w:ascii="Times New Roman" w:hAnsi="Times New Roman"/>
          <w:b w:val="0"/>
          <w:bCs w:val="0"/>
          <w:sz w:val="22"/>
          <w:szCs w:val="22"/>
        </w:rPr>
        <w:t>Ministerstvo zdravotníctva SR)</w:t>
      </w:r>
      <w:r w:rsidRPr="0072101A" w:rsidR="009270BF">
        <w:rPr>
          <w:rFonts w:ascii="Times New Roman" w:hAnsi="Times New Roman"/>
          <w:b w:val="0"/>
          <w:bCs w:val="0"/>
          <w:sz w:val="22"/>
          <w:szCs w:val="22"/>
        </w:rPr>
        <w:t>.</w:t>
      </w:r>
      <w:r w:rsidR="008B56A7">
        <w:rPr>
          <w:rFonts w:ascii="Times New Roman" w:hAnsi="Times New Roman"/>
          <w:b w:val="0"/>
          <w:bCs w:val="0"/>
          <w:sz w:val="22"/>
          <w:szCs w:val="22"/>
        </w:rPr>
        <w:t xml:space="preserve"> Návratné finančné výpomoci sa poskytujú subjektom na riešenie špecifických situácii pri nedostatku vlastných zdrojov s</w:t>
      </w:r>
      <w:r w:rsidR="00987071">
        <w:rPr>
          <w:rFonts w:ascii="Times New Roman" w:hAnsi="Times New Roman"/>
          <w:b w:val="0"/>
          <w:bCs w:val="0"/>
          <w:sz w:val="22"/>
          <w:szCs w:val="22"/>
        </w:rPr>
        <w:t xml:space="preserve">ubjektu alebo v situácii, že by sa </w:t>
      </w:r>
      <w:r w:rsidR="008B56A7">
        <w:rPr>
          <w:rFonts w:ascii="Times New Roman" w:hAnsi="Times New Roman"/>
          <w:b w:val="0"/>
          <w:bCs w:val="0"/>
          <w:sz w:val="22"/>
          <w:szCs w:val="22"/>
        </w:rPr>
        <w:t>subjekt musel financovať cez úvery a zhoršovalo by to jeho platobnú schopnosť. Návratné finančné výpomoci poskytované Ministerstvom financií SR sú úročené, s priaznivejšími platobnými podmienkami z hľadiska začiatku a doby splácania istiny a úroku.</w:t>
      </w:r>
    </w:p>
    <w:p w:rsidR="00F81816" w:rsidP="00FC1194">
      <w:pPr>
        <w:pStyle w:val="Pismenka"/>
        <w:tabs>
          <w:tab w:val="clear" w:pos="426"/>
        </w:tabs>
        <w:bidi w:val="0"/>
        <w:spacing w:after="120" w:line="336" w:lineRule="auto"/>
        <w:ind w:left="0" w:firstLine="0"/>
        <w:rPr>
          <w:rFonts w:ascii="Times New Roman" w:hAnsi="Times New Roman"/>
          <w:b w:val="0"/>
          <w:bCs w:val="0"/>
          <w:sz w:val="22"/>
          <w:szCs w:val="22"/>
        </w:rPr>
      </w:pPr>
      <w:r w:rsidR="00837167">
        <w:rPr>
          <w:rFonts w:ascii="Times New Roman" w:hAnsi="Times New Roman"/>
          <w:b w:val="0"/>
          <w:bCs w:val="0"/>
          <w:sz w:val="22"/>
          <w:szCs w:val="22"/>
        </w:rPr>
        <w:t xml:space="preserve">Všetky </w:t>
      </w:r>
      <w:r w:rsidRPr="0072101A" w:rsidR="006D3882">
        <w:rPr>
          <w:rFonts w:ascii="Times New Roman" w:hAnsi="Times New Roman"/>
          <w:b w:val="0"/>
          <w:bCs w:val="0"/>
          <w:sz w:val="22"/>
          <w:szCs w:val="22"/>
        </w:rPr>
        <w:t>návratné finančné výpomoci</w:t>
      </w:r>
      <w:r w:rsidR="00837167">
        <w:rPr>
          <w:rFonts w:ascii="Times New Roman" w:hAnsi="Times New Roman"/>
          <w:b w:val="0"/>
          <w:bCs w:val="0"/>
          <w:sz w:val="22"/>
          <w:szCs w:val="22"/>
        </w:rPr>
        <w:t xml:space="preserve"> Ministerstva financií SR </w:t>
      </w:r>
      <w:r w:rsidRPr="0072101A" w:rsidR="00837167">
        <w:rPr>
          <w:rFonts w:ascii="Times New Roman" w:hAnsi="Times New Roman"/>
          <w:b w:val="0"/>
          <w:bCs w:val="0"/>
          <w:sz w:val="22"/>
          <w:szCs w:val="22"/>
        </w:rPr>
        <w:t xml:space="preserve">poskytnuté </w:t>
      </w:r>
      <w:r w:rsidR="00837167">
        <w:rPr>
          <w:rFonts w:ascii="Times New Roman" w:hAnsi="Times New Roman"/>
          <w:b w:val="0"/>
          <w:bCs w:val="0"/>
          <w:sz w:val="22"/>
          <w:szCs w:val="22"/>
        </w:rPr>
        <w:t>v rámci súhrnného celku sú predmetom vzájomnej eliminácie. Ide najmä o návratnú finančnú výpomoc Agentúre pre núdzové zásoby ropy a ropných výrobkov v hodnote 520 000 tis. eur a výpomoci mestám SR v objeme 41</w:t>
      </w:r>
      <w:r w:rsidR="00987071">
        <w:rPr>
          <w:rFonts w:ascii="Times New Roman" w:hAnsi="Times New Roman"/>
          <w:b w:val="0"/>
          <w:bCs w:val="0"/>
          <w:sz w:val="22"/>
          <w:szCs w:val="22"/>
        </w:rPr>
        <w:t> </w:t>
      </w:r>
      <w:r w:rsidR="00837167">
        <w:rPr>
          <w:rFonts w:ascii="Times New Roman" w:hAnsi="Times New Roman"/>
          <w:b w:val="0"/>
          <w:bCs w:val="0"/>
          <w:sz w:val="22"/>
          <w:szCs w:val="22"/>
        </w:rPr>
        <w:t>908</w:t>
      </w:r>
      <w:r w:rsidR="00987071">
        <w:rPr>
          <w:rFonts w:ascii="Times New Roman" w:hAnsi="Times New Roman"/>
          <w:b w:val="0"/>
          <w:bCs w:val="0"/>
          <w:sz w:val="22"/>
          <w:szCs w:val="22"/>
        </w:rPr>
        <w:t> </w:t>
      </w:r>
      <w:r w:rsidRPr="0072101A" w:rsidR="009F7B92">
        <w:rPr>
          <w:rFonts w:ascii="Times New Roman" w:hAnsi="Times New Roman"/>
          <w:b w:val="0"/>
          <w:bCs w:val="0"/>
          <w:sz w:val="22"/>
          <w:szCs w:val="22"/>
        </w:rPr>
        <w:t>tis. eur</w:t>
      </w:r>
      <w:r w:rsidRPr="0072101A" w:rsidR="006D3882">
        <w:rPr>
          <w:rFonts w:ascii="Times New Roman" w:hAnsi="Times New Roman"/>
          <w:b w:val="0"/>
          <w:bCs w:val="0"/>
          <w:sz w:val="22"/>
          <w:szCs w:val="22"/>
        </w:rPr>
        <w:t>.</w:t>
      </w:r>
      <w:r w:rsidRPr="0072101A" w:rsidR="009F7B92">
        <w:rPr>
          <w:rFonts w:ascii="Times New Roman" w:hAnsi="Times New Roman"/>
          <w:b w:val="0"/>
          <w:bCs w:val="0"/>
          <w:sz w:val="22"/>
          <w:szCs w:val="22"/>
        </w:rPr>
        <w:t xml:space="preserve"> </w:t>
      </w:r>
      <w:r w:rsidRPr="0072101A" w:rsidR="006D3882">
        <w:rPr>
          <w:rFonts w:ascii="Times New Roman" w:hAnsi="Times New Roman"/>
          <w:b w:val="0"/>
          <w:bCs w:val="0"/>
          <w:sz w:val="22"/>
          <w:szCs w:val="22"/>
        </w:rPr>
        <w:t xml:space="preserve">Pôvodne poskytnuté výpomoci zo strany Ministerstva financií SR </w:t>
      </w:r>
      <w:r w:rsidRPr="0072101A" w:rsidR="009F7B92">
        <w:rPr>
          <w:rFonts w:ascii="Times New Roman" w:hAnsi="Times New Roman"/>
          <w:b w:val="0"/>
          <w:bCs w:val="0"/>
          <w:sz w:val="22"/>
          <w:szCs w:val="22"/>
        </w:rPr>
        <w:t xml:space="preserve">voči podnikateľským subjektom mimo súhrnného celku </w:t>
      </w:r>
      <w:r w:rsidR="00987071">
        <w:rPr>
          <w:rFonts w:ascii="Times New Roman" w:hAnsi="Times New Roman"/>
          <w:b w:val="0"/>
          <w:bCs w:val="0"/>
          <w:sz w:val="22"/>
          <w:szCs w:val="22"/>
        </w:rPr>
        <w:t>sa prehodnocujú</w:t>
      </w:r>
      <w:r w:rsidRPr="0072101A" w:rsidR="006D3882">
        <w:rPr>
          <w:rFonts w:ascii="Times New Roman" w:hAnsi="Times New Roman"/>
          <w:b w:val="0"/>
          <w:bCs w:val="0"/>
          <w:sz w:val="22"/>
          <w:szCs w:val="22"/>
        </w:rPr>
        <w:t xml:space="preserve"> pokiaľ ide o ich návratnosť a k nesplácaným výpomociam sa tvoria opravné položky alebo sa </w:t>
      </w:r>
      <w:r w:rsidR="00B17D0C">
        <w:rPr>
          <w:rFonts w:ascii="Times New Roman" w:hAnsi="Times New Roman"/>
          <w:b w:val="0"/>
          <w:bCs w:val="0"/>
          <w:sz w:val="22"/>
          <w:szCs w:val="22"/>
        </w:rPr>
        <w:t>so</w:t>
      </w:r>
      <w:r w:rsidRPr="0072101A" w:rsidR="006D3882">
        <w:rPr>
          <w:rFonts w:ascii="Times New Roman" w:hAnsi="Times New Roman"/>
          <w:b w:val="0"/>
          <w:bCs w:val="0"/>
          <w:sz w:val="22"/>
          <w:szCs w:val="22"/>
        </w:rPr>
        <w:t xml:space="preserve"> súhlasom vlády Slovenskej republiky trvalo odpisujú do nákladov. </w:t>
      </w:r>
    </w:p>
    <w:p w:rsidR="00F81816">
      <w:pPr>
        <w:bidi w:val="0"/>
        <w:spacing w:after="0" w:line="240" w:lineRule="auto"/>
        <w:rPr>
          <w:rFonts w:ascii="Times New Roman" w:hAnsi="Times New Roman"/>
          <w:szCs w:val="22"/>
          <w:lang w:eastAsia="sk-SK"/>
        </w:rPr>
      </w:pPr>
      <w:r>
        <w:rPr>
          <w:b/>
          <w:bCs/>
          <w:szCs w:val="22"/>
        </w:rPr>
        <w:br w:type="page"/>
      </w:r>
    </w:p>
    <w:tbl>
      <w:tblPr>
        <w:tblStyle w:val="TableNormal"/>
        <w:tblW w:w="4608" w:type="pct"/>
        <w:jc w:val="center"/>
        <w:tblInd w:w="70" w:type="dxa"/>
        <w:tblLayout w:type="fixed"/>
        <w:tblCellMar>
          <w:left w:w="70" w:type="dxa"/>
          <w:right w:w="70" w:type="dxa"/>
        </w:tblCellMar>
        <w:tblLook w:val="00A0"/>
      </w:tblPr>
      <w:tblGrid>
        <w:gridCol w:w="5949"/>
        <w:gridCol w:w="1418"/>
        <w:gridCol w:w="1122"/>
      </w:tblGrid>
      <w:tr>
        <w:tblPrEx>
          <w:tblW w:w="4608" w:type="pct"/>
          <w:jc w:val="center"/>
          <w:tblInd w:w="70" w:type="dxa"/>
          <w:tblLayout w:type="fixed"/>
          <w:tblCellMar>
            <w:left w:w="70" w:type="dxa"/>
            <w:right w:w="70" w:type="dxa"/>
          </w:tblCellMar>
          <w:tblLook w:val="00A0"/>
        </w:tblPrEx>
        <w:trPr>
          <w:trHeight w:val="330"/>
          <w:jc w:val="center"/>
        </w:trPr>
        <w:tc>
          <w:tcPr>
            <w:tcW w:w="4339" w:type="pct"/>
            <w:gridSpan w:val="2"/>
            <w:tcBorders>
              <w:top w:val="single" w:sz="4" w:space="0" w:color="auto"/>
              <w:left w:val="nil"/>
              <w:bottom w:val="single" w:sz="4" w:space="0" w:color="auto"/>
              <w:right w:val="nil"/>
            </w:tcBorders>
            <w:shd w:val="clear" w:color="000000" w:fill="000000"/>
            <w:noWrap/>
            <w:textDirection w:val="lrTb"/>
            <w:vAlign w:val="center"/>
          </w:tcPr>
          <w:p w:rsidR="004D4732" w:rsidRPr="0072101A" w:rsidP="00BD2AA1">
            <w:pPr>
              <w:bidi w:val="0"/>
              <w:spacing w:after="0" w:line="240" w:lineRule="auto"/>
              <w:rPr>
                <w:rFonts w:ascii="Times New Roman" w:hAnsi="Times New Roman"/>
                <w:b/>
                <w:bCs/>
                <w:color w:val="FFFFFF"/>
                <w:sz w:val="20"/>
                <w:szCs w:val="20"/>
                <w:lang w:eastAsia="sk-SK"/>
              </w:rPr>
            </w:pPr>
            <w:r w:rsidRPr="0072101A" w:rsidR="00D1792A">
              <w:rPr>
                <w:b/>
                <w:bCs/>
                <w:szCs w:val="22"/>
              </w:rPr>
              <w:br w:type="page"/>
            </w:r>
            <w:r w:rsidRPr="0072101A" w:rsidR="00BD2AA1">
              <w:rPr>
                <w:rFonts w:ascii="Times New Roman" w:hAnsi="Times New Roman"/>
                <w:b/>
                <w:bCs/>
                <w:color w:val="FFFFFF"/>
                <w:sz w:val="20"/>
                <w:szCs w:val="20"/>
                <w:lang w:eastAsia="sk-SK"/>
              </w:rPr>
              <w:t>Návratné finančné výpomoci</w:t>
            </w:r>
            <w:r w:rsidRPr="0072101A">
              <w:rPr>
                <w:rFonts w:ascii="Times New Roman" w:hAnsi="Times New Roman"/>
                <w:b/>
                <w:bCs/>
                <w:color w:val="FFFFFF"/>
                <w:sz w:val="20"/>
                <w:szCs w:val="20"/>
                <w:lang w:eastAsia="sk-SK"/>
              </w:rPr>
              <w:t xml:space="preserve"> súhrnného celku (v tis. eur)</w:t>
            </w:r>
          </w:p>
        </w:tc>
        <w:tc>
          <w:tcPr>
            <w:tcW w:w="661" w:type="pct"/>
            <w:tcBorders>
              <w:top w:val="single" w:sz="4" w:space="0" w:color="auto"/>
              <w:left w:val="nil"/>
              <w:bottom w:val="single" w:sz="4" w:space="0" w:color="auto"/>
              <w:right w:val="nil"/>
            </w:tcBorders>
            <w:shd w:val="clear" w:color="000000" w:fill="000000"/>
            <w:textDirection w:val="lrTb"/>
            <w:vAlign w:val="center"/>
          </w:tcPr>
          <w:p w:rsidR="004D4732" w:rsidRPr="0072101A" w:rsidP="00F5652D">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r>
      <w:tr>
        <w:tblPrEx>
          <w:tblW w:w="4608" w:type="pct"/>
          <w:jc w:val="center"/>
          <w:tblInd w:w="70" w:type="dxa"/>
          <w:tblLayout w:type="fixed"/>
          <w:tblCellMar>
            <w:left w:w="70" w:type="dxa"/>
            <w:right w:w="70" w:type="dxa"/>
          </w:tblCellMar>
          <w:tblLook w:val="00A0"/>
        </w:tblPrEx>
        <w:trPr>
          <w:trHeight w:val="382"/>
          <w:jc w:val="center"/>
        </w:trPr>
        <w:tc>
          <w:tcPr>
            <w:tcW w:w="3504" w:type="pct"/>
            <w:tcBorders>
              <w:top w:val="nil"/>
              <w:left w:val="nil"/>
              <w:bottom w:val="single" w:sz="4" w:space="0" w:color="auto"/>
              <w:right w:val="nil"/>
            </w:tcBorders>
            <w:shd w:val="clear" w:color="000000" w:fill="BFBFBF"/>
            <w:noWrap/>
            <w:textDirection w:val="lrTb"/>
            <w:vAlign w:val="bottom"/>
          </w:tcPr>
          <w:p w:rsidR="004D4732" w:rsidRPr="0072101A" w:rsidP="00BD2AA1">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 xml:space="preserve">Druh </w:t>
            </w:r>
            <w:r w:rsidRPr="0072101A" w:rsidR="00BD2AA1">
              <w:rPr>
                <w:rFonts w:ascii="Times New Roman" w:hAnsi="Times New Roman"/>
                <w:b/>
                <w:bCs/>
                <w:sz w:val="20"/>
                <w:szCs w:val="20"/>
                <w:lang w:eastAsia="sk-SK"/>
              </w:rPr>
              <w:t>výpomoci</w:t>
            </w:r>
          </w:p>
        </w:tc>
        <w:tc>
          <w:tcPr>
            <w:tcW w:w="835" w:type="pct"/>
            <w:tcBorders>
              <w:top w:val="nil"/>
              <w:left w:val="nil"/>
              <w:bottom w:val="single" w:sz="4" w:space="0" w:color="auto"/>
              <w:right w:val="nil"/>
            </w:tcBorders>
            <w:shd w:val="clear" w:color="000000" w:fill="BFBFBF"/>
            <w:noWrap/>
            <w:textDirection w:val="lrTb"/>
            <w:vAlign w:val="bottom"/>
          </w:tcPr>
          <w:p w:rsidR="004D4732" w:rsidRPr="0072101A" w:rsidP="00F5652D">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w:t>
            </w:r>
            <w:r w:rsidRPr="0072101A" w:rsidR="00C33C20">
              <w:rPr>
                <w:rFonts w:ascii="Times New Roman" w:hAnsi="Times New Roman"/>
                <w:b/>
                <w:bCs/>
                <w:sz w:val="20"/>
                <w:szCs w:val="20"/>
                <w:lang w:eastAsia="sk-SK"/>
              </w:rPr>
              <w:t xml:space="preserve">    </w:t>
            </w:r>
            <w:r w:rsidRPr="0072101A" w:rsidR="00A7796B">
              <w:rPr>
                <w:rFonts w:ascii="Times New Roman" w:hAnsi="Times New Roman"/>
                <w:b/>
                <w:bCs/>
                <w:sz w:val="20"/>
                <w:szCs w:val="20"/>
                <w:lang w:eastAsia="sk-SK"/>
              </w:rPr>
              <w:t xml:space="preserve">  </w:t>
            </w:r>
            <w:r w:rsidRPr="0072101A" w:rsidR="00B3502A">
              <w:rPr>
                <w:rFonts w:ascii="Times New Roman" w:hAnsi="Times New Roman"/>
                <w:b/>
                <w:bCs/>
                <w:sz w:val="20"/>
                <w:szCs w:val="20"/>
                <w:lang w:eastAsia="sk-SK"/>
              </w:rPr>
              <w:t xml:space="preserve">   </w:t>
            </w:r>
            <w:r w:rsidR="007810FA">
              <w:rPr>
                <w:rFonts w:ascii="Times New Roman" w:hAnsi="Times New Roman"/>
                <w:b/>
                <w:bCs/>
                <w:sz w:val="20"/>
                <w:szCs w:val="20"/>
                <w:lang w:eastAsia="sk-SK"/>
              </w:rPr>
              <w:t>2015</w:t>
            </w:r>
          </w:p>
        </w:tc>
        <w:tc>
          <w:tcPr>
            <w:tcW w:w="661" w:type="pct"/>
            <w:tcBorders>
              <w:top w:val="nil"/>
              <w:left w:val="nil"/>
              <w:bottom w:val="single" w:sz="4" w:space="0" w:color="auto"/>
              <w:right w:val="nil"/>
            </w:tcBorders>
            <w:shd w:val="clear" w:color="000000" w:fill="BFBFBF"/>
            <w:noWrap/>
            <w:textDirection w:val="lrTb"/>
            <w:vAlign w:val="bottom"/>
          </w:tcPr>
          <w:p w:rsidR="004D4732" w:rsidRPr="0072101A" w:rsidP="007810FA">
            <w:pPr>
              <w:bidi w:val="0"/>
              <w:spacing w:after="0" w:line="240" w:lineRule="auto"/>
              <w:jc w:val="right"/>
              <w:rPr>
                <w:rFonts w:ascii="Times New Roman" w:hAnsi="Times New Roman"/>
                <w:b/>
                <w:bCs/>
                <w:sz w:val="20"/>
                <w:szCs w:val="20"/>
                <w:lang w:eastAsia="sk-SK"/>
              </w:rPr>
            </w:pPr>
            <w:r w:rsidRPr="0072101A" w:rsidR="00C33C20">
              <w:rPr>
                <w:rFonts w:ascii="Times New Roman" w:hAnsi="Times New Roman"/>
                <w:b/>
                <w:bCs/>
                <w:sz w:val="20"/>
                <w:szCs w:val="20"/>
                <w:lang w:eastAsia="sk-SK"/>
              </w:rPr>
              <w:t xml:space="preserve">    </w:t>
            </w:r>
            <w:r w:rsidRPr="0072101A" w:rsidR="00A7796B">
              <w:rPr>
                <w:rFonts w:ascii="Times New Roman" w:hAnsi="Times New Roman"/>
                <w:b/>
                <w:bCs/>
                <w:sz w:val="20"/>
                <w:szCs w:val="20"/>
                <w:lang w:eastAsia="sk-SK"/>
              </w:rPr>
              <w:t xml:space="preserve">     </w:t>
            </w:r>
            <w:r w:rsidRPr="0072101A" w:rsidR="00C33C20">
              <w:rPr>
                <w:rFonts w:ascii="Times New Roman" w:hAnsi="Times New Roman"/>
                <w:b/>
                <w:bCs/>
                <w:sz w:val="20"/>
                <w:szCs w:val="20"/>
                <w:lang w:eastAsia="sk-SK"/>
              </w:rPr>
              <w:t xml:space="preserve">  </w:t>
            </w:r>
            <w:r w:rsidRPr="0072101A" w:rsidR="00B3502A">
              <w:rPr>
                <w:rFonts w:ascii="Times New Roman" w:hAnsi="Times New Roman"/>
                <w:b/>
                <w:bCs/>
                <w:sz w:val="20"/>
                <w:szCs w:val="20"/>
                <w:lang w:eastAsia="sk-SK"/>
              </w:rPr>
              <w:t xml:space="preserve"> </w:t>
            </w:r>
            <w:r w:rsidRPr="0072101A" w:rsidR="007715D7">
              <w:rPr>
                <w:rFonts w:ascii="Times New Roman" w:hAnsi="Times New Roman"/>
                <w:b/>
                <w:bCs/>
                <w:sz w:val="20"/>
                <w:szCs w:val="20"/>
                <w:lang w:eastAsia="sk-SK"/>
              </w:rPr>
              <w:t xml:space="preserve">             </w:t>
            </w:r>
            <w:r w:rsidRPr="0072101A" w:rsidR="00B3502A">
              <w:rPr>
                <w:rFonts w:ascii="Times New Roman" w:hAnsi="Times New Roman"/>
                <w:b/>
                <w:bCs/>
                <w:sz w:val="20"/>
                <w:szCs w:val="20"/>
                <w:lang w:eastAsia="sk-SK"/>
              </w:rPr>
              <w:t>201</w:t>
            </w:r>
            <w:r w:rsidR="007810FA">
              <w:rPr>
                <w:rFonts w:ascii="Times New Roman" w:hAnsi="Times New Roman"/>
                <w:b/>
                <w:bCs/>
                <w:sz w:val="20"/>
                <w:szCs w:val="20"/>
                <w:lang w:eastAsia="sk-SK"/>
              </w:rPr>
              <w:t>4</w:t>
            </w:r>
          </w:p>
        </w:tc>
      </w:tr>
      <w:tr>
        <w:tblPrEx>
          <w:tblW w:w="4608" w:type="pct"/>
          <w:jc w:val="center"/>
          <w:tblInd w:w="70" w:type="dxa"/>
          <w:tblLayout w:type="fixed"/>
          <w:tblCellMar>
            <w:left w:w="70" w:type="dxa"/>
            <w:right w:w="70" w:type="dxa"/>
          </w:tblCellMar>
          <w:tblLook w:val="00A0"/>
        </w:tblPrEx>
        <w:trPr>
          <w:trHeight w:hRule="exact" w:val="330"/>
          <w:jc w:val="center"/>
        </w:trPr>
        <w:tc>
          <w:tcPr>
            <w:tcW w:w="3504" w:type="pct"/>
            <w:tcBorders>
              <w:top w:val="nil"/>
              <w:left w:val="nil"/>
              <w:bottom w:val="none" w:sz="0" w:space="0" w:color="auto"/>
              <w:right w:val="nil"/>
            </w:tcBorders>
            <w:textDirection w:val="lrTb"/>
            <w:vAlign w:val="center"/>
          </w:tcPr>
          <w:p w:rsidR="007810FA" w:rsidRPr="0072101A" w:rsidP="00AE400C">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Podnikateľským subjektom</w:t>
            </w:r>
          </w:p>
        </w:tc>
        <w:tc>
          <w:tcPr>
            <w:tcW w:w="835" w:type="pct"/>
            <w:tcBorders>
              <w:top w:val="nil"/>
              <w:left w:val="nil"/>
              <w:bottom w:val="none" w:sz="0" w:space="0" w:color="auto"/>
              <w:right w:val="nil"/>
            </w:tcBorders>
            <w:textDirection w:val="lrTb"/>
            <w:vAlign w:val="center"/>
          </w:tcPr>
          <w:p w:rsidR="007810FA" w:rsidRPr="0072101A" w:rsidP="00572405">
            <w:pPr>
              <w:bidi w:val="0"/>
              <w:spacing w:after="0" w:line="240" w:lineRule="auto"/>
              <w:jc w:val="right"/>
              <w:rPr>
                <w:rFonts w:ascii="Times New Roman" w:hAnsi="Times New Roman"/>
                <w:color w:val="000000"/>
                <w:sz w:val="20"/>
                <w:szCs w:val="20"/>
                <w:lang w:eastAsia="sk-SK"/>
              </w:rPr>
            </w:pPr>
            <w:r w:rsidR="003A5018">
              <w:rPr>
                <w:rFonts w:ascii="Times New Roman" w:hAnsi="Times New Roman"/>
                <w:color w:val="000000"/>
                <w:sz w:val="20"/>
                <w:szCs w:val="20"/>
                <w:lang w:eastAsia="sk-SK"/>
              </w:rPr>
              <w:t>234</w:t>
            </w:r>
          </w:p>
        </w:tc>
        <w:tc>
          <w:tcPr>
            <w:tcW w:w="661" w:type="pct"/>
            <w:tcBorders>
              <w:top w:val="nil"/>
              <w:left w:val="nil"/>
              <w:bottom w:val="none" w:sz="0" w:space="0" w:color="auto"/>
              <w:right w:val="nil"/>
            </w:tcBorders>
            <w:textDirection w:val="lrTb"/>
            <w:vAlign w:val="center"/>
          </w:tcPr>
          <w:p w:rsidR="007810FA" w:rsidRPr="0072101A" w:rsidP="004A0505">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243</w:t>
            </w:r>
          </w:p>
        </w:tc>
      </w:tr>
      <w:tr>
        <w:tblPrEx>
          <w:tblW w:w="4608" w:type="pct"/>
          <w:jc w:val="center"/>
          <w:tblInd w:w="70" w:type="dxa"/>
          <w:tblLayout w:type="fixed"/>
          <w:tblCellMar>
            <w:left w:w="70" w:type="dxa"/>
            <w:right w:w="70" w:type="dxa"/>
          </w:tblCellMar>
          <w:tblLook w:val="00A0"/>
        </w:tblPrEx>
        <w:trPr>
          <w:trHeight w:hRule="exact" w:val="330"/>
          <w:jc w:val="center"/>
        </w:trPr>
        <w:tc>
          <w:tcPr>
            <w:tcW w:w="3504" w:type="pct"/>
            <w:tcBorders>
              <w:top w:val="nil"/>
              <w:left w:val="nil"/>
              <w:bottom w:val="nil"/>
              <w:right w:val="nil"/>
            </w:tcBorders>
            <w:textDirection w:val="lrTb"/>
            <w:vAlign w:val="center"/>
          </w:tcPr>
          <w:p w:rsidR="007810FA" w:rsidRPr="0072101A" w:rsidP="003601E3">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Subjektom v rámci konsolidovaného celku</w:t>
            </w:r>
          </w:p>
        </w:tc>
        <w:tc>
          <w:tcPr>
            <w:tcW w:w="835" w:type="pct"/>
            <w:tcBorders>
              <w:top w:val="nil"/>
              <w:left w:val="nil"/>
              <w:bottom w:val="nil"/>
              <w:right w:val="nil"/>
            </w:tcBorders>
            <w:textDirection w:val="lrTb"/>
            <w:vAlign w:val="center"/>
          </w:tcPr>
          <w:p w:rsidR="007810FA" w:rsidRPr="0072101A" w:rsidP="00ED0B08">
            <w:pPr>
              <w:bidi w:val="0"/>
              <w:spacing w:after="0" w:line="240" w:lineRule="auto"/>
              <w:jc w:val="right"/>
              <w:rPr>
                <w:rFonts w:ascii="Times New Roman" w:hAnsi="Times New Roman"/>
                <w:color w:val="000000"/>
                <w:sz w:val="20"/>
                <w:szCs w:val="20"/>
                <w:lang w:eastAsia="sk-SK"/>
              </w:rPr>
            </w:pPr>
            <w:r w:rsidR="00ED0B08">
              <w:rPr>
                <w:rFonts w:ascii="Times New Roman" w:hAnsi="Times New Roman"/>
                <w:color w:val="000000"/>
                <w:sz w:val="20"/>
                <w:szCs w:val="20"/>
                <w:lang w:eastAsia="sk-SK"/>
              </w:rPr>
              <w:t>835</w:t>
            </w:r>
          </w:p>
        </w:tc>
        <w:tc>
          <w:tcPr>
            <w:tcW w:w="661" w:type="pct"/>
            <w:tcBorders>
              <w:top w:val="nil"/>
              <w:left w:val="nil"/>
              <w:bottom w:val="nil"/>
              <w:right w:val="nil"/>
            </w:tcBorders>
            <w:textDirection w:val="lrTb"/>
            <w:vAlign w:val="center"/>
          </w:tcPr>
          <w:p w:rsidR="007810FA" w:rsidRPr="0072101A" w:rsidP="004A0505">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428</w:t>
            </w:r>
          </w:p>
        </w:tc>
      </w:tr>
      <w:tr>
        <w:tblPrEx>
          <w:tblW w:w="4608" w:type="pct"/>
          <w:jc w:val="center"/>
          <w:tblInd w:w="70" w:type="dxa"/>
          <w:tblLayout w:type="fixed"/>
          <w:tblCellMar>
            <w:left w:w="70" w:type="dxa"/>
            <w:right w:w="70" w:type="dxa"/>
          </w:tblCellMar>
          <w:tblLook w:val="00A0"/>
        </w:tblPrEx>
        <w:trPr>
          <w:trHeight w:hRule="exact" w:val="292"/>
          <w:jc w:val="center"/>
        </w:trPr>
        <w:tc>
          <w:tcPr>
            <w:tcW w:w="3504" w:type="pct"/>
            <w:tcBorders>
              <w:top w:val="nil"/>
              <w:left w:val="nil"/>
              <w:bottom w:val="nil"/>
              <w:right w:val="nil"/>
            </w:tcBorders>
            <w:textDirection w:val="lrTb"/>
            <w:vAlign w:val="center"/>
          </w:tcPr>
          <w:p w:rsidR="007810FA" w:rsidRPr="0072101A" w:rsidP="003601E3">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Subjektom verejnej správy</w:t>
            </w:r>
          </w:p>
        </w:tc>
        <w:tc>
          <w:tcPr>
            <w:tcW w:w="835" w:type="pct"/>
            <w:tcBorders>
              <w:top w:val="nil"/>
              <w:left w:val="nil"/>
              <w:bottom w:val="nil"/>
              <w:right w:val="nil"/>
            </w:tcBorders>
            <w:textDirection w:val="lrTb"/>
            <w:vAlign w:val="center"/>
          </w:tcPr>
          <w:p w:rsidR="007810FA" w:rsidRPr="0072101A" w:rsidP="003601E3">
            <w:pPr>
              <w:bidi w:val="0"/>
              <w:spacing w:after="0" w:line="240" w:lineRule="auto"/>
              <w:jc w:val="right"/>
              <w:rPr>
                <w:rFonts w:ascii="Times New Roman" w:hAnsi="Times New Roman"/>
                <w:color w:val="000000"/>
                <w:sz w:val="20"/>
                <w:szCs w:val="20"/>
                <w:lang w:eastAsia="sk-SK"/>
              </w:rPr>
            </w:pPr>
            <w:r w:rsidR="00ED0B08">
              <w:rPr>
                <w:rFonts w:ascii="Times New Roman" w:hAnsi="Times New Roman"/>
                <w:color w:val="000000"/>
                <w:sz w:val="20"/>
                <w:szCs w:val="20"/>
                <w:lang w:eastAsia="sk-SK"/>
              </w:rPr>
              <w:t>547</w:t>
            </w:r>
          </w:p>
        </w:tc>
        <w:tc>
          <w:tcPr>
            <w:tcW w:w="661" w:type="pct"/>
            <w:tcBorders>
              <w:top w:val="nil"/>
              <w:left w:val="nil"/>
              <w:bottom w:val="nil"/>
              <w:right w:val="nil"/>
            </w:tcBorders>
            <w:textDirection w:val="lrTb"/>
            <w:vAlign w:val="center"/>
          </w:tcPr>
          <w:p w:rsidR="007810FA" w:rsidRPr="0072101A" w:rsidP="004A0505">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564</w:t>
            </w:r>
          </w:p>
        </w:tc>
      </w:tr>
      <w:tr>
        <w:tblPrEx>
          <w:tblW w:w="4608" w:type="pct"/>
          <w:jc w:val="center"/>
          <w:tblInd w:w="70" w:type="dxa"/>
          <w:tblLayout w:type="fixed"/>
          <w:tblCellMar>
            <w:left w:w="70" w:type="dxa"/>
            <w:right w:w="70" w:type="dxa"/>
          </w:tblCellMar>
          <w:tblLook w:val="00A0"/>
        </w:tblPrEx>
        <w:trPr>
          <w:trHeight w:hRule="exact" w:val="330"/>
          <w:jc w:val="center"/>
        </w:trPr>
        <w:tc>
          <w:tcPr>
            <w:tcW w:w="3504" w:type="pct"/>
            <w:tcBorders>
              <w:top w:val="nil"/>
              <w:left w:val="nil"/>
              <w:bottom w:val="none" w:sz="0" w:space="0" w:color="auto"/>
              <w:right w:val="nil"/>
            </w:tcBorders>
            <w:shd w:val="clear" w:color="000000" w:fill="auto"/>
            <w:textDirection w:val="lrTb"/>
            <w:vAlign w:val="center"/>
          </w:tcPr>
          <w:p w:rsidR="007810FA" w:rsidRPr="0072101A" w:rsidP="003601E3">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Fyzickým osobám</w:t>
            </w:r>
          </w:p>
        </w:tc>
        <w:tc>
          <w:tcPr>
            <w:tcW w:w="835" w:type="pct"/>
            <w:tcBorders>
              <w:top w:val="nil"/>
              <w:left w:val="nil"/>
              <w:bottom w:val="none" w:sz="0" w:space="0" w:color="auto"/>
              <w:right w:val="nil"/>
            </w:tcBorders>
            <w:shd w:val="clear" w:color="000000" w:fill="auto"/>
            <w:textDirection w:val="lrTb"/>
            <w:vAlign w:val="center"/>
          </w:tcPr>
          <w:p w:rsidR="007810FA" w:rsidRPr="0072101A" w:rsidP="00ED0B08">
            <w:pPr>
              <w:bidi w:val="0"/>
              <w:spacing w:after="0" w:line="240" w:lineRule="auto"/>
              <w:jc w:val="right"/>
              <w:rPr>
                <w:rFonts w:ascii="Times New Roman" w:hAnsi="Times New Roman"/>
                <w:bCs/>
                <w:color w:val="000000"/>
                <w:sz w:val="20"/>
                <w:szCs w:val="20"/>
                <w:lang w:eastAsia="sk-SK"/>
              </w:rPr>
            </w:pPr>
            <w:r w:rsidR="00ED0B08">
              <w:rPr>
                <w:rFonts w:ascii="Times New Roman" w:hAnsi="Times New Roman"/>
                <w:bCs/>
                <w:color w:val="000000"/>
                <w:sz w:val="20"/>
                <w:szCs w:val="20"/>
                <w:lang w:eastAsia="sk-SK"/>
              </w:rPr>
              <w:t>272</w:t>
            </w:r>
          </w:p>
        </w:tc>
        <w:tc>
          <w:tcPr>
            <w:tcW w:w="661" w:type="pct"/>
            <w:tcBorders>
              <w:top w:val="nil"/>
              <w:left w:val="nil"/>
              <w:bottom w:val="none" w:sz="0" w:space="0" w:color="auto"/>
              <w:right w:val="nil"/>
            </w:tcBorders>
            <w:shd w:val="clear" w:color="000000" w:fill="auto"/>
            <w:textDirection w:val="lrTb"/>
            <w:vAlign w:val="center"/>
          </w:tcPr>
          <w:p w:rsidR="007810FA" w:rsidRPr="0072101A" w:rsidP="004A0505">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199</w:t>
            </w:r>
          </w:p>
        </w:tc>
      </w:tr>
      <w:tr>
        <w:tblPrEx>
          <w:tblW w:w="4608" w:type="pct"/>
          <w:jc w:val="center"/>
          <w:tblInd w:w="70" w:type="dxa"/>
          <w:tblLayout w:type="fixed"/>
          <w:tblCellMar>
            <w:left w:w="70" w:type="dxa"/>
            <w:right w:w="70" w:type="dxa"/>
          </w:tblCellMar>
          <w:tblLook w:val="00A0"/>
        </w:tblPrEx>
        <w:trPr>
          <w:trHeight w:hRule="exact" w:val="330"/>
          <w:jc w:val="center"/>
        </w:trPr>
        <w:tc>
          <w:tcPr>
            <w:tcW w:w="3504" w:type="pct"/>
            <w:tcBorders>
              <w:top w:val="nil"/>
              <w:left w:val="nil"/>
              <w:bottom w:val="none" w:sz="0" w:space="0" w:color="auto"/>
              <w:right w:val="nil"/>
            </w:tcBorders>
            <w:shd w:val="clear" w:color="000000" w:fill="auto"/>
            <w:textDirection w:val="lrTb"/>
            <w:vAlign w:val="center"/>
          </w:tcPr>
          <w:p w:rsidR="007810FA" w:rsidRPr="0072101A" w:rsidP="00AE400C">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Ostatným organizáciám</w:t>
            </w:r>
          </w:p>
        </w:tc>
        <w:tc>
          <w:tcPr>
            <w:tcW w:w="835" w:type="pct"/>
            <w:tcBorders>
              <w:top w:val="nil"/>
              <w:left w:val="nil"/>
              <w:bottom w:val="none" w:sz="0" w:space="0" w:color="auto"/>
              <w:right w:val="nil"/>
            </w:tcBorders>
            <w:shd w:val="clear" w:color="000000" w:fill="auto"/>
            <w:textDirection w:val="lrTb"/>
            <w:vAlign w:val="center"/>
          </w:tcPr>
          <w:p w:rsidR="007810FA" w:rsidRPr="0072101A" w:rsidP="00572405">
            <w:pPr>
              <w:bidi w:val="0"/>
              <w:spacing w:after="0" w:line="240" w:lineRule="auto"/>
              <w:jc w:val="right"/>
              <w:rPr>
                <w:rFonts w:ascii="Times New Roman" w:hAnsi="Times New Roman"/>
                <w:bCs/>
                <w:color w:val="000000"/>
                <w:sz w:val="20"/>
                <w:szCs w:val="20"/>
                <w:lang w:eastAsia="sk-SK"/>
              </w:rPr>
            </w:pPr>
            <w:r w:rsidR="00ED0B08">
              <w:rPr>
                <w:rFonts w:ascii="Times New Roman" w:hAnsi="Times New Roman"/>
                <w:bCs/>
                <w:color w:val="000000"/>
                <w:sz w:val="20"/>
                <w:szCs w:val="20"/>
                <w:lang w:eastAsia="sk-SK"/>
              </w:rPr>
              <w:t>1 516</w:t>
            </w:r>
          </w:p>
        </w:tc>
        <w:tc>
          <w:tcPr>
            <w:tcW w:w="661" w:type="pct"/>
            <w:tcBorders>
              <w:top w:val="nil"/>
              <w:left w:val="nil"/>
              <w:bottom w:val="none" w:sz="0" w:space="0" w:color="auto"/>
              <w:right w:val="nil"/>
            </w:tcBorders>
            <w:shd w:val="clear" w:color="000000" w:fill="auto"/>
            <w:textDirection w:val="lrTb"/>
            <w:vAlign w:val="center"/>
          </w:tcPr>
          <w:p w:rsidR="007810FA" w:rsidRPr="0072101A" w:rsidP="004A0505">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1 839</w:t>
            </w:r>
          </w:p>
        </w:tc>
      </w:tr>
      <w:tr>
        <w:tblPrEx>
          <w:tblW w:w="4608" w:type="pct"/>
          <w:jc w:val="center"/>
          <w:tblInd w:w="70" w:type="dxa"/>
          <w:tblLayout w:type="fixed"/>
          <w:tblCellMar>
            <w:left w:w="70" w:type="dxa"/>
            <w:right w:w="70" w:type="dxa"/>
          </w:tblCellMar>
          <w:tblLook w:val="00A0"/>
        </w:tblPrEx>
        <w:trPr>
          <w:trHeight w:hRule="exact" w:val="330"/>
          <w:jc w:val="center"/>
        </w:trPr>
        <w:tc>
          <w:tcPr>
            <w:tcW w:w="3504" w:type="pct"/>
            <w:tcBorders>
              <w:top w:val="none" w:sz="0" w:space="0" w:color="auto"/>
              <w:left w:val="nil"/>
              <w:bottom w:val="single" w:sz="4" w:space="0" w:color="000000"/>
              <w:right w:val="nil"/>
            </w:tcBorders>
            <w:shd w:val="clear" w:color="000000" w:fill="auto"/>
            <w:textDirection w:val="lrTb"/>
            <w:vAlign w:val="center"/>
          </w:tcPr>
          <w:p w:rsidR="007810FA" w:rsidRPr="0072101A" w:rsidP="003601E3">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Spolu</w:t>
            </w:r>
          </w:p>
        </w:tc>
        <w:tc>
          <w:tcPr>
            <w:tcW w:w="835" w:type="pct"/>
            <w:tcBorders>
              <w:top w:val="none" w:sz="0" w:space="0" w:color="auto"/>
              <w:left w:val="nil"/>
              <w:bottom w:val="single" w:sz="4" w:space="0" w:color="000000"/>
              <w:right w:val="nil"/>
            </w:tcBorders>
            <w:shd w:val="clear" w:color="000000" w:fill="auto"/>
            <w:textDirection w:val="lrTb"/>
            <w:vAlign w:val="center"/>
          </w:tcPr>
          <w:p w:rsidR="007810FA" w:rsidRPr="0072101A" w:rsidP="003A5018">
            <w:pPr>
              <w:bidi w:val="0"/>
              <w:spacing w:after="0" w:line="240" w:lineRule="auto"/>
              <w:jc w:val="right"/>
              <w:rPr>
                <w:rFonts w:ascii="Times New Roman" w:hAnsi="Times New Roman"/>
                <w:b/>
                <w:bCs/>
                <w:color w:val="000000"/>
                <w:sz w:val="20"/>
                <w:szCs w:val="20"/>
                <w:lang w:eastAsia="sk-SK"/>
              </w:rPr>
            </w:pPr>
            <w:r w:rsidR="00ED0B08">
              <w:rPr>
                <w:rFonts w:ascii="Times New Roman" w:hAnsi="Times New Roman"/>
                <w:b/>
                <w:bCs/>
                <w:color w:val="000000"/>
                <w:sz w:val="20"/>
                <w:szCs w:val="20"/>
                <w:lang w:eastAsia="sk-SK"/>
              </w:rPr>
              <w:t>3 40</w:t>
            </w:r>
            <w:r w:rsidR="003A5018">
              <w:rPr>
                <w:rFonts w:ascii="Times New Roman" w:hAnsi="Times New Roman"/>
                <w:b/>
                <w:bCs/>
                <w:color w:val="000000"/>
                <w:sz w:val="20"/>
                <w:szCs w:val="20"/>
                <w:lang w:eastAsia="sk-SK"/>
              </w:rPr>
              <w:t>4</w:t>
            </w:r>
          </w:p>
        </w:tc>
        <w:tc>
          <w:tcPr>
            <w:tcW w:w="661" w:type="pct"/>
            <w:tcBorders>
              <w:top w:val="none" w:sz="0" w:space="0" w:color="auto"/>
              <w:left w:val="nil"/>
              <w:bottom w:val="single" w:sz="4" w:space="0" w:color="000000"/>
              <w:right w:val="nil"/>
            </w:tcBorders>
            <w:shd w:val="clear" w:color="000000" w:fill="auto"/>
            <w:textDirection w:val="lrTb"/>
            <w:vAlign w:val="center"/>
          </w:tcPr>
          <w:p w:rsidR="007810FA" w:rsidRPr="0072101A" w:rsidP="004A0505">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3 273</w:t>
            </w:r>
          </w:p>
        </w:tc>
      </w:tr>
    </w:tbl>
    <w:p w:rsidR="00D1792A" w:rsidRPr="0072101A" w:rsidP="00D1792A">
      <w:pPr>
        <w:pStyle w:val="Pismenka"/>
        <w:tabs>
          <w:tab w:val="clear" w:pos="426"/>
        </w:tabs>
        <w:bidi w:val="0"/>
        <w:spacing w:before="120"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rPr>
        <w:t>K 31.12.201</w:t>
      </w:r>
      <w:r w:rsidR="008B56A7">
        <w:rPr>
          <w:rFonts w:ascii="Times New Roman" w:hAnsi="Times New Roman"/>
          <w:b w:val="0"/>
          <w:bCs w:val="0"/>
          <w:sz w:val="22"/>
          <w:szCs w:val="22"/>
        </w:rPr>
        <w:t>5</w:t>
      </w:r>
      <w:r w:rsidRPr="0072101A">
        <w:rPr>
          <w:rFonts w:ascii="Times New Roman" w:hAnsi="Times New Roman"/>
          <w:b w:val="0"/>
          <w:bCs w:val="0"/>
          <w:sz w:val="22"/>
          <w:szCs w:val="22"/>
        </w:rPr>
        <w:t xml:space="preserve"> vykazoval súhrnný celok </w:t>
      </w:r>
      <w:r w:rsidRPr="0072101A" w:rsidR="00420314">
        <w:rPr>
          <w:rFonts w:ascii="Times New Roman" w:hAnsi="Times New Roman"/>
          <w:b w:val="0"/>
          <w:bCs w:val="0"/>
          <w:sz w:val="22"/>
          <w:szCs w:val="22"/>
        </w:rPr>
        <w:t>3 </w:t>
      </w:r>
      <w:r w:rsidR="008B56A7">
        <w:rPr>
          <w:rFonts w:ascii="Times New Roman" w:hAnsi="Times New Roman"/>
          <w:b w:val="0"/>
          <w:bCs w:val="0"/>
          <w:sz w:val="22"/>
          <w:szCs w:val="22"/>
        </w:rPr>
        <w:t>40</w:t>
      </w:r>
      <w:r w:rsidR="003A5018">
        <w:rPr>
          <w:rFonts w:ascii="Times New Roman" w:hAnsi="Times New Roman"/>
          <w:b w:val="0"/>
          <w:bCs w:val="0"/>
          <w:sz w:val="22"/>
          <w:szCs w:val="22"/>
        </w:rPr>
        <w:t>4</w:t>
      </w:r>
      <w:r w:rsidRPr="0072101A" w:rsidR="00420314">
        <w:rPr>
          <w:rFonts w:ascii="Times New Roman" w:hAnsi="Times New Roman"/>
          <w:b w:val="0"/>
          <w:bCs w:val="0"/>
          <w:sz w:val="22"/>
          <w:szCs w:val="22"/>
        </w:rPr>
        <w:t xml:space="preserve"> </w:t>
      </w:r>
      <w:r w:rsidRPr="0072101A">
        <w:rPr>
          <w:rFonts w:ascii="Times New Roman" w:hAnsi="Times New Roman"/>
          <w:b w:val="0"/>
          <w:bCs w:val="0"/>
          <w:sz w:val="22"/>
          <w:szCs w:val="22"/>
        </w:rPr>
        <w:t xml:space="preserve">tis. eur z poskytnutých výpomocí, z toho </w:t>
      </w:r>
      <w:r w:rsidR="008B56A7">
        <w:rPr>
          <w:rFonts w:ascii="Times New Roman" w:hAnsi="Times New Roman"/>
          <w:b w:val="0"/>
          <w:bCs w:val="0"/>
          <w:sz w:val="22"/>
          <w:szCs w:val="22"/>
        </w:rPr>
        <w:t>1 21</w:t>
      </w:r>
      <w:r w:rsidR="003A5018">
        <w:rPr>
          <w:rFonts w:ascii="Times New Roman" w:hAnsi="Times New Roman"/>
          <w:b w:val="0"/>
          <w:bCs w:val="0"/>
          <w:sz w:val="22"/>
          <w:szCs w:val="22"/>
        </w:rPr>
        <w:t>9</w:t>
      </w:r>
      <w:r w:rsidRPr="0072101A">
        <w:rPr>
          <w:rFonts w:ascii="Times New Roman" w:hAnsi="Times New Roman"/>
          <w:b w:val="0"/>
          <w:bCs w:val="0"/>
          <w:sz w:val="22"/>
          <w:szCs w:val="22"/>
        </w:rPr>
        <w:t xml:space="preserve"> tis. eur dlhodobých a</w:t>
      </w:r>
      <w:r w:rsidR="008B56A7">
        <w:rPr>
          <w:rFonts w:ascii="Times New Roman" w:hAnsi="Times New Roman"/>
          <w:b w:val="0"/>
          <w:bCs w:val="0"/>
          <w:sz w:val="22"/>
          <w:szCs w:val="22"/>
        </w:rPr>
        <w:t> 2 185</w:t>
      </w:r>
      <w:r w:rsidRPr="0072101A">
        <w:rPr>
          <w:rFonts w:ascii="Times New Roman" w:hAnsi="Times New Roman"/>
          <w:b w:val="0"/>
          <w:bCs w:val="0"/>
          <w:sz w:val="22"/>
          <w:szCs w:val="22"/>
        </w:rPr>
        <w:t xml:space="preserve"> tis. eur krátkodobých. Z pohľadu subjektov vykazovala najvyššiu hodnotu územná samospráva, a to v sume </w:t>
      </w:r>
      <w:r w:rsidR="008B56A7">
        <w:rPr>
          <w:rFonts w:ascii="Times New Roman" w:hAnsi="Times New Roman"/>
          <w:b w:val="0"/>
          <w:bCs w:val="0"/>
          <w:sz w:val="22"/>
          <w:szCs w:val="22"/>
        </w:rPr>
        <w:t>3 20</w:t>
      </w:r>
      <w:r w:rsidR="00D311BF">
        <w:rPr>
          <w:rFonts w:ascii="Times New Roman" w:hAnsi="Times New Roman"/>
          <w:b w:val="0"/>
          <w:bCs w:val="0"/>
          <w:sz w:val="22"/>
          <w:szCs w:val="22"/>
        </w:rPr>
        <w:t>3</w:t>
      </w:r>
      <w:r w:rsidRPr="0072101A" w:rsidR="0041501C">
        <w:rPr>
          <w:rFonts w:ascii="Times New Roman" w:hAnsi="Times New Roman"/>
          <w:b w:val="0"/>
          <w:bCs w:val="0"/>
          <w:sz w:val="22"/>
          <w:szCs w:val="22"/>
        </w:rPr>
        <w:t xml:space="preserve"> tis eur</w:t>
      </w:r>
      <w:r w:rsidR="008B56A7">
        <w:rPr>
          <w:rFonts w:ascii="Times New Roman" w:hAnsi="Times New Roman"/>
          <w:b w:val="0"/>
          <w:bCs w:val="0"/>
          <w:sz w:val="22"/>
          <w:szCs w:val="22"/>
        </w:rPr>
        <w:t xml:space="preserve"> a ú</w:t>
      </w:r>
      <w:r w:rsidRPr="0072101A">
        <w:rPr>
          <w:rFonts w:ascii="Times New Roman" w:hAnsi="Times New Roman"/>
          <w:b w:val="0"/>
          <w:bCs w:val="0"/>
          <w:sz w:val="22"/>
          <w:szCs w:val="22"/>
        </w:rPr>
        <w:t xml:space="preserve">stredná štátna správa vykázala </w:t>
      </w:r>
      <w:r w:rsidRPr="0072101A" w:rsidR="0041501C">
        <w:rPr>
          <w:rFonts w:ascii="Times New Roman" w:hAnsi="Times New Roman"/>
          <w:b w:val="0"/>
          <w:bCs w:val="0"/>
          <w:sz w:val="22"/>
          <w:szCs w:val="22"/>
        </w:rPr>
        <w:t>po konsolidácii</w:t>
      </w:r>
      <w:r w:rsidRPr="0072101A">
        <w:rPr>
          <w:rFonts w:ascii="Times New Roman" w:hAnsi="Times New Roman"/>
          <w:b w:val="0"/>
          <w:bCs w:val="0"/>
          <w:sz w:val="22"/>
          <w:szCs w:val="22"/>
        </w:rPr>
        <w:t xml:space="preserve"> </w:t>
      </w:r>
      <w:r w:rsidR="008B56A7">
        <w:rPr>
          <w:rFonts w:ascii="Times New Roman" w:hAnsi="Times New Roman"/>
          <w:b w:val="0"/>
          <w:bCs w:val="0"/>
          <w:sz w:val="22"/>
          <w:szCs w:val="22"/>
        </w:rPr>
        <w:t>201</w:t>
      </w:r>
      <w:r w:rsidRPr="0072101A">
        <w:rPr>
          <w:rFonts w:ascii="Times New Roman" w:hAnsi="Times New Roman"/>
          <w:b w:val="0"/>
          <w:bCs w:val="0"/>
          <w:sz w:val="22"/>
          <w:szCs w:val="22"/>
        </w:rPr>
        <w:t xml:space="preserve"> tis. eur. </w:t>
      </w:r>
    </w:p>
    <w:p w:rsidR="001F3765">
      <w:pPr>
        <w:bidi w:val="0"/>
        <w:spacing w:after="0" w:line="240" w:lineRule="auto"/>
        <w:rPr>
          <w:rFonts w:ascii="Times New Roman" w:hAnsi="Times New Roman"/>
          <w:b/>
          <w:szCs w:val="22"/>
          <w:lang w:eastAsia="sk-SK"/>
        </w:rPr>
      </w:pPr>
    </w:p>
    <w:p w:rsidR="009270BF" w:rsidRPr="0072101A" w:rsidP="00A62C2A">
      <w:pPr>
        <w:pStyle w:val="Pismenka"/>
        <w:tabs>
          <w:tab w:val="clear" w:pos="426"/>
        </w:tabs>
        <w:bidi w:val="0"/>
        <w:spacing w:after="200" w:line="336" w:lineRule="auto"/>
        <w:ind w:left="0" w:firstLine="0"/>
        <w:rPr>
          <w:rFonts w:ascii="Times New Roman" w:hAnsi="Times New Roman"/>
          <w:bCs w:val="0"/>
          <w:sz w:val="24"/>
          <w:szCs w:val="24"/>
        </w:rPr>
      </w:pPr>
      <w:r w:rsidRPr="0072101A">
        <w:rPr>
          <w:rFonts w:ascii="Times New Roman" w:hAnsi="Times New Roman"/>
          <w:bCs w:val="0"/>
          <w:sz w:val="24"/>
          <w:szCs w:val="24"/>
        </w:rPr>
        <w:t>C. Časové rozlíšenie aktív</w:t>
      </w:r>
    </w:p>
    <w:p w:rsidR="009270BF" w:rsidRPr="0072101A" w:rsidP="00A62C2A">
      <w:pPr>
        <w:pStyle w:val="Pismenka"/>
        <w:tabs>
          <w:tab w:val="clear" w:pos="426"/>
        </w:tabs>
        <w:bidi w:val="0"/>
        <w:spacing w:after="120"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rPr>
        <w:t xml:space="preserve">V rámci časového rozlíšenia na strane aktív sa vykazujú náklady budúcich období a príjmy budúcich období. Položky časového rozlíšenia slúžia na </w:t>
      </w:r>
      <w:r w:rsidRPr="0072101A" w:rsidR="00120F88">
        <w:rPr>
          <w:rFonts w:ascii="Times New Roman" w:hAnsi="Times New Roman"/>
          <w:b w:val="0"/>
          <w:bCs w:val="0"/>
          <w:sz w:val="22"/>
          <w:szCs w:val="22"/>
        </w:rPr>
        <w:t xml:space="preserve">zaznamenanie </w:t>
      </w:r>
      <w:r w:rsidRPr="0072101A">
        <w:rPr>
          <w:rFonts w:ascii="Times New Roman" w:hAnsi="Times New Roman"/>
          <w:b w:val="0"/>
          <w:bCs w:val="0"/>
          <w:sz w:val="22"/>
          <w:szCs w:val="22"/>
        </w:rPr>
        <w:t>časového nesúladu medzi výdavkami a nákladmi a</w:t>
      </w:r>
      <w:r w:rsidRPr="0072101A" w:rsidR="00CD6E18">
        <w:rPr>
          <w:rFonts w:ascii="Times New Roman" w:hAnsi="Times New Roman"/>
          <w:b w:val="0"/>
          <w:bCs w:val="0"/>
          <w:sz w:val="22"/>
          <w:szCs w:val="22"/>
        </w:rPr>
        <w:t xml:space="preserve"> medzi</w:t>
      </w:r>
      <w:r w:rsidRPr="0072101A">
        <w:rPr>
          <w:rFonts w:ascii="Times New Roman" w:hAnsi="Times New Roman"/>
          <w:b w:val="0"/>
          <w:bCs w:val="0"/>
          <w:sz w:val="22"/>
          <w:szCs w:val="22"/>
        </w:rPr>
        <w:t xml:space="preserve"> príjmami a výnosmi. Uplatňujú sa v účtovníctve z dôvodu akruálneho princípu účtovania, </w:t>
      </w:r>
      <w:r w:rsidRPr="0072101A" w:rsidR="00CD6E18">
        <w:rPr>
          <w:rFonts w:ascii="Times New Roman" w:hAnsi="Times New Roman"/>
          <w:b w:val="0"/>
          <w:bCs w:val="0"/>
          <w:sz w:val="22"/>
          <w:szCs w:val="22"/>
        </w:rPr>
        <w:t>podľa ktorého</w:t>
      </w:r>
      <w:r w:rsidRPr="0072101A">
        <w:rPr>
          <w:rFonts w:ascii="Times New Roman" w:hAnsi="Times New Roman"/>
          <w:b w:val="0"/>
          <w:bCs w:val="0"/>
          <w:sz w:val="22"/>
          <w:szCs w:val="22"/>
        </w:rPr>
        <w:t xml:space="preserve"> </w:t>
      </w:r>
      <w:r w:rsidRPr="0072101A" w:rsidR="00FA6C64">
        <w:rPr>
          <w:rFonts w:ascii="Times New Roman" w:hAnsi="Times New Roman"/>
          <w:b w:val="0"/>
          <w:bCs w:val="0"/>
          <w:sz w:val="22"/>
          <w:szCs w:val="22"/>
        </w:rPr>
        <w:t xml:space="preserve">sa </w:t>
      </w:r>
      <w:r w:rsidRPr="0072101A" w:rsidR="007715D7">
        <w:rPr>
          <w:rFonts w:ascii="Times New Roman" w:hAnsi="Times New Roman"/>
          <w:b w:val="0"/>
          <w:bCs w:val="0"/>
          <w:sz w:val="22"/>
          <w:szCs w:val="22"/>
        </w:rPr>
        <w:t>náklady a výnosy účtujú do obdobia, s ktorým časovo a vecne súvisia</w:t>
      </w:r>
      <w:r w:rsidRPr="0072101A">
        <w:rPr>
          <w:rFonts w:ascii="Times New Roman" w:hAnsi="Times New Roman"/>
          <w:b w:val="0"/>
          <w:bCs w:val="0"/>
          <w:sz w:val="22"/>
          <w:szCs w:val="22"/>
        </w:rPr>
        <w:t>.</w:t>
      </w:r>
    </w:p>
    <w:p w:rsidR="00D91FC8" w:rsidRPr="0072101A" w:rsidP="00CD6E18">
      <w:pPr>
        <w:pStyle w:val="Pismenka"/>
        <w:tabs>
          <w:tab w:val="clear" w:pos="426"/>
        </w:tabs>
        <w:bidi w:val="0"/>
        <w:spacing w:after="120" w:line="336" w:lineRule="auto"/>
        <w:ind w:left="0" w:firstLine="0"/>
        <w:rPr>
          <w:rFonts w:ascii="Times New Roman" w:hAnsi="Times New Roman"/>
          <w:b w:val="0"/>
          <w:bCs w:val="0"/>
          <w:sz w:val="22"/>
          <w:szCs w:val="22"/>
        </w:rPr>
      </w:pPr>
      <w:r w:rsidRPr="0072101A" w:rsidR="009270BF">
        <w:rPr>
          <w:rFonts w:ascii="Times New Roman" w:hAnsi="Times New Roman"/>
          <w:b w:val="0"/>
          <w:bCs w:val="0"/>
          <w:sz w:val="22"/>
          <w:szCs w:val="22"/>
        </w:rPr>
        <w:t>Časové rozlíšenie aktív bolo k 31.12.201</w:t>
      </w:r>
      <w:r w:rsidR="00850F7C">
        <w:rPr>
          <w:rFonts w:ascii="Times New Roman" w:hAnsi="Times New Roman"/>
          <w:b w:val="0"/>
          <w:bCs w:val="0"/>
          <w:sz w:val="22"/>
          <w:szCs w:val="22"/>
        </w:rPr>
        <w:t>5</w:t>
      </w:r>
      <w:r w:rsidRPr="0072101A" w:rsidR="009270BF">
        <w:rPr>
          <w:rFonts w:ascii="Times New Roman" w:hAnsi="Times New Roman"/>
          <w:b w:val="0"/>
          <w:bCs w:val="0"/>
          <w:sz w:val="22"/>
          <w:szCs w:val="22"/>
        </w:rPr>
        <w:t xml:space="preserve"> v</w:t>
      </w:r>
      <w:r w:rsidRPr="0072101A" w:rsidR="00341A9E">
        <w:rPr>
          <w:rFonts w:ascii="Times New Roman" w:hAnsi="Times New Roman"/>
          <w:b w:val="0"/>
          <w:bCs w:val="0"/>
          <w:sz w:val="22"/>
          <w:szCs w:val="22"/>
        </w:rPr>
        <w:t> </w:t>
      </w:r>
      <w:r w:rsidRPr="0072101A" w:rsidR="009270BF">
        <w:rPr>
          <w:rFonts w:ascii="Times New Roman" w:hAnsi="Times New Roman"/>
          <w:b w:val="0"/>
          <w:bCs w:val="0"/>
          <w:sz w:val="22"/>
          <w:szCs w:val="22"/>
        </w:rPr>
        <w:t>hodnote</w:t>
      </w:r>
      <w:r w:rsidRPr="0072101A" w:rsidR="00341A9E">
        <w:rPr>
          <w:rFonts w:ascii="Times New Roman" w:hAnsi="Times New Roman"/>
          <w:b w:val="0"/>
          <w:bCs w:val="0"/>
          <w:sz w:val="22"/>
          <w:szCs w:val="22"/>
        </w:rPr>
        <w:t xml:space="preserve"> </w:t>
      </w:r>
      <w:r w:rsidR="00850F7C">
        <w:rPr>
          <w:rFonts w:ascii="Times New Roman" w:hAnsi="Times New Roman"/>
          <w:b w:val="0"/>
          <w:bCs w:val="0"/>
          <w:sz w:val="22"/>
          <w:szCs w:val="22"/>
        </w:rPr>
        <w:t>492 37</w:t>
      </w:r>
      <w:r w:rsidR="00DB5349">
        <w:rPr>
          <w:rFonts w:ascii="Times New Roman" w:hAnsi="Times New Roman"/>
          <w:b w:val="0"/>
          <w:bCs w:val="0"/>
          <w:sz w:val="22"/>
          <w:szCs w:val="22"/>
        </w:rPr>
        <w:t>9</w:t>
      </w:r>
      <w:r w:rsidR="00850F7C">
        <w:rPr>
          <w:rFonts w:ascii="Times New Roman" w:hAnsi="Times New Roman"/>
          <w:b w:val="0"/>
          <w:bCs w:val="0"/>
          <w:sz w:val="22"/>
          <w:szCs w:val="22"/>
        </w:rPr>
        <w:t xml:space="preserve"> tis. eur</w:t>
      </w:r>
      <w:r w:rsidR="00EA11EA">
        <w:rPr>
          <w:rFonts w:ascii="Times New Roman" w:hAnsi="Times New Roman"/>
          <w:b w:val="0"/>
          <w:bCs w:val="0"/>
          <w:sz w:val="22"/>
          <w:szCs w:val="22"/>
        </w:rPr>
        <w:t xml:space="preserve"> a medziročne sa znížilo</w:t>
        <w:br/>
      </w:r>
      <w:r w:rsidRPr="0072101A" w:rsidR="00C53807">
        <w:rPr>
          <w:rFonts w:ascii="Times New Roman" w:hAnsi="Times New Roman"/>
          <w:b w:val="0"/>
          <w:bCs w:val="0"/>
          <w:sz w:val="22"/>
          <w:szCs w:val="22"/>
        </w:rPr>
        <w:t>o</w:t>
      </w:r>
      <w:r w:rsidRPr="0072101A" w:rsidR="00341A9E">
        <w:rPr>
          <w:rFonts w:ascii="Times New Roman" w:hAnsi="Times New Roman"/>
          <w:b w:val="0"/>
          <w:bCs w:val="0"/>
          <w:sz w:val="22"/>
          <w:szCs w:val="22"/>
        </w:rPr>
        <w:t> </w:t>
      </w:r>
      <w:r w:rsidR="00850F7C">
        <w:rPr>
          <w:rFonts w:ascii="Times New Roman" w:hAnsi="Times New Roman"/>
          <w:b w:val="0"/>
          <w:bCs w:val="0"/>
          <w:sz w:val="22"/>
          <w:szCs w:val="22"/>
        </w:rPr>
        <w:t>4</w:t>
      </w:r>
      <w:r w:rsidRPr="0072101A" w:rsidR="00341A9E">
        <w:rPr>
          <w:rFonts w:ascii="Times New Roman" w:hAnsi="Times New Roman"/>
          <w:b w:val="0"/>
          <w:bCs w:val="0"/>
          <w:sz w:val="22"/>
          <w:szCs w:val="22"/>
        </w:rPr>
        <w:t>3 </w:t>
      </w:r>
      <w:r w:rsidR="00850F7C">
        <w:rPr>
          <w:rFonts w:ascii="Times New Roman" w:hAnsi="Times New Roman"/>
          <w:b w:val="0"/>
          <w:bCs w:val="0"/>
          <w:sz w:val="22"/>
          <w:szCs w:val="22"/>
        </w:rPr>
        <w:t>429</w:t>
      </w:r>
      <w:r w:rsidRPr="0072101A" w:rsidR="00341A9E">
        <w:rPr>
          <w:rFonts w:ascii="Times New Roman" w:hAnsi="Times New Roman"/>
          <w:b w:val="0"/>
          <w:bCs w:val="0"/>
          <w:sz w:val="22"/>
          <w:szCs w:val="22"/>
        </w:rPr>
        <w:t xml:space="preserve"> tis. eur</w:t>
      </w:r>
      <w:r w:rsidRPr="0072101A">
        <w:rPr>
          <w:rFonts w:ascii="Times New Roman" w:hAnsi="Times New Roman"/>
          <w:b w:val="0"/>
          <w:bCs w:val="0"/>
          <w:sz w:val="22"/>
          <w:szCs w:val="22"/>
        </w:rPr>
        <w:t>.</w:t>
      </w:r>
      <w:r w:rsidRPr="0072101A" w:rsidR="005C518F">
        <w:rPr>
          <w:rFonts w:ascii="Times New Roman" w:hAnsi="Times New Roman"/>
          <w:b w:val="0"/>
          <w:bCs w:val="0"/>
          <w:sz w:val="22"/>
          <w:szCs w:val="22"/>
        </w:rPr>
        <w:t xml:space="preserve"> Náklady budúcich období dosiahli hodnotu </w:t>
      </w:r>
      <w:r w:rsidR="00850F7C">
        <w:rPr>
          <w:rFonts w:ascii="Times New Roman" w:hAnsi="Times New Roman"/>
          <w:b w:val="0"/>
          <w:bCs w:val="0"/>
          <w:sz w:val="22"/>
          <w:szCs w:val="22"/>
        </w:rPr>
        <w:t>435 95</w:t>
      </w:r>
      <w:r w:rsidR="006D4D93">
        <w:rPr>
          <w:rFonts w:ascii="Times New Roman" w:hAnsi="Times New Roman"/>
          <w:b w:val="0"/>
          <w:bCs w:val="0"/>
          <w:sz w:val="22"/>
          <w:szCs w:val="22"/>
        </w:rPr>
        <w:t>4</w:t>
      </w:r>
      <w:r w:rsidRPr="0072101A" w:rsidR="005C518F">
        <w:rPr>
          <w:rFonts w:ascii="Times New Roman" w:hAnsi="Times New Roman"/>
          <w:b w:val="0"/>
          <w:bCs w:val="0"/>
          <w:sz w:val="22"/>
          <w:szCs w:val="22"/>
        </w:rPr>
        <w:t xml:space="preserve"> ti</w:t>
      </w:r>
      <w:r w:rsidRPr="0072101A" w:rsidR="00341A9E">
        <w:rPr>
          <w:rFonts w:ascii="Times New Roman" w:hAnsi="Times New Roman"/>
          <w:b w:val="0"/>
          <w:bCs w:val="0"/>
          <w:sz w:val="22"/>
          <w:szCs w:val="22"/>
        </w:rPr>
        <w:t>s. eur a príjmy budúcich období</w:t>
      </w:r>
      <w:r w:rsidR="00EA11EA">
        <w:rPr>
          <w:rFonts w:ascii="Times New Roman" w:hAnsi="Times New Roman"/>
          <w:b w:val="0"/>
          <w:bCs w:val="0"/>
          <w:sz w:val="22"/>
          <w:szCs w:val="22"/>
        </w:rPr>
        <w:t xml:space="preserve"> </w:t>
      </w:r>
      <w:r w:rsidR="00850F7C">
        <w:rPr>
          <w:rFonts w:ascii="Times New Roman" w:hAnsi="Times New Roman"/>
          <w:b w:val="0"/>
          <w:bCs w:val="0"/>
          <w:sz w:val="22"/>
          <w:szCs w:val="22"/>
        </w:rPr>
        <w:t>56 425</w:t>
      </w:r>
      <w:r w:rsidRPr="0072101A" w:rsidR="005C518F">
        <w:rPr>
          <w:rFonts w:ascii="Times New Roman" w:hAnsi="Times New Roman"/>
          <w:b w:val="0"/>
          <w:bCs w:val="0"/>
          <w:sz w:val="22"/>
          <w:szCs w:val="22"/>
        </w:rPr>
        <w:t xml:space="preserve"> tis. eur.</w:t>
      </w:r>
    </w:p>
    <w:p w:rsidR="00C33927" w:rsidRPr="0072101A" w:rsidP="00C33927">
      <w:pPr>
        <w:pStyle w:val="Pismenka"/>
        <w:tabs>
          <w:tab w:val="clear" w:pos="426"/>
        </w:tabs>
        <w:bidi w:val="0"/>
        <w:spacing w:after="120" w:line="336" w:lineRule="auto"/>
        <w:ind w:left="0" w:firstLine="0"/>
        <w:rPr>
          <w:rFonts w:ascii="Times New Roman" w:hAnsi="Times New Roman"/>
          <w:b w:val="0"/>
          <w:bCs w:val="0"/>
          <w:sz w:val="22"/>
          <w:szCs w:val="22"/>
        </w:rPr>
      </w:pPr>
      <w:r w:rsidRPr="0072101A" w:rsidR="00527CFD">
        <w:rPr>
          <w:rFonts w:ascii="Times New Roman" w:hAnsi="Times New Roman"/>
          <w:b w:val="0"/>
          <w:bCs w:val="0"/>
          <w:sz w:val="22"/>
          <w:szCs w:val="22"/>
        </w:rPr>
        <w:t xml:space="preserve">Rozhodujúci podiel na nákladoch budúcich období má ústredná správa, a to </w:t>
      </w:r>
      <w:r w:rsidR="00392CF6">
        <w:rPr>
          <w:rFonts w:ascii="Times New Roman" w:hAnsi="Times New Roman"/>
          <w:b w:val="0"/>
          <w:bCs w:val="0"/>
          <w:sz w:val="22"/>
          <w:szCs w:val="22"/>
        </w:rPr>
        <w:t>393 229</w:t>
      </w:r>
      <w:r w:rsidRPr="0072101A" w:rsidR="00527CFD">
        <w:rPr>
          <w:rFonts w:ascii="Times New Roman" w:hAnsi="Times New Roman"/>
          <w:b w:val="0"/>
          <w:bCs w:val="0"/>
          <w:sz w:val="22"/>
          <w:szCs w:val="22"/>
        </w:rPr>
        <w:t xml:space="preserve"> tis. eur. </w:t>
      </w:r>
      <w:r w:rsidRPr="0072101A" w:rsidR="00624377">
        <w:rPr>
          <w:rFonts w:ascii="Times New Roman" w:hAnsi="Times New Roman"/>
          <w:b w:val="0"/>
          <w:bCs w:val="0"/>
          <w:sz w:val="22"/>
          <w:szCs w:val="22"/>
        </w:rPr>
        <w:t>Najvyššiu hodnotu</w:t>
      </w:r>
      <w:r w:rsidRPr="0072101A">
        <w:rPr>
          <w:rFonts w:ascii="Times New Roman" w:hAnsi="Times New Roman"/>
          <w:b w:val="0"/>
          <w:bCs w:val="0"/>
          <w:sz w:val="22"/>
          <w:szCs w:val="22"/>
        </w:rPr>
        <w:t xml:space="preserve"> vykazuje Národná diaľničná spoločnosť, a.s. 1</w:t>
      </w:r>
      <w:r w:rsidR="004934C7">
        <w:rPr>
          <w:rFonts w:ascii="Times New Roman" w:hAnsi="Times New Roman"/>
          <w:b w:val="0"/>
          <w:bCs w:val="0"/>
          <w:sz w:val="22"/>
          <w:szCs w:val="22"/>
        </w:rPr>
        <w:t>68 911</w:t>
      </w:r>
      <w:r w:rsidRPr="0072101A">
        <w:rPr>
          <w:rFonts w:ascii="Times New Roman" w:hAnsi="Times New Roman"/>
          <w:b w:val="0"/>
          <w:bCs w:val="0"/>
          <w:sz w:val="22"/>
          <w:szCs w:val="22"/>
        </w:rPr>
        <w:t xml:space="preserve"> tis. eur </w:t>
      </w:r>
      <w:r w:rsidR="005B30FE">
        <w:rPr>
          <w:rFonts w:ascii="Times New Roman" w:hAnsi="Times New Roman"/>
          <w:b w:val="0"/>
          <w:bCs w:val="0"/>
          <w:sz w:val="22"/>
          <w:szCs w:val="22"/>
        </w:rPr>
        <w:t xml:space="preserve">hlavne </w:t>
      </w:r>
      <w:r w:rsidRPr="0072101A">
        <w:rPr>
          <w:rFonts w:ascii="Times New Roman" w:hAnsi="Times New Roman"/>
          <w:b w:val="0"/>
          <w:bCs w:val="0"/>
          <w:sz w:val="22"/>
          <w:szCs w:val="22"/>
        </w:rPr>
        <w:t xml:space="preserve">za používanie mýtneho systému, </w:t>
      </w:r>
      <w:r w:rsidRPr="0072101A" w:rsidR="00624377">
        <w:rPr>
          <w:rFonts w:ascii="Times New Roman" w:hAnsi="Times New Roman"/>
          <w:b w:val="0"/>
          <w:bCs w:val="0"/>
          <w:sz w:val="22"/>
          <w:szCs w:val="22"/>
        </w:rPr>
        <w:t xml:space="preserve">Ministerstvo financií SR </w:t>
      </w:r>
      <w:r w:rsidRPr="0072101A">
        <w:rPr>
          <w:rFonts w:ascii="Times New Roman" w:hAnsi="Times New Roman"/>
          <w:b w:val="0"/>
          <w:bCs w:val="0"/>
          <w:sz w:val="22"/>
          <w:szCs w:val="22"/>
        </w:rPr>
        <w:t>vykazuje 1</w:t>
      </w:r>
      <w:r w:rsidR="004934C7">
        <w:rPr>
          <w:rFonts w:ascii="Times New Roman" w:hAnsi="Times New Roman"/>
          <w:b w:val="0"/>
          <w:bCs w:val="0"/>
          <w:sz w:val="22"/>
          <w:szCs w:val="22"/>
        </w:rPr>
        <w:t>51 437</w:t>
      </w:r>
      <w:r w:rsidRPr="0072101A" w:rsidR="00C53807">
        <w:rPr>
          <w:rFonts w:ascii="Times New Roman" w:hAnsi="Times New Roman"/>
          <w:b w:val="0"/>
          <w:bCs w:val="0"/>
          <w:sz w:val="22"/>
          <w:szCs w:val="22"/>
        </w:rPr>
        <w:t xml:space="preserve"> tis. eur </w:t>
      </w:r>
      <w:r w:rsidRPr="0072101A" w:rsidR="00A377C2">
        <w:rPr>
          <w:rFonts w:ascii="Times New Roman" w:hAnsi="Times New Roman"/>
          <w:b w:val="0"/>
          <w:bCs w:val="0"/>
          <w:sz w:val="22"/>
          <w:szCs w:val="22"/>
        </w:rPr>
        <w:t>ako časovo rozlíšené úroky z</w:t>
      </w:r>
      <w:r w:rsidRPr="0072101A" w:rsidR="000A5CDF">
        <w:rPr>
          <w:rFonts w:ascii="Times New Roman" w:hAnsi="Times New Roman"/>
          <w:b w:val="0"/>
          <w:bCs w:val="0"/>
          <w:sz w:val="22"/>
          <w:szCs w:val="22"/>
        </w:rPr>
        <w:t>o</w:t>
      </w:r>
      <w:r w:rsidRPr="0072101A" w:rsidR="00A377C2">
        <w:rPr>
          <w:rFonts w:ascii="Times New Roman" w:hAnsi="Times New Roman"/>
          <w:b w:val="0"/>
          <w:bCs w:val="0"/>
          <w:sz w:val="22"/>
          <w:szCs w:val="22"/>
        </w:rPr>
        <w:t> štátnych cenných papierov a</w:t>
      </w:r>
      <w:r w:rsidRPr="0072101A">
        <w:rPr>
          <w:rFonts w:ascii="Times New Roman" w:hAnsi="Times New Roman"/>
          <w:b w:val="0"/>
          <w:bCs w:val="0"/>
          <w:sz w:val="22"/>
          <w:szCs w:val="22"/>
        </w:rPr>
        <w:t> </w:t>
      </w:r>
      <w:r w:rsidRPr="0072101A" w:rsidR="00A377C2">
        <w:rPr>
          <w:rFonts w:ascii="Times New Roman" w:hAnsi="Times New Roman"/>
          <w:b w:val="0"/>
          <w:bCs w:val="0"/>
          <w:sz w:val="22"/>
          <w:szCs w:val="22"/>
        </w:rPr>
        <w:t>úverov</w:t>
      </w:r>
      <w:r w:rsidRPr="0072101A">
        <w:rPr>
          <w:rFonts w:ascii="Times New Roman" w:hAnsi="Times New Roman"/>
          <w:b w:val="0"/>
          <w:bCs w:val="0"/>
          <w:sz w:val="22"/>
          <w:szCs w:val="22"/>
        </w:rPr>
        <w:t>.</w:t>
      </w:r>
      <w:r w:rsidRPr="0072101A" w:rsidR="003A3848">
        <w:rPr>
          <w:rFonts w:ascii="Times New Roman" w:hAnsi="Times New Roman"/>
          <w:b w:val="0"/>
          <w:bCs w:val="0"/>
          <w:sz w:val="22"/>
          <w:szCs w:val="22"/>
        </w:rPr>
        <w:t xml:space="preserve"> </w:t>
      </w:r>
      <w:r w:rsidRPr="0072101A">
        <w:rPr>
          <w:rFonts w:ascii="Times New Roman" w:hAnsi="Times New Roman"/>
          <w:b w:val="0"/>
          <w:bCs w:val="0"/>
          <w:sz w:val="22"/>
          <w:szCs w:val="22"/>
        </w:rPr>
        <w:t>Ďalej významnú hodnotu vykazuje a Všeobecná zdravotná poisťovňa</w:t>
      </w:r>
      <w:r w:rsidR="006D4D93">
        <w:rPr>
          <w:rFonts w:ascii="Times New Roman" w:hAnsi="Times New Roman"/>
          <w:b w:val="0"/>
          <w:bCs w:val="0"/>
          <w:sz w:val="22"/>
          <w:szCs w:val="22"/>
        </w:rPr>
        <w:t>, a.s.</w:t>
      </w:r>
      <w:r w:rsidRPr="0072101A">
        <w:rPr>
          <w:rFonts w:ascii="Times New Roman" w:hAnsi="Times New Roman"/>
          <w:b w:val="0"/>
          <w:bCs w:val="0"/>
          <w:sz w:val="22"/>
          <w:szCs w:val="22"/>
        </w:rPr>
        <w:t xml:space="preserve"> </w:t>
      </w:r>
      <w:r w:rsidR="004934C7">
        <w:rPr>
          <w:rFonts w:ascii="Times New Roman" w:hAnsi="Times New Roman"/>
          <w:b w:val="0"/>
          <w:bCs w:val="0"/>
          <w:sz w:val="22"/>
          <w:szCs w:val="22"/>
        </w:rPr>
        <w:t>40 471</w:t>
      </w:r>
      <w:r w:rsidRPr="0072101A">
        <w:rPr>
          <w:rFonts w:ascii="Times New Roman" w:hAnsi="Times New Roman"/>
          <w:b w:val="0"/>
          <w:bCs w:val="0"/>
          <w:sz w:val="22"/>
          <w:szCs w:val="22"/>
        </w:rPr>
        <w:t> </w:t>
      </w:r>
      <w:r w:rsidR="005B30FE">
        <w:rPr>
          <w:rFonts w:ascii="Times New Roman" w:hAnsi="Times New Roman"/>
          <w:b w:val="0"/>
          <w:bCs w:val="0"/>
          <w:sz w:val="22"/>
          <w:szCs w:val="22"/>
        </w:rPr>
        <w:t>tis.</w:t>
      </w:r>
      <w:r w:rsidRPr="0072101A">
        <w:rPr>
          <w:rFonts w:ascii="Times New Roman" w:hAnsi="Times New Roman"/>
          <w:b w:val="0"/>
          <w:bCs w:val="0"/>
          <w:sz w:val="22"/>
          <w:szCs w:val="22"/>
        </w:rPr>
        <w:t xml:space="preserve"> eur z dôvodu časovo rozlíšených platieb na činnosť Úradu pre dohľad nad zdravotnou starostlivosťou a príspevku Národnému informačnému centru zdravotníckych informácií.</w:t>
      </w:r>
    </w:p>
    <w:p w:rsidR="009270BF" w:rsidRPr="0072101A" w:rsidP="009E0DB1">
      <w:pPr>
        <w:pStyle w:val="Pismenka"/>
        <w:tabs>
          <w:tab w:val="clear" w:pos="426"/>
        </w:tabs>
        <w:bidi w:val="0"/>
        <w:spacing w:after="240"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rPr>
        <w:t xml:space="preserve">Územná samospráva vykázala </w:t>
      </w:r>
      <w:r w:rsidRPr="0072101A" w:rsidR="00CD6E18">
        <w:rPr>
          <w:rFonts w:ascii="Times New Roman" w:hAnsi="Times New Roman"/>
          <w:b w:val="0"/>
          <w:bCs w:val="0"/>
          <w:sz w:val="22"/>
          <w:szCs w:val="22"/>
        </w:rPr>
        <w:t xml:space="preserve">hodnotu </w:t>
      </w:r>
      <w:r w:rsidR="00392CF6">
        <w:rPr>
          <w:rFonts w:ascii="Times New Roman" w:hAnsi="Times New Roman"/>
          <w:b w:val="0"/>
          <w:bCs w:val="0"/>
          <w:sz w:val="22"/>
          <w:szCs w:val="22"/>
        </w:rPr>
        <w:t>24 875</w:t>
      </w:r>
      <w:r w:rsidRPr="0072101A" w:rsidR="00C33927">
        <w:rPr>
          <w:rFonts w:ascii="Times New Roman" w:hAnsi="Times New Roman"/>
          <w:b w:val="0"/>
          <w:bCs w:val="0"/>
          <w:sz w:val="22"/>
          <w:szCs w:val="22"/>
        </w:rPr>
        <w:t xml:space="preserve"> </w:t>
      </w:r>
      <w:r w:rsidRPr="0072101A" w:rsidR="00973D6E">
        <w:rPr>
          <w:rFonts w:ascii="Times New Roman" w:hAnsi="Times New Roman"/>
          <w:b w:val="0"/>
          <w:bCs w:val="0"/>
          <w:sz w:val="22"/>
          <w:szCs w:val="22"/>
        </w:rPr>
        <w:t>tis.</w:t>
      </w:r>
      <w:r w:rsidRPr="0072101A">
        <w:rPr>
          <w:rFonts w:ascii="Times New Roman" w:hAnsi="Times New Roman"/>
          <w:b w:val="0"/>
          <w:bCs w:val="0"/>
          <w:sz w:val="22"/>
          <w:szCs w:val="22"/>
        </w:rPr>
        <w:t xml:space="preserve"> eur náklady budúcich období a</w:t>
      </w:r>
      <w:r w:rsidRPr="0072101A" w:rsidR="00CD6E18">
        <w:rPr>
          <w:rFonts w:ascii="Times New Roman" w:hAnsi="Times New Roman"/>
          <w:b w:val="0"/>
          <w:bCs w:val="0"/>
          <w:sz w:val="22"/>
          <w:szCs w:val="22"/>
        </w:rPr>
        <w:t xml:space="preserve"> sumu</w:t>
      </w:r>
      <w:r w:rsidRPr="0072101A" w:rsidR="00174970">
        <w:rPr>
          <w:rFonts w:ascii="Times New Roman" w:hAnsi="Times New Roman"/>
          <w:b w:val="0"/>
          <w:bCs w:val="0"/>
          <w:sz w:val="22"/>
          <w:szCs w:val="22"/>
        </w:rPr>
        <w:t> </w:t>
      </w:r>
      <w:r w:rsidR="00392CF6">
        <w:rPr>
          <w:rFonts w:ascii="Times New Roman" w:hAnsi="Times New Roman"/>
          <w:b w:val="0"/>
          <w:bCs w:val="0"/>
          <w:sz w:val="22"/>
          <w:szCs w:val="22"/>
        </w:rPr>
        <w:t>12 372</w:t>
      </w:r>
      <w:r w:rsidRPr="0072101A">
        <w:rPr>
          <w:rFonts w:ascii="Times New Roman" w:hAnsi="Times New Roman"/>
          <w:b w:val="0"/>
          <w:bCs w:val="0"/>
          <w:sz w:val="22"/>
          <w:szCs w:val="22"/>
        </w:rPr>
        <w:t xml:space="preserve"> </w:t>
      </w:r>
      <w:r w:rsidRPr="0072101A" w:rsidR="00973D6E">
        <w:rPr>
          <w:rFonts w:ascii="Times New Roman" w:hAnsi="Times New Roman"/>
          <w:b w:val="0"/>
          <w:bCs w:val="0"/>
          <w:sz w:val="22"/>
          <w:szCs w:val="22"/>
        </w:rPr>
        <w:t>tis.</w:t>
      </w:r>
      <w:r w:rsidRPr="0072101A">
        <w:rPr>
          <w:rFonts w:ascii="Times New Roman" w:hAnsi="Times New Roman"/>
          <w:b w:val="0"/>
          <w:bCs w:val="0"/>
          <w:sz w:val="22"/>
          <w:szCs w:val="22"/>
        </w:rPr>
        <w:t xml:space="preserve"> eur</w:t>
      </w:r>
      <w:r w:rsidRPr="0072101A" w:rsidR="00CD6E18">
        <w:rPr>
          <w:rFonts w:ascii="Times New Roman" w:hAnsi="Times New Roman"/>
          <w:b w:val="0"/>
          <w:bCs w:val="0"/>
          <w:sz w:val="22"/>
          <w:szCs w:val="22"/>
        </w:rPr>
        <w:t xml:space="preserve"> ako</w:t>
      </w:r>
      <w:r w:rsidRPr="0072101A">
        <w:rPr>
          <w:rFonts w:ascii="Times New Roman" w:hAnsi="Times New Roman"/>
          <w:b w:val="0"/>
          <w:bCs w:val="0"/>
          <w:sz w:val="22"/>
          <w:szCs w:val="22"/>
        </w:rPr>
        <w:t xml:space="preserve"> príjmy budúcich období. Ostatné subjekty vykázali náklady budúcich období </w:t>
      </w:r>
      <w:r w:rsidRPr="0072101A" w:rsidR="00C53807">
        <w:rPr>
          <w:rFonts w:ascii="Times New Roman" w:hAnsi="Times New Roman"/>
          <w:b w:val="0"/>
          <w:bCs w:val="0"/>
          <w:sz w:val="22"/>
          <w:szCs w:val="22"/>
        </w:rPr>
        <w:t>vo výške</w:t>
        <w:br/>
      </w:r>
      <w:r w:rsidRPr="0072101A" w:rsidR="00C33927">
        <w:rPr>
          <w:rFonts w:ascii="Times New Roman" w:hAnsi="Times New Roman"/>
          <w:b w:val="0"/>
          <w:bCs w:val="0"/>
          <w:sz w:val="22"/>
          <w:szCs w:val="22"/>
        </w:rPr>
        <w:t>1</w:t>
      </w:r>
      <w:r w:rsidR="00392CF6">
        <w:rPr>
          <w:rFonts w:ascii="Times New Roman" w:hAnsi="Times New Roman"/>
          <w:b w:val="0"/>
          <w:bCs w:val="0"/>
          <w:sz w:val="22"/>
          <w:szCs w:val="22"/>
        </w:rPr>
        <w:t>7</w:t>
      </w:r>
      <w:r w:rsidRPr="0072101A" w:rsidR="00C33927">
        <w:rPr>
          <w:rFonts w:ascii="Times New Roman" w:hAnsi="Times New Roman"/>
          <w:b w:val="0"/>
          <w:bCs w:val="0"/>
          <w:sz w:val="22"/>
          <w:szCs w:val="22"/>
        </w:rPr>
        <w:t xml:space="preserve"> </w:t>
      </w:r>
      <w:r w:rsidR="00392CF6">
        <w:rPr>
          <w:rFonts w:ascii="Times New Roman" w:hAnsi="Times New Roman"/>
          <w:b w:val="0"/>
          <w:bCs w:val="0"/>
          <w:sz w:val="22"/>
          <w:szCs w:val="22"/>
        </w:rPr>
        <w:t>848</w:t>
      </w:r>
      <w:r w:rsidRPr="0072101A" w:rsidR="00CD6E18">
        <w:rPr>
          <w:rFonts w:ascii="Times New Roman" w:hAnsi="Times New Roman"/>
          <w:b w:val="0"/>
          <w:bCs w:val="0"/>
          <w:sz w:val="22"/>
          <w:szCs w:val="22"/>
        </w:rPr>
        <w:t xml:space="preserve"> tis. eur </w:t>
      </w:r>
      <w:r w:rsidRPr="0072101A">
        <w:rPr>
          <w:rFonts w:ascii="Times New Roman" w:hAnsi="Times New Roman"/>
          <w:b w:val="0"/>
          <w:bCs w:val="0"/>
          <w:sz w:val="22"/>
          <w:szCs w:val="22"/>
        </w:rPr>
        <w:t>a</w:t>
      </w:r>
      <w:r w:rsidRPr="0072101A" w:rsidR="00174970">
        <w:rPr>
          <w:rFonts w:ascii="Times New Roman" w:hAnsi="Times New Roman"/>
          <w:b w:val="0"/>
          <w:bCs w:val="0"/>
          <w:sz w:val="22"/>
          <w:szCs w:val="22"/>
        </w:rPr>
        <w:t> </w:t>
      </w:r>
      <w:r w:rsidRPr="0072101A" w:rsidR="00CD6E18">
        <w:rPr>
          <w:rFonts w:ascii="Times New Roman" w:hAnsi="Times New Roman"/>
          <w:b w:val="0"/>
          <w:bCs w:val="0"/>
          <w:sz w:val="22"/>
          <w:szCs w:val="22"/>
        </w:rPr>
        <w:t xml:space="preserve">príjmy budúcich období vo výške </w:t>
      </w:r>
      <w:r w:rsidR="00392CF6">
        <w:rPr>
          <w:rFonts w:ascii="Times New Roman" w:hAnsi="Times New Roman"/>
          <w:b w:val="0"/>
          <w:bCs w:val="0"/>
          <w:sz w:val="22"/>
          <w:szCs w:val="22"/>
        </w:rPr>
        <w:t>28 772</w:t>
      </w:r>
      <w:r w:rsidRPr="0072101A">
        <w:rPr>
          <w:rFonts w:ascii="Times New Roman" w:hAnsi="Times New Roman"/>
          <w:b w:val="0"/>
          <w:bCs w:val="0"/>
          <w:sz w:val="22"/>
          <w:szCs w:val="22"/>
        </w:rPr>
        <w:t xml:space="preserve"> </w:t>
      </w:r>
      <w:r w:rsidRPr="0072101A" w:rsidR="00973D6E">
        <w:rPr>
          <w:rFonts w:ascii="Times New Roman" w:hAnsi="Times New Roman"/>
          <w:b w:val="0"/>
          <w:bCs w:val="0"/>
          <w:sz w:val="22"/>
          <w:szCs w:val="22"/>
        </w:rPr>
        <w:t>tis.</w:t>
      </w:r>
      <w:r w:rsidRPr="0072101A">
        <w:rPr>
          <w:rFonts w:ascii="Times New Roman" w:hAnsi="Times New Roman"/>
          <w:b w:val="0"/>
          <w:bCs w:val="0"/>
          <w:sz w:val="22"/>
          <w:szCs w:val="22"/>
        </w:rPr>
        <w:t xml:space="preserve"> eur</w:t>
      </w:r>
      <w:r w:rsidRPr="0072101A" w:rsidR="00CD6E18">
        <w:rPr>
          <w:rFonts w:ascii="Times New Roman" w:hAnsi="Times New Roman"/>
          <w:b w:val="0"/>
          <w:bCs w:val="0"/>
          <w:sz w:val="22"/>
          <w:szCs w:val="22"/>
        </w:rPr>
        <w:t>.</w:t>
      </w:r>
      <w:r w:rsidRPr="0072101A" w:rsidR="00BF0684">
        <w:rPr>
          <w:rFonts w:ascii="Times New Roman" w:hAnsi="Times New Roman"/>
          <w:b w:val="0"/>
          <w:bCs w:val="0"/>
          <w:sz w:val="22"/>
          <w:szCs w:val="22"/>
        </w:rPr>
        <w:t xml:space="preserve"> </w:t>
      </w:r>
    </w:p>
    <w:p w:rsidR="00F81816">
      <w:pPr>
        <w:bidi w:val="0"/>
        <w:spacing w:after="0" w:line="240" w:lineRule="auto"/>
        <w:rPr>
          <w:rFonts w:ascii="Times New Roman" w:hAnsi="Times New Roman"/>
          <w:b/>
          <w:sz w:val="26"/>
          <w:szCs w:val="26"/>
          <w:lang w:eastAsia="sk-SK"/>
        </w:rPr>
      </w:pPr>
      <w:r>
        <w:rPr>
          <w:bCs/>
          <w:sz w:val="26"/>
          <w:szCs w:val="26"/>
        </w:rPr>
        <w:br w:type="page"/>
      </w:r>
    </w:p>
    <w:p w:rsidR="00BE3114" w:rsidRPr="0072101A" w:rsidP="009E0DB1">
      <w:pPr>
        <w:pStyle w:val="Pismenka"/>
        <w:tabs>
          <w:tab w:val="clear" w:pos="426"/>
        </w:tabs>
        <w:bidi w:val="0"/>
        <w:spacing w:before="120" w:after="200" w:line="336" w:lineRule="auto"/>
        <w:ind w:left="425" w:hanging="425"/>
        <w:rPr>
          <w:rFonts w:ascii="Times New Roman" w:hAnsi="Times New Roman"/>
          <w:bCs w:val="0"/>
          <w:sz w:val="26"/>
          <w:szCs w:val="26"/>
        </w:rPr>
      </w:pPr>
      <w:r w:rsidRPr="0072101A" w:rsidR="00300B3C">
        <w:rPr>
          <w:rFonts w:ascii="Times New Roman" w:hAnsi="Times New Roman"/>
          <w:bCs w:val="0"/>
          <w:sz w:val="26"/>
          <w:szCs w:val="26"/>
        </w:rPr>
        <w:t>PASÍVA</w:t>
      </w:r>
    </w:p>
    <w:p w:rsidR="009270BF" w:rsidRPr="0072101A" w:rsidP="00A62C2A">
      <w:pPr>
        <w:pStyle w:val="Pismenka"/>
        <w:tabs>
          <w:tab w:val="clear" w:pos="426"/>
        </w:tabs>
        <w:bidi w:val="0"/>
        <w:spacing w:after="120" w:line="336" w:lineRule="auto"/>
        <w:ind w:left="0" w:firstLine="0"/>
        <w:rPr>
          <w:rFonts w:ascii="Times New Roman" w:hAnsi="Times New Roman"/>
          <w:b w:val="0"/>
          <w:bCs w:val="0"/>
          <w:sz w:val="22"/>
          <w:szCs w:val="22"/>
        </w:rPr>
      </w:pPr>
      <w:r w:rsidRPr="0072101A" w:rsidR="00BE3114">
        <w:rPr>
          <w:rFonts w:ascii="Times New Roman" w:hAnsi="Times New Roman"/>
          <w:b w:val="0"/>
          <w:bCs w:val="0"/>
          <w:sz w:val="22"/>
          <w:szCs w:val="22"/>
        </w:rPr>
        <w:t>C</w:t>
      </w:r>
      <w:r w:rsidRPr="0072101A">
        <w:rPr>
          <w:rFonts w:ascii="Times New Roman" w:hAnsi="Times New Roman"/>
          <w:b w:val="0"/>
          <w:bCs w:val="0"/>
          <w:sz w:val="22"/>
          <w:szCs w:val="22"/>
        </w:rPr>
        <w:t>elkové pasíva dosiahli k 31.12.201</w:t>
      </w:r>
      <w:r w:rsidR="00FE0267">
        <w:rPr>
          <w:rFonts w:ascii="Times New Roman" w:hAnsi="Times New Roman"/>
          <w:b w:val="0"/>
          <w:bCs w:val="0"/>
          <w:sz w:val="22"/>
          <w:szCs w:val="22"/>
        </w:rPr>
        <w:t>5</w:t>
      </w:r>
      <w:r w:rsidRPr="0072101A">
        <w:rPr>
          <w:rFonts w:ascii="Times New Roman" w:hAnsi="Times New Roman"/>
          <w:b w:val="0"/>
          <w:bCs w:val="0"/>
          <w:sz w:val="22"/>
          <w:szCs w:val="22"/>
        </w:rPr>
        <w:t xml:space="preserve"> hodnotu </w:t>
      </w:r>
      <w:r w:rsidR="00FE0267">
        <w:rPr>
          <w:rFonts w:ascii="Times New Roman" w:hAnsi="Times New Roman"/>
          <w:b w:val="0"/>
          <w:bCs w:val="0"/>
          <w:sz w:val="22"/>
          <w:szCs w:val="22"/>
        </w:rPr>
        <w:t>63 037 442</w:t>
      </w:r>
      <w:r w:rsidRPr="0072101A" w:rsidR="001A337B">
        <w:rPr>
          <w:rFonts w:ascii="Times New Roman" w:hAnsi="Times New Roman"/>
          <w:b w:val="0"/>
          <w:bCs w:val="0"/>
          <w:sz w:val="22"/>
          <w:szCs w:val="22"/>
        </w:rPr>
        <w:t xml:space="preserve"> tis. eur</w:t>
      </w:r>
      <w:r w:rsidRPr="0072101A">
        <w:rPr>
          <w:rFonts w:ascii="Times New Roman" w:hAnsi="Times New Roman"/>
          <w:b w:val="0"/>
          <w:bCs w:val="0"/>
          <w:sz w:val="22"/>
          <w:szCs w:val="22"/>
        </w:rPr>
        <w:t>, čo je v porovnaní s rokom 201</w:t>
      </w:r>
      <w:r w:rsidR="00FE0267">
        <w:rPr>
          <w:rFonts w:ascii="Times New Roman" w:hAnsi="Times New Roman"/>
          <w:b w:val="0"/>
          <w:bCs w:val="0"/>
          <w:sz w:val="22"/>
          <w:szCs w:val="22"/>
        </w:rPr>
        <w:t>4</w:t>
      </w:r>
      <w:r w:rsidRPr="0072101A">
        <w:rPr>
          <w:rFonts w:ascii="Times New Roman" w:hAnsi="Times New Roman"/>
          <w:b w:val="0"/>
          <w:bCs w:val="0"/>
          <w:sz w:val="22"/>
          <w:szCs w:val="22"/>
        </w:rPr>
        <w:t xml:space="preserve"> viac o</w:t>
      </w:r>
      <w:r w:rsidRPr="0072101A" w:rsidR="001029C8">
        <w:rPr>
          <w:rFonts w:ascii="Times New Roman" w:hAnsi="Times New Roman"/>
          <w:b w:val="0"/>
          <w:bCs w:val="0"/>
          <w:sz w:val="22"/>
          <w:szCs w:val="22"/>
        </w:rPr>
        <w:t> 2</w:t>
      </w:r>
      <w:r w:rsidR="00FE0267">
        <w:rPr>
          <w:rFonts w:ascii="Times New Roman" w:hAnsi="Times New Roman"/>
          <w:b w:val="0"/>
          <w:bCs w:val="0"/>
          <w:sz w:val="22"/>
          <w:szCs w:val="22"/>
        </w:rPr>
        <w:t> 201 283</w:t>
      </w:r>
      <w:r w:rsidRPr="0072101A" w:rsidR="00C33C20">
        <w:rPr>
          <w:rFonts w:ascii="Times New Roman" w:hAnsi="Times New Roman"/>
          <w:b w:val="0"/>
          <w:bCs w:val="0"/>
          <w:sz w:val="22"/>
          <w:szCs w:val="22"/>
        </w:rPr>
        <w:t> </w:t>
      </w:r>
      <w:r w:rsidRPr="0072101A" w:rsidR="00973D6E">
        <w:rPr>
          <w:rFonts w:ascii="Times New Roman" w:hAnsi="Times New Roman"/>
          <w:b w:val="0"/>
          <w:bCs w:val="0"/>
          <w:sz w:val="22"/>
          <w:szCs w:val="22"/>
        </w:rPr>
        <w:t>tis.</w:t>
      </w:r>
      <w:r w:rsidRPr="0072101A">
        <w:rPr>
          <w:rFonts w:ascii="Times New Roman" w:hAnsi="Times New Roman"/>
          <w:b w:val="0"/>
          <w:bCs w:val="0"/>
          <w:sz w:val="22"/>
          <w:szCs w:val="22"/>
        </w:rPr>
        <w:t xml:space="preserve"> eur</w:t>
      </w:r>
      <w:r w:rsidRPr="0072101A" w:rsidR="007510A2">
        <w:rPr>
          <w:rFonts w:ascii="Times New Roman" w:hAnsi="Times New Roman"/>
          <w:b w:val="0"/>
          <w:bCs w:val="0"/>
          <w:sz w:val="22"/>
          <w:szCs w:val="22"/>
        </w:rPr>
        <w:t xml:space="preserve">. </w:t>
      </w:r>
      <w:r w:rsidRPr="0072101A">
        <w:rPr>
          <w:rFonts w:ascii="Times New Roman" w:hAnsi="Times New Roman"/>
          <w:b w:val="0"/>
          <w:bCs w:val="0"/>
          <w:sz w:val="22"/>
          <w:szCs w:val="22"/>
        </w:rPr>
        <w:t>Celkové pasíva sú tvorené vlastným imaním (</w:t>
      </w:r>
      <w:r w:rsidRPr="0072101A" w:rsidR="001A337B">
        <w:rPr>
          <w:rFonts w:ascii="Times New Roman" w:hAnsi="Times New Roman"/>
          <w:b w:val="0"/>
          <w:bCs w:val="0"/>
          <w:sz w:val="22"/>
          <w:szCs w:val="22"/>
        </w:rPr>
        <w:t>-2</w:t>
      </w:r>
      <w:r w:rsidR="00FE0267">
        <w:rPr>
          <w:rFonts w:ascii="Times New Roman" w:hAnsi="Times New Roman"/>
          <w:b w:val="0"/>
          <w:bCs w:val="0"/>
          <w:sz w:val="22"/>
          <w:szCs w:val="22"/>
        </w:rPr>
        <w:t>6</w:t>
      </w:r>
      <w:r w:rsidRPr="0072101A" w:rsidR="007510A2">
        <w:rPr>
          <w:rFonts w:ascii="Times New Roman" w:hAnsi="Times New Roman"/>
          <w:b w:val="0"/>
          <w:bCs w:val="0"/>
          <w:sz w:val="22"/>
          <w:szCs w:val="22"/>
        </w:rPr>
        <w:t xml:space="preserve"> </w:t>
      </w:r>
      <w:r w:rsidR="00DA533F">
        <w:rPr>
          <w:rFonts w:ascii="Times New Roman" w:hAnsi="Times New Roman"/>
          <w:b w:val="0"/>
          <w:bCs w:val="0"/>
          <w:sz w:val="22"/>
          <w:szCs w:val="22"/>
        </w:rPr>
        <w:t xml:space="preserve">%), záväzkami </w:t>
      </w:r>
      <w:r w:rsidRPr="0072101A">
        <w:rPr>
          <w:rFonts w:ascii="Times New Roman" w:hAnsi="Times New Roman"/>
          <w:b w:val="0"/>
          <w:bCs w:val="0"/>
          <w:sz w:val="22"/>
          <w:szCs w:val="22"/>
        </w:rPr>
        <w:t>(</w:t>
      </w:r>
      <w:r w:rsidR="00FE0267">
        <w:rPr>
          <w:rFonts w:ascii="Times New Roman" w:hAnsi="Times New Roman"/>
          <w:b w:val="0"/>
          <w:bCs w:val="0"/>
          <w:sz w:val="22"/>
          <w:szCs w:val="22"/>
        </w:rPr>
        <w:t>110</w:t>
      </w:r>
      <w:r w:rsidRPr="0072101A" w:rsidR="007510A2">
        <w:rPr>
          <w:rFonts w:ascii="Times New Roman" w:hAnsi="Times New Roman"/>
          <w:b w:val="0"/>
          <w:bCs w:val="0"/>
          <w:sz w:val="22"/>
          <w:szCs w:val="22"/>
        </w:rPr>
        <w:t xml:space="preserve"> </w:t>
      </w:r>
      <w:r w:rsidRPr="0072101A">
        <w:rPr>
          <w:rFonts w:ascii="Times New Roman" w:hAnsi="Times New Roman"/>
          <w:b w:val="0"/>
          <w:bCs w:val="0"/>
          <w:sz w:val="22"/>
          <w:szCs w:val="22"/>
        </w:rPr>
        <w:t>%) a časovým rozlíšením (</w:t>
      </w:r>
      <w:r w:rsidRPr="0072101A" w:rsidR="00FD048C">
        <w:rPr>
          <w:rFonts w:ascii="Times New Roman" w:hAnsi="Times New Roman"/>
          <w:b w:val="0"/>
          <w:bCs w:val="0"/>
          <w:sz w:val="22"/>
          <w:szCs w:val="22"/>
        </w:rPr>
        <w:t>1</w:t>
      </w:r>
      <w:r w:rsidR="00FE0267">
        <w:rPr>
          <w:rFonts w:ascii="Times New Roman" w:hAnsi="Times New Roman"/>
          <w:b w:val="0"/>
          <w:bCs w:val="0"/>
          <w:sz w:val="22"/>
          <w:szCs w:val="22"/>
        </w:rPr>
        <w:t>6</w:t>
      </w:r>
      <w:r w:rsidRPr="0072101A" w:rsidR="007510A2">
        <w:rPr>
          <w:rFonts w:ascii="Times New Roman" w:hAnsi="Times New Roman"/>
          <w:b w:val="0"/>
          <w:bCs w:val="0"/>
          <w:sz w:val="22"/>
          <w:szCs w:val="22"/>
        </w:rPr>
        <w:t xml:space="preserve"> </w:t>
      </w:r>
      <w:r w:rsidRPr="0072101A">
        <w:rPr>
          <w:rFonts w:ascii="Times New Roman" w:hAnsi="Times New Roman"/>
          <w:b w:val="0"/>
          <w:bCs w:val="0"/>
          <w:sz w:val="22"/>
          <w:szCs w:val="22"/>
        </w:rPr>
        <w:t xml:space="preserve">%). </w:t>
      </w:r>
    </w:p>
    <w:p w:rsidR="00E35D61" w:rsidP="0036602E">
      <w:pPr>
        <w:pStyle w:val="Pismenka"/>
        <w:tabs>
          <w:tab w:val="clear" w:pos="426"/>
        </w:tabs>
        <w:bidi w:val="0"/>
        <w:spacing w:after="120" w:line="336" w:lineRule="auto"/>
        <w:ind w:left="0" w:firstLine="0"/>
        <w:rPr>
          <w:rFonts w:ascii="Times New Roman" w:hAnsi="Times New Roman"/>
          <w:b w:val="0"/>
          <w:bCs w:val="0"/>
          <w:sz w:val="22"/>
          <w:szCs w:val="22"/>
        </w:rPr>
      </w:pPr>
      <w:r w:rsidRPr="0072101A" w:rsidR="00C33C20">
        <w:rPr>
          <w:rFonts w:ascii="Times New Roman" w:hAnsi="Times New Roman"/>
          <w:b w:val="0"/>
          <w:bCs w:val="0"/>
          <w:sz w:val="22"/>
          <w:szCs w:val="22"/>
        </w:rPr>
        <w:t xml:space="preserve">Na zvýšení celkových pasív sa podieľalo najmä zvýšenie </w:t>
      </w:r>
      <w:r>
        <w:rPr>
          <w:rFonts w:ascii="Times New Roman" w:hAnsi="Times New Roman"/>
          <w:b w:val="0"/>
          <w:bCs w:val="0"/>
          <w:sz w:val="22"/>
          <w:szCs w:val="22"/>
        </w:rPr>
        <w:t xml:space="preserve">celkových </w:t>
      </w:r>
      <w:r w:rsidRPr="0072101A" w:rsidR="00C33C20">
        <w:rPr>
          <w:rFonts w:ascii="Times New Roman" w:hAnsi="Times New Roman"/>
          <w:b w:val="0"/>
          <w:bCs w:val="0"/>
          <w:sz w:val="22"/>
          <w:szCs w:val="22"/>
        </w:rPr>
        <w:t>záväzkov o</w:t>
      </w:r>
      <w:r w:rsidR="00FE0267">
        <w:rPr>
          <w:rFonts w:ascii="Times New Roman" w:hAnsi="Times New Roman"/>
          <w:b w:val="0"/>
          <w:bCs w:val="0"/>
          <w:sz w:val="22"/>
          <w:szCs w:val="22"/>
        </w:rPr>
        <w:t> 3 309 592</w:t>
      </w:r>
      <w:r w:rsidRPr="0072101A" w:rsidR="00C33C20">
        <w:rPr>
          <w:rFonts w:ascii="Times New Roman" w:hAnsi="Times New Roman"/>
          <w:b w:val="0"/>
          <w:bCs w:val="0"/>
          <w:sz w:val="22"/>
          <w:szCs w:val="22"/>
        </w:rPr>
        <w:t xml:space="preserve"> tis. eur</w:t>
      </w:r>
      <w:r w:rsidR="00FE0267">
        <w:rPr>
          <w:rFonts w:ascii="Times New Roman" w:hAnsi="Times New Roman"/>
          <w:b w:val="0"/>
          <w:bCs w:val="0"/>
          <w:sz w:val="22"/>
          <w:szCs w:val="22"/>
        </w:rPr>
        <w:t xml:space="preserve">, zvýšenie časového rozlíšenia o 1 067 031 tis. eur </w:t>
      </w:r>
      <w:r w:rsidRPr="0072101A" w:rsidR="001C41F4">
        <w:rPr>
          <w:rFonts w:ascii="Times New Roman" w:hAnsi="Times New Roman"/>
          <w:b w:val="0"/>
          <w:bCs w:val="0"/>
          <w:sz w:val="22"/>
          <w:szCs w:val="22"/>
        </w:rPr>
        <w:t>a</w:t>
      </w:r>
      <w:r w:rsidRPr="0072101A" w:rsidR="001A337B">
        <w:rPr>
          <w:rFonts w:ascii="Times New Roman" w:hAnsi="Times New Roman"/>
          <w:b w:val="0"/>
          <w:bCs w:val="0"/>
          <w:sz w:val="22"/>
          <w:szCs w:val="22"/>
        </w:rPr>
        <w:t xml:space="preserve"> súčasné zníženie </w:t>
      </w:r>
      <w:r>
        <w:rPr>
          <w:rFonts w:ascii="Times New Roman" w:hAnsi="Times New Roman"/>
          <w:b w:val="0"/>
          <w:bCs w:val="0"/>
          <w:sz w:val="22"/>
          <w:szCs w:val="22"/>
        </w:rPr>
        <w:t xml:space="preserve">záporného </w:t>
      </w:r>
      <w:r w:rsidRPr="0072101A" w:rsidR="001029C8">
        <w:rPr>
          <w:rFonts w:ascii="Times New Roman" w:hAnsi="Times New Roman"/>
          <w:b w:val="0"/>
          <w:bCs w:val="0"/>
          <w:sz w:val="22"/>
          <w:szCs w:val="22"/>
        </w:rPr>
        <w:t>vlastného imania</w:t>
      </w:r>
      <w:r w:rsidRPr="0072101A" w:rsidR="001A337B">
        <w:rPr>
          <w:rFonts w:ascii="Times New Roman" w:hAnsi="Times New Roman"/>
          <w:b w:val="0"/>
          <w:bCs w:val="0"/>
          <w:sz w:val="22"/>
          <w:szCs w:val="22"/>
        </w:rPr>
        <w:t xml:space="preserve"> o</w:t>
      </w:r>
      <w:r w:rsidR="00FE0267">
        <w:rPr>
          <w:rFonts w:ascii="Times New Roman" w:hAnsi="Times New Roman"/>
          <w:b w:val="0"/>
          <w:bCs w:val="0"/>
          <w:sz w:val="22"/>
          <w:szCs w:val="22"/>
        </w:rPr>
        <w:t> 2 175 340</w:t>
      </w:r>
      <w:r w:rsidRPr="0072101A" w:rsidR="001A337B">
        <w:rPr>
          <w:rFonts w:ascii="Times New Roman" w:hAnsi="Times New Roman"/>
          <w:b w:val="0"/>
          <w:bCs w:val="0"/>
          <w:sz w:val="22"/>
          <w:szCs w:val="22"/>
        </w:rPr>
        <w:t xml:space="preserve"> tis. eur. </w:t>
      </w:r>
    </w:p>
    <w:p w:rsidR="00D1689C" w:rsidRPr="00D1689C" w:rsidP="0036602E">
      <w:pPr>
        <w:pStyle w:val="Pismenka"/>
        <w:tabs>
          <w:tab w:val="clear" w:pos="426"/>
        </w:tabs>
        <w:bidi w:val="0"/>
        <w:spacing w:after="120" w:line="336" w:lineRule="auto"/>
        <w:ind w:left="0" w:firstLine="0"/>
        <w:rPr>
          <w:rFonts w:ascii="Times New Roman" w:hAnsi="Times New Roman"/>
          <w:b w:val="0"/>
          <w:bCs w:val="0"/>
          <w:sz w:val="22"/>
          <w:szCs w:val="22"/>
        </w:rPr>
      </w:pPr>
      <w:r>
        <w:rPr>
          <w:rFonts w:ascii="Times New Roman" w:hAnsi="Times New Roman"/>
          <w:b w:val="0"/>
          <w:bCs w:val="0"/>
          <w:sz w:val="22"/>
          <w:szCs w:val="22"/>
          <w:u w:val="single"/>
        </w:rPr>
        <w:t>Vlastné imanie</w:t>
      </w:r>
      <w:r>
        <w:rPr>
          <w:rFonts w:ascii="Times New Roman" w:hAnsi="Times New Roman"/>
          <w:b w:val="0"/>
          <w:bCs w:val="0"/>
          <w:sz w:val="22"/>
          <w:szCs w:val="22"/>
        </w:rPr>
        <w:t xml:space="preserve"> sa znížilo najmä z dôvodu záporného výsledku hospodárenia bežného obdobia, ktorý dosiahol -1 951 273 tis. eur. Záporný výsledok dosiahla ústredná správa sumou -2 621 398 tis. eur, z toho Ministerstvo financií SR </w:t>
      </w:r>
      <w:r w:rsidR="00157A4E">
        <w:rPr>
          <w:rFonts w:ascii="Times New Roman" w:hAnsi="Times New Roman"/>
          <w:b w:val="0"/>
          <w:bCs w:val="0"/>
          <w:sz w:val="22"/>
          <w:szCs w:val="22"/>
        </w:rPr>
        <w:t>-</w:t>
      </w:r>
      <w:r>
        <w:rPr>
          <w:rFonts w:ascii="Times New Roman" w:hAnsi="Times New Roman"/>
          <w:b w:val="0"/>
          <w:bCs w:val="0"/>
          <w:sz w:val="22"/>
          <w:szCs w:val="22"/>
        </w:rPr>
        <w:t>2 359 162 tis. eur</w:t>
      </w:r>
      <w:r w:rsidR="00F3123B">
        <w:rPr>
          <w:rFonts w:ascii="Times New Roman" w:hAnsi="Times New Roman"/>
          <w:b w:val="0"/>
          <w:bCs w:val="0"/>
          <w:sz w:val="22"/>
          <w:szCs w:val="22"/>
        </w:rPr>
        <w:t>. Kladný výsledok hospodárenia dosiahla územná samospráva úhrnom 244 66</w:t>
      </w:r>
      <w:r w:rsidR="00262E5D">
        <w:rPr>
          <w:rFonts w:ascii="Times New Roman" w:hAnsi="Times New Roman"/>
          <w:b w:val="0"/>
          <w:bCs w:val="0"/>
          <w:sz w:val="22"/>
          <w:szCs w:val="22"/>
        </w:rPr>
        <w:t>8</w:t>
      </w:r>
      <w:r w:rsidR="00F3123B">
        <w:rPr>
          <w:rFonts w:ascii="Times New Roman" w:hAnsi="Times New Roman"/>
          <w:b w:val="0"/>
          <w:bCs w:val="0"/>
          <w:sz w:val="22"/>
          <w:szCs w:val="22"/>
        </w:rPr>
        <w:t xml:space="preserve"> tis. eur ako aj ostatné subjekty súhrnného celku 425 457 tis. eur.</w:t>
      </w:r>
      <w:r>
        <w:rPr>
          <w:rFonts w:ascii="Times New Roman" w:hAnsi="Times New Roman"/>
          <w:b w:val="0"/>
          <w:bCs w:val="0"/>
          <w:sz w:val="22"/>
          <w:szCs w:val="22"/>
        </w:rPr>
        <w:t xml:space="preserve">  </w:t>
      </w:r>
    </w:p>
    <w:p w:rsidR="00E35D61" w:rsidP="0036602E">
      <w:pPr>
        <w:pStyle w:val="Pismenka"/>
        <w:tabs>
          <w:tab w:val="clear" w:pos="426"/>
        </w:tabs>
        <w:bidi w:val="0"/>
        <w:spacing w:after="120" w:line="336" w:lineRule="auto"/>
        <w:ind w:left="0" w:firstLine="0"/>
        <w:rPr>
          <w:rFonts w:ascii="Times New Roman" w:hAnsi="Times New Roman"/>
          <w:b w:val="0"/>
          <w:bCs w:val="0"/>
          <w:sz w:val="22"/>
          <w:szCs w:val="22"/>
        </w:rPr>
      </w:pPr>
      <w:r w:rsidRPr="00D1689C">
        <w:rPr>
          <w:rFonts w:ascii="Times New Roman" w:hAnsi="Times New Roman"/>
          <w:b w:val="0"/>
          <w:bCs w:val="0"/>
          <w:sz w:val="22"/>
          <w:szCs w:val="22"/>
          <w:u w:val="single"/>
        </w:rPr>
        <w:t>Zo záväzkov</w:t>
      </w:r>
      <w:r>
        <w:rPr>
          <w:rFonts w:ascii="Times New Roman" w:hAnsi="Times New Roman"/>
          <w:b w:val="0"/>
          <w:bCs w:val="0"/>
          <w:sz w:val="22"/>
          <w:szCs w:val="22"/>
        </w:rPr>
        <w:t xml:space="preserve"> zaznamenali významný medziročný prírastok bankové úvery a výpomoci v úhrnnej hodnote 1 951 251 tis. eur, ostatné záväzky o 785 411 tis. eur, celkové rezervy o 442 807 tis. eur a zúčtovacie vzťahy o 130 123 tis. eur.</w:t>
      </w:r>
    </w:p>
    <w:p w:rsidR="00FE0267" w:rsidP="0036602E">
      <w:pPr>
        <w:pStyle w:val="Pismenka"/>
        <w:tabs>
          <w:tab w:val="clear" w:pos="426"/>
        </w:tabs>
        <w:bidi w:val="0"/>
        <w:spacing w:after="120" w:line="336" w:lineRule="auto"/>
        <w:ind w:left="0" w:firstLine="0"/>
        <w:rPr>
          <w:rFonts w:ascii="Times New Roman" w:hAnsi="Times New Roman"/>
          <w:b w:val="0"/>
          <w:bCs w:val="0"/>
          <w:sz w:val="22"/>
          <w:szCs w:val="22"/>
        </w:rPr>
      </w:pPr>
      <w:r>
        <w:rPr>
          <w:rFonts w:ascii="Times New Roman" w:hAnsi="Times New Roman"/>
          <w:b w:val="0"/>
          <w:bCs w:val="0"/>
          <w:sz w:val="22"/>
          <w:szCs w:val="22"/>
        </w:rPr>
        <w:t xml:space="preserve">V roku 2014 boli </w:t>
      </w:r>
      <w:r w:rsidR="00E35D61">
        <w:rPr>
          <w:rFonts w:ascii="Times New Roman" w:hAnsi="Times New Roman"/>
          <w:b w:val="0"/>
          <w:bCs w:val="0"/>
          <w:sz w:val="22"/>
          <w:szCs w:val="22"/>
        </w:rPr>
        <w:t xml:space="preserve">celkové </w:t>
      </w:r>
      <w:r>
        <w:rPr>
          <w:rFonts w:ascii="Times New Roman" w:hAnsi="Times New Roman"/>
          <w:b w:val="0"/>
          <w:bCs w:val="0"/>
          <w:sz w:val="22"/>
          <w:szCs w:val="22"/>
        </w:rPr>
        <w:t xml:space="preserve">záväzky významne ovplyvnené tvorbou dlhodobých rezerv na zamestnanecké požitky v ústrednej správe, k 31.12.2015 došlo k aktualizácii expertného odhadu ich výšky a boli dotvorené </w:t>
      </w:r>
      <w:r w:rsidR="00A15807">
        <w:rPr>
          <w:rFonts w:ascii="Times New Roman" w:hAnsi="Times New Roman"/>
          <w:b w:val="0"/>
          <w:bCs w:val="0"/>
          <w:sz w:val="22"/>
          <w:szCs w:val="22"/>
        </w:rPr>
        <w:t>ďalšie rezervy vo výške 598 010 tis. eur</w:t>
      </w:r>
      <w:r>
        <w:rPr>
          <w:rFonts w:ascii="Times New Roman" w:hAnsi="Times New Roman"/>
          <w:b w:val="0"/>
          <w:bCs w:val="0"/>
          <w:sz w:val="22"/>
          <w:szCs w:val="22"/>
        </w:rPr>
        <w:t xml:space="preserve"> s vplyvom na výsledok hospodárenia bežného obdobia</w:t>
      </w:r>
      <w:r w:rsidR="00157A4E">
        <w:rPr>
          <w:rFonts w:ascii="Times New Roman" w:hAnsi="Times New Roman"/>
          <w:b w:val="0"/>
          <w:bCs w:val="0"/>
          <w:sz w:val="22"/>
          <w:szCs w:val="22"/>
        </w:rPr>
        <w:t xml:space="preserve"> 2015</w:t>
      </w:r>
      <w:r w:rsidR="00A15807">
        <w:rPr>
          <w:rFonts w:ascii="Times New Roman" w:hAnsi="Times New Roman"/>
          <w:b w:val="0"/>
          <w:bCs w:val="0"/>
          <w:sz w:val="22"/>
          <w:szCs w:val="22"/>
        </w:rPr>
        <w:t xml:space="preserve">. Zároveň tieto rezervy sú súčasťou </w:t>
      </w:r>
      <w:r w:rsidR="00157A4E">
        <w:rPr>
          <w:rFonts w:ascii="Times New Roman" w:hAnsi="Times New Roman"/>
          <w:b w:val="0"/>
          <w:bCs w:val="0"/>
          <w:sz w:val="22"/>
          <w:szCs w:val="22"/>
        </w:rPr>
        <w:t>celkových</w:t>
      </w:r>
      <w:r w:rsidR="00A15807">
        <w:rPr>
          <w:rFonts w:ascii="Times New Roman" w:hAnsi="Times New Roman"/>
          <w:b w:val="0"/>
          <w:bCs w:val="0"/>
          <w:sz w:val="22"/>
          <w:szCs w:val="22"/>
        </w:rPr>
        <w:t xml:space="preserve"> záväzkov.</w:t>
      </w:r>
      <w:r>
        <w:rPr>
          <w:rFonts w:ascii="Times New Roman" w:hAnsi="Times New Roman"/>
          <w:b w:val="0"/>
          <w:bCs w:val="0"/>
          <w:sz w:val="22"/>
          <w:szCs w:val="22"/>
        </w:rPr>
        <w:t xml:space="preserve"> </w:t>
      </w:r>
    </w:p>
    <w:p w:rsidR="00D1689C" w:rsidP="00D1689C">
      <w:pPr>
        <w:pStyle w:val="Pismenka"/>
        <w:tabs>
          <w:tab w:val="clear" w:pos="426"/>
        </w:tabs>
        <w:bidi w:val="0"/>
        <w:spacing w:after="120" w:line="336" w:lineRule="auto"/>
        <w:ind w:left="0" w:firstLine="0"/>
        <w:rPr>
          <w:rFonts w:ascii="Times New Roman" w:hAnsi="Times New Roman"/>
          <w:b w:val="0"/>
          <w:bCs w:val="0"/>
          <w:sz w:val="22"/>
          <w:szCs w:val="22"/>
        </w:rPr>
      </w:pPr>
      <w:r w:rsidRPr="00D1689C">
        <w:rPr>
          <w:rFonts w:ascii="Times New Roman" w:hAnsi="Times New Roman"/>
          <w:b w:val="0"/>
          <w:bCs w:val="0"/>
          <w:sz w:val="22"/>
          <w:szCs w:val="22"/>
          <w:u w:val="single"/>
        </w:rPr>
        <w:t>Časové rozlíšenie</w:t>
      </w:r>
      <w:r>
        <w:rPr>
          <w:rFonts w:ascii="Times New Roman" w:hAnsi="Times New Roman"/>
          <w:b w:val="0"/>
          <w:bCs w:val="0"/>
          <w:sz w:val="22"/>
          <w:szCs w:val="22"/>
        </w:rPr>
        <w:t xml:space="preserve"> zaznamenalo prírastok najmä u obcí o 544 191 tis. eur, u ostatných subjektov súhrnného celku v úhrne o 360 019 tis. eur, v ústrednej správe 97 846 tis. eur.  </w:t>
      </w:r>
    </w:p>
    <w:p w:rsidR="009270BF" w:rsidRPr="0072101A" w:rsidP="008F6F24">
      <w:pPr>
        <w:pStyle w:val="Pismenka"/>
        <w:numPr>
          <w:numId w:val="21"/>
        </w:numPr>
        <w:tabs>
          <w:tab w:val="clear" w:pos="426"/>
        </w:tabs>
        <w:bidi w:val="0"/>
        <w:spacing w:before="200" w:after="200" w:line="336" w:lineRule="auto"/>
        <w:ind w:left="284" w:hanging="284"/>
        <w:rPr>
          <w:rFonts w:ascii="Times New Roman" w:hAnsi="Times New Roman"/>
          <w:bCs w:val="0"/>
          <w:sz w:val="24"/>
          <w:szCs w:val="24"/>
        </w:rPr>
      </w:pPr>
      <w:r w:rsidRPr="0072101A">
        <w:rPr>
          <w:rFonts w:ascii="Times New Roman" w:hAnsi="Times New Roman"/>
          <w:bCs w:val="0"/>
          <w:sz w:val="24"/>
          <w:szCs w:val="24"/>
        </w:rPr>
        <w:t>Vlastné imanie</w:t>
      </w:r>
    </w:p>
    <w:p w:rsidR="009270BF" w:rsidRPr="0072101A" w:rsidP="00A62C2A">
      <w:pPr>
        <w:pStyle w:val="Pismenka"/>
        <w:tabs>
          <w:tab w:val="clear" w:pos="426"/>
        </w:tabs>
        <w:bidi w:val="0"/>
        <w:spacing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rPr>
        <w:t>Vlastné imanie súhrnného celku za rok 201</w:t>
      </w:r>
      <w:r w:rsidR="005B1A54">
        <w:rPr>
          <w:rFonts w:ascii="Times New Roman" w:hAnsi="Times New Roman"/>
          <w:b w:val="0"/>
          <w:bCs w:val="0"/>
          <w:sz w:val="22"/>
          <w:szCs w:val="22"/>
        </w:rPr>
        <w:t>5</w:t>
      </w:r>
      <w:r w:rsidRPr="0072101A">
        <w:rPr>
          <w:rFonts w:ascii="Times New Roman" w:hAnsi="Times New Roman"/>
          <w:b w:val="0"/>
          <w:bCs w:val="0"/>
          <w:sz w:val="22"/>
          <w:szCs w:val="22"/>
        </w:rPr>
        <w:t xml:space="preserve"> dosiahlo </w:t>
      </w:r>
      <w:r w:rsidRPr="0072101A" w:rsidR="00C17547">
        <w:rPr>
          <w:rFonts w:ascii="Times New Roman" w:hAnsi="Times New Roman"/>
          <w:b w:val="0"/>
          <w:bCs w:val="0"/>
          <w:sz w:val="22"/>
          <w:szCs w:val="22"/>
        </w:rPr>
        <w:t>-1</w:t>
      </w:r>
      <w:r w:rsidR="005B1A54">
        <w:rPr>
          <w:rFonts w:ascii="Times New Roman" w:hAnsi="Times New Roman"/>
          <w:b w:val="0"/>
          <w:bCs w:val="0"/>
          <w:sz w:val="22"/>
          <w:szCs w:val="22"/>
        </w:rPr>
        <w:t>6 215 078</w:t>
      </w:r>
      <w:r w:rsidRPr="0072101A" w:rsidR="00C17547">
        <w:rPr>
          <w:rFonts w:ascii="Times New Roman" w:hAnsi="Times New Roman"/>
          <w:b w:val="0"/>
          <w:bCs w:val="0"/>
          <w:sz w:val="22"/>
          <w:szCs w:val="22"/>
        </w:rPr>
        <w:t xml:space="preserve"> tis. eur</w:t>
      </w:r>
      <w:r w:rsidRPr="0072101A" w:rsidR="008A599D">
        <w:rPr>
          <w:rFonts w:ascii="Times New Roman" w:hAnsi="Times New Roman"/>
          <w:b w:val="0"/>
          <w:bCs w:val="0"/>
          <w:sz w:val="22"/>
          <w:szCs w:val="22"/>
        </w:rPr>
        <w:t>,</w:t>
      </w:r>
      <w:r w:rsidRPr="0072101A" w:rsidR="00666F99">
        <w:rPr>
          <w:rFonts w:ascii="Times New Roman" w:hAnsi="Times New Roman"/>
          <w:b w:val="0"/>
          <w:bCs w:val="0"/>
          <w:sz w:val="22"/>
          <w:szCs w:val="22"/>
        </w:rPr>
        <w:t xml:space="preserve"> z</w:t>
      </w:r>
      <w:r w:rsidRPr="0072101A">
        <w:rPr>
          <w:rFonts w:ascii="Times New Roman" w:hAnsi="Times New Roman"/>
          <w:b w:val="0"/>
          <w:bCs w:val="0"/>
          <w:sz w:val="22"/>
          <w:szCs w:val="22"/>
        </w:rPr>
        <w:t xml:space="preserve"> toho oceňovacie rozdiely </w:t>
      </w:r>
      <w:r w:rsidRPr="0072101A" w:rsidR="00CE599B">
        <w:rPr>
          <w:rFonts w:ascii="Times New Roman" w:hAnsi="Times New Roman"/>
          <w:b w:val="0"/>
          <w:bCs w:val="0"/>
          <w:sz w:val="22"/>
          <w:szCs w:val="22"/>
        </w:rPr>
        <w:t xml:space="preserve">dosiahli </w:t>
      </w:r>
      <w:r w:rsidR="005B1A54">
        <w:rPr>
          <w:rFonts w:ascii="Times New Roman" w:hAnsi="Times New Roman"/>
          <w:b w:val="0"/>
          <w:bCs w:val="0"/>
          <w:sz w:val="22"/>
          <w:szCs w:val="22"/>
        </w:rPr>
        <w:t>-36 210</w:t>
      </w:r>
      <w:r w:rsidRPr="0072101A" w:rsidR="00E461F4">
        <w:rPr>
          <w:rFonts w:ascii="Times New Roman" w:hAnsi="Times New Roman"/>
          <w:b w:val="0"/>
          <w:bCs w:val="0"/>
          <w:sz w:val="22"/>
          <w:szCs w:val="22"/>
        </w:rPr>
        <w:t xml:space="preserve"> tis. eur</w:t>
      </w:r>
      <w:r w:rsidRPr="0072101A">
        <w:rPr>
          <w:rFonts w:ascii="Times New Roman" w:hAnsi="Times New Roman"/>
          <w:b w:val="0"/>
          <w:bCs w:val="0"/>
          <w:sz w:val="22"/>
          <w:szCs w:val="22"/>
        </w:rPr>
        <w:t xml:space="preserve">, výsledok hospodárenia </w:t>
      </w:r>
      <w:r w:rsidRPr="0072101A" w:rsidR="00C17547">
        <w:rPr>
          <w:rFonts w:ascii="Times New Roman" w:hAnsi="Times New Roman"/>
          <w:b w:val="0"/>
          <w:bCs w:val="0"/>
          <w:sz w:val="22"/>
          <w:szCs w:val="22"/>
        </w:rPr>
        <w:t>-</w:t>
      </w:r>
      <w:r w:rsidR="005B1A54">
        <w:rPr>
          <w:rFonts w:ascii="Times New Roman" w:hAnsi="Times New Roman"/>
          <w:b w:val="0"/>
          <w:bCs w:val="0"/>
          <w:sz w:val="22"/>
          <w:szCs w:val="22"/>
        </w:rPr>
        <w:t>16 388 375</w:t>
      </w:r>
      <w:r w:rsidRPr="0072101A" w:rsidR="00CE599B">
        <w:rPr>
          <w:rFonts w:ascii="Times New Roman" w:hAnsi="Times New Roman"/>
          <w:b w:val="0"/>
          <w:bCs w:val="0"/>
          <w:sz w:val="22"/>
          <w:szCs w:val="22"/>
        </w:rPr>
        <w:t xml:space="preserve"> tis. eur </w:t>
      </w:r>
      <w:r w:rsidRPr="0072101A">
        <w:rPr>
          <w:rFonts w:ascii="Times New Roman" w:hAnsi="Times New Roman"/>
          <w:b w:val="0"/>
          <w:bCs w:val="0"/>
          <w:sz w:val="22"/>
          <w:szCs w:val="22"/>
        </w:rPr>
        <w:t xml:space="preserve">a podiely iných účtovných jednotiek </w:t>
      </w:r>
      <w:r w:rsidR="005B1A54">
        <w:rPr>
          <w:rFonts w:ascii="Times New Roman" w:hAnsi="Times New Roman"/>
          <w:b w:val="0"/>
          <w:bCs w:val="0"/>
          <w:sz w:val="22"/>
          <w:szCs w:val="22"/>
        </w:rPr>
        <w:t>209 507</w:t>
      </w:r>
      <w:r w:rsidRPr="0072101A" w:rsidR="00945761">
        <w:rPr>
          <w:rFonts w:ascii="Times New Roman" w:hAnsi="Times New Roman"/>
          <w:b w:val="0"/>
          <w:bCs w:val="0"/>
          <w:sz w:val="22"/>
          <w:szCs w:val="22"/>
        </w:rPr>
        <w:t xml:space="preserve"> </w:t>
      </w:r>
      <w:r w:rsidRPr="0072101A" w:rsidR="00973D6E">
        <w:rPr>
          <w:rFonts w:ascii="Times New Roman" w:hAnsi="Times New Roman"/>
          <w:b w:val="0"/>
          <w:bCs w:val="0"/>
          <w:sz w:val="22"/>
          <w:szCs w:val="22"/>
        </w:rPr>
        <w:t>tis.</w:t>
      </w:r>
      <w:r w:rsidRPr="0072101A">
        <w:rPr>
          <w:rFonts w:ascii="Times New Roman" w:hAnsi="Times New Roman"/>
          <w:b w:val="0"/>
          <w:bCs w:val="0"/>
          <w:sz w:val="22"/>
          <w:szCs w:val="22"/>
        </w:rPr>
        <w:t xml:space="preserve"> eur.</w:t>
      </w:r>
      <w:r w:rsidRPr="0072101A" w:rsidR="00910621">
        <w:rPr>
          <w:rFonts w:ascii="Times New Roman" w:hAnsi="Times New Roman"/>
          <w:b w:val="0"/>
          <w:bCs w:val="0"/>
          <w:sz w:val="22"/>
          <w:szCs w:val="22"/>
        </w:rPr>
        <w:t xml:space="preserve"> Do výsledku hospodárenia minulých období sú zahrnuté aj fondy v rámci vlastného imania, ktorých hodnota za rok 201</w:t>
      </w:r>
      <w:r w:rsidR="005B1A54">
        <w:rPr>
          <w:rFonts w:ascii="Times New Roman" w:hAnsi="Times New Roman"/>
          <w:b w:val="0"/>
          <w:bCs w:val="0"/>
          <w:sz w:val="22"/>
          <w:szCs w:val="22"/>
        </w:rPr>
        <w:t>5</w:t>
      </w:r>
      <w:r w:rsidRPr="0072101A" w:rsidR="00910621">
        <w:rPr>
          <w:rFonts w:ascii="Times New Roman" w:hAnsi="Times New Roman"/>
          <w:b w:val="0"/>
          <w:bCs w:val="0"/>
          <w:sz w:val="22"/>
          <w:szCs w:val="22"/>
        </w:rPr>
        <w:t xml:space="preserve"> bola </w:t>
      </w:r>
      <w:r w:rsidR="005B1A54">
        <w:rPr>
          <w:rFonts w:ascii="Times New Roman" w:hAnsi="Times New Roman"/>
          <w:b w:val="0"/>
          <w:bCs w:val="0"/>
          <w:sz w:val="22"/>
          <w:szCs w:val="22"/>
        </w:rPr>
        <w:t>4 900 927</w:t>
      </w:r>
      <w:r w:rsidRPr="0072101A" w:rsidR="00910621">
        <w:rPr>
          <w:rFonts w:ascii="Times New Roman" w:hAnsi="Times New Roman"/>
          <w:b w:val="0"/>
          <w:bCs w:val="0"/>
          <w:sz w:val="22"/>
          <w:szCs w:val="22"/>
        </w:rPr>
        <w:t xml:space="preserve"> tis. eur. </w:t>
      </w:r>
    </w:p>
    <w:p w:rsidR="00666F99" w:rsidRPr="0072101A" w:rsidP="00A62C2A">
      <w:pPr>
        <w:pStyle w:val="Pismenka"/>
        <w:tabs>
          <w:tab w:val="clear" w:pos="426"/>
        </w:tabs>
        <w:bidi w:val="0"/>
        <w:spacing w:before="200" w:after="200" w:line="336" w:lineRule="auto"/>
        <w:ind w:left="0" w:firstLine="0"/>
        <w:rPr>
          <w:rFonts w:ascii="Times New Roman" w:hAnsi="Times New Roman"/>
          <w:bCs w:val="0"/>
          <w:sz w:val="24"/>
          <w:szCs w:val="24"/>
        </w:rPr>
      </w:pPr>
      <w:r w:rsidRPr="0072101A" w:rsidR="00FE63D0">
        <w:rPr>
          <w:rFonts w:ascii="Times New Roman" w:hAnsi="Times New Roman"/>
          <w:bCs w:val="0"/>
          <w:sz w:val="24"/>
          <w:szCs w:val="24"/>
        </w:rPr>
        <w:t>A.I</w:t>
      </w:r>
      <w:r w:rsidRPr="0072101A">
        <w:rPr>
          <w:rFonts w:ascii="Times New Roman" w:hAnsi="Times New Roman"/>
          <w:bCs w:val="0"/>
          <w:sz w:val="24"/>
          <w:szCs w:val="24"/>
        </w:rPr>
        <w:t>. Oceňovacie rozdiely</w:t>
      </w:r>
    </w:p>
    <w:p w:rsidR="00824479" w:rsidRPr="0072101A" w:rsidP="00A62C2A">
      <w:pPr>
        <w:pStyle w:val="Pismenka"/>
        <w:tabs>
          <w:tab w:val="clear" w:pos="426"/>
        </w:tabs>
        <w:bidi w:val="0"/>
        <w:spacing w:line="336" w:lineRule="auto"/>
        <w:ind w:left="0" w:firstLine="0"/>
        <w:rPr>
          <w:rFonts w:ascii="Times New Roman" w:hAnsi="Times New Roman"/>
          <w:b w:val="0"/>
          <w:bCs w:val="0"/>
          <w:sz w:val="22"/>
          <w:szCs w:val="22"/>
        </w:rPr>
      </w:pPr>
      <w:r w:rsidRPr="0072101A" w:rsidR="009270BF">
        <w:rPr>
          <w:rFonts w:ascii="Times New Roman" w:hAnsi="Times New Roman"/>
          <w:b w:val="0"/>
          <w:bCs w:val="0"/>
          <w:sz w:val="22"/>
          <w:szCs w:val="22"/>
        </w:rPr>
        <w:t>Oceňovacie rozdiely sú tvorené rozdielmi z precenenia majetku a záväzkov</w:t>
      </w:r>
      <w:r w:rsidRPr="0072101A" w:rsidR="00C45B8D">
        <w:rPr>
          <w:rFonts w:ascii="Times New Roman" w:hAnsi="Times New Roman"/>
          <w:b w:val="0"/>
          <w:bCs w:val="0"/>
          <w:sz w:val="22"/>
          <w:szCs w:val="22"/>
        </w:rPr>
        <w:t xml:space="preserve"> v sume </w:t>
      </w:r>
      <w:r w:rsidR="00786EBE">
        <w:rPr>
          <w:rFonts w:ascii="Times New Roman" w:hAnsi="Times New Roman"/>
          <w:b w:val="0"/>
          <w:bCs w:val="0"/>
          <w:sz w:val="22"/>
          <w:szCs w:val="22"/>
        </w:rPr>
        <w:t>12 760</w:t>
      </w:r>
      <w:r w:rsidRPr="0072101A" w:rsidR="00430334">
        <w:rPr>
          <w:rFonts w:ascii="Times New Roman" w:hAnsi="Times New Roman"/>
          <w:b w:val="0"/>
          <w:bCs w:val="0"/>
          <w:sz w:val="22"/>
          <w:szCs w:val="22"/>
        </w:rPr>
        <w:t xml:space="preserve"> tis. eur</w:t>
      </w:r>
      <w:r w:rsidRPr="0072101A" w:rsidR="00444749">
        <w:rPr>
          <w:rFonts w:ascii="Times New Roman" w:hAnsi="Times New Roman"/>
          <w:b w:val="0"/>
          <w:bCs w:val="0"/>
          <w:sz w:val="22"/>
          <w:szCs w:val="22"/>
        </w:rPr>
        <w:t xml:space="preserve"> a </w:t>
      </w:r>
      <w:r w:rsidRPr="0072101A" w:rsidR="009270BF">
        <w:rPr>
          <w:rFonts w:ascii="Times New Roman" w:hAnsi="Times New Roman"/>
          <w:b w:val="0"/>
          <w:bCs w:val="0"/>
          <w:sz w:val="22"/>
          <w:szCs w:val="22"/>
        </w:rPr>
        <w:t>rozdielmi z precenenia kapitálových účastí v obchodných</w:t>
      </w:r>
      <w:r w:rsidRPr="0072101A" w:rsidR="00375816">
        <w:rPr>
          <w:rFonts w:ascii="Times New Roman" w:hAnsi="Times New Roman"/>
          <w:b w:val="0"/>
          <w:bCs w:val="0"/>
          <w:sz w:val="22"/>
          <w:szCs w:val="22"/>
        </w:rPr>
        <w:t xml:space="preserve"> spoločnostiach, ktoré nepatria</w:t>
        <w:br/>
      </w:r>
      <w:r w:rsidRPr="0072101A" w:rsidR="009270BF">
        <w:rPr>
          <w:rFonts w:ascii="Times New Roman" w:hAnsi="Times New Roman"/>
          <w:b w:val="0"/>
          <w:bCs w:val="0"/>
          <w:sz w:val="22"/>
          <w:szCs w:val="22"/>
        </w:rPr>
        <w:t xml:space="preserve">do súhrnného celku </w:t>
      </w:r>
      <w:r w:rsidRPr="0072101A" w:rsidR="00C45B8D">
        <w:rPr>
          <w:rFonts w:ascii="Times New Roman" w:hAnsi="Times New Roman"/>
          <w:b w:val="0"/>
          <w:bCs w:val="0"/>
          <w:sz w:val="22"/>
          <w:szCs w:val="22"/>
        </w:rPr>
        <w:t xml:space="preserve">v hodnote </w:t>
      </w:r>
      <w:r w:rsidR="00E74E63">
        <w:rPr>
          <w:rFonts w:ascii="Times New Roman" w:hAnsi="Times New Roman"/>
          <w:b w:val="0"/>
          <w:bCs w:val="0"/>
          <w:sz w:val="22"/>
          <w:szCs w:val="22"/>
        </w:rPr>
        <w:t>-</w:t>
      </w:r>
      <w:r w:rsidR="00786EBE">
        <w:rPr>
          <w:rFonts w:ascii="Times New Roman" w:hAnsi="Times New Roman"/>
          <w:b w:val="0"/>
          <w:bCs w:val="0"/>
          <w:sz w:val="22"/>
          <w:szCs w:val="22"/>
        </w:rPr>
        <w:t>48 970</w:t>
      </w:r>
      <w:r w:rsidRPr="0072101A" w:rsidR="00945761">
        <w:rPr>
          <w:rFonts w:ascii="Times New Roman" w:hAnsi="Times New Roman"/>
          <w:b w:val="0"/>
          <w:bCs w:val="0"/>
          <w:sz w:val="22"/>
          <w:szCs w:val="22"/>
        </w:rPr>
        <w:t xml:space="preserve"> </w:t>
      </w:r>
      <w:r w:rsidRPr="0072101A" w:rsidR="00973D6E">
        <w:rPr>
          <w:rFonts w:ascii="Times New Roman" w:hAnsi="Times New Roman"/>
          <w:b w:val="0"/>
          <w:bCs w:val="0"/>
          <w:sz w:val="22"/>
          <w:szCs w:val="22"/>
        </w:rPr>
        <w:t>tis.</w:t>
      </w:r>
      <w:r w:rsidRPr="0072101A" w:rsidR="009270BF">
        <w:rPr>
          <w:rFonts w:ascii="Times New Roman" w:hAnsi="Times New Roman"/>
          <w:b w:val="0"/>
          <w:bCs w:val="0"/>
          <w:sz w:val="22"/>
          <w:szCs w:val="22"/>
        </w:rPr>
        <w:t xml:space="preserve"> eur.</w:t>
      </w:r>
      <w:r w:rsidRPr="0072101A" w:rsidR="00430E6F">
        <w:rPr>
          <w:rFonts w:ascii="Times New Roman" w:hAnsi="Times New Roman"/>
          <w:b w:val="0"/>
          <w:bCs w:val="0"/>
          <w:sz w:val="22"/>
          <w:szCs w:val="22"/>
        </w:rPr>
        <w:t xml:space="preserve"> </w:t>
      </w:r>
      <w:r w:rsidRPr="0072101A" w:rsidR="00430334">
        <w:rPr>
          <w:rFonts w:ascii="Times New Roman" w:hAnsi="Times New Roman"/>
          <w:b w:val="0"/>
          <w:bCs w:val="0"/>
          <w:sz w:val="22"/>
          <w:szCs w:val="22"/>
        </w:rPr>
        <w:t xml:space="preserve">Oceňovacie rozdiely </w:t>
      </w:r>
      <w:r w:rsidRPr="0072101A" w:rsidR="00811C42">
        <w:rPr>
          <w:rFonts w:ascii="Times New Roman" w:hAnsi="Times New Roman"/>
          <w:b w:val="0"/>
          <w:bCs w:val="0"/>
          <w:sz w:val="22"/>
          <w:szCs w:val="22"/>
        </w:rPr>
        <w:t xml:space="preserve">úhrnom </w:t>
      </w:r>
      <w:r w:rsidR="00E74E63">
        <w:rPr>
          <w:rFonts w:ascii="Times New Roman" w:hAnsi="Times New Roman"/>
          <w:b w:val="0"/>
          <w:bCs w:val="0"/>
          <w:sz w:val="22"/>
          <w:szCs w:val="22"/>
        </w:rPr>
        <w:t>sú medziročne nižšie</w:t>
        <w:br/>
      </w:r>
      <w:r w:rsidRPr="0072101A" w:rsidR="00430334">
        <w:rPr>
          <w:rFonts w:ascii="Times New Roman" w:hAnsi="Times New Roman"/>
          <w:b w:val="0"/>
          <w:bCs w:val="0"/>
          <w:sz w:val="22"/>
          <w:szCs w:val="22"/>
        </w:rPr>
        <w:t>o</w:t>
      </w:r>
      <w:r w:rsidRPr="0072101A">
        <w:rPr>
          <w:rFonts w:ascii="Times New Roman" w:hAnsi="Times New Roman"/>
          <w:b w:val="0"/>
          <w:bCs w:val="0"/>
          <w:sz w:val="22"/>
          <w:szCs w:val="22"/>
        </w:rPr>
        <w:t> </w:t>
      </w:r>
      <w:r w:rsidR="00786EBE">
        <w:rPr>
          <w:rFonts w:ascii="Times New Roman" w:hAnsi="Times New Roman"/>
          <w:b w:val="0"/>
          <w:bCs w:val="0"/>
          <w:sz w:val="22"/>
          <w:szCs w:val="22"/>
        </w:rPr>
        <w:t>38 308</w:t>
      </w:r>
      <w:r w:rsidRPr="0072101A" w:rsidR="00430334">
        <w:rPr>
          <w:rFonts w:ascii="Times New Roman" w:hAnsi="Times New Roman"/>
          <w:b w:val="0"/>
          <w:bCs w:val="0"/>
          <w:sz w:val="22"/>
          <w:szCs w:val="22"/>
        </w:rPr>
        <w:t xml:space="preserve"> tis. eur</w:t>
      </w:r>
      <w:r w:rsidR="00786EBE">
        <w:rPr>
          <w:rFonts w:ascii="Times New Roman" w:hAnsi="Times New Roman"/>
          <w:b w:val="0"/>
          <w:bCs w:val="0"/>
          <w:sz w:val="22"/>
          <w:szCs w:val="22"/>
        </w:rPr>
        <w:t>, a to najmä znížením oceňovacích rozdielov, ktoré vykázali obce (-37 595 tis. eur)</w:t>
      </w:r>
      <w:r w:rsidRPr="0072101A" w:rsidR="00430334">
        <w:rPr>
          <w:rFonts w:ascii="Times New Roman" w:hAnsi="Times New Roman"/>
          <w:b w:val="0"/>
          <w:bCs w:val="0"/>
          <w:sz w:val="22"/>
          <w:szCs w:val="22"/>
        </w:rPr>
        <w:t>.</w:t>
      </w:r>
    </w:p>
    <w:p w:rsidR="00630605" w:rsidRPr="0072101A">
      <w:pPr>
        <w:bidi w:val="0"/>
        <w:spacing w:after="0" w:line="240" w:lineRule="auto"/>
        <w:rPr>
          <w:rFonts w:ascii="Times New Roman" w:hAnsi="Times New Roman"/>
          <w:b/>
          <w:sz w:val="24"/>
          <w:szCs w:val="24"/>
          <w:lang w:eastAsia="sk-SK"/>
        </w:rPr>
      </w:pPr>
    </w:p>
    <w:p w:rsidR="00F81816">
      <w:pPr>
        <w:bidi w:val="0"/>
        <w:spacing w:after="0" w:line="240" w:lineRule="auto"/>
        <w:rPr>
          <w:rFonts w:ascii="Times New Roman" w:hAnsi="Times New Roman"/>
          <w:b/>
          <w:sz w:val="24"/>
          <w:szCs w:val="24"/>
          <w:lang w:eastAsia="sk-SK"/>
        </w:rPr>
      </w:pPr>
      <w:r>
        <w:rPr>
          <w:bCs/>
          <w:sz w:val="24"/>
          <w:szCs w:val="24"/>
        </w:rPr>
        <w:br w:type="page"/>
      </w:r>
    </w:p>
    <w:p w:rsidR="00666F99" w:rsidRPr="0072101A" w:rsidP="00630605">
      <w:pPr>
        <w:pStyle w:val="Pismenka"/>
        <w:tabs>
          <w:tab w:val="clear" w:pos="426"/>
        </w:tabs>
        <w:bidi w:val="0"/>
        <w:spacing w:after="200" w:line="336" w:lineRule="auto"/>
        <w:ind w:left="0" w:firstLine="0"/>
        <w:rPr>
          <w:rFonts w:ascii="Times New Roman" w:hAnsi="Times New Roman"/>
          <w:bCs w:val="0"/>
          <w:sz w:val="24"/>
          <w:szCs w:val="24"/>
        </w:rPr>
      </w:pPr>
      <w:r w:rsidRPr="0072101A" w:rsidR="00FE63D0">
        <w:rPr>
          <w:rFonts w:ascii="Times New Roman" w:hAnsi="Times New Roman"/>
          <w:bCs w:val="0"/>
          <w:sz w:val="24"/>
          <w:szCs w:val="24"/>
        </w:rPr>
        <w:t>A.II</w:t>
      </w:r>
      <w:r w:rsidRPr="0072101A">
        <w:rPr>
          <w:rFonts w:ascii="Times New Roman" w:hAnsi="Times New Roman"/>
          <w:bCs w:val="0"/>
          <w:sz w:val="24"/>
          <w:szCs w:val="24"/>
        </w:rPr>
        <w:t>. Výsledok hospodárenia</w:t>
      </w:r>
    </w:p>
    <w:p w:rsidR="00F225E4" w:rsidRPr="0072101A" w:rsidP="00A62C2A">
      <w:pPr>
        <w:pStyle w:val="Pismenka"/>
        <w:tabs>
          <w:tab w:val="clear" w:pos="426"/>
        </w:tabs>
        <w:bidi w:val="0"/>
        <w:spacing w:after="120" w:line="336" w:lineRule="auto"/>
        <w:ind w:left="0" w:firstLine="0"/>
        <w:rPr>
          <w:rFonts w:ascii="Times New Roman" w:hAnsi="Times New Roman"/>
          <w:b w:val="0"/>
          <w:bCs w:val="0"/>
          <w:sz w:val="22"/>
          <w:szCs w:val="22"/>
        </w:rPr>
      </w:pPr>
      <w:r w:rsidRPr="0072101A" w:rsidR="009270BF">
        <w:rPr>
          <w:rFonts w:ascii="Times New Roman" w:hAnsi="Times New Roman"/>
          <w:b w:val="0"/>
          <w:bCs w:val="0"/>
          <w:sz w:val="22"/>
          <w:szCs w:val="22"/>
        </w:rPr>
        <w:t xml:space="preserve">Výsledok hospodárenia </w:t>
      </w:r>
      <w:r w:rsidRPr="0072101A" w:rsidR="00C45B8D">
        <w:rPr>
          <w:rFonts w:ascii="Times New Roman" w:hAnsi="Times New Roman"/>
          <w:b w:val="0"/>
          <w:bCs w:val="0"/>
          <w:sz w:val="22"/>
          <w:szCs w:val="22"/>
        </w:rPr>
        <w:t xml:space="preserve">v sume </w:t>
      </w:r>
      <w:r w:rsidRPr="0072101A" w:rsidR="005323D9">
        <w:rPr>
          <w:rFonts w:ascii="Times New Roman" w:hAnsi="Times New Roman"/>
          <w:b w:val="0"/>
          <w:bCs w:val="0"/>
          <w:sz w:val="22"/>
          <w:szCs w:val="22"/>
        </w:rPr>
        <w:t>-1</w:t>
      </w:r>
      <w:r w:rsidR="00300E2E">
        <w:rPr>
          <w:rFonts w:ascii="Times New Roman" w:hAnsi="Times New Roman"/>
          <w:b w:val="0"/>
          <w:bCs w:val="0"/>
          <w:sz w:val="22"/>
          <w:szCs w:val="22"/>
        </w:rPr>
        <w:t>6 388 375</w:t>
      </w:r>
      <w:r w:rsidRPr="0072101A" w:rsidR="00F53EF1">
        <w:rPr>
          <w:rFonts w:ascii="Times New Roman" w:hAnsi="Times New Roman"/>
          <w:b w:val="0"/>
          <w:bCs w:val="0"/>
          <w:sz w:val="22"/>
          <w:szCs w:val="22"/>
        </w:rPr>
        <w:t xml:space="preserve"> tis. eur </w:t>
      </w:r>
      <w:r w:rsidRPr="0072101A" w:rsidR="009270BF">
        <w:rPr>
          <w:rFonts w:ascii="Times New Roman" w:hAnsi="Times New Roman"/>
          <w:b w:val="0"/>
          <w:bCs w:val="0"/>
          <w:sz w:val="22"/>
          <w:szCs w:val="22"/>
        </w:rPr>
        <w:t xml:space="preserve">je tvorený výsledkom </w:t>
      </w:r>
      <w:r w:rsidRPr="0072101A" w:rsidR="00F53EF1">
        <w:rPr>
          <w:rFonts w:ascii="Times New Roman" w:hAnsi="Times New Roman"/>
          <w:b w:val="0"/>
          <w:bCs w:val="0"/>
          <w:sz w:val="22"/>
          <w:szCs w:val="22"/>
        </w:rPr>
        <w:t xml:space="preserve">hospodárenia </w:t>
      </w:r>
      <w:r w:rsidRPr="0072101A" w:rsidR="009270BF">
        <w:rPr>
          <w:rFonts w:ascii="Times New Roman" w:hAnsi="Times New Roman"/>
          <w:b w:val="0"/>
          <w:bCs w:val="0"/>
          <w:sz w:val="22"/>
          <w:szCs w:val="22"/>
        </w:rPr>
        <w:t xml:space="preserve">za bežné účtovné obdobie vo výške </w:t>
      </w:r>
      <w:r w:rsidRPr="0072101A" w:rsidR="00811C42">
        <w:rPr>
          <w:rFonts w:ascii="Times New Roman" w:hAnsi="Times New Roman"/>
          <w:b w:val="0"/>
          <w:bCs w:val="0"/>
          <w:sz w:val="22"/>
          <w:szCs w:val="22"/>
        </w:rPr>
        <w:t>-</w:t>
      </w:r>
      <w:r w:rsidR="00300E2E">
        <w:rPr>
          <w:rFonts w:ascii="Times New Roman" w:hAnsi="Times New Roman"/>
          <w:b w:val="0"/>
          <w:bCs w:val="0"/>
          <w:sz w:val="22"/>
          <w:szCs w:val="22"/>
        </w:rPr>
        <w:t>1 951 273</w:t>
      </w:r>
      <w:r w:rsidRPr="0072101A" w:rsidR="005323D9">
        <w:rPr>
          <w:rFonts w:ascii="Times New Roman" w:hAnsi="Times New Roman"/>
          <w:b w:val="0"/>
          <w:bCs w:val="0"/>
          <w:sz w:val="22"/>
          <w:szCs w:val="22"/>
        </w:rPr>
        <w:t xml:space="preserve"> ti</w:t>
      </w:r>
      <w:r w:rsidRPr="0072101A" w:rsidR="00973D6E">
        <w:rPr>
          <w:rFonts w:ascii="Times New Roman" w:hAnsi="Times New Roman"/>
          <w:b w:val="0"/>
          <w:bCs w:val="0"/>
          <w:sz w:val="22"/>
          <w:szCs w:val="22"/>
        </w:rPr>
        <w:t>s.</w:t>
      </w:r>
      <w:r w:rsidRPr="0072101A" w:rsidR="009270BF">
        <w:rPr>
          <w:rFonts w:ascii="Times New Roman" w:hAnsi="Times New Roman"/>
          <w:b w:val="0"/>
          <w:bCs w:val="0"/>
          <w:sz w:val="22"/>
          <w:szCs w:val="22"/>
        </w:rPr>
        <w:t xml:space="preserve"> eur a výsledkom hospodárenia vytvoreným v minulých rokoch </w:t>
      </w:r>
      <w:r w:rsidRPr="0072101A" w:rsidR="00C45B8D">
        <w:rPr>
          <w:rFonts w:ascii="Times New Roman" w:hAnsi="Times New Roman"/>
          <w:b w:val="0"/>
          <w:bCs w:val="0"/>
          <w:sz w:val="22"/>
          <w:szCs w:val="22"/>
        </w:rPr>
        <w:t xml:space="preserve">v hodnote </w:t>
      </w:r>
      <w:r w:rsidRPr="0072101A" w:rsidR="005323D9">
        <w:rPr>
          <w:rFonts w:ascii="Times New Roman" w:hAnsi="Times New Roman"/>
          <w:b w:val="0"/>
          <w:bCs w:val="0"/>
          <w:sz w:val="22"/>
          <w:szCs w:val="22"/>
        </w:rPr>
        <w:t>-</w:t>
      </w:r>
      <w:r w:rsidR="00300E2E">
        <w:rPr>
          <w:rFonts w:ascii="Times New Roman" w:hAnsi="Times New Roman"/>
          <w:b w:val="0"/>
          <w:bCs w:val="0"/>
          <w:sz w:val="22"/>
          <w:szCs w:val="22"/>
        </w:rPr>
        <w:t>14 437 102</w:t>
      </w:r>
      <w:r w:rsidRPr="0072101A" w:rsidR="00945761">
        <w:rPr>
          <w:rFonts w:ascii="Times New Roman" w:hAnsi="Times New Roman"/>
          <w:b w:val="0"/>
          <w:bCs w:val="0"/>
          <w:sz w:val="22"/>
          <w:szCs w:val="22"/>
        </w:rPr>
        <w:t xml:space="preserve"> </w:t>
      </w:r>
      <w:r w:rsidRPr="0072101A" w:rsidR="00973D6E">
        <w:rPr>
          <w:rFonts w:ascii="Times New Roman" w:hAnsi="Times New Roman"/>
          <w:b w:val="0"/>
          <w:bCs w:val="0"/>
          <w:sz w:val="22"/>
          <w:szCs w:val="22"/>
        </w:rPr>
        <w:t>tis.</w:t>
      </w:r>
      <w:r w:rsidRPr="0072101A" w:rsidR="009270BF">
        <w:rPr>
          <w:rFonts w:ascii="Times New Roman" w:hAnsi="Times New Roman"/>
          <w:b w:val="0"/>
          <w:bCs w:val="0"/>
          <w:sz w:val="22"/>
          <w:szCs w:val="22"/>
        </w:rPr>
        <w:t xml:space="preserve"> eur.</w:t>
      </w:r>
      <w:r w:rsidRPr="0072101A" w:rsidR="001358BA">
        <w:rPr>
          <w:rFonts w:ascii="Times New Roman" w:hAnsi="Times New Roman"/>
          <w:b w:val="0"/>
          <w:bCs w:val="0"/>
          <w:sz w:val="22"/>
          <w:szCs w:val="22"/>
        </w:rPr>
        <w:t xml:space="preserve"> </w:t>
      </w:r>
    </w:p>
    <w:p w:rsidR="00186B1F" w:rsidP="005A617A">
      <w:pPr>
        <w:pStyle w:val="Pismenka"/>
        <w:tabs>
          <w:tab w:val="clear" w:pos="426"/>
        </w:tabs>
        <w:bidi w:val="0"/>
        <w:spacing w:after="120" w:line="336" w:lineRule="auto"/>
        <w:ind w:left="0" w:firstLine="0"/>
        <w:rPr>
          <w:rFonts w:ascii="Times New Roman" w:hAnsi="Times New Roman"/>
          <w:b w:val="0"/>
          <w:bCs w:val="0"/>
          <w:sz w:val="22"/>
          <w:szCs w:val="22"/>
        </w:rPr>
      </w:pPr>
      <w:r w:rsidRPr="0072101A" w:rsidR="00F225E4">
        <w:rPr>
          <w:rFonts w:ascii="Times New Roman" w:hAnsi="Times New Roman"/>
          <w:b w:val="0"/>
          <w:bCs w:val="0"/>
          <w:sz w:val="22"/>
          <w:szCs w:val="22"/>
          <w:u w:val="single"/>
        </w:rPr>
        <w:t>Výsledok hospodárenia minulých rokov</w:t>
      </w:r>
      <w:r w:rsidRPr="0072101A" w:rsidR="00F225E4">
        <w:rPr>
          <w:rFonts w:ascii="Times New Roman" w:hAnsi="Times New Roman"/>
          <w:b w:val="0"/>
          <w:bCs w:val="0"/>
          <w:sz w:val="22"/>
          <w:szCs w:val="22"/>
        </w:rPr>
        <w:t xml:space="preserve"> </w:t>
      </w:r>
      <w:r w:rsidRPr="0072101A" w:rsidR="00D17559">
        <w:rPr>
          <w:rFonts w:ascii="Times New Roman" w:hAnsi="Times New Roman"/>
          <w:b w:val="0"/>
          <w:bCs w:val="0"/>
          <w:sz w:val="22"/>
          <w:szCs w:val="22"/>
        </w:rPr>
        <w:t>bez vplyvu položky fondov dosiahol hodnotu</w:t>
        <w:br/>
      </w:r>
      <w:r w:rsidRPr="0072101A" w:rsidR="005A617A">
        <w:rPr>
          <w:rFonts w:ascii="Times New Roman" w:hAnsi="Times New Roman"/>
          <w:b w:val="0"/>
          <w:bCs w:val="0"/>
          <w:sz w:val="22"/>
          <w:szCs w:val="22"/>
        </w:rPr>
        <w:t>-</w:t>
      </w:r>
      <w:r>
        <w:rPr>
          <w:rFonts w:ascii="Times New Roman" w:hAnsi="Times New Roman"/>
          <w:b w:val="0"/>
          <w:bCs w:val="0"/>
          <w:sz w:val="22"/>
          <w:szCs w:val="22"/>
        </w:rPr>
        <w:t>19 338 029</w:t>
      </w:r>
      <w:r w:rsidRPr="0072101A" w:rsidR="005A617A">
        <w:rPr>
          <w:rFonts w:ascii="Times New Roman" w:hAnsi="Times New Roman"/>
          <w:b w:val="0"/>
          <w:bCs w:val="0"/>
          <w:sz w:val="22"/>
          <w:szCs w:val="22"/>
        </w:rPr>
        <w:t xml:space="preserve"> tis. eur a medziročne sa </w:t>
      </w:r>
      <w:r>
        <w:rPr>
          <w:rFonts w:ascii="Times New Roman" w:hAnsi="Times New Roman"/>
          <w:b w:val="0"/>
          <w:bCs w:val="0"/>
          <w:sz w:val="22"/>
          <w:szCs w:val="22"/>
        </w:rPr>
        <w:t>prehĺbil záporný výsledok</w:t>
      </w:r>
      <w:r w:rsidRPr="0072101A" w:rsidR="005A617A">
        <w:rPr>
          <w:rFonts w:ascii="Times New Roman" w:hAnsi="Times New Roman"/>
          <w:b w:val="0"/>
          <w:bCs w:val="0"/>
          <w:sz w:val="22"/>
          <w:szCs w:val="22"/>
        </w:rPr>
        <w:t xml:space="preserve"> o</w:t>
      </w:r>
      <w:r>
        <w:rPr>
          <w:rFonts w:ascii="Times New Roman" w:hAnsi="Times New Roman"/>
          <w:b w:val="0"/>
          <w:bCs w:val="0"/>
          <w:sz w:val="22"/>
          <w:szCs w:val="22"/>
        </w:rPr>
        <w:t> 6 802 665 tis. eur. Ide najmä o zúčtovanie výsledku hospodárenia za rok 2014</w:t>
      </w:r>
      <w:r w:rsidR="00AE5FBE">
        <w:rPr>
          <w:rFonts w:ascii="Times New Roman" w:hAnsi="Times New Roman"/>
          <w:b w:val="0"/>
          <w:bCs w:val="0"/>
          <w:sz w:val="22"/>
          <w:szCs w:val="22"/>
        </w:rPr>
        <w:t>, ktorý bol vo výške -6 583 412 tis. eur,</w:t>
      </w:r>
      <w:r>
        <w:rPr>
          <w:rFonts w:ascii="Times New Roman" w:hAnsi="Times New Roman"/>
          <w:b w:val="0"/>
          <w:bCs w:val="0"/>
          <w:sz w:val="22"/>
          <w:szCs w:val="22"/>
        </w:rPr>
        <w:t xml:space="preserve"> do výsledkov minulých rokov. </w:t>
      </w:r>
      <w:r w:rsidR="00AE5FBE">
        <w:rPr>
          <w:rFonts w:ascii="Times New Roman" w:hAnsi="Times New Roman"/>
          <w:b w:val="0"/>
          <w:bCs w:val="0"/>
          <w:sz w:val="22"/>
          <w:szCs w:val="22"/>
        </w:rPr>
        <w:t xml:space="preserve">Ide o účtovnú operáciu, pri ktorej sa subjekty súhrnného celku prispôsobujú postupom účtovania pre rozpočtové a príspevkové organizácie. Z tohto dôvodu sú vo výsledku hospodárenia minulých rokov agregované aj všetky kapitálové fondy, fondy tvorené zo zisku a ostatné fondy obchodných spoločností, v prípade, že neboli predmetom eliminácií. Tieto položky väčšinou zlepšujú výsledok hospodárenia, nakoľko fondy z podstaty ich </w:t>
      </w:r>
      <w:r w:rsidR="00157A4E">
        <w:rPr>
          <w:rFonts w:ascii="Times New Roman" w:hAnsi="Times New Roman"/>
          <w:b w:val="0"/>
          <w:bCs w:val="0"/>
          <w:sz w:val="22"/>
          <w:szCs w:val="22"/>
        </w:rPr>
        <w:t xml:space="preserve">tvorby a </w:t>
      </w:r>
      <w:r w:rsidR="00AE5FBE">
        <w:rPr>
          <w:rFonts w:ascii="Times New Roman" w:hAnsi="Times New Roman"/>
          <w:b w:val="0"/>
          <w:bCs w:val="0"/>
          <w:sz w:val="22"/>
          <w:szCs w:val="22"/>
        </w:rPr>
        <w:t>použitia nemajú záporný zostatok.</w:t>
      </w:r>
    </w:p>
    <w:p w:rsidR="005A617A" w:rsidRPr="0072101A" w:rsidP="00100E30">
      <w:pPr>
        <w:pStyle w:val="Pismenka"/>
        <w:tabs>
          <w:tab w:val="clear" w:pos="426"/>
        </w:tabs>
        <w:bidi w:val="0"/>
        <w:spacing w:after="120"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u w:val="single"/>
        </w:rPr>
        <w:t>Výsledok hospodárenia bežného obdobia 201</w:t>
      </w:r>
      <w:r w:rsidR="00F03DCB">
        <w:rPr>
          <w:rFonts w:ascii="Times New Roman" w:hAnsi="Times New Roman"/>
          <w:b w:val="0"/>
          <w:bCs w:val="0"/>
          <w:sz w:val="22"/>
          <w:szCs w:val="22"/>
          <w:u w:val="single"/>
        </w:rPr>
        <w:t>5</w:t>
      </w:r>
      <w:r w:rsidRPr="0072101A">
        <w:rPr>
          <w:rFonts w:ascii="Times New Roman" w:hAnsi="Times New Roman"/>
          <w:b w:val="0"/>
          <w:bCs w:val="0"/>
          <w:sz w:val="22"/>
          <w:szCs w:val="22"/>
        </w:rPr>
        <w:t xml:space="preserve"> dosiahol zápornú hodnotu </w:t>
      </w:r>
      <w:r w:rsidR="00F03DCB">
        <w:rPr>
          <w:rFonts w:ascii="Times New Roman" w:hAnsi="Times New Roman"/>
          <w:b w:val="0"/>
          <w:bCs w:val="0"/>
          <w:sz w:val="22"/>
          <w:szCs w:val="22"/>
        </w:rPr>
        <w:t xml:space="preserve">-1 951 273 tis. eur </w:t>
      </w:r>
      <w:r w:rsidRPr="0072101A">
        <w:rPr>
          <w:rFonts w:ascii="Times New Roman" w:hAnsi="Times New Roman"/>
          <w:b w:val="0"/>
          <w:bCs w:val="0"/>
          <w:sz w:val="22"/>
          <w:szCs w:val="22"/>
        </w:rPr>
        <w:t xml:space="preserve">a medziročne sa </w:t>
      </w:r>
      <w:r w:rsidR="00F03DCB">
        <w:rPr>
          <w:rFonts w:ascii="Times New Roman" w:hAnsi="Times New Roman"/>
          <w:b w:val="0"/>
          <w:bCs w:val="0"/>
          <w:sz w:val="22"/>
          <w:szCs w:val="22"/>
        </w:rPr>
        <w:t xml:space="preserve">zlepšil </w:t>
      </w:r>
      <w:r w:rsidRPr="0072101A">
        <w:rPr>
          <w:rFonts w:ascii="Times New Roman" w:hAnsi="Times New Roman"/>
          <w:b w:val="0"/>
          <w:bCs w:val="0"/>
          <w:sz w:val="22"/>
          <w:szCs w:val="22"/>
        </w:rPr>
        <w:t>o</w:t>
      </w:r>
      <w:r w:rsidR="00F03DCB">
        <w:rPr>
          <w:rFonts w:ascii="Times New Roman" w:hAnsi="Times New Roman"/>
          <w:b w:val="0"/>
          <w:bCs w:val="0"/>
          <w:sz w:val="22"/>
          <w:szCs w:val="22"/>
        </w:rPr>
        <w:t> 4 632 138</w:t>
      </w:r>
      <w:r w:rsidRPr="0072101A">
        <w:rPr>
          <w:rFonts w:ascii="Times New Roman" w:hAnsi="Times New Roman"/>
          <w:b w:val="0"/>
          <w:bCs w:val="0"/>
          <w:sz w:val="22"/>
          <w:szCs w:val="22"/>
        </w:rPr>
        <w:t xml:space="preserve"> tis. eur zo zápornej hodnoty -</w:t>
      </w:r>
      <w:r w:rsidR="00F03DCB">
        <w:rPr>
          <w:rFonts w:ascii="Times New Roman" w:hAnsi="Times New Roman"/>
          <w:b w:val="0"/>
          <w:bCs w:val="0"/>
          <w:sz w:val="22"/>
          <w:szCs w:val="22"/>
        </w:rPr>
        <w:t>6 583 412</w:t>
      </w:r>
      <w:r w:rsidRPr="0072101A">
        <w:rPr>
          <w:rFonts w:ascii="Times New Roman" w:hAnsi="Times New Roman"/>
          <w:b w:val="0"/>
          <w:bCs w:val="0"/>
          <w:sz w:val="22"/>
          <w:szCs w:val="22"/>
        </w:rPr>
        <w:t xml:space="preserve"> tis. eur v roku 201</w:t>
      </w:r>
      <w:r w:rsidR="00F03DCB">
        <w:rPr>
          <w:rFonts w:ascii="Times New Roman" w:hAnsi="Times New Roman"/>
          <w:b w:val="0"/>
          <w:bCs w:val="0"/>
          <w:sz w:val="22"/>
          <w:szCs w:val="22"/>
        </w:rPr>
        <w:t>4</w:t>
      </w:r>
      <w:r w:rsidRPr="0072101A">
        <w:rPr>
          <w:rFonts w:ascii="Times New Roman" w:hAnsi="Times New Roman"/>
          <w:b w:val="0"/>
          <w:bCs w:val="0"/>
          <w:sz w:val="22"/>
          <w:szCs w:val="22"/>
        </w:rPr>
        <w:t>.</w:t>
        <w:br/>
        <w:t xml:space="preserve">Na </w:t>
      </w:r>
      <w:r w:rsidR="00100E30">
        <w:rPr>
          <w:rFonts w:ascii="Times New Roman" w:hAnsi="Times New Roman"/>
          <w:b w:val="0"/>
          <w:bCs w:val="0"/>
          <w:sz w:val="22"/>
          <w:szCs w:val="22"/>
        </w:rPr>
        <w:t>zlepšení</w:t>
      </w:r>
      <w:r w:rsidRPr="0072101A">
        <w:rPr>
          <w:rFonts w:ascii="Times New Roman" w:hAnsi="Times New Roman"/>
          <w:b w:val="0"/>
          <w:bCs w:val="0"/>
          <w:sz w:val="22"/>
          <w:szCs w:val="22"/>
        </w:rPr>
        <w:t xml:space="preserve"> výsledku hospodárenia sa podieľal</w:t>
      </w:r>
      <w:r w:rsidR="00100E30">
        <w:rPr>
          <w:rFonts w:ascii="Times New Roman" w:hAnsi="Times New Roman"/>
          <w:b w:val="0"/>
          <w:bCs w:val="0"/>
          <w:sz w:val="22"/>
          <w:szCs w:val="22"/>
        </w:rPr>
        <w:t>a</w:t>
      </w:r>
      <w:r w:rsidRPr="0072101A">
        <w:rPr>
          <w:rFonts w:ascii="Times New Roman" w:hAnsi="Times New Roman"/>
          <w:b w:val="0"/>
          <w:bCs w:val="0"/>
          <w:sz w:val="22"/>
          <w:szCs w:val="22"/>
        </w:rPr>
        <w:t xml:space="preserve"> </w:t>
      </w:r>
      <w:r w:rsidR="00100E30">
        <w:rPr>
          <w:rFonts w:ascii="Times New Roman" w:hAnsi="Times New Roman"/>
          <w:b w:val="0"/>
          <w:bCs w:val="0"/>
          <w:sz w:val="22"/>
          <w:szCs w:val="22"/>
        </w:rPr>
        <w:t>ústredná správa, ktorá zaznamenala medziročne nižší záporný výsledok hospodárenia o 4 012 486 tis. eur, a v rámci nej Min</w:t>
      </w:r>
      <w:r w:rsidR="001D1D14">
        <w:rPr>
          <w:rFonts w:ascii="Times New Roman" w:hAnsi="Times New Roman"/>
          <w:b w:val="0"/>
          <w:bCs w:val="0"/>
          <w:sz w:val="22"/>
          <w:szCs w:val="22"/>
        </w:rPr>
        <w:t>isterstvo vnútra SR o 2 628 523 </w:t>
      </w:r>
      <w:r w:rsidR="00100E30">
        <w:rPr>
          <w:rFonts w:ascii="Times New Roman" w:hAnsi="Times New Roman"/>
          <w:b w:val="0"/>
          <w:bCs w:val="0"/>
          <w:sz w:val="22"/>
          <w:szCs w:val="22"/>
        </w:rPr>
        <w:t>tis. eur a Ministerstvo obrany SR o 1 552 914 tis. eur. V roku 2014 tieto kapitoly tvorili vyššie rezervy a opravné položky, čo malo vplyv na záporný výsledok hospodárenia.</w:t>
      </w:r>
    </w:p>
    <w:p w:rsidR="00666F99" w:rsidRPr="0072101A" w:rsidP="00A62C2A">
      <w:pPr>
        <w:pStyle w:val="Pismenka"/>
        <w:tabs>
          <w:tab w:val="clear" w:pos="426"/>
        </w:tabs>
        <w:bidi w:val="0"/>
        <w:spacing w:before="200" w:after="200" w:line="336" w:lineRule="auto"/>
        <w:ind w:left="0" w:firstLine="0"/>
        <w:rPr>
          <w:rFonts w:ascii="Times New Roman" w:hAnsi="Times New Roman"/>
          <w:bCs w:val="0"/>
          <w:sz w:val="24"/>
          <w:szCs w:val="24"/>
        </w:rPr>
      </w:pPr>
      <w:r w:rsidRPr="0072101A">
        <w:rPr>
          <w:rFonts w:ascii="Times New Roman" w:hAnsi="Times New Roman"/>
          <w:bCs w:val="0"/>
          <w:sz w:val="24"/>
          <w:szCs w:val="24"/>
        </w:rPr>
        <w:t>A.I</w:t>
      </w:r>
      <w:r w:rsidRPr="0072101A" w:rsidR="00FE63D0">
        <w:rPr>
          <w:rFonts w:ascii="Times New Roman" w:hAnsi="Times New Roman"/>
          <w:bCs w:val="0"/>
          <w:sz w:val="24"/>
          <w:szCs w:val="24"/>
        </w:rPr>
        <w:t>II</w:t>
      </w:r>
      <w:r w:rsidRPr="0072101A">
        <w:rPr>
          <w:rFonts w:ascii="Times New Roman" w:hAnsi="Times New Roman"/>
          <w:bCs w:val="0"/>
          <w:sz w:val="24"/>
          <w:szCs w:val="24"/>
        </w:rPr>
        <w:t>. Podiely iných účtovných jednotiek</w:t>
      </w:r>
    </w:p>
    <w:p w:rsidR="00807AD6" w:rsidRPr="0072101A" w:rsidP="00A62C2A">
      <w:pPr>
        <w:pStyle w:val="Pismenka"/>
        <w:tabs>
          <w:tab w:val="clear" w:pos="426"/>
        </w:tabs>
        <w:bidi w:val="0"/>
        <w:spacing w:line="336" w:lineRule="auto"/>
        <w:ind w:left="0" w:firstLine="0"/>
        <w:rPr>
          <w:rFonts w:ascii="Times New Roman" w:hAnsi="Times New Roman"/>
          <w:b w:val="0"/>
          <w:bCs w:val="0"/>
          <w:sz w:val="22"/>
          <w:szCs w:val="22"/>
        </w:rPr>
      </w:pPr>
      <w:r w:rsidRPr="0072101A" w:rsidR="009270BF">
        <w:rPr>
          <w:rFonts w:ascii="Times New Roman" w:hAnsi="Times New Roman"/>
          <w:b w:val="0"/>
          <w:bCs w:val="0"/>
          <w:sz w:val="22"/>
          <w:szCs w:val="22"/>
        </w:rPr>
        <w:t xml:space="preserve">Podiely iných účtovných jednotiek predstavujú pasívum v podobe vlastníckeho podielu </w:t>
      </w:r>
      <w:r w:rsidR="00157A4E">
        <w:rPr>
          <w:rFonts w:ascii="Times New Roman" w:hAnsi="Times New Roman"/>
          <w:b w:val="0"/>
          <w:bCs w:val="0"/>
          <w:sz w:val="22"/>
          <w:szCs w:val="22"/>
        </w:rPr>
        <w:t>na základnom imaní</w:t>
      </w:r>
      <w:r w:rsidRPr="0072101A" w:rsidR="009270BF">
        <w:rPr>
          <w:rFonts w:ascii="Times New Roman" w:hAnsi="Times New Roman"/>
          <w:b w:val="0"/>
          <w:bCs w:val="0"/>
          <w:sz w:val="22"/>
          <w:szCs w:val="22"/>
        </w:rPr>
        <w:t xml:space="preserve"> v obcho</w:t>
      </w:r>
      <w:r w:rsidR="00157A4E">
        <w:rPr>
          <w:rFonts w:ascii="Times New Roman" w:hAnsi="Times New Roman"/>
          <w:b w:val="0"/>
          <w:bCs w:val="0"/>
          <w:sz w:val="22"/>
          <w:szCs w:val="22"/>
        </w:rPr>
        <w:t>dných spoločnostiach súhrnnom celku</w:t>
      </w:r>
      <w:r w:rsidRPr="0072101A" w:rsidR="00FE63D0">
        <w:rPr>
          <w:rFonts w:ascii="Times New Roman" w:hAnsi="Times New Roman"/>
          <w:b w:val="0"/>
          <w:bCs w:val="0"/>
          <w:sz w:val="22"/>
          <w:szCs w:val="22"/>
        </w:rPr>
        <w:t>. V</w:t>
      </w:r>
      <w:r w:rsidRPr="0072101A" w:rsidR="00666F99">
        <w:rPr>
          <w:rFonts w:ascii="Times New Roman" w:hAnsi="Times New Roman"/>
          <w:b w:val="0"/>
          <w:bCs w:val="0"/>
          <w:sz w:val="22"/>
          <w:szCs w:val="22"/>
        </w:rPr>
        <w:t>z</w:t>
      </w:r>
      <w:r w:rsidRPr="0072101A" w:rsidR="009270BF">
        <w:rPr>
          <w:rFonts w:ascii="Times New Roman" w:hAnsi="Times New Roman"/>
          <w:b w:val="0"/>
          <w:bCs w:val="0"/>
          <w:sz w:val="22"/>
          <w:szCs w:val="22"/>
        </w:rPr>
        <w:t xml:space="preserve">nikajú pri konsolidácii kapitálu </w:t>
      </w:r>
      <w:r w:rsidR="00157A4E">
        <w:rPr>
          <w:rFonts w:ascii="Times New Roman" w:hAnsi="Times New Roman"/>
          <w:b w:val="0"/>
          <w:bCs w:val="0"/>
          <w:sz w:val="22"/>
          <w:szCs w:val="22"/>
        </w:rPr>
        <w:t xml:space="preserve">u tých </w:t>
      </w:r>
      <w:r w:rsidRPr="0072101A" w:rsidR="009270BF">
        <w:rPr>
          <w:rFonts w:ascii="Times New Roman" w:hAnsi="Times New Roman"/>
          <w:b w:val="0"/>
          <w:bCs w:val="0"/>
          <w:sz w:val="22"/>
          <w:szCs w:val="22"/>
        </w:rPr>
        <w:t>spoločnost</w:t>
      </w:r>
      <w:r w:rsidRPr="0072101A" w:rsidR="00666F99">
        <w:rPr>
          <w:rFonts w:ascii="Times New Roman" w:hAnsi="Times New Roman"/>
          <w:b w:val="0"/>
          <w:bCs w:val="0"/>
          <w:sz w:val="22"/>
          <w:szCs w:val="22"/>
        </w:rPr>
        <w:t>í</w:t>
      </w:r>
      <w:r w:rsidRPr="0072101A" w:rsidR="009270BF">
        <w:rPr>
          <w:rFonts w:ascii="Times New Roman" w:hAnsi="Times New Roman"/>
          <w:b w:val="0"/>
          <w:bCs w:val="0"/>
          <w:sz w:val="22"/>
          <w:szCs w:val="22"/>
        </w:rPr>
        <w:t xml:space="preserve"> súhrnného celku, v ktorých subjekty súhrnného celku majú podiel menší ako 100</w:t>
      </w:r>
      <w:r w:rsidRPr="0072101A" w:rsidR="004B443D">
        <w:rPr>
          <w:rFonts w:ascii="Times New Roman" w:hAnsi="Times New Roman"/>
          <w:b w:val="0"/>
          <w:bCs w:val="0"/>
          <w:sz w:val="22"/>
          <w:szCs w:val="22"/>
        </w:rPr>
        <w:t xml:space="preserve"> </w:t>
      </w:r>
      <w:r w:rsidRPr="0072101A" w:rsidR="009270BF">
        <w:rPr>
          <w:rFonts w:ascii="Times New Roman" w:hAnsi="Times New Roman"/>
          <w:b w:val="0"/>
          <w:bCs w:val="0"/>
          <w:sz w:val="22"/>
          <w:szCs w:val="22"/>
        </w:rPr>
        <w:t>%</w:t>
      </w:r>
      <w:r w:rsidR="00157A4E">
        <w:rPr>
          <w:rFonts w:ascii="Times New Roman" w:hAnsi="Times New Roman"/>
          <w:b w:val="0"/>
          <w:bCs w:val="0"/>
          <w:sz w:val="22"/>
          <w:szCs w:val="22"/>
        </w:rPr>
        <w:t>,</w:t>
      </w:r>
      <w:r w:rsidRPr="0072101A" w:rsidR="009270BF">
        <w:rPr>
          <w:rFonts w:ascii="Times New Roman" w:hAnsi="Times New Roman"/>
          <w:b w:val="0"/>
          <w:bCs w:val="0"/>
          <w:sz w:val="22"/>
          <w:szCs w:val="22"/>
        </w:rPr>
        <w:t xml:space="preserve"> ale vyšší ako 51 %.</w:t>
      </w:r>
      <w:r w:rsidRPr="0072101A" w:rsidR="00C02761">
        <w:rPr>
          <w:rFonts w:ascii="Times New Roman" w:hAnsi="Times New Roman"/>
          <w:b w:val="0"/>
          <w:bCs w:val="0"/>
          <w:sz w:val="22"/>
          <w:szCs w:val="22"/>
        </w:rPr>
        <w:t xml:space="preserve"> Podiely iných účtovných jednotiek teda jedným číslom vyjadrujú nárok na aktíva a pasíva danej obchodnej spoločnosti, ktoré subjekty súhrnného celku nevlastnia, pretože nevlastnia 100% podiel.</w:t>
      </w:r>
      <w:r w:rsidRPr="0072101A" w:rsidR="00EB207F">
        <w:rPr>
          <w:rFonts w:ascii="Times New Roman" w:hAnsi="Times New Roman"/>
          <w:b w:val="0"/>
          <w:bCs w:val="0"/>
          <w:sz w:val="22"/>
          <w:szCs w:val="22"/>
        </w:rPr>
        <w:t xml:space="preserve"> Oproti roku 201</w:t>
      </w:r>
      <w:r w:rsidR="00027B55">
        <w:rPr>
          <w:rFonts w:ascii="Times New Roman" w:hAnsi="Times New Roman"/>
          <w:b w:val="0"/>
          <w:bCs w:val="0"/>
          <w:sz w:val="22"/>
          <w:szCs w:val="22"/>
        </w:rPr>
        <w:t>4</w:t>
      </w:r>
      <w:r w:rsidRPr="0072101A" w:rsidR="00EB207F">
        <w:rPr>
          <w:rFonts w:ascii="Times New Roman" w:hAnsi="Times New Roman"/>
          <w:b w:val="0"/>
          <w:bCs w:val="0"/>
          <w:sz w:val="22"/>
          <w:szCs w:val="22"/>
        </w:rPr>
        <w:t xml:space="preserve"> </w:t>
      </w:r>
      <w:r w:rsidRPr="0072101A">
        <w:rPr>
          <w:rFonts w:ascii="Times New Roman" w:hAnsi="Times New Roman"/>
          <w:b w:val="0"/>
          <w:bCs w:val="0"/>
          <w:sz w:val="22"/>
          <w:szCs w:val="22"/>
        </w:rPr>
        <w:t>sa zvýšili</w:t>
      </w:r>
      <w:r w:rsidRPr="0072101A" w:rsidR="00EB207F">
        <w:rPr>
          <w:rFonts w:ascii="Times New Roman" w:hAnsi="Times New Roman"/>
          <w:b w:val="0"/>
          <w:bCs w:val="0"/>
          <w:sz w:val="22"/>
          <w:szCs w:val="22"/>
        </w:rPr>
        <w:t xml:space="preserve"> podiely iných účtovných jednotiek o</w:t>
      </w:r>
      <w:r w:rsidR="00027B55">
        <w:rPr>
          <w:rFonts w:ascii="Times New Roman" w:hAnsi="Times New Roman"/>
          <w:b w:val="0"/>
          <w:bCs w:val="0"/>
          <w:sz w:val="22"/>
          <w:szCs w:val="22"/>
        </w:rPr>
        <w:t> 11 080</w:t>
      </w:r>
      <w:r w:rsidRPr="0072101A" w:rsidR="004B443D">
        <w:rPr>
          <w:rFonts w:ascii="Times New Roman" w:hAnsi="Times New Roman"/>
          <w:b w:val="0"/>
          <w:bCs w:val="0"/>
          <w:sz w:val="22"/>
          <w:szCs w:val="22"/>
        </w:rPr>
        <w:t xml:space="preserve"> tis. eur</w:t>
      </w:r>
      <w:r w:rsidRPr="0072101A" w:rsidR="0031792D">
        <w:rPr>
          <w:rFonts w:ascii="Times New Roman" w:hAnsi="Times New Roman"/>
          <w:b w:val="0"/>
          <w:bCs w:val="0"/>
          <w:sz w:val="22"/>
          <w:szCs w:val="22"/>
        </w:rPr>
        <w:t>,</w:t>
      </w:r>
      <w:r w:rsidRPr="0072101A" w:rsidR="007D2868">
        <w:rPr>
          <w:rFonts w:ascii="Times New Roman" w:hAnsi="Times New Roman"/>
          <w:b w:val="0"/>
          <w:bCs w:val="0"/>
          <w:sz w:val="22"/>
          <w:szCs w:val="22"/>
        </w:rPr>
        <w:t xml:space="preserve"> a to najmä v prípade </w:t>
      </w:r>
      <w:r w:rsidR="00445B02">
        <w:rPr>
          <w:rFonts w:ascii="Times New Roman" w:hAnsi="Times New Roman"/>
          <w:b w:val="0"/>
          <w:bCs w:val="0"/>
          <w:sz w:val="22"/>
          <w:szCs w:val="22"/>
        </w:rPr>
        <w:t>obcí</w:t>
      </w:r>
      <w:r w:rsidRPr="0072101A">
        <w:rPr>
          <w:rFonts w:ascii="Times New Roman" w:hAnsi="Times New Roman"/>
          <w:b w:val="0"/>
          <w:bCs w:val="0"/>
          <w:sz w:val="22"/>
          <w:szCs w:val="22"/>
        </w:rPr>
        <w:t xml:space="preserve"> o</w:t>
      </w:r>
      <w:r w:rsidR="00027B55">
        <w:rPr>
          <w:rFonts w:ascii="Times New Roman" w:hAnsi="Times New Roman"/>
          <w:b w:val="0"/>
          <w:bCs w:val="0"/>
          <w:sz w:val="22"/>
          <w:szCs w:val="22"/>
        </w:rPr>
        <w:t> 10 910</w:t>
      </w:r>
      <w:r w:rsidRPr="0072101A">
        <w:rPr>
          <w:rFonts w:ascii="Times New Roman" w:hAnsi="Times New Roman"/>
          <w:b w:val="0"/>
          <w:bCs w:val="0"/>
          <w:sz w:val="22"/>
          <w:szCs w:val="22"/>
        </w:rPr>
        <w:t xml:space="preserve"> tis. eur.</w:t>
      </w:r>
    </w:p>
    <w:p w:rsidR="009270BF" w:rsidRPr="0072101A" w:rsidP="008F6F24">
      <w:pPr>
        <w:pStyle w:val="Pismenka"/>
        <w:numPr>
          <w:numId w:val="21"/>
        </w:numPr>
        <w:tabs>
          <w:tab w:val="clear" w:pos="426"/>
        </w:tabs>
        <w:bidi w:val="0"/>
        <w:spacing w:before="200" w:after="200" w:line="336" w:lineRule="auto"/>
        <w:ind w:left="284" w:hanging="284"/>
        <w:rPr>
          <w:rFonts w:ascii="Times New Roman" w:hAnsi="Times New Roman"/>
          <w:bCs w:val="0"/>
          <w:sz w:val="24"/>
          <w:szCs w:val="24"/>
        </w:rPr>
      </w:pPr>
      <w:r w:rsidRPr="0072101A">
        <w:rPr>
          <w:rFonts w:ascii="Times New Roman" w:hAnsi="Times New Roman"/>
          <w:bCs w:val="0"/>
          <w:sz w:val="24"/>
          <w:szCs w:val="24"/>
        </w:rPr>
        <w:t xml:space="preserve">Záväzky, rezervy, bankové úvery a výpomoci </w:t>
      </w:r>
    </w:p>
    <w:p w:rsidR="00A51247" w:rsidRPr="0072101A" w:rsidP="00A62C2A">
      <w:pPr>
        <w:pStyle w:val="Pismenka"/>
        <w:tabs>
          <w:tab w:val="clear" w:pos="426"/>
        </w:tabs>
        <w:bidi w:val="0"/>
        <w:spacing w:after="120" w:line="336" w:lineRule="auto"/>
        <w:ind w:left="0" w:firstLine="0"/>
        <w:rPr>
          <w:rFonts w:ascii="Times New Roman" w:hAnsi="Times New Roman"/>
          <w:b w:val="0"/>
          <w:bCs w:val="0"/>
          <w:sz w:val="22"/>
          <w:szCs w:val="22"/>
        </w:rPr>
      </w:pPr>
      <w:r w:rsidRPr="0072101A" w:rsidR="009270BF">
        <w:rPr>
          <w:rFonts w:ascii="Times New Roman" w:hAnsi="Times New Roman"/>
          <w:b w:val="0"/>
          <w:bCs w:val="0"/>
          <w:sz w:val="22"/>
          <w:szCs w:val="22"/>
        </w:rPr>
        <w:t>Záväzky</w:t>
      </w:r>
      <w:r w:rsidRPr="0072101A" w:rsidR="0031792D">
        <w:rPr>
          <w:rFonts w:ascii="Times New Roman" w:hAnsi="Times New Roman"/>
          <w:b w:val="0"/>
          <w:bCs w:val="0"/>
          <w:sz w:val="22"/>
          <w:szCs w:val="22"/>
        </w:rPr>
        <w:t>, rezervy, bankové úvery a výpomoci</w:t>
      </w:r>
      <w:r w:rsidRPr="0072101A" w:rsidR="009270BF">
        <w:rPr>
          <w:rFonts w:ascii="Times New Roman" w:hAnsi="Times New Roman"/>
          <w:b w:val="0"/>
          <w:bCs w:val="0"/>
          <w:sz w:val="22"/>
          <w:szCs w:val="22"/>
        </w:rPr>
        <w:t xml:space="preserve"> </w:t>
      </w:r>
      <w:r w:rsidRPr="0072101A" w:rsidR="00E3096F">
        <w:rPr>
          <w:rFonts w:ascii="Times New Roman" w:hAnsi="Times New Roman"/>
          <w:b w:val="0"/>
          <w:bCs w:val="0"/>
          <w:sz w:val="22"/>
          <w:szCs w:val="22"/>
        </w:rPr>
        <w:t xml:space="preserve">spolu </w:t>
      </w:r>
      <w:r w:rsidRPr="0072101A" w:rsidR="009270BF">
        <w:rPr>
          <w:rFonts w:ascii="Times New Roman" w:hAnsi="Times New Roman"/>
          <w:b w:val="0"/>
          <w:bCs w:val="0"/>
          <w:sz w:val="22"/>
          <w:szCs w:val="22"/>
        </w:rPr>
        <w:t>dosiahli hodnotu</w:t>
      </w:r>
      <w:r w:rsidR="00CB1D4C">
        <w:rPr>
          <w:rFonts w:ascii="Times New Roman" w:hAnsi="Times New Roman"/>
          <w:b w:val="0"/>
          <w:bCs w:val="0"/>
          <w:sz w:val="22"/>
          <w:szCs w:val="22"/>
        </w:rPr>
        <w:t xml:space="preserve"> 69 488 881</w:t>
      </w:r>
      <w:r w:rsidRPr="0072101A" w:rsidR="0055047E">
        <w:rPr>
          <w:rFonts w:ascii="Times New Roman" w:hAnsi="Times New Roman"/>
          <w:b w:val="0"/>
          <w:bCs w:val="0"/>
          <w:sz w:val="22"/>
          <w:szCs w:val="22"/>
        </w:rPr>
        <w:t xml:space="preserve"> tis. eur a</w:t>
      </w:r>
      <w:r w:rsidRPr="0072101A" w:rsidR="009270BF">
        <w:rPr>
          <w:rFonts w:ascii="Times New Roman" w:hAnsi="Times New Roman"/>
          <w:b w:val="0"/>
          <w:bCs w:val="0"/>
          <w:sz w:val="22"/>
          <w:szCs w:val="22"/>
        </w:rPr>
        <w:t xml:space="preserve"> </w:t>
      </w:r>
      <w:r w:rsidRPr="0072101A" w:rsidR="0055047E">
        <w:rPr>
          <w:rFonts w:ascii="Times New Roman" w:hAnsi="Times New Roman"/>
          <w:b w:val="0"/>
          <w:bCs w:val="0"/>
          <w:sz w:val="22"/>
          <w:szCs w:val="22"/>
        </w:rPr>
        <w:t>m</w:t>
      </w:r>
      <w:r w:rsidRPr="0072101A">
        <w:rPr>
          <w:rFonts w:ascii="Times New Roman" w:hAnsi="Times New Roman"/>
          <w:b w:val="0"/>
          <w:bCs w:val="0"/>
          <w:sz w:val="22"/>
          <w:szCs w:val="22"/>
        </w:rPr>
        <w:t>edziročne sa zvýšili o</w:t>
      </w:r>
      <w:r w:rsidR="00CB1D4C">
        <w:rPr>
          <w:rFonts w:ascii="Times New Roman" w:hAnsi="Times New Roman"/>
          <w:b w:val="0"/>
          <w:bCs w:val="0"/>
          <w:sz w:val="22"/>
          <w:szCs w:val="22"/>
        </w:rPr>
        <w:t> 3 309 592</w:t>
      </w:r>
      <w:r w:rsidRPr="0072101A" w:rsidR="0055047E">
        <w:rPr>
          <w:rFonts w:ascii="Times New Roman" w:hAnsi="Times New Roman"/>
          <w:b w:val="0"/>
          <w:bCs w:val="0"/>
          <w:sz w:val="22"/>
          <w:szCs w:val="22"/>
        </w:rPr>
        <w:t xml:space="preserve"> tis. eur. </w:t>
      </w:r>
    </w:p>
    <w:p w:rsidR="00EF22BC" w:rsidRPr="0072101A" w:rsidP="00EF22BC">
      <w:pPr>
        <w:pStyle w:val="Pismenka"/>
        <w:tabs>
          <w:tab w:val="clear" w:pos="426"/>
        </w:tabs>
        <w:bidi w:val="0"/>
        <w:spacing w:before="180" w:after="120" w:line="336" w:lineRule="auto"/>
        <w:ind w:left="0" w:firstLine="0"/>
        <w:rPr>
          <w:rFonts w:ascii="Times New Roman" w:hAnsi="Times New Roman"/>
          <w:b w:val="0"/>
          <w:bCs w:val="0"/>
          <w:sz w:val="22"/>
          <w:szCs w:val="22"/>
        </w:rPr>
      </w:pPr>
      <w:r w:rsidRPr="0072101A" w:rsidR="0055047E">
        <w:rPr>
          <w:rFonts w:ascii="Times New Roman" w:hAnsi="Times New Roman"/>
          <w:b w:val="0"/>
          <w:bCs w:val="0"/>
          <w:sz w:val="22"/>
          <w:szCs w:val="22"/>
        </w:rPr>
        <w:t xml:space="preserve">Z celkovej sumy </w:t>
      </w:r>
      <w:r w:rsidR="000A1A32">
        <w:rPr>
          <w:rFonts w:ascii="Times New Roman" w:hAnsi="Times New Roman"/>
          <w:b w:val="0"/>
          <w:bCs w:val="0"/>
          <w:sz w:val="22"/>
          <w:szCs w:val="22"/>
        </w:rPr>
        <w:t>týchto záväzkov</w:t>
      </w:r>
      <w:r w:rsidRPr="0072101A" w:rsidR="0055047E">
        <w:rPr>
          <w:rFonts w:ascii="Times New Roman" w:hAnsi="Times New Roman"/>
          <w:b w:val="0"/>
          <w:bCs w:val="0"/>
          <w:sz w:val="22"/>
          <w:szCs w:val="22"/>
        </w:rPr>
        <w:t xml:space="preserve"> sú najvýznamnejšou položkou </w:t>
      </w:r>
      <w:r w:rsidRPr="0072101A" w:rsidR="009270BF">
        <w:rPr>
          <w:rFonts w:ascii="Times New Roman" w:hAnsi="Times New Roman"/>
          <w:b w:val="0"/>
          <w:bCs w:val="0"/>
          <w:sz w:val="22"/>
          <w:szCs w:val="22"/>
        </w:rPr>
        <w:t>záväzky z</w:t>
      </w:r>
      <w:r w:rsidRPr="0072101A" w:rsidR="00D65225">
        <w:rPr>
          <w:rFonts w:ascii="Times New Roman" w:hAnsi="Times New Roman"/>
          <w:b w:val="0"/>
          <w:bCs w:val="0"/>
          <w:sz w:val="22"/>
          <w:szCs w:val="22"/>
        </w:rPr>
        <w:t xml:space="preserve"> dlhových cenných papierov </w:t>
      </w:r>
      <w:r w:rsidRPr="0072101A" w:rsidR="0097612B">
        <w:rPr>
          <w:rFonts w:ascii="Times New Roman" w:hAnsi="Times New Roman"/>
          <w:b w:val="0"/>
          <w:bCs w:val="0"/>
          <w:sz w:val="22"/>
          <w:szCs w:val="22"/>
        </w:rPr>
        <w:t xml:space="preserve">vydávaných Agentúrou </w:t>
      </w:r>
      <w:r w:rsidRPr="0072101A" w:rsidR="0044755B">
        <w:rPr>
          <w:rFonts w:ascii="Times New Roman" w:hAnsi="Times New Roman"/>
          <w:b w:val="0"/>
          <w:bCs w:val="0"/>
          <w:sz w:val="22"/>
          <w:szCs w:val="22"/>
        </w:rPr>
        <w:t>pre</w:t>
      </w:r>
      <w:r w:rsidRPr="0072101A" w:rsidR="0097612B">
        <w:rPr>
          <w:rFonts w:ascii="Times New Roman" w:hAnsi="Times New Roman"/>
          <w:b w:val="0"/>
          <w:bCs w:val="0"/>
          <w:sz w:val="22"/>
          <w:szCs w:val="22"/>
        </w:rPr>
        <w:t xml:space="preserve"> riadenie dlhu a likvidity, ktorá emituje štátne cenné papiere v mene a na účet</w:t>
      </w:r>
      <w:r w:rsidRPr="0072101A" w:rsidR="00D65225">
        <w:rPr>
          <w:rFonts w:ascii="Times New Roman" w:hAnsi="Times New Roman"/>
          <w:b w:val="0"/>
          <w:bCs w:val="0"/>
          <w:sz w:val="22"/>
          <w:szCs w:val="22"/>
        </w:rPr>
        <w:t xml:space="preserve"> Ministerstv</w:t>
      </w:r>
      <w:r w:rsidRPr="0072101A" w:rsidR="003F1958">
        <w:rPr>
          <w:rFonts w:ascii="Times New Roman" w:hAnsi="Times New Roman"/>
          <w:b w:val="0"/>
          <w:bCs w:val="0"/>
          <w:sz w:val="22"/>
          <w:szCs w:val="22"/>
        </w:rPr>
        <w:t>a</w:t>
      </w:r>
      <w:r w:rsidRPr="0072101A" w:rsidR="00D65225">
        <w:rPr>
          <w:rFonts w:ascii="Times New Roman" w:hAnsi="Times New Roman"/>
          <w:b w:val="0"/>
          <w:bCs w:val="0"/>
          <w:sz w:val="22"/>
          <w:szCs w:val="22"/>
        </w:rPr>
        <w:t xml:space="preserve"> financií SR na krytie potrieb štátneho rozpočtu. </w:t>
      </w:r>
      <w:r w:rsidRPr="0072101A" w:rsidR="00E3096F">
        <w:rPr>
          <w:rFonts w:ascii="Times New Roman" w:hAnsi="Times New Roman"/>
          <w:b w:val="0"/>
          <w:bCs w:val="0"/>
          <w:sz w:val="22"/>
          <w:szCs w:val="22"/>
        </w:rPr>
        <w:t>Dlhodobé dlhové cenné papiere vykazované v záväzkoch tvoria z</w:t>
      </w:r>
      <w:r w:rsidRPr="0072101A" w:rsidR="00C45B8D">
        <w:rPr>
          <w:rFonts w:ascii="Times New Roman" w:hAnsi="Times New Roman"/>
          <w:b w:val="0"/>
          <w:bCs w:val="0"/>
          <w:sz w:val="22"/>
          <w:szCs w:val="22"/>
        </w:rPr>
        <w:t xml:space="preserve"> celkovej </w:t>
      </w:r>
      <w:r w:rsidRPr="0072101A" w:rsidR="004E0940">
        <w:rPr>
          <w:rFonts w:ascii="Times New Roman" w:hAnsi="Times New Roman"/>
          <w:b w:val="0"/>
          <w:bCs w:val="0"/>
          <w:sz w:val="22"/>
          <w:szCs w:val="22"/>
        </w:rPr>
        <w:t xml:space="preserve">hodnoty </w:t>
      </w:r>
      <w:r w:rsidRPr="0072101A" w:rsidR="0055047E">
        <w:rPr>
          <w:rFonts w:ascii="Times New Roman" w:hAnsi="Times New Roman"/>
          <w:b w:val="0"/>
          <w:bCs w:val="0"/>
          <w:sz w:val="22"/>
          <w:szCs w:val="22"/>
        </w:rPr>
        <w:t>cudzích zdrojov</w:t>
      </w:r>
      <w:r w:rsidRPr="0072101A" w:rsidR="004E0940">
        <w:rPr>
          <w:rFonts w:ascii="Times New Roman" w:hAnsi="Times New Roman"/>
          <w:b w:val="0"/>
          <w:bCs w:val="0"/>
          <w:sz w:val="22"/>
          <w:szCs w:val="22"/>
        </w:rPr>
        <w:t xml:space="preserve"> </w:t>
      </w:r>
      <w:r w:rsidRPr="0072101A">
        <w:rPr>
          <w:rFonts w:ascii="Times New Roman" w:hAnsi="Times New Roman"/>
          <w:b w:val="0"/>
          <w:bCs w:val="0"/>
          <w:sz w:val="22"/>
          <w:szCs w:val="22"/>
        </w:rPr>
        <w:t>4</w:t>
      </w:r>
      <w:r w:rsidR="000A1A32">
        <w:rPr>
          <w:rFonts w:ascii="Times New Roman" w:hAnsi="Times New Roman"/>
          <w:b w:val="0"/>
          <w:bCs w:val="0"/>
          <w:sz w:val="22"/>
          <w:szCs w:val="22"/>
        </w:rPr>
        <w:t>5</w:t>
      </w:r>
      <w:r w:rsidRPr="0072101A">
        <w:rPr>
          <w:rFonts w:ascii="Times New Roman" w:hAnsi="Times New Roman"/>
          <w:b w:val="0"/>
          <w:bCs w:val="0"/>
          <w:sz w:val="22"/>
          <w:szCs w:val="22"/>
        </w:rPr>
        <w:t>,2</w:t>
      </w:r>
      <w:r w:rsidRPr="0072101A" w:rsidR="004E0940">
        <w:rPr>
          <w:rFonts w:ascii="Times New Roman" w:hAnsi="Times New Roman"/>
          <w:b w:val="0"/>
          <w:bCs w:val="0"/>
          <w:sz w:val="22"/>
          <w:szCs w:val="22"/>
        </w:rPr>
        <w:t xml:space="preserve"> %</w:t>
      </w:r>
      <w:r w:rsidRPr="0072101A">
        <w:rPr>
          <w:rFonts w:ascii="Times New Roman" w:hAnsi="Times New Roman"/>
          <w:b w:val="0"/>
          <w:bCs w:val="0"/>
          <w:sz w:val="22"/>
          <w:szCs w:val="22"/>
        </w:rPr>
        <w:t xml:space="preserve"> a medziročne ich podiel klesol o </w:t>
      </w:r>
      <w:r w:rsidR="000A1A32">
        <w:rPr>
          <w:rFonts w:ascii="Times New Roman" w:hAnsi="Times New Roman"/>
          <w:b w:val="0"/>
          <w:bCs w:val="0"/>
          <w:sz w:val="22"/>
          <w:szCs w:val="22"/>
        </w:rPr>
        <w:t>9</w:t>
      </w:r>
      <w:r w:rsidRPr="0072101A">
        <w:rPr>
          <w:rFonts w:ascii="Times New Roman" w:hAnsi="Times New Roman"/>
          <w:b w:val="0"/>
          <w:bCs w:val="0"/>
          <w:sz w:val="22"/>
          <w:szCs w:val="22"/>
        </w:rPr>
        <w:t xml:space="preserve"> % z dôvodu nárastu záväzkov z</w:t>
      </w:r>
      <w:r w:rsidR="000A1A32">
        <w:rPr>
          <w:rFonts w:ascii="Times New Roman" w:hAnsi="Times New Roman"/>
          <w:b w:val="0"/>
          <w:bCs w:val="0"/>
          <w:sz w:val="22"/>
          <w:szCs w:val="22"/>
        </w:rPr>
        <w:t> </w:t>
      </w:r>
      <w:r w:rsidRPr="0072101A">
        <w:rPr>
          <w:rFonts w:ascii="Times New Roman" w:hAnsi="Times New Roman"/>
          <w:b w:val="0"/>
          <w:bCs w:val="0"/>
          <w:sz w:val="22"/>
          <w:szCs w:val="22"/>
        </w:rPr>
        <w:t>rezerv</w:t>
      </w:r>
      <w:r w:rsidR="000A1A32">
        <w:rPr>
          <w:rFonts w:ascii="Times New Roman" w:hAnsi="Times New Roman"/>
          <w:b w:val="0"/>
          <w:bCs w:val="0"/>
          <w:sz w:val="22"/>
          <w:szCs w:val="22"/>
        </w:rPr>
        <w:t xml:space="preserve"> a iných záväzkov.</w:t>
      </w:r>
      <w:r w:rsidRPr="0072101A">
        <w:rPr>
          <w:rFonts w:ascii="Times New Roman" w:hAnsi="Times New Roman"/>
          <w:b w:val="0"/>
          <w:bCs w:val="0"/>
          <w:sz w:val="22"/>
          <w:szCs w:val="22"/>
        </w:rPr>
        <w:t xml:space="preserve"> </w:t>
      </w:r>
    </w:p>
    <w:p w:rsidR="00EF22BC" w:rsidRPr="0072101A" w:rsidP="00E3096F">
      <w:pPr>
        <w:pStyle w:val="Pismenka"/>
        <w:tabs>
          <w:tab w:val="clear" w:pos="426"/>
        </w:tabs>
        <w:bidi w:val="0"/>
        <w:spacing w:after="120" w:line="336" w:lineRule="auto"/>
        <w:ind w:left="0" w:firstLine="0"/>
        <w:rPr>
          <w:rFonts w:ascii="Times New Roman" w:hAnsi="Times New Roman"/>
          <w:b w:val="0"/>
          <w:bCs w:val="0"/>
          <w:sz w:val="22"/>
          <w:szCs w:val="22"/>
        </w:rPr>
      </w:pPr>
      <w:r w:rsidRPr="0072101A" w:rsidR="00E3096F">
        <w:rPr>
          <w:rFonts w:ascii="Times New Roman" w:hAnsi="Times New Roman"/>
          <w:b w:val="0"/>
          <w:bCs w:val="0"/>
          <w:sz w:val="22"/>
          <w:szCs w:val="22"/>
        </w:rPr>
        <w:t>K</w:t>
      </w:r>
      <w:r w:rsidRPr="0072101A" w:rsidR="004E0940">
        <w:rPr>
          <w:rFonts w:ascii="Times New Roman" w:hAnsi="Times New Roman"/>
          <w:b w:val="0"/>
          <w:bCs w:val="0"/>
          <w:sz w:val="22"/>
          <w:szCs w:val="22"/>
        </w:rPr>
        <w:t>rátkodobé dlhové cenné papiere</w:t>
      </w:r>
      <w:r w:rsidRPr="0072101A" w:rsidR="00E3096F">
        <w:rPr>
          <w:rFonts w:ascii="Times New Roman" w:hAnsi="Times New Roman"/>
          <w:b w:val="0"/>
          <w:bCs w:val="0"/>
          <w:sz w:val="22"/>
          <w:szCs w:val="22"/>
        </w:rPr>
        <w:t xml:space="preserve"> vykazované v bankových úveroch a výpomociach</w:t>
      </w:r>
      <w:r w:rsidRPr="0072101A" w:rsidR="004E0940">
        <w:rPr>
          <w:rFonts w:ascii="Times New Roman" w:hAnsi="Times New Roman"/>
          <w:b w:val="0"/>
          <w:bCs w:val="0"/>
          <w:sz w:val="22"/>
          <w:szCs w:val="22"/>
        </w:rPr>
        <w:t xml:space="preserve"> tvoria z hodnoty </w:t>
      </w:r>
      <w:r w:rsidRPr="0072101A" w:rsidR="0055047E">
        <w:rPr>
          <w:rFonts w:ascii="Times New Roman" w:hAnsi="Times New Roman"/>
          <w:b w:val="0"/>
          <w:bCs w:val="0"/>
          <w:sz w:val="22"/>
          <w:szCs w:val="22"/>
        </w:rPr>
        <w:t>cudzích zdrojov</w:t>
      </w:r>
      <w:r w:rsidRPr="0072101A" w:rsidR="004E0940">
        <w:rPr>
          <w:rFonts w:ascii="Times New Roman" w:hAnsi="Times New Roman"/>
          <w:b w:val="0"/>
          <w:bCs w:val="0"/>
          <w:sz w:val="22"/>
          <w:szCs w:val="22"/>
        </w:rPr>
        <w:t xml:space="preserve"> </w:t>
      </w:r>
      <w:r w:rsidR="001462FB">
        <w:rPr>
          <w:rFonts w:ascii="Times New Roman" w:hAnsi="Times New Roman"/>
          <w:b w:val="0"/>
          <w:bCs w:val="0"/>
          <w:sz w:val="22"/>
          <w:szCs w:val="22"/>
        </w:rPr>
        <w:t>7</w:t>
      </w:r>
      <w:r w:rsidRPr="0072101A" w:rsidR="004E0940">
        <w:rPr>
          <w:rFonts w:ascii="Times New Roman" w:hAnsi="Times New Roman"/>
          <w:b w:val="0"/>
          <w:bCs w:val="0"/>
          <w:sz w:val="22"/>
          <w:szCs w:val="22"/>
        </w:rPr>
        <w:t xml:space="preserve"> %.</w:t>
      </w:r>
      <w:r w:rsidRPr="0072101A" w:rsidR="007715D7">
        <w:rPr>
          <w:rFonts w:ascii="Times New Roman" w:hAnsi="Times New Roman"/>
          <w:b w:val="0"/>
          <w:bCs w:val="0"/>
          <w:sz w:val="22"/>
          <w:szCs w:val="22"/>
        </w:rPr>
        <w:t xml:space="preserve"> Celková hodnota záväzkov zo štátnych dlhopisov </w:t>
      </w:r>
      <w:r w:rsidR="001462FB">
        <w:rPr>
          <w:rFonts w:ascii="Times New Roman" w:hAnsi="Times New Roman"/>
          <w:b w:val="0"/>
          <w:bCs w:val="0"/>
          <w:sz w:val="22"/>
          <w:szCs w:val="22"/>
        </w:rPr>
        <w:t xml:space="preserve">po vzájomnej konsolidácii v súhrnnom celku </w:t>
      </w:r>
      <w:r w:rsidRPr="0072101A" w:rsidR="007715D7">
        <w:rPr>
          <w:rFonts w:ascii="Times New Roman" w:hAnsi="Times New Roman"/>
          <w:b w:val="0"/>
          <w:bCs w:val="0"/>
          <w:sz w:val="22"/>
          <w:szCs w:val="22"/>
        </w:rPr>
        <w:t>k 31.12.201</w:t>
      </w:r>
      <w:r w:rsidR="007054B4">
        <w:rPr>
          <w:rFonts w:ascii="Times New Roman" w:hAnsi="Times New Roman"/>
          <w:b w:val="0"/>
          <w:bCs w:val="0"/>
          <w:sz w:val="22"/>
          <w:szCs w:val="22"/>
        </w:rPr>
        <w:t>5</w:t>
      </w:r>
      <w:r w:rsidRPr="0072101A" w:rsidR="007715D7">
        <w:rPr>
          <w:rFonts w:ascii="Times New Roman" w:hAnsi="Times New Roman"/>
          <w:b w:val="0"/>
          <w:bCs w:val="0"/>
          <w:sz w:val="22"/>
          <w:szCs w:val="22"/>
        </w:rPr>
        <w:t xml:space="preserve"> bola </w:t>
      </w:r>
      <w:r w:rsidR="001462FB">
        <w:rPr>
          <w:rFonts w:ascii="Times New Roman" w:hAnsi="Times New Roman"/>
          <w:b w:val="0"/>
          <w:bCs w:val="0"/>
          <w:sz w:val="22"/>
          <w:szCs w:val="22"/>
        </w:rPr>
        <w:t xml:space="preserve">36 184 075 </w:t>
      </w:r>
      <w:r w:rsidRPr="0072101A">
        <w:rPr>
          <w:rFonts w:ascii="Times New Roman" w:hAnsi="Times New Roman"/>
          <w:b w:val="0"/>
          <w:bCs w:val="0"/>
          <w:sz w:val="22"/>
          <w:szCs w:val="22"/>
        </w:rPr>
        <w:t>tis. eur (201</w:t>
      </w:r>
      <w:r w:rsidR="007054B4">
        <w:rPr>
          <w:rFonts w:ascii="Times New Roman" w:hAnsi="Times New Roman"/>
          <w:b w:val="0"/>
          <w:bCs w:val="0"/>
          <w:sz w:val="22"/>
          <w:szCs w:val="22"/>
        </w:rPr>
        <w:t>4</w:t>
      </w:r>
      <w:r w:rsidRPr="0072101A">
        <w:rPr>
          <w:rFonts w:ascii="Times New Roman" w:hAnsi="Times New Roman"/>
          <w:b w:val="0"/>
          <w:bCs w:val="0"/>
          <w:sz w:val="22"/>
          <w:szCs w:val="22"/>
        </w:rPr>
        <w:t xml:space="preserve">: </w:t>
      </w:r>
      <w:r w:rsidR="007054B4">
        <w:rPr>
          <w:rFonts w:ascii="Times New Roman" w:hAnsi="Times New Roman"/>
          <w:b w:val="0"/>
          <w:bCs w:val="0"/>
          <w:sz w:val="22"/>
          <w:szCs w:val="22"/>
        </w:rPr>
        <w:t xml:space="preserve">35 881 604 </w:t>
      </w:r>
      <w:r w:rsidRPr="0072101A" w:rsidR="007715D7">
        <w:rPr>
          <w:rFonts w:ascii="Times New Roman" w:hAnsi="Times New Roman"/>
          <w:b w:val="0"/>
          <w:bCs w:val="0"/>
          <w:sz w:val="22"/>
          <w:szCs w:val="22"/>
        </w:rPr>
        <w:t>tis. eur</w:t>
      </w:r>
      <w:r w:rsidRPr="0072101A">
        <w:rPr>
          <w:rFonts w:ascii="Times New Roman" w:hAnsi="Times New Roman"/>
          <w:b w:val="0"/>
          <w:bCs w:val="0"/>
          <w:sz w:val="22"/>
          <w:szCs w:val="22"/>
        </w:rPr>
        <w:t>)</w:t>
      </w:r>
      <w:r w:rsidRPr="0072101A" w:rsidR="007715D7">
        <w:rPr>
          <w:rFonts w:ascii="Times New Roman" w:hAnsi="Times New Roman"/>
          <w:b w:val="0"/>
          <w:bCs w:val="0"/>
          <w:sz w:val="22"/>
          <w:szCs w:val="22"/>
        </w:rPr>
        <w:t>.</w:t>
      </w:r>
      <w:r w:rsidRPr="0072101A">
        <w:rPr>
          <w:rFonts w:ascii="Times New Roman" w:hAnsi="Times New Roman"/>
          <w:b w:val="0"/>
          <w:bCs w:val="0"/>
          <w:sz w:val="22"/>
          <w:szCs w:val="22"/>
        </w:rPr>
        <w:t xml:space="preserve"> </w:t>
      </w:r>
    </w:p>
    <w:p w:rsidR="00E3096F" w:rsidRPr="0072101A" w:rsidP="00E3096F">
      <w:pPr>
        <w:pStyle w:val="Pismenka"/>
        <w:tabs>
          <w:tab w:val="clear" w:pos="426"/>
        </w:tabs>
        <w:bidi w:val="0"/>
        <w:spacing w:after="120" w:line="336" w:lineRule="auto"/>
        <w:ind w:left="0" w:firstLine="0"/>
        <w:rPr>
          <w:rFonts w:ascii="Times New Roman" w:hAnsi="Times New Roman"/>
          <w:b w:val="0"/>
          <w:bCs w:val="0"/>
          <w:sz w:val="22"/>
          <w:szCs w:val="22"/>
        </w:rPr>
      </w:pPr>
      <w:r w:rsidRPr="0072101A" w:rsidR="00EF22BC">
        <w:rPr>
          <w:rFonts w:ascii="Times New Roman" w:hAnsi="Times New Roman"/>
          <w:b w:val="0"/>
          <w:bCs w:val="0"/>
          <w:sz w:val="22"/>
          <w:szCs w:val="22"/>
        </w:rPr>
        <w:t>Záväzky</w:t>
      </w:r>
      <w:r w:rsidR="0068327C">
        <w:rPr>
          <w:rFonts w:ascii="Times New Roman" w:hAnsi="Times New Roman"/>
          <w:b w:val="0"/>
          <w:bCs w:val="0"/>
          <w:sz w:val="22"/>
          <w:szCs w:val="22"/>
        </w:rPr>
        <w:t xml:space="preserve"> z dlhopisov vykazuje aj Fond národného majetku SR</w:t>
      </w:r>
      <w:r w:rsidRPr="0072101A" w:rsidR="00EF22BC">
        <w:rPr>
          <w:rFonts w:ascii="Times New Roman" w:hAnsi="Times New Roman"/>
          <w:b w:val="0"/>
          <w:bCs w:val="0"/>
          <w:sz w:val="22"/>
          <w:szCs w:val="22"/>
        </w:rPr>
        <w:t>, z titulu výplaty dlhopisov z bývalej kupónovej privatizácie, v hodnote 15 </w:t>
      </w:r>
      <w:r w:rsidR="004B2A75">
        <w:rPr>
          <w:rFonts w:ascii="Times New Roman" w:hAnsi="Times New Roman"/>
          <w:b w:val="0"/>
          <w:bCs w:val="0"/>
          <w:sz w:val="22"/>
          <w:szCs w:val="22"/>
        </w:rPr>
        <w:t>313</w:t>
      </w:r>
      <w:r w:rsidRPr="0072101A" w:rsidR="00EF22BC">
        <w:rPr>
          <w:rFonts w:ascii="Times New Roman" w:hAnsi="Times New Roman"/>
          <w:b w:val="0"/>
          <w:bCs w:val="0"/>
          <w:sz w:val="22"/>
          <w:szCs w:val="22"/>
        </w:rPr>
        <w:t xml:space="preserve"> tis. eur (201</w:t>
      </w:r>
      <w:r w:rsidR="0068327C">
        <w:rPr>
          <w:rFonts w:ascii="Times New Roman" w:hAnsi="Times New Roman"/>
          <w:b w:val="0"/>
          <w:bCs w:val="0"/>
          <w:sz w:val="22"/>
          <w:szCs w:val="22"/>
        </w:rPr>
        <w:t>4</w:t>
      </w:r>
      <w:r w:rsidRPr="0072101A" w:rsidR="00EF22BC">
        <w:rPr>
          <w:rFonts w:ascii="Times New Roman" w:hAnsi="Times New Roman"/>
          <w:b w:val="0"/>
          <w:bCs w:val="0"/>
          <w:sz w:val="22"/>
          <w:szCs w:val="22"/>
        </w:rPr>
        <w:t>: 15 </w:t>
      </w:r>
      <w:r w:rsidR="004B2A75">
        <w:rPr>
          <w:rFonts w:ascii="Times New Roman" w:hAnsi="Times New Roman"/>
          <w:b w:val="0"/>
          <w:bCs w:val="0"/>
          <w:sz w:val="22"/>
          <w:szCs w:val="22"/>
        </w:rPr>
        <w:t>415</w:t>
      </w:r>
      <w:r w:rsidRPr="0072101A" w:rsidR="00EF22BC">
        <w:rPr>
          <w:rFonts w:ascii="Times New Roman" w:hAnsi="Times New Roman"/>
          <w:b w:val="0"/>
          <w:bCs w:val="0"/>
          <w:sz w:val="22"/>
          <w:szCs w:val="22"/>
        </w:rPr>
        <w:t xml:space="preserve"> tis. eur).</w:t>
      </w:r>
      <w:r w:rsidRPr="0072101A" w:rsidR="004E0940">
        <w:rPr>
          <w:rFonts w:ascii="Times New Roman" w:hAnsi="Times New Roman"/>
          <w:b w:val="0"/>
          <w:bCs w:val="0"/>
          <w:sz w:val="22"/>
          <w:szCs w:val="22"/>
        </w:rPr>
        <w:t xml:space="preserve"> </w:t>
      </w:r>
    </w:p>
    <w:p w:rsidR="00990E8D" w:rsidRPr="0072101A" w:rsidP="00A62C2A">
      <w:pPr>
        <w:pStyle w:val="Pismenka"/>
        <w:tabs>
          <w:tab w:val="clear" w:pos="426"/>
        </w:tabs>
        <w:bidi w:val="0"/>
        <w:spacing w:line="336" w:lineRule="auto"/>
        <w:ind w:left="0" w:firstLine="0"/>
        <w:rPr>
          <w:rFonts w:ascii="Times New Roman" w:hAnsi="Times New Roman"/>
          <w:b w:val="0"/>
          <w:bCs w:val="0"/>
          <w:sz w:val="22"/>
          <w:szCs w:val="22"/>
        </w:rPr>
      </w:pPr>
      <w:r w:rsidRPr="0072101A" w:rsidR="001265A1">
        <w:rPr>
          <w:rFonts w:ascii="Times New Roman" w:hAnsi="Times New Roman"/>
          <w:b w:val="0"/>
          <w:bCs w:val="0"/>
          <w:sz w:val="22"/>
          <w:szCs w:val="22"/>
        </w:rPr>
        <w:t>Druh</w:t>
      </w:r>
      <w:r w:rsidR="00EE78E0">
        <w:rPr>
          <w:rFonts w:ascii="Times New Roman" w:hAnsi="Times New Roman"/>
          <w:b w:val="0"/>
          <w:bCs w:val="0"/>
          <w:sz w:val="22"/>
          <w:szCs w:val="22"/>
        </w:rPr>
        <w:t>ú</w:t>
      </w:r>
      <w:r w:rsidRPr="0072101A" w:rsidR="001265A1">
        <w:rPr>
          <w:rFonts w:ascii="Times New Roman" w:hAnsi="Times New Roman"/>
          <w:b w:val="0"/>
          <w:bCs w:val="0"/>
          <w:sz w:val="22"/>
          <w:szCs w:val="22"/>
        </w:rPr>
        <w:t xml:space="preserve"> najväčš</w:t>
      </w:r>
      <w:r w:rsidR="00EE78E0">
        <w:rPr>
          <w:rFonts w:ascii="Times New Roman" w:hAnsi="Times New Roman"/>
          <w:b w:val="0"/>
          <w:bCs w:val="0"/>
          <w:sz w:val="22"/>
          <w:szCs w:val="22"/>
        </w:rPr>
        <w:t xml:space="preserve">ou položku v rámci záväzkov predstavujú </w:t>
      </w:r>
      <w:r w:rsidRPr="0072101A" w:rsidR="001265A1">
        <w:rPr>
          <w:rFonts w:ascii="Times New Roman" w:hAnsi="Times New Roman"/>
          <w:b w:val="0"/>
          <w:bCs w:val="0"/>
          <w:sz w:val="22"/>
          <w:szCs w:val="22"/>
        </w:rPr>
        <w:t>rezervy</w:t>
      </w:r>
      <w:r w:rsidRPr="0072101A" w:rsidR="0063656D">
        <w:rPr>
          <w:rFonts w:ascii="Times New Roman" w:hAnsi="Times New Roman"/>
          <w:b w:val="0"/>
          <w:bCs w:val="0"/>
          <w:sz w:val="22"/>
          <w:szCs w:val="22"/>
        </w:rPr>
        <w:t xml:space="preserve"> v hodnote </w:t>
      </w:r>
      <w:r w:rsidR="00EE78E0">
        <w:rPr>
          <w:rFonts w:ascii="Times New Roman" w:hAnsi="Times New Roman"/>
          <w:b w:val="0"/>
          <w:bCs w:val="0"/>
          <w:sz w:val="22"/>
          <w:szCs w:val="22"/>
        </w:rPr>
        <w:t>20 503 770 tis. eur</w:t>
      </w:r>
      <w:r w:rsidRPr="0072101A">
        <w:rPr>
          <w:rFonts w:ascii="Times New Roman" w:hAnsi="Times New Roman"/>
          <w:b w:val="0"/>
          <w:bCs w:val="0"/>
          <w:sz w:val="22"/>
          <w:szCs w:val="22"/>
        </w:rPr>
        <w:t xml:space="preserve">, čo predstavuje medziročný </w:t>
      </w:r>
      <w:r w:rsidR="00EE78E0">
        <w:rPr>
          <w:rFonts w:ascii="Times New Roman" w:hAnsi="Times New Roman"/>
          <w:b w:val="0"/>
          <w:bCs w:val="0"/>
          <w:sz w:val="22"/>
          <w:szCs w:val="22"/>
        </w:rPr>
        <w:t xml:space="preserve">kumulatívny </w:t>
      </w:r>
      <w:r w:rsidRPr="0072101A">
        <w:rPr>
          <w:rFonts w:ascii="Times New Roman" w:hAnsi="Times New Roman"/>
          <w:b w:val="0"/>
          <w:bCs w:val="0"/>
          <w:sz w:val="22"/>
          <w:szCs w:val="22"/>
        </w:rPr>
        <w:t xml:space="preserve">prírastok </w:t>
      </w:r>
      <w:r w:rsidR="00EE78E0">
        <w:rPr>
          <w:rFonts w:ascii="Times New Roman" w:hAnsi="Times New Roman"/>
          <w:b w:val="0"/>
          <w:bCs w:val="0"/>
          <w:sz w:val="22"/>
          <w:szCs w:val="22"/>
        </w:rPr>
        <w:t>442 807</w:t>
      </w:r>
      <w:r w:rsidRPr="0072101A">
        <w:rPr>
          <w:rFonts w:ascii="Times New Roman" w:hAnsi="Times New Roman"/>
          <w:b w:val="0"/>
          <w:bCs w:val="0"/>
          <w:sz w:val="22"/>
          <w:szCs w:val="22"/>
        </w:rPr>
        <w:t xml:space="preserve"> tis. eur. Bankové úvery a výpomoci boli medziročne </w:t>
      </w:r>
      <w:r w:rsidR="00ED5896">
        <w:rPr>
          <w:rFonts w:ascii="Times New Roman" w:hAnsi="Times New Roman"/>
          <w:b w:val="0"/>
          <w:bCs w:val="0"/>
          <w:sz w:val="22"/>
          <w:szCs w:val="22"/>
        </w:rPr>
        <w:t>vyššie kumulatívne</w:t>
      </w:r>
      <w:r w:rsidRPr="0072101A">
        <w:rPr>
          <w:rFonts w:ascii="Times New Roman" w:hAnsi="Times New Roman"/>
          <w:b w:val="0"/>
          <w:bCs w:val="0"/>
          <w:sz w:val="22"/>
          <w:szCs w:val="22"/>
        </w:rPr>
        <w:t xml:space="preserve"> o</w:t>
      </w:r>
      <w:r w:rsidR="00337D46">
        <w:rPr>
          <w:rFonts w:ascii="Times New Roman" w:hAnsi="Times New Roman"/>
          <w:b w:val="0"/>
          <w:bCs w:val="0"/>
          <w:sz w:val="22"/>
          <w:szCs w:val="22"/>
        </w:rPr>
        <w:t> 1 951 250</w:t>
      </w:r>
      <w:r w:rsidRPr="0072101A">
        <w:rPr>
          <w:rFonts w:ascii="Times New Roman" w:hAnsi="Times New Roman"/>
          <w:b w:val="0"/>
          <w:bCs w:val="0"/>
          <w:sz w:val="22"/>
          <w:szCs w:val="22"/>
        </w:rPr>
        <w:t xml:space="preserve"> tis. eur.</w:t>
      </w:r>
    </w:p>
    <w:p w:rsidR="009270BF" w:rsidRPr="0072101A" w:rsidP="00990E8D">
      <w:pPr>
        <w:pStyle w:val="Pismenka"/>
        <w:tabs>
          <w:tab w:val="clear" w:pos="426"/>
        </w:tabs>
        <w:bidi w:val="0"/>
        <w:spacing w:before="240" w:line="336" w:lineRule="auto"/>
        <w:ind w:left="0" w:firstLine="0"/>
        <w:rPr>
          <w:rFonts w:ascii="Times New Roman" w:hAnsi="Times New Roman"/>
          <w:bCs w:val="0"/>
          <w:sz w:val="24"/>
          <w:szCs w:val="24"/>
        </w:rPr>
      </w:pPr>
      <w:r w:rsidRPr="0072101A">
        <w:rPr>
          <w:rFonts w:ascii="Times New Roman" w:hAnsi="Times New Roman"/>
          <w:bCs w:val="0"/>
          <w:sz w:val="24"/>
          <w:szCs w:val="24"/>
        </w:rPr>
        <w:t xml:space="preserve">B.I. Rezervy </w:t>
      </w:r>
    </w:p>
    <w:p w:rsidR="004A7634" w:rsidRPr="0072101A" w:rsidP="004A7634">
      <w:pPr>
        <w:pStyle w:val="Pismenka"/>
        <w:tabs>
          <w:tab w:val="clear" w:pos="426"/>
        </w:tabs>
        <w:bidi w:val="0"/>
        <w:spacing w:after="120"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rPr>
        <w:t xml:space="preserve">Rezervy sú záväzky s neistým časovým vymedzením alebo ich výškou a predstavujú takú povinnosť účtovnej jednotky, ktorá vznikla z minulých udalostí a je pravdepodobné, že v budúcnosti zníži ekonomické úžitky (napr. peňažné prostriedky). </w:t>
      </w:r>
    </w:p>
    <w:p w:rsidR="009270BF" w:rsidRPr="0072101A" w:rsidP="00A62C2A">
      <w:pPr>
        <w:pStyle w:val="Pismenka"/>
        <w:tabs>
          <w:tab w:val="clear" w:pos="426"/>
        </w:tabs>
        <w:bidi w:val="0"/>
        <w:spacing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rPr>
        <w:t>Rezervy sa v súhrnnom celku vytvárajú najmä na:</w:t>
      </w:r>
    </w:p>
    <w:p w:rsidR="009270BF" w:rsidRPr="0072101A" w:rsidP="008F6F24">
      <w:pPr>
        <w:pStyle w:val="Pismenka"/>
        <w:numPr>
          <w:numId w:val="18"/>
        </w:numPr>
        <w:tabs>
          <w:tab w:val="clear" w:pos="426"/>
        </w:tabs>
        <w:bidi w:val="0"/>
        <w:spacing w:line="336" w:lineRule="auto"/>
        <w:ind w:left="714" w:hanging="357"/>
        <w:rPr>
          <w:rFonts w:ascii="Times New Roman" w:hAnsi="Times New Roman"/>
          <w:b w:val="0"/>
          <w:bCs w:val="0"/>
          <w:sz w:val="22"/>
          <w:szCs w:val="22"/>
        </w:rPr>
      </w:pPr>
      <w:r w:rsidRPr="0072101A">
        <w:rPr>
          <w:rFonts w:ascii="Times New Roman" w:hAnsi="Times New Roman"/>
          <w:b w:val="0"/>
          <w:bCs w:val="0"/>
          <w:sz w:val="22"/>
          <w:szCs w:val="22"/>
        </w:rPr>
        <w:t>odstupné, odchodné, prémie</w:t>
      </w:r>
      <w:r w:rsidR="006116EA">
        <w:rPr>
          <w:rFonts w:ascii="Times New Roman" w:hAnsi="Times New Roman"/>
          <w:b w:val="0"/>
          <w:bCs w:val="0"/>
          <w:sz w:val="22"/>
          <w:szCs w:val="22"/>
        </w:rPr>
        <w:t>,</w:t>
      </w:r>
      <w:r w:rsidRPr="0072101A">
        <w:rPr>
          <w:rFonts w:ascii="Times New Roman" w:hAnsi="Times New Roman"/>
          <w:b w:val="0"/>
          <w:bCs w:val="0"/>
          <w:sz w:val="22"/>
          <w:szCs w:val="22"/>
        </w:rPr>
        <w:t xml:space="preserve"> odmeny zamestnancom</w:t>
      </w:r>
      <w:r w:rsidR="006116EA">
        <w:rPr>
          <w:rFonts w:ascii="Times New Roman" w:hAnsi="Times New Roman"/>
          <w:b w:val="0"/>
          <w:bCs w:val="0"/>
          <w:sz w:val="22"/>
          <w:szCs w:val="22"/>
        </w:rPr>
        <w:t xml:space="preserve"> a iné požitky</w:t>
      </w:r>
      <w:r w:rsidRPr="0072101A">
        <w:rPr>
          <w:rFonts w:ascii="Times New Roman" w:hAnsi="Times New Roman"/>
          <w:b w:val="0"/>
          <w:bCs w:val="0"/>
          <w:sz w:val="22"/>
          <w:szCs w:val="22"/>
        </w:rPr>
        <w:t>,</w:t>
      </w:r>
    </w:p>
    <w:p w:rsidR="009270BF" w:rsidRPr="0072101A" w:rsidP="008F6F24">
      <w:pPr>
        <w:pStyle w:val="Pismenka"/>
        <w:numPr>
          <w:numId w:val="18"/>
        </w:numPr>
        <w:tabs>
          <w:tab w:val="clear" w:pos="426"/>
        </w:tabs>
        <w:bidi w:val="0"/>
        <w:spacing w:line="336" w:lineRule="auto"/>
        <w:ind w:left="714" w:hanging="357"/>
        <w:rPr>
          <w:rFonts w:ascii="Times New Roman" w:hAnsi="Times New Roman"/>
          <w:b w:val="0"/>
          <w:bCs w:val="0"/>
          <w:sz w:val="22"/>
          <w:szCs w:val="22"/>
        </w:rPr>
      </w:pPr>
      <w:r w:rsidRPr="0072101A">
        <w:rPr>
          <w:rFonts w:ascii="Times New Roman" w:hAnsi="Times New Roman"/>
          <w:b w:val="0"/>
          <w:bCs w:val="0"/>
          <w:sz w:val="22"/>
          <w:szCs w:val="22"/>
        </w:rPr>
        <w:t>prebiehajúce a hroziace súdne spory,</w:t>
      </w:r>
    </w:p>
    <w:p w:rsidR="009270BF" w:rsidRPr="0072101A" w:rsidP="008F6F24">
      <w:pPr>
        <w:pStyle w:val="Pismenka"/>
        <w:numPr>
          <w:numId w:val="18"/>
        </w:numPr>
        <w:tabs>
          <w:tab w:val="clear" w:pos="426"/>
        </w:tabs>
        <w:bidi w:val="0"/>
        <w:spacing w:line="336" w:lineRule="auto"/>
        <w:ind w:left="714" w:hanging="357"/>
        <w:rPr>
          <w:rFonts w:ascii="Times New Roman" w:hAnsi="Times New Roman"/>
          <w:b w:val="0"/>
          <w:bCs w:val="0"/>
          <w:sz w:val="22"/>
          <w:szCs w:val="22"/>
        </w:rPr>
      </w:pPr>
      <w:r w:rsidRPr="0072101A">
        <w:rPr>
          <w:rFonts w:ascii="Times New Roman" w:hAnsi="Times New Roman"/>
          <w:b w:val="0"/>
          <w:bCs w:val="0"/>
          <w:sz w:val="22"/>
          <w:szCs w:val="22"/>
        </w:rPr>
        <w:t>finančné povinnosti vyplývajúce z ručenia a záruk,</w:t>
      </w:r>
    </w:p>
    <w:p w:rsidR="009270BF" w:rsidRPr="0072101A" w:rsidP="008F6F24">
      <w:pPr>
        <w:pStyle w:val="Pismenka"/>
        <w:numPr>
          <w:numId w:val="18"/>
        </w:numPr>
        <w:tabs>
          <w:tab w:val="clear" w:pos="426"/>
        </w:tabs>
        <w:bidi w:val="0"/>
        <w:spacing w:line="336" w:lineRule="auto"/>
        <w:ind w:left="714" w:hanging="357"/>
        <w:rPr>
          <w:rFonts w:ascii="Times New Roman" w:hAnsi="Times New Roman"/>
          <w:b w:val="0"/>
          <w:bCs w:val="0"/>
          <w:sz w:val="22"/>
          <w:szCs w:val="22"/>
        </w:rPr>
      </w:pPr>
      <w:r w:rsidRPr="0072101A">
        <w:rPr>
          <w:rFonts w:ascii="Times New Roman" w:hAnsi="Times New Roman"/>
          <w:b w:val="0"/>
          <w:bCs w:val="0"/>
          <w:sz w:val="22"/>
          <w:szCs w:val="22"/>
        </w:rPr>
        <w:t>n</w:t>
      </w:r>
      <w:r w:rsidRPr="0072101A" w:rsidR="009E6687">
        <w:rPr>
          <w:rFonts w:ascii="Times New Roman" w:hAnsi="Times New Roman"/>
          <w:b w:val="0"/>
          <w:bCs w:val="0"/>
          <w:sz w:val="22"/>
          <w:szCs w:val="22"/>
        </w:rPr>
        <w:t>evyfakturované dodávky a služby,</w:t>
      </w:r>
    </w:p>
    <w:p w:rsidR="009E6687" w:rsidRPr="0072101A" w:rsidP="008F6F24">
      <w:pPr>
        <w:pStyle w:val="Pismenka"/>
        <w:numPr>
          <w:numId w:val="18"/>
        </w:numPr>
        <w:tabs>
          <w:tab w:val="clear" w:pos="426"/>
        </w:tabs>
        <w:bidi w:val="0"/>
        <w:spacing w:after="120" w:line="336" w:lineRule="auto"/>
        <w:ind w:left="714" w:hanging="357"/>
        <w:rPr>
          <w:rFonts w:ascii="Times New Roman" w:hAnsi="Times New Roman"/>
          <w:b w:val="0"/>
          <w:bCs w:val="0"/>
          <w:sz w:val="22"/>
          <w:szCs w:val="22"/>
        </w:rPr>
      </w:pPr>
      <w:r w:rsidRPr="0072101A">
        <w:rPr>
          <w:rFonts w:ascii="Times New Roman" w:hAnsi="Times New Roman"/>
          <w:b w:val="0"/>
          <w:bCs w:val="0"/>
          <w:sz w:val="22"/>
          <w:szCs w:val="22"/>
        </w:rPr>
        <w:t>náklady súvisiace s odstránením z</w:t>
      </w:r>
      <w:r w:rsidRPr="0072101A" w:rsidR="008C3918">
        <w:rPr>
          <w:rFonts w:ascii="Times New Roman" w:hAnsi="Times New Roman"/>
          <w:b w:val="0"/>
          <w:bCs w:val="0"/>
          <w:sz w:val="22"/>
          <w:szCs w:val="22"/>
        </w:rPr>
        <w:t xml:space="preserve">nečistenia životného prostredia a </w:t>
      </w:r>
      <w:r w:rsidRPr="0072101A" w:rsidR="00A62C2A">
        <w:rPr>
          <w:rFonts w:ascii="Times New Roman" w:hAnsi="Times New Roman"/>
          <w:b w:val="0"/>
          <w:bCs w:val="0"/>
          <w:sz w:val="22"/>
          <w:szCs w:val="22"/>
        </w:rPr>
        <w:t>odstránenie odpadov.</w:t>
      </w:r>
    </w:p>
    <w:p w:rsidR="00683393" w:rsidP="004A7634">
      <w:pPr>
        <w:pStyle w:val="Pismenka"/>
        <w:tabs>
          <w:tab w:val="clear" w:pos="426"/>
        </w:tabs>
        <w:bidi w:val="0"/>
        <w:spacing w:line="336" w:lineRule="auto"/>
        <w:ind w:left="0" w:firstLine="0"/>
        <w:rPr>
          <w:rFonts w:ascii="Times New Roman" w:hAnsi="Times New Roman"/>
          <w:b w:val="0"/>
          <w:bCs w:val="0"/>
          <w:sz w:val="22"/>
          <w:szCs w:val="22"/>
        </w:rPr>
      </w:pPr>
      <w:r w:rsidRPr="0072101A" w:rsidR="008C3918">
        <w:rPr>
          <w:rFonts w:ascii="Times New Roman" w:hAnsi="Times New Roman"/>
          <w:b w:val="0"/>
          <w:bCs w:val="0"/>
          <w:sz w:val="22"/>
          <w:szCs w:val="22"/>
        </w:rPr>
        <w:t>Celkové r</w:t>
      </w:r>
      <w:r w:rsidRPr="0072101A" w:rsidR="004A7634">
        <w:rPr>
          <w:rFonts w:ascii="Times New Roman" w:hAnsi="Times New Roman"/>
          <w:b w:val="0"/>
          <w:bCs w:val="0"/>
          <w:sz w:val="22"/>
          <w:szCs w:val="22"/>
        </w:rPr>
        <w:t>ezervy dosiahli k 31.12.201</w:t>
      </w:r>
      <w:r w:rsidR="006116EA">
        <w:rPr>
          <w:rFonts w:ascii="Times New Roman" w:hAnsi="Times New Roman"/>
          <w:b w:val="0"/>
          <w:bCs w:val="0"/>
          <w:sz w:val="22"/>
          <w:szCs w:val="22"/>
        </w:rPr>
        <w:t>5</w:t>
      </w:r>
      <w:r w:rsidRPr="0072101A" w:rsidR="004A7634">
        <w:rPr>
          <w:rFonts w:ascii="Times New Roman" w:hAnsi="Times New Roman"/>
          <w:b w:val="0"/>
          <w:bCs w:val="0"/>
          <w:sz w:val="22"/>
          <w:szCs w:val="22"/>
        </w:rPr>
        <w:t xml:space="preserve"> hodnotu </w:t>
      </w:r>
      <w:r w:rsidR="006116EA">
        <w:rPr>
          <w:rFonts w:ascii="Times New Roman" w:hAnsi="Times New Roman"/>
          <w:b w:val="0"/>
          <w:bCs w:val="0"/>
          <w:sz w:val="22"/>
          <w:szCs w:val="22"/>
        </w:rPr>
        <w:t xml:space="preserve"> 20 503</w:t>
      </w:r>
      <w:r w:rsidR="0068327C">
        <w:rPr>
          <w:rFonts w:ascii="Times New Roman" w:hAnsi="Times New Roman"/>
          <w:b w:val="0"/>
          <w:bCs w:val="0"/>
          <w:sz w:val="22"/>
          <w:szCs w:val="22"/>
        </w:rPr>
        <w:t> </w:t>
      </w:r>
      <w:r w:rsidR="006116EA">
        <w:rPr>
          <w:rFonts w:ascii="Times New Roman" w:hAnsi="Times New Roman"/>
          <w:b w:val="0"/>
          <w:bCs w:val="0"/>
          <w:sz w:val="22"/>
          <w:szCs w:val="22"/>
        </w:rPr>
        <w:t>770</w:t>
      </w:r>
      <w:r w:rsidR="0068327C">
        <w:rPr>
          <w:rFonts w:ascii="Times New Roman" w:hAnsi="Times New Roman"/>
          <w:b w:val="0"/>
          <w:bCs w:val="0"/>
          <w:sz w:val="22"/>
          <w:szCs w:val="22"/>
        </w:rPr>
        <w:t xml:space="preserve"> tis. eur</w:t>
      </w:r>
      <w:r w:rsidRPr="0072101A" w:rsidR="004A7634">
        <w:rPr>
          <w:rFonts w:ascii="Times New Roman" w:hAnsi="Times New Roman"/>
          <w:b w:val="0"/>
          <w:bCs w:val="0"/>
          <w:sz w:val="22"/>
          <w:szCs w:val="22"/>
        </w:rPr>
        <w:t xml:space="preserve">, z toho dlhodobé </w:t>
      </w:r>
      <w:r w:rsidR="006116EA">
        <w:rPr>
          <w:rFonts w:ascii="Times New Roman" w:hAnsi="Times New Roman"/>
          <w:b w:val="0"/>
          <w:bCs w:val="0"/>
          <w:sz w:val="22"/>
          <w:szCs w:val="22"/>
        </w:rPr>
        <w:t xml:space="preserve">19 797 195 </w:t>
      </w:r>
      <w:r w:rsidRPr="0072101A" w:rsidR="004A7634">
        <w:rPr>
          <w:rFonts w:ascii="Times New Roman" w:hAnsi="Times New Roman"/>
          <w:b w:val="0"/>
          <w:bCs w:val="0"/>
          <w:sz w:val="22"/>
          <w:szCs w:val="22"/>
        </w:rPr>
        <w:t>tis. eur</w:t>
      </w:r>
      <w:r w:rsidRPr="0072101A" w:rsidR="00E52523">
        <w:rPr>
          <w:rFonts w:ascii="Times New Roman" w:hAnsi="Times New Roman"/>
          <w:b w:val="0"/>
          <w:bCs w:val="0"/>
          <w:sz w:val="22"/>
          <w:szCs w:val="22"/>
        </w:rPr>
        <w:t xml:space="preserve"> </w:t>
      </w:r>
      <w:r w:rsidRPr="0072101A" w:rsidR="004A7634">
        <w:rPr>
          <w:rFonts w:ascii="Times New Roman" w:hAnsi="Times New Roman"/>
          <w:b w:val="0"/>
          <w:bCs w:val="0"/>
          <w:sz w:val="22"/>
          <w:szCs w:val="22"/>
        </w:rPr>
        <w:t>a</w:t>
      </w:r>
      <w:r w:rsidRPr="0072101A" w:rsidR="008C3918">
        <w:rPr>
          <w:rFonts w:ascii="Times New Roman" w:hAnsi="Times New Roman"/>
          <w:b w:val="0"/>
          <w:bCs w:val="0"/>
          <w:sz w:val="22"/>
          <w:szCs w:val="22"/>
        </w:rPr>
        <w:t> </w:t>
      </w:r>
      <w:r w:rsidRPr="0072101A" w:rsidR="004A7634">
        <w:rPr>
          <w:rFonts w:ascii="Times New Roman" w:hAnsi="Times New Roman"/>
          <w:b w:val="0"/>
          <w:bCs w:val="0"/>
          <w:sz w:val="22"/>
          <w:szCs w:val="22"/>
        </w:rPr>
        <w:t>krátkodobé</w:t>
      </w:r>
      <w:r w:rsidRPr="0072101A" w:rsidR="008C3918">
        <w:rPr>
          <w:rFonts w:ascii="Times New Roman" w:hAnsi="Times New Roman"/>
          <w:b w:val="0"/>
          <w:bCs w:val="0"/>
          <w:sz w:val="22"/>
          <w:szCs w:val="22"/>
        </w:rPr>
        <w:t xml:space="preserve"> </w:t>
      </w:r>
      <w:r w:rsidR="006116EA">
        <w:rPr>
          <w:rFonts w:ascii="Times New Roman" w:hAnsi="Times New Roman"/>
          <w:b w:val="0"/>
          <w:bCs w:val="0"/>
          <w:sz w:val="22"/>
          <w:szCs w:val="22"/>
        </w:rPr>
        <w:t>706 575</w:t>
      </w:r>
      <w:r w:rsidRPr="0072101A" w:rsidR="004A7634">
        <w:rPr>
          <w:rFonts w:ascii="Times New Roman" w:hAnsi="Times New Roman"/>
          <w:b w:val="0"/>
          <w:bCs w:val="0"/>
          <w:sz w:val="22"/>
          <w:szCs w:val="22"/>
        </w:rPr>
        <w:t xml:space="preserve"> tis. eur. </w:t>
      </w:r>
    </w:p>
    <w:tbl>
      <w:tblPr>
        <w:tblStyle w:val="TableNormal"/>
        <w:tblW w:w="4605" w:type="pct"/>
        <w:jc w:val="center"/>
        <w:tblInd w:w="70" w:type="dxa"/>
        <w:tblLayout w:type="fixed"/>
        <w:tblCellMar>
          <w:left w:w="70" w:type="dxa"/>
          <w:right w:w="70" w:type="dxa"/>
        </w:tblCellMar>
        <w:tblLook w:val="00A0"/>
      </w:tblPr>
      <w:tblGrid>
        <w:gridCol w:w="5670"/>
        <w:gridCol w:w="1418"/>
        <w:gridCol w:w="1395"/>
      </w:tblGrid>
      <w:tr>
        <w:tblPrEx>
          <w:tblW w:w="4605" w:type="pct"/>
          <w:jc w:val="center"/>
          <w:tblInd w:w="70" w:type="dxa"/>
          <w:tblLayout w:type="fixed"/>
          <w:tblCellMar>
            <w:left w:w="70" w:type="dxa"/>
            <w:right w:w="70" w:type="dxa"/>
          </w:tblCellMar>
          <w:tblLook w:val="00A0"/>
        </w:tblPrEx>
        <w:trPr>
          <w:trHeight w:val="330"/>
          <w:jc w:val="center"/>
        </w:trPr>
        <w:tc>
          <w:tcPr>
            <w:tcW w:w="4178" w:type="pct"/>
            <w:gridSpan w:val="2"/>
            <w:tcBorders>
              <w:top w:val="single" w:sz="4" w:space="0" w:color="auto"/>
              <w:left w:val="nil"/>
              <w:bottom w:val="single" w:sz="4" w:space="0" w:color="auto"/>
              <w:right w:val="nil"/>
            </w:tcBorders>
            <w:shd w:val="clear" w:color="000000" w:fill="000000"/>
            <w:noWrap/>
            <w:textDirection w:val="lrTb"/>
            <w:vAlign w:val="center"/>
          </w:tcPr>
          <w:p w:rsidR="00F93A67" w:rsidRPr="0072101A" w:rsidP="00F93A67">
            <w:pPr>
              <w:bidi w:val="0"/>
              <w:spacing w:after="0" w:line="240" w:lineRule="auto"/>
              <w:rPr>
                <w:rFonts w:ascii="Times New Roman" w:hAnsi="Times New Roman"/>
                <w:b/>
                <w:bCs/>
                <w:color w:val="FFFFFF"/>
                <w:sz w:val="20"/>
                <w:szCs w:val="20"/>
                <w:lang w:eastAsia="sk-SK"/>
              </w:rPr>
            </w:pPr>
            <w:r w:rsidR="00683393">
              <w:rPr>
                <w:b/>
                <w:bCs/>
                <w:szCs w:val="22"/>
              </w:rPr>
              <w:br w:type="page"/>
            </w:r>
            <w:r w:rsidRPr="0072101A">
              <w:rPr>
                <w:rFonts w:ascii="Times New Roman" w:hAnsi="Times New Roman"/>
                <w:b/>
                <w:bCs/>
                <w:color w:val="FFFFFF"/>
                <w:sz w:val="20"/>
                <w:szCs w:val="20"/>
                <w:lang w:eastAsia="sk-SK"/>
              </w:rPr>
              <w:t>Rezervy súhrnného celku (v tis. eur)</w:t>
            </w:r>
          </w:p>
        </w:tc>
        <w:tc>
          <w:tcPr>
            <w:tcW w:w="822" w:type="pct"/>
            <w:tcBorders>
              <w:top w:val="single" w:sz="4" w:space="0" w:color="auto"/>
              <w:left w:val="nil"/>
              <w:bottom w:val="single" w:sz="4" w:space="0" w:color="auto"/>
              <w:right w:val="nil"/>
            </w:tcBorders>
            <w:shd w:val="clear" w:color="000000" w:fill="000000"/>
            <w:textDirection w:val="lrTb"/>
            <w:vAlign w:val="center"/>
          </w:tcPr>
          <w:p w:rsidR="00F93A67" w:rsidRPr="0072101A" w:rsidP="000D3904">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r>
      <w:tr>
        <w:tblPrEx>
          <w:tblW w:w="4605" w:type="pct"/>
          <w:jc w:val="center"/>
          <w:tblInd w:w="70" w:type="dxa"/>
          <w:tblLayout w:type="fixed"/>
          <w:tblCellMar>
            <w:left w:w="70" w:type="dxa"/>
            <w:right w:w="70" w:type="dxa"/>
          </w:tblCellMar>
          <w:tblLook w:val="00A0"/>
        </w:tblPrEx>
        <w:trPr>
          <w:trHeight w:val="330"/>
          <w:jc w:val="center"/>
        </w:trPr>
        <w:tc>
          <w:tcPr>
            <w:tcW w:w="3342" w:type="pct"/>
            <w:tcBorders>
              <w:top w:val="nil"/>
              <w:left w:val="nil"/>
              <w:bottom w:val="single" w:sz="4" w:space="0" w:color="auto"/>
              <w:right w:val="nil"/>
            </w:tcBorders>
            <w:shd w:val="clear" w:color="000000" w:fill="BFBFBF"/>
            <w:noWrap/>
            <w:textDirection w:val="lrTb"/>
            <w:vAlign w:val="bottom"/>
          </w:tcPr>
          <w:p w:rsidR="00F93A67" w:rsidRPr="0072101A" w:rsidP="00F93A67">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Druh rezerv</w:t>
            </w:r>
          </w:p>
        </w:tc>
        <w:tc>
          <w:tcPr>
            <w:tcW w:w="836" w:type="pct"/>
            <w:tcBorders>
              <w:top w:val="nil"/>
              <w:left w:val="nil"/>
              <w:bottom w:val="single" w:sz="4" w:space="0" w:color="auto"/>
              <w:right w:val="nil"/>
            </w:tcBorders>
            <w:shd w:val="clear" w:color="000000" w:fill="BFBFBF"/>
            <w:noWrap/>
            <w:textDirection w:val="lrTb"/>
            <w:vAlign w:val="bottom"/>
          </w:tcPr>
          <w:p w:rsidR="00F93A67" w:rsidRPr="0072101A" w:rsidP="008C3918">
            <w:pPr>
              <w:bidi w:val="0"/>
              <w:spacing w:after="0" w:line="240" w:lineRule="auto"/>
              <w:jc w:val="center"/>
              <w:rPr>
                <w:rFonts w:ascii="Times New Roman" w:hAnsi="Times New Roman"/>
                <w:b/>
                <w:bCs/>
                <w:sz w:val="20"/>
                <w:szCs w:val="20"/>
                <w:lang w:eastAsia="sk-SK"/>
              </w:rPr>
            </w:pPr>
            <w:r w:rsidRPr="0072101A" w:rsidR="00E9020A">
              <w:rPr>
                <w:rFonts w:ascii="Times New Roman" w:hAnsi="Times New Roman"/>
                <w:b/>
                <w:bCs/>
                <w:sz w:val="20"/>
                <w:szCs w:val="20"/>
                <w:lang w:eastAsia="sk-SK"/>
              </w:rPr>
              <w:t xml:space="preserve">             201</w:t>
            </w:r>
            <w:r w:rsidR="006116EA">
              <w:rPr>
                <w:rFonts w:ascii="Times New Roman" w:hAnsi="Times New Roman"/>
                <w:b/>
                <w:bCs/>
                <w:sz w:val="20"/>
                <w:szCs w:val="20"/>
                <w:lang w:eastAsia="sk-SK"/>
              </w:rPr>
              <w:t>5</w:t>
            </w:r>
          </w:p>
        </w:tc>
        <w:tc>
          <w:tcPr>
            <w:tcW w:w="822" w:type="pct"/>
            <w:tcBorders>
              <w:top w:val="nil"/>
              <w:left w:val="nil"/>
              <w:bottom w:val="single" w:sz="4" w:space="0" w:color="auto"/>
              <w:right w:val="nil"/>
            </w:tcBorders>
            <w:shd w:val="clear" w:color="000000" w:fill="BFBFBF"/>
            <w:noWrap/>
            <w:textDirection w:val="lrTb"/>
            <w:vAlign w:val="bottom"/>
          </w:tcPr>
          <w:p w:rsidR="00F93A67" w:rsidRPr="0072101A" w:rsidP="006116EA">
            <w:pPr>
              <w:bidi w:val="0"/>
              <w:spacing w:after="0" w:line="240" w:lineRule="auto"/>
              <w:jc w:val="center"/>
              <w:rPr>
                <w:rFonts w:ascii="Times New Roman" w:hAnsi="Times New Roman"/>
                <w:b/>
                <w:bCs/>
                <w:sz w:val="20"/>
                <w:szCs w:val="20"/>
                <w:lang w:eastAsia="sk-SK"/>
              </w:rPr>
            </w:pPr>
            <w:r w:rsidRPr="0072101A" w:rsidR="00E9020A">
              <w:rPr>
                <w:rFonts w:ascii="Times New Roman" w:hAnsi="Times New Roman"/>
                <w:b/>
                <w:bCs/>
                <w:sz w:val="20"/>
                <w:szCs w:val="20"/>
                <w:lang w:eastAsia="sk-SK"/>
              </w:rPr>
              <w:t xml:space="preserve">       201</w:t>
            </w:r>
            <w:r w:rsidR="006116EA">
              <w:rPr>
                <w:rFonts w:ascii="Times New Roman" w:hAnsi="Times New Roman"/>
                <w:b/>
                <w:bCs/>
                <w:sz w:val="20"/>
                <w:szCs w:val="20"/>
                <w:lang w:eastAsia="sk-SK"/>
              </w:rPr>
              <w:t>4</w:t>
            </w:r>
          </w:p>
        </w:tc>
      </w:tr>
      <w:tr>
        <w:tblPrEx>
          <w:tblW w:w="4605" w:type="pct"/>
          <w:jc w:val="center"/>
          <w:tblInd w:w="70" w:type="dxa"/>
          <w:tblLayout w:type="fixed"/>
          <w:tblCellMar>
            <w:left w:w="70" w:type="dxa"/>
            <w:right w:w="70" w:type="dxa"/>
          </w:tblCellMar>
          <w:tblLook w:val="00A0"/>
        </w:tblPrEx>
        <w:trPr>
          <w:trHeight w:hRule="exact" w:val="330"/>
          <w:jc w:val="center"/>
        </w:trPr>
        <w:tc>
          <w:tcPr>
            <w:tcW w:w="3342" w:type="pct"/>
            <w:tcBorders>
              <w:top w:val="nil"/>
              <w:left w:val="nil"/>
              <w:bottom w:val="none" w:sz="0" w:space="0" w:color="auto"/>
              <w:right w:val="nil"/>
            </w:tcBorders>
            <w:textDirection w:val="lrTb"/>
            <w:vAlign w:val="center"/>
          </w:tcPr>
          <w:p w:rsidR="006116EA" w:rsidRPr="0072101A" w:rsidP="00AE400C">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Dlhodobé ostatné</w:t>
            </w:r>
          </w:p>
        </w:tc>
        <w:tc>
          <w:tcPr>
            <w:tcW w:w="836" w:type="pct"/>
            <w:tcBorders>
              <w:top w:val="nil"/>
              <w:left w:val="nil"/>
              <w:bottom w:val="none" w:sz="0" w:space="0" w:color="auto"/>
              <w:right w:val="nil"/>
            </w:tcBorders>
            <w:textDirection w:val="lrTb"/>
            <w:vAlign w:val="center"/>
          </w:tcPr>
          <w:p w:rsidR="006116EA" w:rsidRPr="0072101A" w:rsidP="00AE400C">
            <w:pPr>
              <w:bidi w:val="0"/>
              <w:spacing w:after="0" w:line="240" w:lineRule="auto"/>
              <w:jc w:val="right"/>
              <w:rPr>
                <w:rFonts w:ascii="Times New Roman" w:hAnsi="Times New Roman"/>
                <w:color w:val="000000"/>
                <w:sz w:val="20"/>
                <w:szCs w:val="20"/>
                <w:lang w:eastAsia="sk-SK"/>
              </w:rPr>
            </w:pPr>
            <w:r w:rsidR="00F36982">
              <w:rPr>
                <w:rFonts w:ascii="Times New Roman" w:hAnsi="Times New Roman"/>
                <w:color w:val="000000"/>
                <w:sz w:val="20"/>
                <w:szCs w:val="20"/>
                <w:lang w:eastAsia="sk-SK"/>
              </w:rPr>
              <w:t>19 738 047</w:t>
            </w:r>
          </w:p>
        </w:tc>
        <w:tc>
          <w:tcPr>
            <w:tcW w:w="822" w:type="pct"/>
            <w:tcBorders>
              <w:top w:val="nil"/>
              <w:left w:val="nil"/>
              <w:bottom w:val="none" w:sz="0" w:space="0" w:color="auto"/>
              <w:right w:val="nil"/>
            </w:tcBorders>
            <w:textDirection w:val="lrTb"/>
            <w:vAlign w:val="center"/>
          </w:tcPr>
          <w:p w:rsidR="006116EA" w:rsidRPr="0072101A" w:rsidP="00C41A0E">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19 193 424</w:t>
            </w:r>
          </w:p>
        </w:tc>
      </w:tr>
      <w:tr>
        <w:tblPrEx>
          <w:tblW w:w="4605" w:type="pct"/>
          <w:jc w:val="center"/>
          <w:tblInd w:w="70" w:type="dxa"/>
          <w:tblLayout w:type="fixed"/>
          <w:tblCellMar>
            <w:left w:w="70" w:type="dxa"/>
            <w:right w:w="70" w:type="dxa"/>
          </w:tblCellMar>
          <w:tblLook w:val="00A0"/>
        </w:tblPrEx>
        <w:trPr>
          <w:trHeight w:hRule="exact" w:val="330"/>
          <w:jc w:val="center"/>
        </w:trPr>
        <w:tc>
          <w:tcPr>
            <w:tcW w:w="3342" w:type="pct"/>
            <w:tcBorders>
              <w:top w:val="nil"/>
              <w:left w:val="nil"/>
              <w:bottom w:val="nil"/>
              <w:right w:val="nil"/>
            </w:tcBorders>
            <w:textDirection w:val="lrTb"/>
            <w:vAlign w:val="center"/>
          </w:tcPr>
          <w:p w:rsidR="00F36982" w:rsidRPr="0072101A" w:rsidP="00C41A0E">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Dlhodobé zákonné</w:t>
            </w:r>
          </w:p>
        </w:tc>
        <w:tc>
          <w:tcPr>
            <w:tcW w:w="836" w:type="pct"/>
            <w:tcBorders>
              <w:top w:val="nil"/>
              <w:left w:val="nil"/>
              <w:bottom w:val="nil"/>
              <w:right w:val="nil"/>
            </w:tcBorders>
            <w:textDirection w:val="lrTb"/>
            <w:vAlign w:val="center"/>
          </w:tcPr>
          <w:p w:rsidR="00F36982" w:rsidRPr="0072101A" w:rsidP="00C41A0E">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59 148</w:t>
            </w:r>
          </w:p>
        </w:tc>
        <w:tc>
          <w:tcPr>
            <w:tcW w:w="822" w:type="pct"/>
            <w:tcBorders>
              <w:top w:val="nil"/>
              <w:left w:val="nil"/>
              <w:bottom w:val="nil"/>
              <w:right w:val="nil"/>
            </w:tcBorders>
            <w:textDirection w:val="lrTb"/>
            <w:vAlign w:val="center"/>
          </w:tcPr>
          <w:p w:rsidR="00F36982" w:rsidRPr="0072101A" w:rsidP="00C41A0E">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59 161</w:t>
            </w:r>
          </w:p>
        </w:tc>
      </w:tr>
      <w:tr>
        <w:tblPrEx>
          <w:tblW w:w="4605" w:type="pct"/>
          <w:jc w:val="center"/>
          <w:tblInd w:w="70" w:type="dxa"/>
          <w:tblLayout w:type="fixed"/>
          <w:tblCellMar>
            <w:left w:w="70" w:type="dxa"/>
            <w:right w:w="70" w:type="dxa"/>
          </w:tblCellMar>
          <w:tblLook w:val="00A0"/>
        </w:tblPrEx>
        <w:trPr>
          <w:trHeight w:hRule="exact" w:val="292"/>
          <w:jc w:val="center"/>
        </w:trPr>
        <w:tc>
          <w:tcPr>
            <w:tcW w:w="3342" w:type="pct"/>
            <w:tcBorders>
              <w:top w:val="nil"/>
              <w:left w:val="nil"/>
              <w:bottom w:val="nil"/>
              <w:right w:val="nil"/>
            </w:tcBorders>
            <w:textDirection w:val="lrTb"/>
            <w:vAlign w:val="center"/>
          </w:tcPr>
          <w:p w:rsidR="006116EA" w:rsidRPr="0072101A" w:rsidP="00AE400C">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Krátkodobé zákonné</w:t>
            </w:r>
          </w:p>
        </w:tc>
        <w:tc>
          <w:tcPr>
            <w:tcW w:w="836" w:type="pct"/>
            <w:tcBorders>
              <w:top w:val="nil"/>
              <w:left w:val="nil"/>
              <w:bottom w:val="nil"/>
              <w:right w:val="nil"/>
            </w:tcBorders>
            <w:textDirection w:val="lrTb"/>
            <w:vAlign w:val="center"/>
          </w:tcPr>
          <w:p w:rsidR="006116EA" w:rsidRPr="0072101A" w:rsidP="00AE400C">
            <w:pPr>
              <w:bidi w:val="0"/>
              <w:spacing w:after="0" w:line="240" w:lineRule="auto"/>
              <w:jc w:val="right"/>
              <w:rPr>
                <w:rFonts w:ascii="Times New Roman" w:hAnsi="Times New Roman"/>
                <w:color w:val="000000"/>
                <w:sz w:val="20"/>
                <w:szCs w:val="20"/>
                <w:lang w:eastAsia="sk-SK"/>
              </w:rPr>
            </w:pPr>
            <w:r w:rsidR="00F36982">
              <w:rPr>
                <w:rFonts w:ascii="Times New Roman" w:hAnsi="Times New Roman"/>
                <w:color w:val="000000"/>
                <w:sz w:val="20"/>
                <w:szCs w:val="20"/>
                <w:lang w:eastAsia="sk-SK"/>
              </w:rPr>
              <w:t>268 565</w:t>
            </w:r>
          </w:p>
        </w:tc>
        <w:tc>
          <w:tcPr>
            <w:tcW w:w="822" w:type="pct"/>
            <w:tcBorders>
              <w:top w:val="nil"/>
              <w:left w:val="nil"/>
              <w:bottom w:val="nil"/>
              <w:right w:val="nil"/>
            </w:tcBorders>
            <w:textDirection w:val="lrTb"/>
            <w:vAlign w:val="center"/>
          </w:tcPr>
          <w:p w:rsidR="006116EA" w:rsidRPr="0072101A" w:rsidP="00C41A0E">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375 112</w:t>
            </w:r>
          </w:p>
        </w:tc>
      </w:tr>
      <w:tr>
        <w:tblPrEx>
          <w:tblW w:w="4605" w:type="pct"/>
          <w:jc w:val="center"/>
          <w:tblInd w:w="70" w:type="dxa"/>
          <w:tblLayout w:type="fixed"/>
          <w:tblCellMar>
            <w:left w:w="70" w:type="dxa"/>
            <w:right w:w="70" w:type="dxa"/>
          </w:tblCellMar>
          <w:tblLook w:val="00A0"/>
        </w:tblPrEx>
        <w:trPr>
          <w:trHeight w:hRule="exact" w:val="330"/>
          <w:jc w:val="center"/>
        </w:trPr>
        <w:tc>
          <w:tcPr>
            <w:tcW w:w="3342" w:type="pct"/>
            <w:tcBorders>
              <w:top w:val="nil"/>
              <w:left w:val="nil"/>
              <w:bottom w:val="none" w:sz="0" w:space="0" w:color="auto"/>
              <w:right w:val="nil"/>
            </w:tcBorders>
            <w:shd w:val="clear" w:color="000000" w:fill="auto"/>
            <w:textDirection w:val="lrTb"/>
            <w:vAlign w:val="center"/>
          </w:tcPr>
          <w:p w:rsidR="006116EA" w:rsidRPr="0072101A" w:rsidP="00AE400C">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Krátkodobé ostatné</w:t>
            </w:r>
          </w:p>
        </w:tc>
        <w:tc>
          <w:tcPr>
            <w:tcW w:w="836" w:type="pct"/>
            <w:tcBorders>
              <w:top w:val="nil"/>
              <w:left w:val="nil"/>
              <w:bottom w:val="none" w:sz="0" w:space="0" w:color="auto"/>
              <w:right w:val="nil"/>
            </w:tcBorders>
            <w:shd w:val="clear" w:color="000000" w:fill="auto"/>
            <w:textDirection w:val="lrTb"/>
            <w:vAlign w:val="center"/>
          </w:tcPr>
          <w:p w:rsidR="006116EA" w:rsidRPr="0072101A" w:rsidP="00AE400C">
            <w:pPr>
              <w:bidi w:val="0"/>
              <w:spacing w:after="0" w:line="240" w:lineRule="auto"/>
              <w:jc w:val="right"/>
              <w:rPr>
                <w:rFonts w:ascii="Times New Roman" w:hAnsi="Times New Roman"/>
                <w:bCs/>
                <w:color w:val="000000"/>
                <w:sz w:val="20"/>
                <w:szCs w:val="20"/>
                <w:lang w:eastAsia="sk-SK"/>
              </w:rPr>
            </w:pPr>
            <w:r w:rsidR="00F36982">
              <w:rPr>
                <w:rFonts w:ascii="Times New Roman" w:hAnsi="Times New Roman"/>
                <w:bCs/>
                <w:color w:val="000000"/>
                <w:sz w:val="20"/>
                <w:szCs w:val="20"/>
                <w:lang w:eastAsia="sk-SK"/>
              </w:rPr>
              <w:t>438 010</w:t>
            </w:r>
          </w:p>
        </w:tc>
        <w:tc>
          <w:tcPr>
            <w:tcW w:w="822" w:type="pct"/>
            <w:tcBorders>
              <w:top w:val="nil"/>
              <w:left w:val="nil"/>
              <w:bottom w:val="none" w:sz="0" w:space="0" w:color="auto"/>
              <w:right w:val="nil"/>
            </w:tcBorders>
            <w:shd w:val="clear" w:color="000000" w:fill="auto"/>
            <w:textDirection w:val="lrTb"/>
            <w:vAlign w:val="center"/>
          </w:tcPr>
          <w:p w:rsidR="006116EA" w:rsidRPr="0072101A" w:rsidP="00C41A0E">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433 266</w:t>
            </w:r>
          </w:p>
        </w:tc>
      </w:tr>
      <w:tr>
        <w:tblPrEx>
          <w:tblW w:w="4605" w:type="pct"/>
          <w:jc w:val="center"/>
          <w:tblInd w:w="70" w:type="dxa"/>
          <w:tblLayout w:type="fixed"/>
          <w:tblCellMar>
            <w:left w:w="70" w:type="dxa"/>
            <w:right w:w="70" w:type="dxa"/>
          </w:tblCellMar>
          <w:tblLook w:val="00A0"/>
        </w:tblPrEx>
        <w:trPr>
          <w:trHeight w:hRule="exact" w:val="330"/>
          <w:jc w:val="center"/>
        </w:trPr>
        <w:tc>
          <w:tcPr>
            <w:tcW w:w="3342" w:type="pct"/>
            <w:tcBorders>
              <w:top w:val="none" w:sz="0" w:space="0" w:color="auto"/>
              <w:left w:val="nil"/>
              <w:bottom w:val="single" w:sz="4" w:space="0" w:color="000000"/>
              <w:right w:val="nil"/>
            </w:tcBorders>
            <w:shd w:val="clear" w:color="000000" w:fill="auto"/>
            <w:textDirection w:val="lrTb"/>
            <w:vAlign w:val="center"/>
          </w:tcPr>
          <w:p w:rsidR="006116EA" w:rsidRPr="0072101A" w:rsidP="000D3904">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Spolu</w:t>
            </w:r>
          </w:p>
        </w:tc>
        <w:tc>
          <w:tcPr>
            <w:tcW w:w="836" w:type="pct"/>
            <w:tcBorders>
              <w:top w:val="none" w:sz="0" w:space="0" w:color="auto"/>
              <w:left w:val="nil"/>
              <w:bottom w:val="single" w:sz="4" w:space="0" w:color="000000"/>
              <w:right w:val="nil"/>
            </w:tcBorders>
            <w:shd w:val="clear" w:color="000000" w:fill="auto"/>
            <w:textDirection w:val="lrTb"/>
            <w:vAlign w:val="center"/>
          </w:tcPr>
          <w:p w:rsidR="006116EA" w:rsidRPr="0072101A" w:rsidP="000D3904">
            <w:pPr>
              <w:bidi w:val="0"/>
              <w:spacing w:after="0" w:line="240" w:lineRule="auto"/>
              <w:jc w:val="right"/>
              <w:rPr>
                <w:rFonts w:ascii="Times New Roman" w:hAnsi="Times New Roman"/>
                <w:b/>
                <w:bCs/>
                <w:color w:val="000000"/>
                <w:sz w:val="20"/>
                <w:szCs w:val="20"/>
                <w:lang w:eastAsia="sk-SK"/>
              </w:rPr>
            </w:pPr>
            <w:r w:rsidR="00F36982">
              <w:rPr>
                <w:rFonts w:ascii="Times New Roman" w:hAnsi="Times New Roman"/>
                <w:b/>
                <w:bCs/>
                <w:color w:val="000000"/>
                <w:sz w:val="20"/>
                <w:szCs w:val="20"/>
                <w:lang w:eastAsia="sk-SK"/>
              </w:rPr>
              <w:t>20 503 770</w:t>
            </w:r>
          </w:p>
        </w:tc>
        <w:tc>
          <w:tcPr>
            <w:tcW w:w="822" w:type="pct"/>
            <w:tcBorders>
              <w:top w:val="none" w:sz="0" w:space="0" w:color="auto"/>
              <w:left w:val="nil"/>
              <w:bottom w:val="single" w:sz="4" w:space="0" w:color="000000"/>
              <w:right w:val="nil"/>
            </w:tcBorders>
            <w:shd w:val="clear" w:color="000000" w:fill="auto"/>
            <w:textDirection w:val="lrTb"/>
            <w:vAlign w:val="center"/>
          </w:tcPr>
          <w:p w:rsidR="006116EA" w:rsidRPr="0072101A" w:rsidP="00C41A0E">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20 060 963</w:t>
            </w:r>
          </w:p>
        </w:tc>
      </w:tr>
    </w:tbl>
    <w:p w:rsidR="008B70DC" w:rsidRPr="0072101A" w:rsidP="0007354A">
      <w:pPr>
        <w:pStyle w:val="Pismenka"/>
        <w:tabs>
          <w:tab w:val="clear" w:pos="426"/>
        </w:tabs>
        <w:bidi w:val="0"/>
        <w:spacing w:before="180" w:after="120" w:line="336" w:lineRule="auto"/>
        <w:ind w:left="0" w:firstLine="0"/>
        <w:rPr>
          <w:rFonts w:ascii="Times New Roman" w:hAnsi="Times New Roman"/>
          <w:b w:val="0"/>
          <w:bCs w:val="0"/>
          <w:sz w:val="22"/>
          <w:szCs w:val="22"/>
        </w:rPr>
      </w:pPr>
      <w:r w:rsidRPr="0072101A" w:rsidR="00F93A67">
        <w:rPr>
          <w:rFonts w:ascii="Times New Roman" w:hAnsi="Times New Roman"/>
          <w:b w:val="0"/>
          <w:bCs w:val="0"/>
          <w:sz w:val="22"/>
          <w:szCs w:val="22"/>
        </w:rPr>
        <w:t xml:space="preserve">Zákonné rezervy, </w:t>
      </w:r>
      <w:r w:rsidRPr="0072101A" w:rsidR="002D60E7">
        <w:rPr>
          <w:rFonts w:ascii="Times New Roman" w:hAnsi="Times New Roman"/>
          <w:b w:val="0"/>
          <w:bCs w:val="0"/>
          <w:sz w:val="22"/>
          <w:szCs w:val="22"/>
        </w:rPr>
        <w:t xml:space="preserve">t. j. rezervy </w:t>
      </w:r>
      <w:r w:rsidRPr="0072101A" w:rsidR="00F93A67">
        <w:rPr>
          <w:rFonts w:ascii="Times New Roman" w:hAnsi="Times New Roman"/>
          <w:b w:val="0"/>
          <w:bCs w:val="0"/>
          <w:sz w:val="22"/>
          <w:szCs w:val="22"/>
        </w:rPr>
        <w:t xml:space="preserve">vytvárané na základe príslušných predpisov, boli vykázané v hodnote </w:t>
      </w:r>
      <w:r w:rsidR="00597991">
        <w:rPr>
          <w:rFonts w:ascii="Times New Roman" w:hAnsi="Times New Roman"/>
          <w:b w:val="0"/>
          <w:bCs w:val="0"/>
          <w:sz w:val="22"/>
          <w:szCs w:val="22"/>
        </w:rPr>
        <w:t>327 713</w:t>
      </w:r>
      <w:r w:rsidRPr="0072101A" w:rsidR="00F93A67">
        <w:rPr>
          <w:rFonts w:ascii="Times New Roman" w:hAnsi="Times New Roman"/>
          <w:b w:val="0"/>
          <w:bCs w:val="0"/>
          <w:sz w:val="22"/>
          <w:szCs w:val="22"/>
        </w:rPr>
        <w:t xml:space="preserve"> tis. eur. Ostatné rezervy</w:t>
      </w:r>
      <w:r w:rsidRPr="0072101A" w:rsidR="002D60E7">
        <w:rPr>
          <w:rFonts w:ascii="Times New Roman" w:hAnsi="Times New Roman"/>
          <w:b w:val="0"/>
          <w:bCs w:val="0"/>
          <w:sz w:val="22"/>
          <w:szCs w:val="22"/>
        </w:rPr>
        <w:t>, t.j. rezervy</w:t>
      </w:r>
      <w:r w:rsidRPr="0072101A" w:rsidR="00E40EF7">
        <w:rPr>
          <w:rFonts w:ascii="Times New Roman" w:hAnsi="Times New Roman"/>
          <w:b w:val="0"/>
          <w:bCs w:val="0"/>
          <w:sz w:val="22"/>
          <w:szCs w:val="22"/>
        </w:rPr>
        <w:t xml:space="preserve"> vytvárané</w:t>
      </w:r>
      <w:r w:rsidRPr="0072101A" w:rsidR="00F93A67">
        <w:rPr>
          <w:rFonts w:ascii="Times New Roman" w:hAnsi="Times New Roman"/>
          <w:b w:val="0"/>
          <w:bCs w:val="0"/>
          <w:sz w:val="22"/>
          <w:szCs w:val="22"/>
        </w:rPr>
        <w:t xml:space="preserve"> </w:t>
      </w:r>
      <w:r w:rsidRPr="0072101A" w:rsidR="00E40EF7">
        <w:rPr>
          <w:rFonts w:ascii="Times New Roman" w:hAnsi="Times New Roman"/>
          <w:b w:val="0"/>
          <w:bCs w:val="0"/>
          <w:sz w:val="22"/>
          <w:szCs w:val="22"/>
        </w:rPr>
        <w:t xml:space="preserve">na základe účtovných postupov a </w:t>
      </w:r>
      <w:r w:rsidRPr="0072101A" w:rsidR="00F93A67">
        <w:rPr>
          <w:rFonts w:ascii="Times New Roman" w:hAnsi="Times New Roman"/>
          <w:b w:val="0"/>
          <w:bCs w:val="0"/>
          <w:sz w:val="22"/>
          <w:szCs w:val="22"/>
        </w:rPr>
        <w:t xml:space="preserve">vnútorných predpisov účtovných jednotiek dosiahli hodnotu </w:t>
      </w:r>
      <w:r w:rsidR="00597991">
        <w:rPr>
          <w:rFonts w:ascii="Times New Roman" w:hAnsi="Times New Roman"/>
          <w:b w:val="0"/>
          <w:bCs w:val="0"/>
          <w:sz w:val="22"/>
          <w:szCs w:val="22"/>
        </w:rPr>
        <w:t xml:space="preserve">20 176 057 </w:t>
      </w:r>
      <w:r w:rsidRPr="0072101A" w:rsidR="00F93A67">
        <w:rPr>
          <w:rFonts w:ascii="Times New Roman" w:hAnsi="Times New Roman"/>
          <w:b w:val="0"/>
          <w:bCs w:val="0"/>
          <w:sz w:val="22"/>
          <w:szCs w:val="22"/>
        </w:rPr>
        <w:t xml:space="preserve">tis. eur. </w:t>
      </w:r>
    </w:p>
    <w:p w:rsidR="00AA5F85" w:rsidP="00056856">
      <w:pPr>
        <w:pStyle w:val="Pismenka"/>
        <w:tabs>
          <w:tab w:val="clear" w:pos="426"/>
        </w:tabs>
        <w:bidi w:val="0"/>
        <w:spacing w:before="180" w:after="120" w:line="336" w:lineRule="auto"/>
        <w:ind w:left="0" w:firstLine="0"/>
        <w:rPr>
          <w:rFonts w:ascii="Times New Roman" w:hAnsi="Times New Roman"/>
          <w:b w:val="0"/>
          <w:bCs w:val="0"/>
          <w:sz w:val="22"/>
          <w:szCs w:val="22"/>
        </w:rPr>
      </w:pPr>
      <w:r w:rsidRPr="0072101A" w:rsidR="00D53451">
        <w:rPr>
          <w:rFonts w:ascii="Times New Roman" w:hAnsi="Times New Roman"/>
          <w:b w:val="0"/>
          <w:bCs w:val="0"/>
          <w:sz w:val="22"/>
          <w:szCs w:val="22"/>
        </w:rPr>
        <w:t>Medziročná z</w:t>
      </w:r>
      <w:r w:rsidRPr="0072101A" w:rsidR="00F64F2F">
        <w:rPr>
          <w:rFonts w:ascii="Times New Roman" w:hAnsi="Times New Roman"/>
          <w:b w:val="0"/>
          <w:bCs w:val="0"/>
          <w:sz w:val="22"/>
          <w:szCs w:val="22"/>
        </w:rPr>
        <w:t xml:space="preserve">mena bola spôsobená </w:t>
      </w:r>
      <w:r w:rsidRPr="0072101A" w:rsidR="00E40EF7">
        <w:rPr>
          <w:rFonts w:ascii="Times New Roman" w:hAnsi="Times New Roman"/>
          <w:b w:val="0"/>
          <w:bCs w:val="0"/>
          <w:sz w:val="22"/>
          <w:szCs w:val="22"/>
        </w:rPr>
        <w:t>hlavne zvýšením  </w:t>
      </w:r>
      <w:r>
        <w:rPr>
          <w:rFonts w:ascii="Times New Roman" w:hAnsi="Times New Roman"/>
          <w:b w:val="0"/>
          <w:bCs w:val="0"/>
          <w:sz w:val="22"/>
          <w:szCs w:val="22"/>
        </w:rPr>
        <w:t xml:space="preserve">dlhodobých </w:t>
      </w:r>
      <w:r w:rsidRPr="0072101A" w:rsidR="00E40EF7">
        <w:rPr>
          <w:rFonts w:ascii="Times New Roman" w:hAnsi="Times New Roman"/>
          <w:b w:val="0"/>
          <w:bCs w:val="0"/>
          <w:sz w:val="22"/>
          <w:szCs w:val="22"/>
        </w:rPr>
        <w:t>ostatných rezerv</w:t>
      </w:r>
      <w:r>
        <w:rPr>
          <w:rFonts w:ascii="Times New Roman" w:hAnsi="Times New Roman"/>
          <w:b w:val="0"/>
          <w:bCs w:val="0"/>
          <w:sz w:val="22"/>
          <w:szCs w:val="22"/>
        </w:rPr>
        <w:t xml:space="preserve"> o 544 623 tis. eur. V rámci toho išlo o zvýšenie rezervy ústrednej správy </w:t>
      </w:r>
      <w:r w:rsidRPr="0072101A" w:rsidR="00D53451">
        <w:rPr>
          <w:rFonts w:ascii="Times New Roman" w:hAnsi="Times New Roman"/>
          <w:b w:val="0"/>
          <w:bCs w:val="0"/>
          <w:sz w:val="22"/>
          <w:szCs w:val="22"/>
        </w:rPr>
        <w:t>na zamestnanecké benefity,</w:t>
      </w:r>
      <w:r>
        <w:rPr>
          <w:rFonts w:ascii="Times New Roman" w:hAnsi="Times New Roman"/>
          <w:b w:val="0"/>
          <w:bCs w:val="0"/>
          <w:sz w:val="22"/>
          <w:szCs w:val="22"/>
        </w:rPr>
        <w:t xml:space="preserve"> ktorá na základe expertného odhadu zaznamenala k 31.12.2015 tvorbu 598 010 tis. eur.</w:t>
      </w:r>
      <w:r w:rsidR="007645F1">
        <w:rPr>
          <w:rFonts w:ascii="Times New Roman" w:hAnsi="Times New Roman"/>
          <w:b w:val="0"/>
          <w:bCs w:val="0"/>
          <w:sz w:val="22"/>
          <w:szCs w:val="22"/>
        </w:rPr>
        <w:t xml:space="preserve"> Ministerstvo financií SR zaznamenalo </w:t>
      </w:r>
      <w:r w:rsidR="00CD6950">
        <w:rPr>
          <w:rFonts w:ascii="Times New Roman" w:hAnsi="Times New Roman"/>
          <w:b w:val="0"/>
          <w:bCs w:val="0"/>
          <w:sz w:val="22"/>
          <w:szCs w:val="22"/>
        </w:rPr>
        <w:t>aj prírastok rezerv na súdne spory a to vo výške 76 103 tis. eur. Ide o súdne spory v daňovej oblasti voči podnikateľských subjektom.</w:t>
      </w:r>
      <w:r>
        <w:rPr>
          <w:rFonts w:ascii="Times New Roman" w:hAnsi="Times New Roman"/>
          <w:b w:val="0"/>
          <w:bCs w:val="0"/>
          <w:sz w:val="22"/>
          <w:szCs w:val="22"/>
        </w:rPr>
        <w:t xml:space="preserve"> </w:t>
      </w:r>
      <w:r w:rsidR="00810D66">
        <w:rPr>
          <w:rFonts w:ascii="Times New Roman" w:hAnsi="Times New Roman"/>
          <w:b w:val="0"/>
          <w:bCs w:val="0"/>
          <w:sz w:val="22"/>
          <w:szCs w:val="22"/>
        </w:rPr>
        <w:t xml:space="preserve">Naopak, </w:t>
      </w:r>
      <w:r w:rsidR="00E807DD">
        <w:rPr>
          <w:rFonts w:ascii="Times New Roman" w:hAnsi="Times New Roman"/>
          <w:b w:val="0"/>
          <w:bCs w:val="0"/>
          <w:sz w:val="22"/>
          <w:szCs w:val="22"/>
        </w:rPr>
        <w:t xml:space="preserve">významné </w:t>
      </w:r>
      <w:r w:rsidR="00810D66">
        <w:rPr>
          <w:rFonts w:ascii="Times New Roman" w:hAnsi="Times New Roman"/>
          <w:b w:val="0"/>
          <w:bCs w:val="0"/>
          <w:sz w:val="22"/>
          <w:szCs w:val="22"/>
        </w:rPr>
        <w:t>z</w:t>
      </w:r>
      <w:r>
        <w:rPr>
          <w:rFonts w:ascii="Times New Roman" w:hAnsi="Times New Roman"/>
          <w:b w:val="0"/>
          <w:bCs w:val="0"/>
          <w:sz w:val="22"/>
          <w:szCs w:val="22"/>
        </w:rPr>
        <w:t>níženie dlhodobých ostatných rezerv zaznamenalo Ministerstvo vnútra SR o 83 223 tis. eur, Ministerstvo zahraničných vecí a európskych záležitostí SR o 10 000 tis. eur.</w:t>
      </w:r>
    </w:p>
    <w:p w:rsidR="00F93A67" w:rsidRPr="0072101A" w:rsidP="00056856">
      <w:pPr>
        <w:pStyle w:val="Pismenka"/>
        <w:tabs>
          <w:tab w:val="clear" w:pos="426"/>
        </w:tabs>
        <w:bidi w:val="0"/>
        <w:spacing w:before="180" w:after="120" w:line="336" w:lineRule="auto"/>
        <w:ind w:left="0" w:firstLine="0"/>
        <w:rPr>
          <w:rFonts w:ascii="Times New Roman" w:hAnsi="Times New Roman"/>
          <w:b w:val="0"/>
          <w:bCs w:val="0"/>
          <w:sz w:val="22"/>
          <w:szCs w:val="22"/>
        </w:rPr>
      </w:pPr>
      <w:r w:rsidRPr="0072101A" w:rsidR="00B33F91">
        <w:rPr>
          <w:rFonts w:ascii="Times New Roman" w:hAnsi="Times New Roman"/>
          <w:b w:val="0"/>
          <w:sz w:val="22"/>
          <w:szCs w:val="22"/>
        </w:rPr>
        <w:t>Ministerstvo financií SR v roku 201</w:t>
      </w:r>
      <w:r w:rsidR="000E153F">
        <w:rPr>
          <w:rFonts w:ascii="Times New Roman" w:hAnsi="Times New Roman"/>
          <w:b w:val="0"/>
          <w:sz w:val="22"/>
          <w:szCs w:val="22"/>
        </w:rPr>
        <w:t>5</w:t>
      </w:r>
      <w:r w:rsidRPr="0072101A" w:rsidR="00B33F91">
        <w:rPr>
          <w:rFonts w:ascii="Times New Roman" w:hAnsi="Times New Roman"/>
          <w:b w:val="0"/>
          <w:sz w:val="22"/>
          <w:szCs w:val="22"/>
        </w:rPr>
        <w:t xml:space="preserve"> spresňovalo spôsob a metodiku výpočtu rezerv </w:t>
      </w:r>
      <w:r w:rsidR="000E153F">
        <w:rPr>
          <w:rFonts w:ascii="Times New Roman" w:hAnsi="Times New Roman"/>
          <w:b w:val="0"/>
          <w:sz w:val="22"/>
          <w:szCs w:val="22"/>
        </w:rPr>
        <w:t xml:space="preserve">na zamestnanecké požitky </w:t>
      </w:r>
      <w:r w:rsidRPr="0072101A" w:rsidR="00B33F91">
        <w:rPr>
          <w:rFonts w:ascii="Times New Roman" w:hAnsi="Times New Roman"/>
          <w:b w:val="0"/>
          <w:sz w:val="22"/>
          <w:szCs w:val="22"/>
        </w:rPr>
        <w:t xml:space="preserve">a na základe predložených podkladov od jednotlivých správcov kapitol </w:t>
      </w:r>
      <w:r w:rsidR="000E153F">
        <w:rPr>
          <w:rFonts w:ascii="Times New Roman" w:hAnsi="Times New Roman"/>
          <w:b w:val="0"/>
          <w:sz w:val="22"/>
          <w:szCs w:val="22"/>
        </w:rPr>
        <w:t>aktualizovalo</w:t>
      </w:r>
      <w:r w:rsidRPr="0072101A" w:rsidR="00B33F91">
        <w:rPr>
          <w:rFonts w:ascii="Times New Roman" w:hAnsi="Times New Roman"/>
          <w:b w:val="0"/>
          <w:sz w:val="22"/>
          <w:szCs w:val="22"/>
        </w:rPr>
        <w:t xml:space="preserve"> </w:t>
      </w:r>
      <w:r w:rsidR="000E153F">
        <w:rPr>
          <w:rFonts w:ascii="Times New Roman" w:hAnsi="Times New Roman"/>
          <w:b w:val="0"/>
          <w:sz w:val="22"/>
          <w:szCs w:val="22"/>
        </w:rPr>
        <w:t xml:space="preserve">odhad </w:t>
      </w:r>
      <w:r w:rsidRPr="0072101A" w:rsidR="00B33F91">
        <w:rPr>
          <w:rFonts w:ascii="Times New Roman" w:hAnsi="Times New Roman"/>
          <w:b w:val="0"/>
          <w:sz w:val="22"/>
          <w:szCs w:val="22"/>
        </w:rPr>
        <w:t xml:space="preserve">rezervy založeného na aktuárskych princípoch. </w:t>
      </w:r>
      <w:r w:rsidR="000E153F">
        <w:rPr>
          <w:rFonts w:ascii="Times New Roman" w:hAnsi="Times New Roman"/>
          <w:b w:val="0"/>
          <w:sz w:val="22"/>
          <w:szCs w:val="22"/>
        </w:rPr>
        <w:t>Stav rezervy na zamestnanecké požitky štátnych rozpočtových a príspevkových organizácií bol k 31.12.2015 na položke ostatné dlhodobé rezervy 17 985 010 tis. eur</w:t>
      </w:r>
      <w:r w:rsidR="00683393">
        <w:rPr>
          <w:rFonts w:ascii="Times New Roman" w:hAnsi="Times New Roman"/>
          <w:b w:val="0"/>
          <w:sz w:val="22"/>
          <w:szCs w:val="22"/>
        </w:rPr>
        <w:t>.</w:t>
      </w:r>
      <w:r w:rsidR="000E153F">
        <w:rPr>
          <w:rFonts w:ascii="Times New Roman" w:hAnsi="Times New Roman"/>
          <w:b w:val="0"/>
          <w:sz w:val="22"/>
          <w:szCs w:val="22"/>
        </w:rPr>
        <w:t xml:space="preserve">   </w:t>
      </w:r>
    </w:p>
    <w:p w:rsidR="00C4100B" w:rsidP="00C4100B">
      <w:pPr>
        <w:pStyle w:val="Pismenka"/>
        <w:tabs>
          <w:tab w:val="clear" w:pos="426"/>
        </w:tabs>
        <w:bidi w:val="0"/>
        <w:spacing w:before="120" w:after="120"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rPr>
        <w:t xml:space="preserve">Z obchodných spoločností ústrednej správy vykazuje najvyššie rezervy Jadrová a vyraďovacia spoločnosť, a.s. vytvorené na záväzky z vyraďovania jadrových elektrární, na likvidáciu a vyraďovanie neenergetických zariadení a rezervy na budúce zamestnanecké požitky. Hodnota rezerv tejto obchodnej spoločnosti </w:t>
      </w:r>
      <w:r w:rsidRPr="0072101A" w:rsidR="009F24D6">
        <w:rPr>
          <w:rFonts w:ascii="Times New Roman" w:hAnsi="Times New Roman"/>
          <w:b w:val="0"/>
          <w:bCs w:val="0"/>
          <w:sz w:val="22"/>
          <w:szCs w:val="22"/>
        </w:rPr>
        <w:t>k 31.12.201</w:t>
      </w:r>
      <w:r w:rsidR="00DC080F">
        <w:rPr>
          <w:rFonts w:ascii="Times New Roman" w:hAnsi="Times New Roman"/>
          <w:b w:val="0"/>
          <w:bCs w:val="0"/>
          <w:sz w:val="22"/>
          <w:szCs w:val="22"/>
        </w:rPr>
        <w:t>5</w:t>
      </w:r>
      <w:r w:rsidRPr="0072101A" w:rsidR="009F24D6">
        <w:rPr>
          <w:rFonts w:ascii="Times New Roman" w:hAnsi="Times New Roman"/>
          <w:b w:val="0"/>
          <w:bCs w:val="0"/>
          <w:sz w:val="22"/>
          <w:szCs w:val="22"/>
        </w:rPr>
        <w:t xml:space="preserve"> dosiahla </w:t>
      </w:r>
      <w:r w:rsidRPr="0072101A" w:rsidR="00F34A4E">
        <w:rPr>
          <w:rFonts w:ascii="Times New Roman" w:hAnsi="Times New Roman"/>
          <w:b w:val="0"/>
          <w:bCs w:val="0"/>
          <w:sz w:val="22"/>
          <w:szCs w:val="22"/>
        </w:rPr>
        <w:t>1</w:t>
      </w:r>
      <w:r w:rsidR="00DC080F">
        <w:rPr>
          <w:rFonts w:ascii="Times New Roman" w:hAnsi="Times New Roman"/>
          <w:b w:val="0"/>
          <w:bCs w:val="0"/>
          <w:sz w:val="22"/>
          <w:szCs w:val="22"/>
        </w:rPr>
        <w:t> 195 502</w:t>
      </w:r>
      <w:r w:rsidR="000F67E4">
        <w:rPr>
          <w:rFonts w:ascii="Times New Roman" w:hAnsi="Times New Roman"/>
          <w:b w:val="0"/>
          <w:bCs w:val="0"/>
          <w:sz w:val="22"/>
          <w:szCs w:val="22"/>
        </w:rPr>
        <w:t xml:space="preserve"> tis. eur, z toho v rámci dlhodobých ostatných rezerv 1 097 406 tis. eur.</w:t>
      </w:r>
    </w:p>
    <w:p w:rsidR="000E153F" w:rsidRPr="0072101A" w:rsidP="00C4100B">
      <w:pPr>
        <w:pStyle w:val="Pismenka"/>
        <w:tabs>
          <w:tab w:val="clear" w:pos="426"/>
        </w:tabs>
        <w:bidi w:val="0"/>
        <w:spacing w:before="120" w:after="120" w:line="336" w:lineRule="auto"/>
        <w:ind w:left="0" w:firstLine="0"/>
        <w:rPr>
          <w:rFonts w:ascii="Times New Roman" w:hAnsi="Times New Roman"/>
          <w:b w:val="0"/>
          <w:bCs w:val="0"/>
          <w:sz w:val="22"/>
          <w:szCs w:val="22"/>
        </w:rPr>
      </w:pPr>
      <w:r>
        <w:rPr>
          <w:rFonts w:ascii="Times New Roman" w:hAnsi="Times New Roman"/>
          <w:b w:val="0"/>
          <w:bCs w:val="0"/>
          <w:sz w:val="22"/>
          <w:szCs w:val="22"/>
        </w:rPr>
        <w:t>Všeobecná zdravotná poisťovňa, a.s. vykazuje po prevodovom mostíku na účty rozpočtových organizácií krátkodobé zákonné rezervy vo výške 223 223 tis. eur.</w:t>
      </w:r>
    </w:p>
    <w:p w:rsidR="009270BF" w:rsidRPr="0072101A" w:rsidP="008B70DC">
      <w:pPr>
        <w:pStyle w:val="Pismenka"/>
        <w:tabs>
          <w:tab w:val="clear" w:pos="426"/>
        </w:tabs>
        <w:bidi w:val="0"/>
        <w:spacing w:before="200" w:after="200" w:line="336" w:lineRule="auto"/>
        <w:ind w:left="0" w:firstLine="0"/>
        <w:rPr>
          <w:rFonts w:ascii="Times New Roman" w:hAnsi="Times New Roman"/>
          <w:bCs w:val="0"/>
          <w:sz w:val="24"/>
          <w:szCs w:val="24"/>
        </w:rPr>
      </w:pPr>
      <w:r w:rsidRPr="0072101A">
        <w:rPr>
          <w:rFonts w:ascii="Times New Roman" w:hAnsi="Times New Roman"/>
          <w:bCs w:val="0"/>
          <w:sz w:val="24"/>
          <w:szCs w:val="24"/>
        </w:rPr>
        <w:t>B.II. Zúčtovacie vzťahy</w:t>
      </w:r>
    </w:p>
    <w:p w:rsidR="00C41A0E" w:rsidP="008B70DC">
      <w:pPr>
        <w:pStyle w:val="Pismenka"/>
        <w:tabs>
          <w:tab w:val="clear" w:pos="426"/>
        </w:tabs>
        <w:bidi w:val="0"/>
        <w:spacing w:line="336" w:lineRule="auto"/>
        <w:ind w:left="0" w:firstLine="0"/>
        <w:rPr>
          <w:rFonts w:ascii="Times New Roman" w:hAnsi="Times New Roman"/>
          <w:b w:val="0"/>
          <w:bCs w:val="0"/>
          <w:sz w:val="22"/>
          <w:szCs w:val="22"/>
        </w:rPr>
      </w:pPr>
      <w:r w:rsidRPr="0072101A" w:rsidR="009270BF">
        <w:rPr>
          <w:rFonts w:ascii="Times New Roman" w:hAnsi="Times New Roman"/>
          <w:b w:val="0"/>
          <w:bCs w:val="0"/>
          <w:sz w:val="22"/>
          <w:szCs w:val="22"/>
        </w:rPr>
        <w:t>Zúčtovacie vzťahy s</w:t>
      </w:r>
      <w:r w:rsidRPr="0072101A" w:rsidR="00D438D2">
        <w:rPr>
          <w:rFonts w:ascii="Times New Roman" w:hAnsi="Times New Roman"/>
          <w:b w:val="0"/>
          <w:bCs w:val="0"/>
          <w:sz w:val="22"/>
          <w:szCs w:val="22"/>
        </w:rPr>
        <w:t>a</w:t>
      </w:r>
      <w:r w:rsidRPr="0072101A" w:rsidR="009270BF">
        <w:rPr>
          <w:rFonts w:ascii="Times New Roman" w:hAnsi="Times New Roman"/>
          <w:b w:val="0"/>
          <w:bCs w:val="0"/>
          <w:sz w:val="22"/>
          <w:szCs w:val="22"/>
        </w:rPr>
        <w:t xml:space="preserve"> používa</w:t>
      </w:r>
      <w:r w:rsidRPr="0072101A" w:rsidR="00D438D2">
        <w:rPr>
          <w:rFonts w:ascii="Times New Roman" w:hAnsi="Times New Roman"/>
          <w:b w:val="0"/>
          <w:bCs w:val="0"/>
          <w:sz w:val="22"/>
          <w:szCs w:val="22"/>
        </w:rPr>
        <w:t>jú</w:t>
      </w:r>
      <w:r w:rsidRPr="0072101A" w:rsidR="009270BF">
        <w:rPr>
          <w:rFonts w:ascii="Times New Roman" w:hAnsi="Times New Roman"/>
          <w:b w:val="0"/>
          <w:bCs w:val="0"/>
          <w:sz w:val="22"/>
          <w:szCs w:val="22"/>
        </w:rPr>
        <w:t xml:space="preserve"> na za</w:t>
      </w:r>
      <w:r w:rsidRPr="0072101A" w:rsidR="00D93E9C">
        <w:rPr>
          <w:rFonts w:ascii="Times New Roman" w:hAnsi="Times New Roman"/>
          <w:b w:val="0"/>
          <w:bCs w:val="0"/>
          <w:sz w:val="22"/>
          <w:szCs w:val="22"/>
        </w:rPr>
        <w:t>znamenávanie</w:t>
      </w:r>
      <w:r w:rsidRPr="0072101A" w:rsidR="009270BF">
        <w:rPr>
          <w:rFonts w:ascii="Times New Roman" w:hAnsi="Times New Roman"/>
          <w:b w:val="0"/>
          <w:bCs w:val="0"/>
          <w:sz w:val="22"/>
          <w:szCs w:val="22"/>
        </w:rPr>
        <w:t xml:space="preserve"> prijatých bežných a kapitálových transferov medzi subjektmi verejnej správy. Z pohľadu účtovníctva ide o časovo rozlíšené prostriedky štátneho rozpočtu, rozpočtu obce a</w:t>
      </w:r>
      <w:r w:rsidR="00683393">
        <w:rPr>
          <w:rFonts w:ascii="Times New Roman" w:hAnsi="Times New Roman"/>
          <w:b w:val="0"/>
          <w:bCs w:val="0"/>
          <w:sz w:val="22"/>
          <w:szCs w:val="22"/>
        </w:rPr>
        <w:t>lebo</w:t>
      </w:r>
      <w:r w:rsidRPr="0072101A" w:rsidR="009270BF">
        <w:rPr>
          <w:rFonts w:ascii="Times New Roman" w:hAnsi="Times New Roman"/>
          <w:b w:val="0"/>
          <w:bCs w:val="0"/>
          <w:sz w:val="22"/>
          <w:szCs w:val="22"/>
        </w:rPr>
        <w:t> vyššieho územného celku, ktoré sú pos</w:t>
      </w:r>
      <w:r w:rsidRPr="0072101A" w:rsidR="00606D67">
        <w:rPr>
          <w:rFonts w:ascii="Times New Roman" w:hAnsi="Times New Roman"/>
          <w:b w:val="0"/>
          <w:bCs w:val="0"/>
          <w:sz w:val="22"/>
          <w:szCs w:val="22"/>
        </w:rPr>
        <w:t xml:space="preserve">kytované ostatným organizáciám. </w:t>
      </w:r>
      <w:r w:rsidRPr="0072101A" w:rsidR="009270BF">
        <w:rPr>
          <w:rFonts w:ascii="Times New Roman" w:hAnsi="Times New Roman"/>
          <w:b w:val="0"/>
          <w:bCs w:val="0"/>
          <w:sz w:val="22"/>
          <w:szCs w:val="22"/>
        </w:rPr>
        <w:t>V rámci tejto skupiny záväzkov sa vykazujú aj transfery v</w:t>
      </w:r>
      <w:r w:rsidRPr="0072101A" w:rsidR="00BE46BF">
        <w:rPr>
          <w:rFonts w:ascii="Times New Roman" w:hAnsi="Times New Roman"/>
          <w:b w:val="0"/>
          <w:bCs w:val="0"/>
          <w:sz w:val="22"/>
          <w:szCs w:val="22"/>
        </w:rPr>
        <w:t> územnej samospráve</w:t>
      </w:r>
      <w:r w:rsidRPr="0072101A" w:rsidR="009270BF">
        <w:rPr>
          <w:rFonts w:ascii="Times New Roman" w:hAnsi="Times New Roman"/>
          <w:b w:val="0"/>
          <w:bCs w:val="0"/>
          <w:sz w:val="22"/>
          <w:szCs w:val="22"/>
        </w:rPr>
        <w:t>, kt</w:t>
      </w:r>
      <w:r w:rsidRPr="0072101A" w:rsidR="00F94BF5">
        <w:rPr>
          <w:rFonts w:ascii="Times New Roman" w:hAnsi="Times New Roman"/>
          <w:b w:val="0"/>
          <w:bCs w:val="0"/>
          <w:sz w:val="22"/>
          <w:szCs w:val="22"/>
        </w:rPr>
        <w:t>oré neboli predmetom eliminácie a vzťah štátneho rozpočtu voči územnej samospráve z podielových daní.</w:t>
      </w:r>
    </w:p>
    <w:p w:rsidR="009270BF" w:rsidRPr="0072101A" w:rsidP="00C41A0E">
      <w:pPr>
        <w:pStyle w:val="Pismenka"/>
        <w:tabs>
          <w:tab w:val="clear" w:pos="426"/>
        </w:tabs>
        <w:bidi w:val="0"/>
        <w:spacing w:before="120"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rPr>
        <w:t>Hodnota transferov k 31.12.201</w:t>
      </w:r>
      <w:r w:rsidR="00C41A0E">
        <w:rPr>
          <w:rFonts w:ascii="Times New Roman" w:hAnsi="Times New Roman"/>
          <w:b w:val="0"/>
          <w:bCs w:val="0"/>
          <w:sz w:val="22"/>
          <w:szCs w:val="22"/>
        </w:rPr>
        <w:t>5</w:t>
      </w:r>
      <w:r w:rsidRPr="0072101A">
        <w:rPr>
          <w:rFonts w:ascii="Times New Roman" w:hAnsi="Times New Roman"/>
          <w:b w:val="0"/>
          <w:bCs w:val="0"/>
          <w:sz w:val="22"/>
          <w:szCs w:val="22"/>
        </w:rPr>
        <w:t xml:space="preserve"> bola</w:t>
      </w:r>
      <w:r w:rsidRPr="0072101A" w:rsidR="00B935FD">
        <w:rPr>
          <w:rFonts w:ascii="Times New Roman" w:hAnsi="Times New Roman"/>
          <w:b w:val="0"/>
          <w:bCs w:val="0"/>
          <w:sz w:val="22"/>
          <w:szCs w:val="22"/>
        </w:rPr>
        <w:t xml:space="preserve"> </w:t>
      </w:r>
      <w:r w:rsidR="00C41A0E">
        <w:rPr>
          <w:rFonts w:ascii="Times New Roman" w:hAnsi="Times New Roman"/>
          <w:b w:val="0"/>
          <w:bCs w:val="0"/>
          <w:sz w:val="22"/>
          <w:szCs w:val="22"/>
        </w:rPr>
        <w:t>748 203</w:t>
      </w:r>
      <w:r w:rsidRPr="0072101A" w:rsidR="00F94BF5">
        <w:rPr>
          <w:rFonts w:ascii="Times New Roman" w:hAnsi="Times New Roman"/>
          <w:b w:val="0"/>
          <w:bCs w:val="0"/>
          <w:sz w:val="22"/>
          <w:szCs w:val="22"/>
        </w:rPr>
        <w:t xml:space="preserve"> tis. eur a medziročne boli vyššie o</w:t>
      </w:r>
      <w:r w:rsidR="00F30E1F">
        <w:rPr>
          <w:rFonts w:ascii="Times New Roman" w:hAnsi="Times New Roman"/>
          <w:b w:val="0"/>
          <w:bCs w:val="0"/>
          <w:sz w:val="22"/>
          <w:szCs w:val="22"/>
        </w:rPr>
        <w:t> 130 123</w:t>
      </w:r>
      <w:r w:rsidRPr="0072101A" w:rsidR="00F94BF5">
        <w:rPr>
          <w:rFonts w:ascii="Times New Roman" w:hAnsi="Times New Roman"/>
          <w:b w:val="0"/>
          <w:bCs w:val="0"/>
          <w:sz w:val="22"/>
          <w:szCs w:val="22"/>
        </w:rPr>
        <w:t xml:space="preserve"> tis. eur. Ú</w:t>
      </w:r>
      <w:r w:rsidRPr="0072101A">
        <w:rPr>
          <w:rFonts w:ascii="Times New Roman" w:hAnsi="Times New Roman"/>
          <w:b w:val="0"/>
          <w:bCs w:val="0"/>
          <w:sz w:val="22"/>
          <w:szCs w:val="22"/>
        </w:rPr>
        <w:t>stredná štátna správa vykázala</w:t>
      </w:r>
      <w:r w:rsidRPr="0072101A" w:rsidR="00F94BF5">
        <w:rPr>
          <w:rFonts w:ascii="Times New Roman" w:hAnsi="Times New Roman"/>
          <w:b w:val="0"/>
          <w:bCs w:val="0"/>
          <w:sz w:val="22"/>
          <w:szCs w:val="22"/>
        </w:rPr>
        <w:t xml:space="preserve"> 3</w:t>
      </w:r>
      <w:r w:rsidR="00F30E1F">
        <w:rPr>
          <w:rFonts w:ascii="Times New Roman" w:hAnsi="Times New Roman"/>
          <w:b w:val="0"/>
          <w:bCs w:val="0"/>
          <w:sz w:val="22"/>
          <w:szCs w:val="22"/>
        </w:rPr>
        <w:t>51</w:t>
      </w:r>
      <w:r w:rsidRPr="0072101A" w:rsidR="00F94BF5">
        <w:rPr>
          <w:rFonts w:ascii="Times New Roman" w:hAnsi="Times New Roman"/>
          <w:b w:val="0"/>
          <w:bCs w:val="0"/>
          <w:sz w:val="22"/>
          <w:szCs w:val="22"/>
        </w:rPr>
        <w:t xml:space="preserve"> </w:t>
      </w:r>
      <w:r w:rsidR="00F30E1F">
        <w:rPr>
          <w:rFonts w:ascii="Times New Roman" w:hAnsi="Times New Roman"/>
          <w:b w:val="0"/>
          <w:bCs w:val="0"/>
          <w:sz w:val="22"/>
          <w:szCs w:val="22"/>
        </w:rPr>
        <w:t>280</w:t>
      </w:r>
      <w:r w:rsidRPr="0072101A">
        <w:rPr>
          <w:rFonts w:ascii="Times New Roman" w:hAnsi="Times New Roman"/>
          <w:b w:val="0"/>
          <w:bCs w:val="0"/>
          <w:sz w:val="22"/>
          <w:szCs w:val="22"/>
        </w:rPr>
        <w:t xml:space="preserve"> </w:t>
      </w:r>
      <w:r w:rsidRPr="0072101A" w:rsidR="00D93E9C">
        <w:rPr>
          <w:rFonts w:ascii="Times New Roman" w:hAnsi="Times New Roman"/>
          <w:b w:val="0"/>
          <w:bCs w:val="0"/>
          <w:sz w:val="22"/>
          <w:szCs w:val="22"/>
        </w:rPr>
        <w:t>tis. eur</w:t>
      </w:r>
      <w:r w:rsidR="0036129A">
        <w:rPr>
          <w:rFonts w:ascii="Times New Roman" w:hAnsi="Times New Roman"/>
          <w:b w:val="0"/>
          <w:bCs w:val="0"/>
          <w:sz w:val="22"/>
          <w:szCs w:val="22"/>
        </w:rPr>
        <w:t xml:space="preserve"> a v rámci nej Minist</w:t>
      </w:r>
      <w:r w:rsidR="001D1D14">
        <w:rPr>
          <w:rFonts w:ascii="Times New Roman" w:hAnsi="Times New Roman"/>
          <w:b w:val="0"/>
          <w:bCs w:val="0"/>
          <w:sz w:val="22"/>
          <w:szCs w:val="22"/>
        </w:rPr>
        <w:t>erstvo financií SR 294 023 tis. </w:t>
      </w:r>
      <w:r w:rsidR="0036129A">
        <w:rPr>
          <w:rFonts w:ascii="Times New Roman" w:hAnsi="Times New Roman"/>
          <w:b w:val="0"/>
          <w:bCs w:val="0"/>
          <w:sz w:val="22"/>
          <w:szCs w:val="22"/>
        </w:rPr>
        <w:t>eur a Ministerstvo zdravotníctva SR 53 612 tis. eur.</w:t>
      </w:r>
      <w:r w:rsidRPr="0072101A" w:rsidR="00D93E9C">
        <w:rPr>
          <w:rFonts w:ascii="Times New Roman" w:hAnsi="Times New Roman"/>
          <w:b w:val="0"/>
          <w:bCs w:val="0"/>
          <w:sz w:val="22"/>
          <w:szCs w:val="22"/>
        </w:rPr>
        <w:t xml:space="preserve"> </w:t>
      </w:r>
      <w:r w:rsidR="0036129A">
        <w:rPr>
          <w:rFonts w:ascii="Times New Roman" w:hAnsi="Times New Roman"/>
          <w:b w:val="0"/>
          <w:bCs w:val="0"/>
          <w:sz w:val="22"/>
          <w:szCs w:val="22"/>
        </w:rPr>
        <w:t>O</w:t>
      </w:r>
      <w:r w:rsidRPr="0072101A">
        <w:rPr>
          <w:rFonts w:ascii="Times New Roman" w:hAnsi="Times New Roman"/>
          <w:b w:val="0"/>
          <w:bCs w:val="0"/>
          <w:sz w:val="22"/>
          <w:szCs w:val="22"/>
        </w:rPr>
        <w:t xml:space="preserve">statné subjekty </w:t>
      </w:r>
      <w:r w:rsidR="006E5B6A">
        <w:rPr>
          <w:rFonts w:ascii="Times New Roman" w:hAnsi="Times New Roman"/>
          <w:b w:val="0"/>
          <w:bCs w:val="0"/>
          <w:sz w:val="22"/>
          <w:szCs w:val="22"/>
        </w:rPr>
        <w:t xml:space="preserve">vykázali </w:t>
      </w:r>
      <w:r w:rsidR="00F30E1F">
        <w:rPr>
          <w:rFonts w:ascii="Times New Roman" w:hAnsi="Times New Roman"/>
          <w:b w:val="0"/>
          <w:bCs w:val="0"/>
          <w:sz w:val="22"/>
          <w:szCs w:val="22"/>
        </w:rPr>
        <w:t>275</w:t>
      </w:r>
      <w:r w:rsidR="0068327C">
        <w:rPr>
          <w:rFonts w:ascii="Times New Roman" w:hAnsi="Times New Roman"/>
          <w:b w:val="0"/>
          <w:bCs w:val="0"/>
          <w:sz w:val="22"/>
          <w:szCs w:val="22"/>
        </w:rPr>
        <w:t> </w:t>
      </w:r>
      <w:r w:rsidR="00F30E1F">
        <w:rPr>
          <w:rFonts w:ascii="Times New Roman" w:hAnsi="Times New Roman"/>
          <w:b w:val="0"/>
          <w:bCs w:val="0"/>
          <w:sz w:val="22"/>
          <w:szCs w:val="22"/>
        </w:rPr>
        <w:t>257</w:t>
      </w:r>
      <w:r w:rsidR="0068327C">
        <w:rPr>
          <w:rFonts w:ascii="Times New Roman" w:hAnsi="Times New Roman"/>
          <w:b w:val="0"/>
          <w:bCs w:val="0"/>
          <w:sz w:val="22"/>
          <w:szCs w:val="22"/>
        </w:rPr>
        <w:t> </w:t>
      </w:r>
      <w:r w:rsidRPr="0072101A" w:rsidR="00973D6E">
        <w:rPr>
          <w:rFonts w:ascii="Times New Roman" w:hAnsi="Times New Roman"/>
          <w:b w:val="0"/>
          <w:bCs w:val="0"/>
          <w:sz w:val="22"/>
          <w:szCs w:val="22"/>
        </w:rPr>
        <w:t>tis.</w:t>
      </w:r>
      <w:r w:rsidR="0068327C">
        <w:rPr>
          <w:rFonts w:ascii="Times New Roman" w:hAnsi="Times New Roman"/>
          <w:b w:val="0"/>
          <w:bCs w:val="0"/>
          <w:sz w:val="22"/>
          <w:szCs w:val="22"/>
        </w:rPr>
        <w:t> </w:t>
      </w:r>
      <w:r w:rsidR="00F30E1F">
        <w:rPr>
          <w:rFonts w:ascii="Times New Roman" w:hAnsi="Times New Roman"/>
          <w:b w:val="0"/>
          <w:bCs w:val="0"/>
          <w:sz w:val="22"/>
          <w:szCs w:val="22"/>
        </w:rPr>
        <w:t>eur</w:t>
      </w:r>
      <w:r w:rsidR="00957A29">
        <w:rPr>
          <w:rFonts w:ascii="Times New Roman" w:hAnsi="Times New Roman"/>
          <w:b w:val="0"/>
          <w:bCs w:val="0"/>
          <w:sz w:val="22"/>
          <w:szCs w:val="22"/>
        </w:rPr>
        <w:t>, z toho Štátny fond rozvoja bývania sumu 148 685 tis. eur a verejné vysoké školy 117 527 tis. eur.</w:t>
      </w:r>
      <w:r w:rsidR="00F30E1F">
        <w:rPr>
          <w:rFonts w:ascii="Times New Roman" w:hAnsi="Times New Roman"/>
          <w:b w:val="0"/>
          <w:bCs w:val="0"/>
          <w:sz w:val="22"/>
          <w:szCs w:val="22"/>
        </w:rPr>
        <w:t xml:space="preserve"> </w:t>
      </w:r>
      <w:r w:rsidR="00957A29">
        <w:rPr>
          <w:rFonts w:ascii="Times New Roman" w:hAnsi="Times New Roman"/>
          <w:b w:val="0"/>
          <w:bCs w:val="0"/>
          <w:sz w:val="22"/>
          <w:szCs w:val="22"/>
        </w:rPr>
        <w:t>Ú</w:t>
      </w:r>
      <w:r w:rsidRPr="0072101A" w:rsidR="00F30E1F">
        <w:rPr>
          <w:rFonts w:ascii="Times New Roman" w:hAnsi="Times New Roman"/>
          <w:b w:val="0"/>
          <w:bCs w:val="0"/>
          <w:sz w:val="22"/>
          <w:szCs w:val="22"/>
        </w:rPr>
        <w:t xml:space="preserve">zemná samospráva </w:t>
      </w:r>
      <w:r w:rsidR="00957A29">
        <w:rPr>
          <w:rFonts w:ascii="Times New Roman" w:hAnsi="Times New Roman"/>
          <w:b w:val="0"/>
          <w:bCs w:val="0"/>
          <w:sz w:val="22"/>
          <w:szCs w:val="22"/>
        </w:rPr>
        <w:t xml:space="preserve">vykázala </w:t>
      </w:r>
      <w:r w:rsidRPr="0072101A" w:rsidR="00F30E1F">
        <w:rPr>
          <w:rFonts w:ascii="Times New Roman" w:hAnsi="Times New Roman"/>
          <w:b w:val="0"/>
          <w:bCs w:val="0"/>
          <w:sz w:val="22"/>
          <w:szCs w:val="22"/>
        </w:rPr>
        <w:t>1</w:t>
      </w:r>
      <w:r w:rsidR="00F30E1F">
        <w:rPr>
          <w:rFonts w:ascii="Times New Roman" w:hAnsi="Times New Roman"/>
          <w:b w:val="0"/>
          <w:bCs w:val="0"/>
          <w:sz w:val="22"/>
          <w:szCs w:val="22"/>
        </w:rPr>
        <w:t>21</w:t>
      </w:r>
      <w:r w:rsidRPr="0072101A" w:rsidR="00F30E1F">
        <w:rPr>
          <w:rFonts w:ascii="Times New Roman" w:hAnsi="Times New Roman"/>
          <w:b w:val="0"/>
          <w:bCs w:val="0"/>
          <w:sz w:val="22"/>
          <w:szCs w:val="22"/>
        </w:rPr>
        <w:t xml:space="preserve"> </w:t>
      </w:r>
      <w:r w:rsidR="00F30E1F">
        <w:rPr>
          <w:rFonts w:ascii="Times New Roman" w:hAnsi="Times New Roman"/>
          <w:b w:val="0"/>
          <w:bCs w:val="0"/>
          <w:sz w:val="22"/>
          <w:szCs w:val="22"/>
        </w:rPr>
        <w:t>665</w:t>
      </w:r>
      <w:r w:rsidRPr="0072101A" w:rsidR="00F30E1F">
        <w:rPr>
          <w:rFonts w:ascii="Times New Roman" w:hAnsi="Times New Roman"/>
          <w:b w:val="0"/>
          <w:bCs w:val="0"/>
          <w:sz w:val="22"/>
          <w:szCs w:val="22"/>
        </w:rPr>
        <w:t xml:space="preserve"> tis. eur</w:t>
      </w:r>
      <w:r w:rsidR="0068327C">
        <w:rPr>
          <w:rFonts w:ascii="Times New Roman" w:hAnsi="Times New Roman"/>
          <w:b w:val="0"/>
          <w:bCs w:val="0"/>
          <w:sz w:val="22"/>
          <w:szCs w:val="22"/>
        </w:rPr>
        <w:t>.</w:t>
      </w:r>
    </w:p>
    <w:p w:rsidR="009270BF" w:rsidRPr="0072101A" w:rsidP="008C11BF">
      <w:pPr>
        <w:pStyle w:val="Pismenka"/>
        <w:tabs>
          <w:tab w:val="clear" w:pos="426"/>
        </w:tabs>
        <w:bidi w:val="0"/>
        <w:spacing w:before="200" w:after="120" w:line="336" w:lineRule="auto"/>
        <w:ind w:left="0" w:firstLine="0"/>
        <w:rPr>
          <w:rFonts w:ascii="Times New Roman" w:hAnsi="Times New Roman"/>
          <w:bCs w:val="0"/>
          <w:color w:val="FF0000"/>
          <w:sz w:val="24"/>
          <w:szCs w:val="24"/>
        </w:rPr>
      </w:pPr>
      <w:r w:rsidRPr="0072101A" w:rsidR="004D2CA9">
        <w:rPr>
          <w:rFonts w:ascii="Times New Roman" w:hAnsi="Times New Roman"/>
          <w:bCs w:val="0"/>
          <w:sz w:val="24"/>
          <w:szCs w:val="24"/>
        </w:rPr>
        <w:t>B.III. Záväzky</w:t>
      </w:r>
    </w:p>
    <w:p w:rsidR="00F81816" w:rsidP="008C11BF">
      <w:pPr>
        <w:pStyle w:val="Pismenka"/>
        <w:tabs>
          <w:tab w:val="clear" w:pos="426"/>
        </w:tabs>
        <w:bidi w:val="0"/>
        <w:spacing w:line="336" w:lineRule="auto"/>
        <w:ind w:left="0" w:firstLine="0"/>
        <w:rPr>
          <w:rFonts w:ascii="Times New Roman" w:hAnsi="Times New Roman"/>
          <w:b w:val="0"/>
          <w:bCs w:val="0"/>
          <w:sz w:val="22"/>
          <w:szCs w:val="22"/>
        </w:rPr>
      </w:pPr>
      <w:r w:rsidRPr="0072101A" w:rsidR="009270BF">
        <w:rPr>
          <w:rFonts w:ascii="Times New Roman" w:hAnsi="Times New Roman"/>
          <w:b w:val="0"/>
          <w:bCs w:val="0"/>
          <w:sz w:val="22"/>
          <w:szCs w:val="22"/>
        </w:rPr>
        <w:t xml:space="preserve">Záväzky súhrnného celku dosiahli hodnotu </w:t>
      </w:r>
      <w:r w:rsidR="00271EEB">
        <w:rPr>
          <w:rFonts w:ascii="Times New Roman" w:hAnsi="Times New Roman"/>
          <w:b w:val="0"/>
          <w:bCs w:val="0"/>
          <w:sz w:val="22"/>
          <w:szCs w:val="22"/>
        </w:rPr>
        <w:t>38 921 878 tis. eur</w:t>
      </w:r>
      <w:r w:rsidRPr="0072101A" w:rsidR="00444749">
        <w:rPr>
          <w:rFonts w:ascii="Times New Roman" w:hAnsi="Times New Roman"/>
          <w:b w:val="0"/>
          <w:bCs w:val="0"/>
          <w:sz w:val="22"/>
          <w:szCs w:val="22"/>
        </w:rPr>
        <w:t xml:space="preserve"> a </w:t>
      </w:r>
      <w:r w:rsidRPr="0072101A" w:rsidR="00017432">
        <w:rPr>
          <w:rFonts w:ascii="Times New Roman" w:hAnsi="Times New Roman"/>
          <w:b w:val="0"/>
          <w:bCs w:val="0"/>
          <w:sz w:val="22"/>
          <w:szCs w:val="22"/>
        </w:rPr>
        <w:t>medziročne sa zvýšili o</w:t>
      </w:r>
      <w:r w:rsidRPr="0072101A" w:rsidR="007F6528">
        <w:rPr>
          <w:rFonts w:ascii="Times New Roman" w:hAnsi="Times New Roman"/>
          <w:b w:val="0"/>
          <w:bCs w:val="0"/>
          <w:sz w:val="22"/>
          <w:szCs w:val="22"/>
        </w:rPr>
        <w:br/>
      </w:r>
      <w:r w:rsidR="00271EEB">
        <w:rPr>
          <w:rFonts w:ascii="Times New Roman" w:hAnsi="Times New Roman"/>
          <w:b w:val="0"/>
          <w:bCs w:val="0"/>
          <w:sz w:val="22"/>
          <w:szCs w:val="22"/>
        </w:rPr>
        <w:t>785 411</w:t>
      </w:r>
      <w:r w:rsidRPr="0072101A" w:rsidR="00444749">
        <w:rPr>
          <w:rFonts w:ascii="Times New Roman" w:hAnsi="Times New Roman"/>
          <w:b w:val="0"/>
          <w:bCs w:val="0"/>
          <w:sz w:val="22"/>
          <w:szCs w:val="22"/>
        </w:rPr>
        <w:t> </w:t>
      </w:r>
      <w:r w:rsidRPr="0072101A" w:rsidR="00973D6E">
        <w:rPr>
          <w:rFonts w:ascii="Times New Roman" w:hAnsi="Times New Roman"/>
          <w:b w:val="0"/>
          <w:bCs w:val="0"/>
          <w:sz w:val="22"/>
          <w:szCs w:val="22"/>
        </w:rPr>
        <w:t>tis.</w:t>
      </w:r>
      <w:r w:rsidRPr="0072101A" w:rsidR="00444749">
        <w:rPr>
          <w:rFonts w:ascii="Times New Roman" w:hAnsi="Times New Roman"/>
          <w:b w:val="0"/>
          <w:bCs w:val="0"/>
          <w:sz w:val="22"/>
          <w:szCs w:val="22"/>
        </w:rPr>
        <w:t> </w:t>
      </w:r>
      <w:r w:rsidRPr="0072101A" w:rsidR="009270BF">
        <w:rPr>
          <w:rFonts w:ascii="Times New Roman" w:hAnsi="Times New Roman"/>
          <w:b w:val="0"/>
          <w:bCs w:val="0"/>
          <w:sz w:val="22"/>
          <w:szCs w:val="22"/>
        </w:rPr>
        <w:t>eur</w:t>
      </w:r>
      <w:r w:rsidRPr="0072101A" w:rsidR="00E83266">
        <w:rPr>
          <w:rFonts w:ascii="Times New Roman" w:hAnsi="Times New Roman"/>
          <w:b w:val="0"/>
          <w:bCs w:val="0"/>
          <w:sz w:val="22"/>
          <w:szCs w:val="22"/>
        </w:rPr>
        <w:t>.</w:t>
      </w:r>
      <w:r w:rsidRPr="0072101A" w:rsidR="00C348D3">
        <w:rPr>
          <w:rFonts w:ascii="Times New Roman" w:hAnsi="Times New Roman"/>
          <w:b w:val="0"/>
          <w:bCs w:val="0"/>
          <w:sz w:val="22"/>
          <w:szCs w:val="22"/>
        </w:rPr>
        <w:t xml:space="preserve"> </w:t>
      </w:r>
      <w:r w:rsidR="0067545F">
        <w:rPr>
          <w:rFonts w:ascii="Times New Roman" w:hAnsi="Times New Roman"/>
          <w:b w:val="0"/>
          <w:bCs w:val="0"/>
          <w:sz w:val="22"/>
          <w:szCs w:val="22"/>
        </w:rPr>
        <w:t>Hodnota dlhodobých záväzkov medziročne poklesla o 1 276 133 tis. eur, ale hodnota krátkodobých záväzkov medziročne vzrástla o</w:t>
      </w:r>
      <w:r w:rsidR="00683393">
        <w:rPr>
          <w:rFonts w:ascii="Times New Roman" w:hAnsi="Times New Roman"/>
          <w:b w:val="0"/>
          <w:bCs w:val="0"/>
          <w:sz w:val="22"/>
          <w:szCs w:val="22"/>
        </w:rPr>
        <w:t xml:space="preserve"> </w:t>
      </w:r>
      <w:r w:rsidR="0067545F">
        <w:rPr>
          <w:rFonts w:ascii="Times New Roman" w:hAnsi="Times New Roman"/>
          <w:b w:val="0"/>
          <w:bCs w:val="0"/>
          <w:sz w:val="22"/>
          <w:szCs w:val="22"/>
        </w:rPr>
        <w:t>2 061 544 tis. eur.</w:t>
      </w:r>
      <w:r w:rsidRPr="0072101A" w:rsidR="00D44C62">
        <w:rPr>
          <w:rFonts w:ascii="Times New Roman" w:hAnsi="Times New Roman"/>
          <w:b w:val="0"/>
          <w:bCs w:val="0"/>
          <w:sz w:val="22"/>
          <w:szCs w:val="22"/>
        </w:rPr>
        <w:t xml:space="preserve"> </w:t>
      </w:r>
      <w:r w:rsidR="0067545F">
        <w:rPr>
          <w:rFonts w:ascii="Times New Roman" w:hAnsi="Times New Roman"/>
          <w:b w:val="0"/>
          <w:bCs w:val="0"/>
          <w:sz w:val="22"/>
          <w:szCs w:val="22"/>
        </w:rPr>
        <w:t>N</w:t>
      </w:r>
      <w:r w:rsidRPr="0072101A" w:rsidR="00460661">
        <w:rPr>
          <w:rFonts w:ascii="Times New Roman" w:hAnsi="Times New Roman"/>
          <w:b w:val="0"/>
          <w:bCs w:val="0"/>
          <w:sz w:val="22"/>
          <w:szCs w:val="22"/>
        </w:rPr>
        <w:t xml:space="preserve">ajväčšiu položku </w:t>
      </w:r>
      <w:r w:rsidR="0067545F">
        <w:rPr>
          <w:rFonts w:ascii="Times New Roman" w:hAnsi="Times New Roman"/>
          <w:b w:val="0"/>
          <w:bCs w:val="0"/>
          <w:sz w:val="22"/>
          <w:szCs w:val="22"/>
        </w:rPr>
        <w:t xml:space="preserve">celkových </w:t>
      </w:r>
      <w:r w:rsidRPr="0072101A" w:rsidR="00460661">
        <w:rPr>
          <w:rFonts w:ascii="Times New Roman" w:hAnsi="Times New Roman"/>
          <w:b w:val="0"/>
          <w:bCs w:val="0"/>
          <w:sz w:val="22"/>
          <w:szCs w:val="22"/>
        </w:rPr>
        <w:t>záväzkov tvoria</w:t>
      </w:r>
      <w:r w:rsidRPr="0072101A" w:rsidR="00606D67">
        <w:rPr>
          <w:rFonts w:ascii="Times New Roman" w:hAnsi="Times New Roman"/>
          <w:b w:val="0"/>
          <w:bCs w:val="0"/>
          <w:i/>
          <w:sz w:val="22"/>
          <w:szCs w:val="22"/>
        </w:rPr>
        <w:t> </w:t>
      </w:r>
      <w:r w:rsidRPr="0072101A" w:rsidR="00D7621A">
        <w:rPr>
          <w:rFonts w:ascii="Times New Roman" w:hAnsi="Times New Roman"/>
          <w:b w:val="0"/>
          <w:bCs w:val="0"/>
          <w:i/>
          <w:sz w:val="22"/>
          <w:szCs w:val="22"/>
          <w:u w:val="single"/>
        </w:rPr>
        <w:t xml:space="preserve">štátom </w:t>
      </w:r>
      <w:r w:rsidRPr="0072101A" w:rsidR="00D3064B">
        <w:rPr>
          <w:rFonts w:ascii="Times New Roman" w:hAnsi="Times New Roman"/>
          <w:b w:val="0"/>
          <w:bCs w:val="0"/>
          <w:i/>
          <w:sz w:val="22"/>
          <w:szCs w:val="22"/>
          <w:u w:val="single"/>
        </w:rPr>
        <w:t>emitovan</w:t>
      </w:r>
      <w:r w:rsidRPr="0072101A" w:rsidR="00D44C62">
        <w:rPr>
          <w:rFonts w:ascii="Times New Roman" w:hAnsi="Times New Roman"/>
          <w:b w:val="0"/>
          <w:bCs w:val="0"/>
          <w:i/>
          <w:sz w:val="22"/>
          <w:szCs w:val="22"/>
          <w:u w:val="single"/>
        </w:rPr>
        <w:t>é</w:t>
      </w:r>
      <w:r w:rsidRPr="0072101A" w:rsidR="00D3064B">
        <w:rPr>
          <w:rFonts w:ascii="Times New Roman" w:hAnsi="Times New Roman"/>
          <w:b w:val="0"/>
          <w:bCs w:val="0"/>
          <w:i/>
          <w:sz w:val="22"/>
          <w:szCs w:val="22"/>
          <w:u w:val="single"/>
        </w:rPr>
        <w:t xml:space="preserve"> </w:t>
      </w:r>
      <w:r w:rsidRPr="0072101A" w:rsidR="00D44C62">
        <w:rPr>
          <w:rFonts w:ascii="Times New Roman" w:hAnsi="Times New Roman"/>
          <w:b w:val="0"/>
          <w:bCs w:val="0"/>
          <w:i/>
          <w:sz w:val="22"/>
          <w:szCs w:val="22"/>
          <w:u w:val="single"/>
        </w:rPr>
        <w:t xml:space="preserve">nesplatené </w:t>
      </w:r>
      <w:r w:rsidRPr="0072101A" w:rsidR="00D7621A">
        <w:rPr>
          <w:rFonts w:ascii="Times New Roman" w:hAnsi="Times New Roman"/>
          <w:b w:val="0"/>
          <w:bCs w:val="0"/>
          <w:i/>
          <w:sz w:val="22"/>
          <w:szCs w:val="22"/>
          <w:u w:val="single"/>
        </w:rPr>
        <w:t xml:space="preserve">dlhodobé </w:t>
      </w:r>
      <w:r w:rsidRPr="0072101A" w:rsidR="00D3064B">
        <w:rPr>
          <w:rFonts w:ascii="Times New Roman" w:hAnsi="Times New Roman"/>
          <w:b w:val="0"/>
          <w:bCs w:val="0"/>
          <w:i/>
          <w:sz w:val="22"/>
          <w:szCs w:val="22"/>
          <w:u w:val="single"/>
        </w:rPr>
        <w:t>dlhopis</w:t>
      </w:r>
      <w:r w:rsidRPr="0072101A" w:rsidR="00D44C62">
        <w:rPr>
          <w:rFonts w:ascii="Times New Roman" w:hAnsi="Times New Roman"/>
          <w:b w:val="0"/>
          <w:bCs w:val="0"/>
          <w:i/>
          <w:sz w:val="22"/>
          <w:szCs w:val="22"/>
          <w:u w:val="single"/>
        </w:rPr>
        <w:t>y</w:t>
      </w:r>
      <w:r w:rsidRPr="0072101A" w:rsidR="00D3064B">
        <w:rPr>
          <w:rFonts w:ascii="Times New Roman" w:hAnsi="Times New Roman"/>
          <w:b w:val="0"/>
          <w:bCs w:val="0"/>
          <w:sz w:val="22"/>
          <w:szCs w:val="22"/>
        </w:rPr>
        <w:t xml:space="preserve">, ktoré dosiahli konsolidovanú </w:t>
      </w:r>
      <w:r w:rsidRPr="0072101A" w:rsidR="009270BF">
        <w:rPr>
          <w:rFonts w:ascii="Times New Roman" w:hAnsi="Times New Roman"/>
          <w:b w:val="0"/>
          <w:bCs w:val="0"/>
          <w:sz w:val="22"/>
          <w:szCs w:val="22"/>
        </w:rPr>
        <w:t xml:space="preserve">hodnotu </w:t>
      </w:r>
      <w:r w:rsidRPr="0072101A" w:rsidR="00395D92">
        <w:rPr>
          <w:rFonts w:ascii="Times New Roman" w:hAnsi="Times New Roman"/>
          <w:b w:val="0"/>
          <w:bCs w:val="0"/>
          <w:sz w:val="22"/>
          <w:szCs w:val="22"/>
        </w:rPr>
        <w:t>3</w:t>
      </w:r>
      <w:r w:rsidR="00271EEB">
        <w:rPr>
          <w:rFonts w:ascii="Times New Roman" w:hAnsi="Times New Roman"/>
          <w:b w:val="0"/>
          <w:bCs w:val="0"/>
          <w:sz w:val="22"/>
          <w:szCs w:val="22"/>
        </w:rPr>
        <w:t>1 380 797 tis.</w:t>
      </w:r>
      <w:r w:rsidRPr="0072101A" w:rsidR="00160859">
        <w:rPr>
          <w:rFonts w:ascii="Times New Roman" w:hAnsi="Times New Roman"/>
          <w:b w:val="0"/>
          <w:bCs w:val="0"/>
          <w:sz w:val="22"/>
          <w:szCs w:val="22"/>
        </w:rPr>
        <w:t xml:space="preserve"> eur</w:t>
      </w:r>
      <w:r w:rsidR="00271EEB">
        <w:rPr>
          <w:rFonts w:ascii="Times New Roman" w:hAnsi="Times New Roman"/>
          <w:b w:val="0"/>
          <w:bCs w:val="0"/>
          <w:sz w:val="22"/>
          <w:szCs w:val="22"/>
        </w:rPr>
        <w:t>.</w:t>
      </w:r>
      <w:r w:rsidRPr="0072101A" w:rsidR="00D44C62">
        <w:rPr>
          <w:rFonts w:ascii="Times New Roman" w:hAnsi="Times New Roman"/>
          <w:b w:val="0"/>
          <w:bCs w:val="0"/>
          <w:sz w:val="22"/>
          <w:szCs w:val="22"/>
        </w:rPr>
        <w:t xml:space="preserve"> </w:t>
      </w:r>
      <w:r w:rsidRPr="0072101A" w:rsidR="00315D5F">
        <w:rPr>
          <w:rFonts w:ascii="Times New Roman" w:hAnsi="Times New Roman"/>
          <w:b w:val="0"/>
          <w:bCs w:val="0"/>
          <w:sz w:val="22"/>
          <w:szCs w:val="22"/>
        </w:rPr>
        <w:t xml:space="preserve">Krátkodobá časť štátnych dlhopisov </w:t>
      </w:r>
      <w:r w:rsidR="00271EEB">
        <w:rPr>
          <w:rFonts w:ascii="Times New Roman" w:hAnsi="Times New Roman"/>
          <w:b w:val="0"/>
          <w:bCs w:val="0"/>
          <w:sz w:val="22"/>
          <w:szCs w:val="22"/>
        </w:rPr>
        <w:t xml:space="preserve">dosiahla hodnotu 4 803 277 tis. eur a </w:t>
      </w:r>
      <w:r w:rsidRPr="0072101A" w:rsidR="00315D5F">
        <w:rPr>
          <w:rFonts w:ascii="Times New Roman" w:hAnsi="Times New Roman"/>
          <w:b w:val="0"/>
          <w:bCs w:val="0"/>
          <w:sz w:val="22"/>
          <w:szCs w:val="22"/>
        </w:rPr>
        <w:t>vykazuj</w:t>
      </w:r>
      <w:r w:rsidR="00271EEB">
        <w:rPr>
          <w:rFonts w:ascii="Times New Roman" w:hAnsi="Times New Roman"/>
          <w:b w:val="0"/>
          <w:bCs w:val="0"/>
          <w:sz w:val="22"/>
          <w:szCs w:val="22"/>
        </w:rPr>
        <w:t>e</w:t>
      </w:r>
      <w:r w:rsidRPr="0072101A" w:rsidR="00315D5F">
        <w:rPr>
          <w:rFonts w:ascii="Times New Roman" w:hAnsi="Times New Roman"/>
          <w:b w:val="0"/>
          <w:bCs w:val="0"/>
          <w:sz w:val="22"/>
          <w:szCs w:val="22"/>
        </w:rPr>
        <w:t xml:space="preserve"> </w:t>
      </w:r>
      <w:r w:rsidR="00271EEB">
        <w:rPr>
          <w:rFonts w:ascii="Times New Roman" w:hAnsi="Times New Roman"/>
          <w:b w:val="0"/>
          <w:bCs w:val="0"/>
          <w:sz w:val="22"/>
          <w:szCs w:val="22"/>
        </w:rPr>
        <w:t xml:space="preserve">sa </w:t>
      </w:r>
      <w:r w:rsidRPr="0072101A" w:rsidR="00315D5F">
        <w:rPr>
          <w:rFonts w:ascii="Times New Roman" w:hAnsi="Times New Roman"/>
          <w:b w:val="0"/>
          <w:bCs w:val="0"/>
          <w:sz w:val="22"/>
          <w:szCs w:val="22"/>
        </w:rPr>
        <w:t>v časti B.IV.</w:t>
      </w:r>
      <w:r w:rsidR="0067545F">
        <w:rPr>
          <w:rFonts w:ascii="Times New Roman" w:hAnsi="Times New Roman"/>
          <w:b w:val="0"/>
          <w:bCs w:val="0"/>
          <w:sz w:val="22"/>
          <w:szCs w:val="22"/>
        </w:rPr>
        <w:t xml:space="preserve"> </w:t>
      </w:r>
    </w:p>
    <w:p w:rsidR="00F81816">
      <w:pPr>
        <w:bidi w:val="0"/>
        <w:spacing w:after="0" w:line="240" w:lineRule="auto"/>
        <w:rPr>
          <w:rFonts w:ascii="Times New Roman" w:hAnsi="Times New Roman"/>
          <w:szCs w:val="22"/>
          <w:lang w:eastAsia="sk-SK"/>
        </w:rPr>
      </w:pPr>
      <w:r>
        <w:rPr>
          <w:b/>
          <w:bCs/>
          <w:szCs w:val="22"/>
        </w:rPr>
        <w:br w:type="page"/>
      </w:r>
    </w:p>
    <w:tbl>
      <w:tblPr>
        <w:tblStyle w:val="TableNormal"/>
        <w:tblW w:w="4682" w:type="pct"/>
        <w:jc w:val="center"/>
        <w:tblInd w:w="70" w:type="dxa"/>
        <w:tblLayout w:type="fixed"/>
        <w:tblCellMar>
          <w:left w:w="70" w:type="dxa"/>
          <w:right w:w="70" w:type="dxa"/>
        </w:tblCellMar>
        <w:tblLook w:val="00A0"/>
      </w:tblPr>
      <w:tblGrid>
        <w:gridCol w:w="5811"/>
        <w:gridCol w:w="1420"/>
        <w:gridCol w:w="1394"/>
      </w:tblGrid>
      <w:tr>
        <w:tblPrEx>
          <w:tblW w:w="4682" w:type="pct"/>
          <w:jc w:val="center"/>
          <w:tblInd w:w="70" w:type="dxa"/>
          <w:tblLayout w:type="fixed"/>
          <w:tblCellMar>
            <w:left w:w="70" w:type="dxa"/>
            <w:right w:w="70" w:type="dxa"/>
          </w:tblCellMar>
          <w:tblLook w:val="00A0"/>
        </w:tblPrEx>
        <w:trPr>
          <w:trHeight w:val="330"/>
          <w:jc w:val="center"/>
        </w:trPr>
        <w:tc>
          <w:tcPr>
            <w:tcW w:w="4192" w:type="pct"/>
            <w:gridSpan w:val="2"/>
            <w:tcBorders>
              <w:top w:val="single" w:sz="4" w:space="0" w:color="auto"/>
              <w:left w:val="nil"/>
              <w:bottom w:val="single" w:sz="4" w:space="0" w:color="auto"/>
              <w:right w:val="nil"/>
            </w:tcBorders>
            <w:shd w:val="clear" w:color="000000" w:fill="000000"/>
            <w:noWrap/>
            <w:textDirection w:val="lrTb"/>
            <w:vAlign w:val="center"/>
          </w:tcPr>
          <w:p w:rsidR="00D7621A" w:rsidRPr="0072101A" w:rsidP="00BC4C9E">
            <w:pPr>
              <w:bidi w:val="0"/>
              <w:spacing w:after="0" w:line="240" w:lineRule="auto"/>
              <w:rPr>
                <w:rFonts w:ascii="Times New Roman" w:hAnsi="Times New Roman"/>
                <w:b/>
                <w:bCs/>
                <w:color w:val="FFFFFF"/>
                <w:sz w:val="20"/>
                <w:szCs w:val="20"/>
                <w:lang w:eastAsia="sk-SK"/>
              </w:rPr>
            </w:pPr>
            <w:r w:rsidRPr="0072101A" w:rsidR="00B14609">
              <w:rPr>
                <w:b/>
                <w:bCs/>
                <w:szCs w:val="22"/>
              </w:rPr>
              <w:br w:type="page"/>
            </w:r>
            <w:r w:rsidRPr="0072101A">
              <w:rPr>
                <w:szCs w:val="22"/>
              </w:rPr>
              <w:t xml:space="preserve"> </w:t>
            </w:r>
            <w:r w:rsidRPr="0072101A">
              <w:rPr>
                <w:rFonts w:ascii="Times New Roman" w:hAnsi="Times New Roman"/>
                <w:b/>
                <w:bCs/>
                <w:color w:val="FFFFFF"/>
                <w:sz w:val="20"/>
                <w:szCs w:val="20"/>
                <w:lang w:eastAsia="sk-SK"/>
              </w:rPr>
              <w:t>Záväzky súhrnného celku (v tis. eur)</w:t>
            </w:r>
          </w:p>
        </w:tc>
        <w:tc>
          <w:tcPr>
            <w:tcW w:w="808" w:type="pct"/>
            <w:tcBorders>
              <w:top w:val="single" w:sz="4" w:space="0" w:color="auto"/>
              <w:left w:val="nil"/>
              <w:bottom w:val="single" w:sz="4" w:space="0" w:color="auto"/>
              <w:right w:val="nil"/>
            </w:tcBorders>
            <w:shd w:val="clear" w:color="000000" w:fill="000000"/>
            <w:textDirection w:val="lrTb"/>
            <w:vAlign w:val="center"/>
          </w:tcPr>
          <w:p w:rsidR="00D7621A" w:rsidRPr="0072101A" w:rsidP="00BC4C9E">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r>
      <w:tr>
        <w:tblPrEx>
          <w:tblW w:w="4682" w:type="pct"/>
          <w:jc w:val="center"/>
          <w:tblInd w:w="70" w:type="dxa"/>
          <w:tblLayout w:type="fixed"/>
          <w:tblCellMar>
            <w:left w:w="70" w:type="dxa"/>
            <w:right w:w="70" w:type="dxa"/>
          </w:tblCellMar>
          <w:tblLook w:val="00A0"/>
        </w:tblPrEx>
        <w:trPr>
          <w:trHeight w:val="330"/>
          <w:jc w:val="center"/>
        </w:trPr>
        <w:tc>
          <w:tcPr>
            <w:tcW w:w="3369" w:type="pct"/>
            <w:tcBorders>
              <w:top w:val="nil"/>
              <w:left w:val="nil"/>
              <w:bottom w:val="single" w:sz="4" w:space="0" w:color="auto"/>
              <w:right w:val="nil"/>
            </w:tcBorders>
            <w:shd w:val="clear" w:color="000000" w:fill="BFBFBF"/>
            <w:noWrap/>
            <w:textDirection w:val="lrTb"/>
            <w:vAlign w:val="bottom"/>
          </w:tcPr>
          <w:p w:rsidR="00D7621A" w:rsidRPr="0072101A" w:rsidP="00BC4C9E">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Dlhodobé záväzky</w:t>
            </w:r>
          </w:p>
        </w:tc>
        <w:tc>
          <w:tcPr>
            <w:tcW w:w="823" w:type="pct"/>
            <w:tcBorders>
              <w:top w:val="nil"/>
              <w:left w:val="nil"/>
              <w:bottom w:val="single" w:sz="4" w:space="0" w:color="auto"/>
              <w:right w:val="nil"/>
            </w:tcBorders>
            <w:shd w:val="clear" w:color="000000" w:fill="BFBFBF"/>
            <w:noWrap/>
            <w:textDirection w:val="lrTb"/>
            <w:vAlign w:val="bottom"/>
          </w:tcPr>
          <w:p w:rsidR="00D7621A" w:rsidRPr="0072101A" w:rsidP="00271EEB">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201</w:t>
            </w:r>
            <w:r w:rsidR="00271EEB">
              <w:rPr>
                <w:rFonts w:ascii="Times New Roman" w:hAnsi="Times New Roman"/>
                <w:b/>
                <w:bCs/>
                <w:sz w:val="20"/>
                <w:szCs w:val="20"/>
                <w:lang w:eastAsia="sk-SK"/>
              </w:rPr>
              <w:t>5</w:t>
            </w:r>
          </w:p>
        </w:tc>
        <w:tc>
          <w:tcPr>
            <w:tcW w:w="808" w:type="pct"/>
            <w:tcBorders>
              <w:top w:val="nil"/>
              <w:left w:val="nil"/>
              <w:bottom w:val="single" w:sz="4" w:space="0" w:color="auto"/>
              <w:right w:val="nil"/>
            </w:tcBorders>
            <w:shd w:val="clear" w:color="000000" w:fill="BFBFBF"/>
            <w:noWrap/>
            <w:textDirection w:val="lrTb"/>
            <w:vAlign w:val="bottom"/>
          </w:tcPr>
          <w:p w:rsidR="00D7621A" w:rsidRPr="0072101A" w:rsidP="00271EEB">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201</w:t>
            </w:r>
            <w:r w:rsidR="00271EEB">
              <w:rPr>
                <w:rFonts w:ascii="Times New Roman" w:hAnsi="Times New Roman"/>
                <w:b/>
                <w:bCs/>
                <w:sz w:val="20"/>
                <w:szCs w:val="20"/>
                <w:lang w:eastAsia="sk-SK"/>
              </w:rPr>
              <w:t>4</w:t>
            </w:r>
          </w:p>
        </w:tc>
      </w:tr>
      <w:tr>
        <w:tblPrEx>
          <w:tblW w:w="4682" w:type="pct"/>
          <w:jc w:val="center"/>
          <w:tblInd w:w="70" w:type="dxa"/>
          <w:tblLayout w:type="fixed"/>
          <w:tblCellMar>
            <w:left w:w="70" w:type="dxa"/>
            <w:right w:w="70" w:type="dxa"/>
          </w:tblCellMar>
          <w:tblLook w:val="00A0"/>
        </w:tblPrEx>
        <w:trPr>
          <w:trHeight w:hRule="exact" w:val="330"/>
          <w:jc w:val="center"/>
        </w:trPr>
        <w:tc>
          <w:tcPr>
            <w:tcW w:w="3369" w:type="pct"/>
            <w:tcBorders>
              <w:top w:val="nil"/>
              <w:left w:val="nil"/>
              <w:bottom w:val="none" w:sz="0" w:space="0" w:color="auto"/>
              <w:right w:val="nil"/>
            </w:tcBorders>
            <w:textDirection w:val="lrTb"/>
            <w:vAlign w:val="center"/>
          </w:tcPr>
          <w:p w:rsidR="00271EEB" w:rsidRPr="0072101A" w:rsidP="00254B31">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Vydané dlhopisy dlhodobé  </w:t>
            </w:r>
          </w:p>
        </w:tc>
        <w:tc>
          <w:tcPr>
            <w:tcW w:w="823" w:type="pct"/>
            <w:tcBorders>
              <w:top w:val="nil"/>
              <w:left w:val="nil"/>
              <w:bottom w:val="none" w:sz="0" w:space="0" w:color="auto"/>
              <w:right w:val="nil"/>
            </w:tcBorders>
            <w:textDirection w:val="lrTb"/>
            <w:vAlign w:val="center"/>
          </w:tcPr>
          <w:p w:rsidR="00271EEB" w:rsidRPr="0072101A" w:rsidP="00254B31">
            <w:pPr>
              <w:bidi w:val="0"/>
              <w:spacing w:after="0" w:line="240" w:lineRule="auto"/>
              <w:jc w:val="right"/>
              <w:rPr>
                <w:rFonts w:ascii="Times New Roman" w:hAnsi="Times New Roman"/>
                <w:color w:val="000000"/>
                <w:sz w:val="20"/>
                <w:szCs w:val="20"/>
                <w:lang w:eastAsia="sk-SK"/>
              </w:rPr>
            </w:pPr>
            <w:r w:rsidR="003B5C3D">
              <w:rPr>
                <w:rFonts w:ascii="Times New Roman" w:hAnsi="Times New Roman"/>
                <w:color w:val="000000"/>
                <w:sz w:val="20"/>
                <w:szCs w:val="20"/>
                <w:lang w:eastAsia="sk-SK"/>
              </w:rPr>
              <w:t>31 380 797</w:t>
            </w:r>
          </w:p>
        </w:tc>
        <w:tc>
          <w:tcPr>
            <w:tcW w:w="808" w:type="pct"/>
            <w:tcBorders>
              <w:top w:val="nil"/>
              <w:left w:val="nil"/>
              <w:bottom w:val="none" w:sz="0" w:space="0" w:color="auto"/>
              <w:right w:val="nil"/>
            </w:tcBorders>
            <w:textDirection w:val="lrTb"/>
            <w:vAlign w:val="center"/>
          </w:tcPr>
          <w:p w:rsidR="00271EEB" w:rsidRPr="0072101A" w:rsidP="003B5C3D">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32 624 422</w:t>
            </w:r>
          </w:p>
        </w:tc>
      </w:tr>
      <w:tr>
        <w:tblPrEx>
          <w:tblW w:w="4682" w:type="pct"/>
          <w:jc w:val="center"/>
          <w:tblInd w:w="70" w:type="dxa"/>
          <w:tblLayout w:type="fixed"/>
          <w:tblCellMar>
            <w:left w:w="70" w:type="dxa"/>
            <w:right w:w="70" w:type="dxa"/>
          </w:tblCellMar>
          <w:tblLook w:val="00A0"/>
        </w:tblPrEx>
        <w:trPr>
          <w:trHeight w:hRule="exact" w:val="330"/>
          <w:jc w:val="center"/>
        </w:trPr>
        <w:tc>
          <w:tcPr>
            <w:tcW w:w="3369" w:type="pct"/>
            <w:tcBorders>
              <w:top w:val="nil"/>
              <w:left w:val="nil"/>
              <w:bottom w:val="nil"/>
              <w:right w:val="nil"/>
            </w:tcBorders>
            <w:textDirection w:val="lrTb"/>
            <w:vAlign w:val="center"/>
          </w:tcPr>
          <w:p w:rsidR="00271EEB" w:rsidRPr="0072101A" w:rsidP="00BC4C9E">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Záväzky z termínových operácií</w:t>
            </w:r>
          </w:p>
        </w:tc>
        <w:tc>
          <w:tcPr>
            <w:tcW w:w="823" w:type="pct"/>
            <w:tcBorders>
              <w:top w:val="nil"/>
              <w:left w:val="nil"/>
              <w:bottom w:val="nil"/>
              <w:right w:val="nil"/>
            </w:tcBorders>
            <w:textDirection w:val="lrTb"/>
            <w:vAlign w:val="center"/>
          </w:tcPr>
          <w:p w:rsidR="00271EEB" w:rsidRPr="0072101A" w:rsidP="00225638">
            <w:pPr>
              <w:bidi w:val="0"/>
              <w:spacing w:after="0" w:line="240" w:lineRule="auto"/>
              <w:jc w:val="right"/>
              <w:rPr>
                <w:rFonts w:ascii="Times New Roman" w:hAnsi="Times New Roman"/>
                <w:color w:val="000000"/>
                <w:sz w:val="20"/>
                <w:szCs w:val="20"/>
                <w:lang w:eastAsia="sk-SK"/>
              </w:rPr>
            </w:pPr>
            <w:r w:rsidR="00AE5303">
              <w:rPr>
                <w:rFonts w:ascii="Times New Roman" w:hAnsi="Times New Roman"/>
                <w:color w:val="000000"/>
                <w:sz w:val="20"/>
                <w:szCs w:val="20"/>
                <w:lang w:eastAsia="sk-SK"/>
              </w:rPr>
              <w:t>1</w:t>
            </w:r>
          </w:p>
        </w:tc>
        <w:tc>
          <w:tcPr>
            <w:tcW w:w="808" w:type="pct"/>
            <w:tcBorders>
              <w:top w:val="nil"/>
              <w:left w:val="nil"/>
              <w:bottom w:val="nil"/>
              <w:right w:val="nil"/>
            </w:tcBorders>
            <w:textDirection w:val="lrTb"/>
            <w:vAlign w:val="center"/>
          </w:tcPr>
          <w:p w:rsidR="00271EEB" w:rsidRPr="0072101A" w:rsidP="003B5C3D">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23 949</w:t>
            </w:r>
          </w:p>
        </w:tc>
      </w:tr>
      <w:tr>
        <w:tblPrEx>
          <w:tblW w:w="4682" w:type="pct"/>
          <w:jc w:val="center"/>
          <w:tblInd w:w="70" w:type="dxa"/>
          <w:tblLayout w:type="fixed"/>
          <w:tblCellMar>
            <w:left w:w="70" w:type="dxa"/>
            <w:right w:w="70" w:type="dxa"/>
          </w:tblCellMar>
          <w:tblLook w:val="00A0"/>
        </w:tblPrEx>
        <w:trPr>
          <w:trHeight w:hRule="exact" w:val="292"/>
          <w:jc w:val="center"/>
        </w:trPr>
        <w:tc>
          <w:tcPr>
            <w:tcW w:w="3369" w:type="pct"/>
            <w:tcBorders>
              <w:top w:val="nil"/>
              <w:left w:val="nil"/>
              <w:bottom w:val="nil"/>
              <w:right w:val="nil"/>
            </w:tcBorders>
            <w:textDirection w:val="lrTb"/>
            <w:vAlign w:val="center"/>
          </w:tcPr>
          <w:p w:rsidR="00271EEB" w:rsidRPr="0072101A" w:rsidP="00BC4C9E">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Záväzky z nájmu</w:t>
            </w:r>
          </w:p>
        </w:tc>
        <w:tc>
          <w:tcPr>
            <w:tcW w:w="823" w:type="pct"/>
            <w:tcBorders>
              <w:top w:val="nil"/>
              <w:left w:val="nil"/>
              <w:bottom w:val="nil"/>
              <w:right w:val="nil"/>
            </w:tcBorders>
            <w:textDirection w:val="lrTb"/>
            <w:vAlign w:val="center"/>
          </w:tcPr>
          <w:p w:rsidR="00271EEB" w:rsidRPr="0072101A" w:rsidP="00BC4C9E">
            <w:pPr>
              <w:bidi w:val="0"/>
              <w:spacing w:after="0" w:line="240" w:lineRule="auto"/>
              <w:jc w:val="right"/>
              <w:rPr>
                <w:rFonts w:ascii="Times New Roman" w:hAnsi="Times New Roman"/>
                <w:color w:val="000000"/>
                <w:sz w:val="20"/>
                <w:szCs w:val="20"/>
                <w:lang w:eastAsia="sk-SK"/>
              </w:rPr>
            </w:pPr>
            <w:r w:rsidR="00AE5303">
              <w:rPr>
                <w:rFonts w:ascii="Times New Roman" w:hAnsi="Times New Roman"/>
                <w:color w:val="000000"/>
                <w:sz w:val="20"/>
                <w:szCs w:val="20"/>
                <w:lang w:eastAsia="sk-SK"/>
              </w:rPr>
              <w:t>27 911</w:t>
            </w:r>
          </w:p>
        </w:tc>
        <w:tc>
          <w:tcPr>
            <w:tcW w:w="808" w:type="pct"/>
            <w:tcBorders>
              <w:top w:val="nil"/>
              <w:left w:val="nil"/>
              <w:bottom w:val="nil"/>
              <w:right w:val="nil"/>
            </w:tcBorders>
            <w:textDirection w:val="lrTb"/>
            <w:vAlign w:val="center"/>
          </w:tcPr>
          <w:p w:rsidR="00271EEB" w:rsidRPr="0072101A" w:rsidP="003B5C3D">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25 473</w:t>
            </w:r>
          </w:p>
        </w:tc>
      </w:tr>
      <w:tr>
        <w:tblPrEx>
          <w:tblW w:w="4682" w:type="pct"/>
          <w:jc w:val="center"/>
          <w:tblInd w:w="70" w:type="dxa"/>
          <w:tblLayout w:type="fixed"/>
          <w:tblCellMar>
            <w:left w:w="70" w:type="dxa"/>
            <w:right w:w="70" w:type="dxa"/>
          </w:tblCellMar>
          <w:tblLook w:val="00A0"/>
        </w:tblPrEx>
        <w:trPr>
          <w:trHeight w:hRule="exact" w:val="330"/>
          <w:jc w:val="center"/>
        </w:trPr>
        <w:tc>
          <w:tcPr>
            <w:tcW w:w="3369" w:type="pct"/>
            <w:tcBorders>
              <w:top w:val="nil"/>
              <w:left w:val="nil"/>
              <w:bottom w:val="none" w:sz="0" w:space="0" w:color="auto"/>
              <w:right w:val="nil"/>
            </w:tcBorders>
            <w:textDirection w:val="lrTb"/>
            <w:vAlign w:val="center"/>
          </w:tcPr>
          <w:p w:rsidR="00271EEB" w:rsidRPr="0072101A" w:rsidP="00BC4C9E">
            <w:pPr>
              <w:bidi w:val="0"/>
              <w:spacing w:after="0" w:line="240" w:lineRule="auto"/>
              <w:rPr>
                <w:rFonts w:ascii="Times New Roman" w:hAnsi="Times New Roman"/>
                <w:color w:val="000000"/>
                <w:sz w:val="20"/>
                <w:szCs w:val="20"/>
                <w:lang w:eastAsia="sk-SK"/>
              </w:rPr>
            </w:pPr>
            <w:r w:rsidRPr="0072101A">
              <w:rPr>
                <w:rFonts w:ascii="Times New Roman" w:hAnsi="Times New Roman"/>
                <w:color w:val="000000"/>
                <w:sz w:val="20"/>
                <w:szCs w:val="20"/>
                <w:lang w:eastAsia="sk-SK"/>
              </w:rPr>
              <w:t>Ostatné záväzky</w:t>
            </w:r>
          </w:p>
        </w:tc>
        <w:tc>
          <w:tcPr>
            <w:tcW w:w="823" w:type="pct"/>
            <w:tcBorders>
              <w:top w:val="nil"/>
              <w:left w:val="nil"/>
              <w:bottom w:val="none" w:sz="0" w:space="0" w:color="auto"/>
              <w:right w:val="nil"/>
            </w:tcBorders>
            <w:textDirection w:val="lrTb"/>
            <w:vAlign w:val="center"/>
          </w:tcPr>
          <w:p w:rsidR="00271EEB" w:rsidRPr="0072101A" w:rsidP="00342A2E">
            <w:pPr>
              <w:bidi w:val="0"/>
              <w:spacing w:after="0" w:line="240" w:lineRule="auto"/>
              <w:jc w:val="right"/>
              <w:rPr>
                <w:rFonts w:ascii="Times New Roman" w:hAnsi="Times New Roman"/>
                <w:color w:val="000000"/>
                <w:sz w:val="20"/>
                <w:szCs w:val="20"/>
                <w:lang w:eastAsia="sk-SK"/>
              </w:rPr>
            </w:pPr>
            <w:r w:rsidR="00AE5303">
              <w:rPr>
                <w:rFonts w:ascii="Times New Roman" w:hAnsi="Times New Roman"/>
                <w:color w:val="000000"/>
                <w:sz w:val="20"/>
                <w:szCs w:val="20"/>
                <w:lang w:eastAsia="sk-SK"/>
              </w:rPr>
              <w:t>746 244</w:t>
            </w:r>
          </w:p>
        </w:tc>
        <w:tc>
          <w:tcPr>
            <w:tcW w:w="808" w:type="pct"/>
            <w:tcBorders>
              <w:top w:val="nil"/>
              <w:left w:val="nil"/>
              <w:bottom w:val="none" w:sz="0" w:space="0" w:color="auto"/>
              <w:right w:val="nil"/>
            </w:tcBorders>
            <w:textDirection w:val="lrTb"/>
            <w:vAlign w:val="center"/>
          </w:tcPr>
          <w:p w:rsidR="00271EEB" w:rsidRPr="0072101A" w:rsidP="003B5C3D">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757 243</w:t>
            </w:r>
          </w:p>
        </w:tc>
      </w:tr>
      <w:tr>
        <w:tblPrEx>
          <w:tblW w:w="4682" w:type="pct"/>
          <w:jc w:val="center"/>
          <w:tblInd w:w="70" w:type="dxa"/>
          <w:tblLayout w:type="fixed"/>
          <w:tblCellMar>
            <w:left w:w="70" w:type="dxa"/>
            <w:right w:w="70" w:type="dxa"/>
          </w:tblCellMar>
          <w:tblLook w:val="00A0"/>
        </w:tblPrEx>
        <w:trPr>
          <w:trHeight w:hRule="exact" w:val="330"/>
          <w:jc w:val="center"/>
        </w:trPr>
        <w:tc>
          <w:tcPr>
            <w:tcW w:w="3369" w:type="pct"/>
            <w:tcBorders>
              <w:top w:val="nil"/>
              <w:left w:val="nil"/>
              <w:bottom w:val="single" w:sz="4" w:space="0" w:color="000000"/>
              <w:right w:val="nil"/>
            </w:tcBorders>
            <w:textDirection w:val="lrTb"/>
            <w:vAlign w:val="center"/>
          </w:tcPr>
          <w:p w:rsidR="00271EEB" w:rsidRPr="0072101A" w:rsidP="00BC4C9E">
            <w:pPr>
              <w:bidi w:val="0"/>
              <w:spacing w:after="0" w:line="240" w:lineRule="auto"/>
              <w:rPr>
                <w:rFonts w:ascii="Times New Roman" w:hAnsi="Times New Roman"/>
                <w:b/>
                <w:color w:val="000000"/>
                <w:sz w:val="20"/>
                <w:szCs w:val="20"/>
                <w:lang w:eastAsia="sk-SK"/>
              </w:rPr>
            </w:pPr>
            <w:r w:rsidRPr="0072101A">
              <w:rPr>
                <w:rFonts w:ascii="Times New Roman" w:hAnsi="Times New Roman"/>
                <w:b/>
                <w:color w:val="000000"/>
                <w:sz w:val="20"/>
                <w:szCs w:val="20"/>
                <w:lang w:eastAsia="sk-SK"/>
              </w:rPr>
              <w:t>Spolu</w:t>
            </w:r>
          </w:p>
        </w:tc>
        <w:tc>
          <w:tcPr>
            <w:tcW w:w="823" w:type="pct"/>
            <w:tcBorders>
              <w:top w:val="nil"/>
              <w:left w:val="nil"/>
              <w:bottom w:val="single" w:sz="4" w:space="0" w:color="000000"/>
              <w:right w:val="nil"/>
            </w:tcBorders>
            <w:textDirection w:val="lrTb"/>
            <w:vAlign w:val="center"/>
          </w:tcPr>
          <w:p w:rsidR="00271EEB" w:rsidRPr="0072101A" w:rsidP="00BC4C9E">
            <w:pPr>
              <w:bidi w:val="0"/>
              <w:spacing w:after="0" w:line="240" w:lineRule="auto"/>
              <w:jc w:val="right"/>
              <w:rPr>
                <w:rFonts w:ascii="Times New Roman" w:hAnsi="Times New Roman"/>
                <w:b/>
                <w:color w:val="000000"/>
                <w:sz w:val="20"/>
                <w:szCs w:val="20"/>
                <w:lang w:eastAsia="sk-SK"/>
              </w:rPr>
            </w:pPr>
            <w:r w:rsidR="00AE5303">
              <w:rPr>
                <w:rFonts w:ascii="Times New Roman" w:hAnsi="Times New Roman"/>
                <w:b/>
                <w:color w:val="000000"/>
                <w:sz w:val="20"/>
                <w:szCs w:val="20"/>
                <w:lang w:eastAsia="sk-SK"/>
              </w:rPr>
              <w:t>32 154 953</w:t>
            </w:r>
          </w:p>
        </w:tc>
        <w:tc>
          <w:tcPr>
            <w:tcW w:w="808" w:type="pct"/>
            <w:tcBorders>
              <w:top w:val="nil"/>
              <w:left w:val="nil"/>
              <w:bottom w:val="single" w:sz="4" w:space="0" w:color="000000"/>
              <w:right w:val="nil"/>
            </w:tcBorders>
            <w:textDirection w:val="lrTb"/>
            <w:vAlign w:val="center"/>
          </w:tcPr>
          <w:p w:rsidR="00271EEB" w:rsidRPr="0072101A" w:rsidP="003B5C3D">
            <w:pPr>
              <w:bidi w:val="0"/>
              <w:spacing w:after="0" w:line="240" w:lineRule="auto"/>
              <w:jc w:val="right"/>
              <w:rPr>
                <w:rFonts w:ascii="Times New Roman" w:hAnsi="Times New Roman"/>
                <w:b/>
                <w:color w:val="000000"/>
                <w:sz w:val="20"/>
                <w:szCs w:val="20"/>
                <w:lang w:eastAsia="sk-SK"/>
              </w:rPr>
            </w:pPr>
            <w:r w:rsidRPr="0072101A">
              <w:rPr>
                <w:rFonts w:ascii="Times New Roman" w:hAnsi="Times New Roman"/>
                <w:b/>
                <w:color w:val="000000"/>
                <w:sz w:val="20"/>
                <w:szCs w:val="20"/>
                <w:lang w:eastAsia="sk-SK"/>
              </w:rPr>
              <w:t>33 431 087</w:t>
            </w:r>
          </w:p>
        </w:tc>
      </w:tr>
      <w:tr>
        <w:tblPrEx>
          <w:tblW w:w="4682" w:type="pct"/>
          <w:jc w:val="center"/>
          <w:tblInd w:w="70" w:type="dxa"/>
          <w:tblLayout w:type="fixed"/>
          <w:tblCellMar>
            <w:left w:w="70" w:type="dxa"/>
            <w:right w:w="70" w:type="dxa"/>
          </w:tblCellMar>
          <w:tblLook w:val="00A0"/>
        </w:tblPrEx>
        <w:trPr>
          <w:trHeight w:hRule="exact" w:val="330"/>
          <w:jc w:val="center"/>
        </w:trPr>
        <w:tc>
          <w:tcPr>
            <w:tcW w:w="3369" w:type="pct"/>
            <w:tcBorders>
              <w:top w:val="single" w:sz="4" w:space="0" w:color="000000"/>
              <w:left w:val="nil"/>
              <w:bottom w:val="single" w:sz="4" w:space="0" w:color="000000"/>
              <w:right w:val="nil"/>
            </w:tcBorders>
            <w:shd w:val="clear" w:color="000000" w:fill="BFBFBF"/>
            <w:textDirection w:val="lrTb"/>
            <w:vAlign w:val="bottom"/>
          </w:tcPr>
          <w:p w:rsidR="00395D92" w:rsidRPr="0072101A" w:rsidP="00BC4C9E">
            <w:pPr>
              <w:bidi w:val="0"/>
              <w:spacing w:after="0" w:line="240" w:lineRule="auto"/>
              <w:rPr>
                <w:rFonts w:ascii="Times New Roman" w:hAnsi="Times New Roman"/>
                <w:b/>
                <w:bCs/>
                <w:sz w:val="20"/>
                <w:szCs w:val="20"/>
                <w:lang w:eastAsia="sk-SK"/>
              </w:rPr>
            </w:pPr>
            <w:r w:rsidR="001C0700">
              <w:br w:type="page"/>
            </w:r>
            <w:r w:rsidRPr="0072101A">
              <w:br w:type="page"/>
              <w:br w:type="page"/>
              <w:br w:type="page"/>
            </w:r>
            <w:r w:rsidRPr="0072101A">
              <w:rPr>
                <w:rFonts w:ascii="Times New Roman" w:hAnsi="Times New Roman"/>
                <w:b/>
                <w:bCs/>
                <w:sz w:val="20"/>
                <w:szCs w:val="20"/>
                <w:lang w:eastAsia="sk-SK"/>
              </w:rPr>
              <w:t>Krátkodobé záväzky</w:t>
            </w:r>
          </w:p>
        </w:tc>
        <w:tc>
          <w:tcPr>
            <w:tcW w:w="823" w:type="pct"/>
            <w:tcBorders>
              <w:top w:val="single" w:sz="4" w:space="0" w:color="000000"/>
              <w:left w:val="nil"/>
              <w:bottom w:val="single" w:sz="4" w:space="0" w:color="000000"/>
              <w:right w:val="nil"/>
            </w:tcBorders>
            <w:shd w:val="clear" w:color="000000" w:fill="BFBFBF"/>
            <w:textDirection w:val="lrTb"/>
            <w:vAlign w:val="bottom"/>
          </w:tcPr>
          <w:p w:rsidR="00395D92" w:rsidRPr="0072101A" w:rsidP="00271EEB">
            <w:pPr>
              <w:bidi w:val="0"/>
              <w:spacing w:after="0" w:line="240" w:lineRule="auto"/>
              <w:jc w:val="center"/>
              <w:rPr>
                <w:rFonts w:ascii="Times New Roman" w:hAnsi="Times New Roman"/>
                <w:b/>
                <w:bCs/>
                <w:sz w:val="20"/>
                <w:szCs w:val="20"/>
                <w:lang w:eastAsia="sk-SK"/>
              </w:rPr>
            </w:pPr>
            <w:r w:rsidR="001C0700">
              <w:rPr>
                <w:rFonts w:ascii="Times New Roman" w:hAnsi="Times New Roman"/>
                <w:b/>
                <w:bCs/>
                <w:sz w:val="20"/>
                <w:szCs w:val="20"/>
                <w:lang w:eastAsia="sk-SK"/>
              </w:rPr>
              <w:t xml:space="preserve">        201</w:t>
            </w:r>
            <w:r w:rsidR="00271EEB">
              <w:rPr>
                <w:rFonts w:ascii="Times New Roman" w:hAnsi="Times New Roman"/>
                <w:b/>
                <w:bCs/>
                <w:sz w:val="20"/>
                <w:szCs w:val="20"/>
                <w:lang w:eastAsia="sk-SK"/>
              </w:rPr>
              <w:t>5</w:t>
            </w:r>
          </w:p>
        </w:tc>
        <w:tc>
          <w:tcPr>
            <w:tcW w:w="808" w:type="pct"/>
            <w:tcBorders>
              <w:top w:val="single" w:sz="4" w:space="0" w:color="000000"/>
              <w:left w:val="nil"/>
              <w:bottom w:val="single" w:sz="4" w:space="0" w:color="000000"/>
              <w:right w:val="nil"/>
            </w:tcBorders>
            <w:shd w:val="clear" w:color="000000" w:fill="BFBFBF"/>
            <w:textDirection w:val="lrTb"/>
            <w:vAlign w:val="bottom"/>
          </w:tcPr>
          <w:p w:rsidR="00395D92" w:rsidRPr="0072101A" w:rsidP="00271EEB">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201</w:t>
            </w:r>
            <w:r w:rsidR="00271EEB">
              <w:rPr>
                <w:rFonts w:ascii="Times New Roman" w:hAnsi="Times New Roman"/>
                <w:b/>
                <w:bCs/>
                <w:sz w:val="20"/>
                <w:szCs w:val="20"/>
                <w:lang w:eastAsia="sk-SK"/>
              </w:rPr>
              <w:t>4</w:t>
            </w:r>
          </w:p>
        </w:tc>
      </w:tr>
      <w:tr>
        <w:tblPrEx>
          <w:tblW w:w="4682" w:type="pct"/>
          <w:jc w:val="center"/>
          <w:tblInd w:w="70" w:type="dxa"/>
          <w:tblLayout w:type="fixed"/>
          <w:tblCellMar>
            <w:left w:w="70" w:type="dxa"/>
            <w:right w:w="70" w:type="dxa"/>
          </w:tblCellMar>
          <w:tblLook w:val="00A0"/>
        </w:tblPrEx>
        <w:trPr>
          <w:trHeight w:hRule="exact" w:val="330"/>
          <w:jc w:val="center"/>
        </w:trPr>
        <w:tc>
          <w:tcPr>
            <w:tcW w:w="3369" w:type="pct"/>
            <w:tcBorders>
              <w:top w:val="single" w:sz="4" w:space="0" w:color="000000"/>
              <w:left w:val="nil"/>
              <w:bottom w:val="none" w:sz="0" w:space="0" w:color="auto"/>
              <w:right w:val="nil"/>
            </w:tcBorders>
            <w:shd w:val="clear" w:color="000000" w:fill="auto"/>
            <w:textDirection w:val="lrTb"/>
            <w:vAlign w:val="center"/>
          </w:tcPr>
          <w:p w:rsidR="00271EEB" w:rsidRPr="0072101A" w:rsidP="00BC4C9E">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Dodávatelia</w:t>
            </w:r>
          </w:p>
        </w:tc>
        <w:tc>
          <w:tcPr>
            <w:tcW w:w="823" w:type="pct"/>
            <w:tcBorders>
              <w:top w:val="single" w:sz="4" w:space="0" w:color="000000"/>
              <w:left w:val="nil"/>
              <w:bottom w:val="none" w:sz="0" w:space="0" w:color="auto"/>
              <w:right w:val="nil"/>
            </w:tcBorders>
            <w:shd w:val="clear" w:color="000000" w:fill="auto"/>
            <w:textDirection w:val="lrTb"/>
            <w:vAlign w:val="center"/>
          </w:tcPr>
          <w:p w:rsidR="00271EEB" w:rsidRPr="0072101A" w:rsidP="00BC4C9E">
            <w:pPr>
              <w:bidi w:val="0"/>
              <w:spacing w:after="0" w:line="240" w:lineRule="auto"/>
              <w:jc w:val="right"/>
              <w:rPr>
                <w:rFonts w:ascii="Times New Roman" w:hAnsi="Times New Roman"/>
                <w:bCs/>
                <w:color w:val="000000"/>
                <w:sz w:val="20"/>
                <w:szCs w:val="20"/>
                <w:lang w:eastAsia="sk-SK"/>
              </w:rPr>
            </w:pPr>
            <w:r w:rsidR="004E5CF7">
              <w:rPr>
                <w:rFonts w:ascii="Times New Roman" w:hAnsi="Times New Roman"/>
                <w:bCs/>
                <w:color w:val="000000"/>
                <w:sz w:val="20"/>
                <w:szCs w:val="20"/>
                <w:lang w:eastAsia="sk-SK"/>
              </w:rPr>
              <w:t>1 509 540</w:t>
            </w:r>
          </w:p>
        </w:tc>
        <w:tc>
          <w:tcPr>
            <w:tcW w:w="808" w:type="pct"/>
            <w:tcBorders>
              <w:top w:val="single" w:sz="4" w:space="0" w:color="000000"/>
              <w:left w:val="nil"/>
              <w:bottom w:val="none" w:sz="0" w:space="0" w:color="auto"/>
              <w:right w:val="nil"/>
            </w:tcBorders>
            <w:shd w:val="clear" w:color="000000" w:fill="auto"/>
            <w:textDirection w:val="lrTb"/>
            <w:vAlign w:val="center"/>
          </w:tcPr>
          <w:p w:rsidR="00271EEB" w:rsidRPr="0072101A" w:rsidP="003B5C3D">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1 526 308</w:t>
            </w:r>
          </w:p>
        </w:tc>
      </w:tr>
      <w:tr>
        <w:tblPrEx>
          <w:tblW w:w="4682" w:type="pct"/>
          <w:jc w:val="center"/>
          <w:tblInd w:w="70" w:type="dxa"/>
          <w:tblLayout w:type="fixed"/>
          <w:tblCellMar>
            <w:left w:w="70" w:type="dxa"/>
            <w:right w:w="70" w:type="dxa"/>
          </w:tblCellMar>
          <w:tblLook w:val="00A0"/>
        </w:tblPrEx>
        <w:trPr>
          <w:trHeight w:hRule="exact" w:val="330"/>
          <w:jc w:val="center"/>
        </w:trPr>
        <w:tc>
          <w:tcPr>
            <w:tcW w:w="3369" w:type="pct"/>
            <w:tcBorders>
              <w:top w:val="nil"/>
              <w:left w:val="nil"/>
              <w:bottom w:val="none" w:sz="0" w:space="0" w:color="auto"/>
              <w:right w:val="nil"/>
            </w:tcBorders>
            <w:shd w:val="clear" w:color="000000" w:fill="auto"/>
            <w:textDirection w:val="lrTb"/>
            <w:vAlign w:val="center"/>
          </w:tcPr>
          <w:p w:rsidR="00271EEB" w:rsidRPr="0072101A" w:rsidP="00BC4C9E">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Záväzky z upísaných nesplatených cenných papierov a vkladov</w:t>
            </w:r>
          </w:p>
        </w:tc>
        <w:tc>
          <w:tcPr>
            <w:tcW w:w="823" w:type="pct"/>
            <w:tcBorders>
              <w:top w:val="nil"/>
              <w:left w:val="nil"/>
              <w:bottom w:val="none" w:sz="0" w:space="0" w:color="auto"/>
              <w:right w:val="nil"/>
            </w:tcBorders>
            <w:shd w:val="clear" w:color="000000" w:fill="auto"/>
            <w:textDirection w:val="lrTb"/>
            <w:vAlign w:val="center"/>
          </w:tcPr>
          <w:p w:rsidR="00271EEB" w:rsidRPr="0072101A" w:rsidP="00BC4C9E">
            <w:pPr>
              <w:bidi w:val="0"/>
              <w:spacing w:after="0" w:line="240" w:lineRule="auto"/>
              <w:jc w:val="right"/>
              <w:rPr>
                <w:rFonts w:ascii="Times New Roman" w:hAnsi="Times New Roman"/>
                <w:bCs/>
                <w:color w:val="000000"/>
                <w:sz w:val="20"/>
                <w:szCs w:val="20"/>
                <w:lang w:eastAsia="sk-SK"/>
              </w:rPr>
            </w:pPr>
            <w:r w:rsidR="004E5CF7">
              <w:rPr>
                <w:rFonts w:ascii="Times New Roman" w:hAnsi="Times New Roman"/>
                <w:bCs/>
                <w:color w:val="000000"/>
                <w:sz w:val="20"/>
                <w:szCs w:val="20"/>
                <w:lang w:eastAsia="sk-SK"/>
              </w:rPr>
              <w:t>1 014 930</w:t>
            </w:r>
          </w:p>
        </w:tc>
        <w:tc>
          <w:tcPr>
            <w:tcW w:w="808" w:type="pct"/>
            <w:tcBorders>
              <w:top w:val="nil"/>
              <w:left w:val="nil"/>
              <w:bottom w:val="none" w:sz="0" w:space="0" w:color="auto"/>
              <w:right w:val="nil"/>
            </w:tcBorders>
            <w:shd w:val="clear" w:color="000000" w:fill="auto"/>
            <w:textDirection w:val="lrTb"/>
            <w:vAlign w:val="center"/>
          </w:tcPr>
          <w:p w:rsidR="00271EEB" w:rsidRPr="0072101A" w:rsidP="003B5C3D">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974 052</w:t>
            </w:r>
          </w:p>
        </w:tc>
      </w:tr>
      <w:tr>
        <w:tblPrEx>
          <w:tblW w:w="4682" w:type="pct"/>
          <w:jc w:val="center"/>
          <w:tblInd w:w="70" w:type="dxa"/>
          <w:tblLayout w:type="fixed"/>
          <w:tblCellMar>
            <w:left w:w="70" w:type="dxa"/>
            <w:right w:w="70" w:type="dxa"/>
          </w:tblCellMar>
          <w:tblLook w:val="00A0"/>
        </w:tblPrEx>
        <w:trPr>
          <w:trHeight w:hRule="exact" w:val="330"/>
          <w:jc w:val="center"/>
        </w:trPr>
        <w:tc>
          <w:tcPr>
            <w:tcW w:w="3369" w:type="pct"/>
            <w:tcBorders>
              <w:top w:val="nil"/>
              <w:left w:val="nil"/>
              <w:bottom w:val="none" w:sz="0" w:space="0" w:color="auto"/>
              <w:right w:val="nil"/>
            </w:tcBorders>
            <w:shd w:val="clear" w:color="000000" w:fill="auto"/>
            <w:textDirection w:val="lrTb"/>
            <w:vAlign w:val="center"/>
          </w:tcPr>
          <w:p w:rsidR="00271EEB" w:rsidRPr="0072101A" w:rsidP="00254B31">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Zúčtovanie s EÚ</w:t>
            </w:r>
          </w:p>
        </w:tc>
        <w:tc>
          <w:tcPr>
            <w:tcW w:w="823" w:type="pct"/>
            <w:tcBorders>
              <w:top w:val="nil"/>
              <w:left w:val="nil"/>
              <w:bottom w:val="none" w:sz="0" w:space="0" w:color="auto"/>
              <w:right w:val="nil"/>
            </w:tcBorders>
            <w:shd w:val="clear" w:color="000000" w:fill="auto"/>
            <w:textDirection w:val="lrTb"/>
            <w:vAlign w:val="center"/>
          </w:tcPr>
          <w:p w:rsidR="00271EEB" w:rsidRPr="0072101A" w:rsidP="00254B31">
            <w:pPr>
              <w:bidi w:val="0"/>
              <w:spacing w:after="0" w:line="240" w:lineRule="auto"/>
              <w:jc w:val="right"/>
              <w:rPr>
                <w:rFonts w:ascii="Times New Roman" w:hAnsi="Times New Roman"/>
                <w:bCs/>
                <w:color w:val="000000"/>
                <w:sz w:val="20"/>
                <w:szCs w:val="20"/>
                <w:lang w:eastAsia="sk-SK"/>
              </w:rPr>
            </w:pPr>
            <w:r w:rsidR="004E5CF7">
              <w:rPr>
                <w:rFonts w:ascii="Times New Roman" w:hAnsi="Times New Roman"/>
                <w:bCs/>
                <w:color w:val="000000"/>
                <w:sz w:val="20"/>
                <w:szCs w:val="20"/>
                <w:lang w:eastAsia="sk-SK"/>
              </w:rPr>
              <w:t>160 426</w:t>
            </w:r>
          </w:p>
        </w:tc>
        <w:tc>
          <w:tcPr>
            <w:tcW w:w="808" w:type="pct"/>
            <w:tcBorders>
              <w:top w:val="nil"/>
              <w:left w:val="nil"/>
              <w:bottom w:val="none" w:sz="0" w:space="0" w:color="auto"/>
              <w:right w:val="nil"/>
            </w:tcBorders>
            <w:shd w:val="clear" w:color="000000" w:fill="auto"/>
            <w:textDirection w:val="lrTb"/>
            <w:vAlign w:val="center"/>
          </w:tcPr>
          <w:p w:rsidR="00271EEB" w:rsidRPr="0072101A" w:rsidP="003B5C3D">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224 872</w:t>
            </w:r>
          </w:p>
        </w:tc>
      </w:tr>
      <w:tr>
        <w:tblPrEx>
          <w:tblW w:w="4682" w:type="pct"/>
          <w:jc w:val="center"/>
          <w:tblInd w:w="70" w:type="dxa"/>
          <w:tblLayout w:type="fixed"/>
          <w:tblCellMar>
            <w:left w:w="70" w:type="dxa"/>
            <w:right w:w="70" w:type="dxa"/>
          </w:tblCellMar>
          <w:tblLook w:val="00A0"/>
        </w:tblPrEx>
        <w:trPr>
          <w:trHeight w:hRule="exact" w:val="330"/>
          <w:jc w:val="center"/>
        </w:trPr>
        <w:tc>
          <w:tcPr>
            <w:tcW w:w="3369" w:type="pct"/>
            <w:tcBorders>
              <w:top w:val="nil"/>
              <w:left w:val="nil"/>
              <w:bottom w:val="none" w:sz="0" w:space="0" w:color="auto"/>
              <w:right w:val="nil"/>
            </w:tcBorders>
            <w:shd w:val="clear" w:color="000000" w:fill="auto"/>
            <w:textDirection w:val="lrTb"/>
            <w:vAlign w:val="center"/>
          </w:tcPr>
          <w:p w:rsidR="00271EEB" w:rsidRPr="0072101A" w:rsidP="00BC4C9E">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Zamestnanci</w:t>
            </w:r>
          </w:p>
        </w:tc>
        <w:tc>
          <w:tcPr>
            <w:tcW w:w="823" w:type="pct"/>
            <w:tcBorders>
              <w:top w:val="nil"/>
              <w:left w:val="nil"/>
              <w:bottom w:val="none" w:sz="0" w:space="0" w:color="auto"/>
              <w:right w:val="nil"/>
            </w:tcBorders>
            <w:shd w:val="clear" w:color="000000" w:fill="auto"/>
            <w:textDirection w:val="lrTb"/>
            <w:vAlign w:val="center"/>
          </w:tcPr>
          <w:p w:rsidR="00271EEB" w:rsidRPr="0072101A" w:rsidP="00BC4C9E">
            <w:pPr>
              <w:bidi w:val="0"/>
              <w:spacing w:after="0" w:line="240" w:lineRule="auto"/>
              <w:jc w:val="right"/>
              <w:rPr>
                <w:rFonts w:ascii="Times New Roman" w:hAnsi="Times New Roman"/>
                <w:bCs/>
                <w:color w:val="000000"/>
                <w:sz w:val="20"/>
                <w:szCs w:val="20"/>
                <w:lang w:eastAsia="sk-SK"/>
              </w:rPr>
            </w:pPr>
            <w:r w:rsidR="004E5CF7">
              <w:rPr>
                <w:rFonts w:ascii="Times New Roman" w:hAnsi="Times New Roman"/>
                <w:bCs/>
                <w:color w:val="000000"/>
                <w:sz w:val="20"/>
                <w:szCs w:val="20"/>
                <w:lang w:eastAsia="sk-SK"/>
              </w:rPr>
              <w:t>324 426</w:t>
            </w:r>
          </w:p>
        </w:tc>
        <w:tc>
          <w:tcPr>
            <w:tcW w:w="808" w:type="pct"/>
            <w:tcBorders>
              <w:top w:val="nil"/>
              <w:left w:val="nil"/>
              <w:bottom w:val="none" w:sz="0" w:space="0" w:color="auto"/>
              <w:right w:val="nil"/>
            </w:tcBorders>
            <w:shd w:val="clear" w:color="000000" w:fill="auto"/>
            <w:textDirection w:val="lrTb"/>
            <w:vAlign w:val="center"/>
          </w:tcPr>
          <w:p w:rsidR="00271EEB" w:rsidRPr="0072101A" w:rsidP="003B5C3D">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314 724</w:t>
            </w:r>
          </w:p>
        </w:tc>
      </w:tr>
      <w:tr>
        <w:tblPrEx>
          <w:tblW w:w="4682" w:type="pct"/>
          <w:jc w:val="center"/>
          <w:tblInd w:w="70" w:type="dxa"/>
          <w:tblLayout w:type="fixed"/>
          <w:tblCellMar>
            <w:left w:w="70" w:type="dxa"/>
            <w:right w:w="70" w:type="dxa"/>
          </w:tblCellMar>
          <w:tblLook w:val="00A0"/>
        </w:tblPrEx>
        <w:trPr>
          <w:trHeight w:hRule="exact" w:val="330"/>
          <w:jc w:val="center"/>
        </w:trPr>
        <w:tc>
          <w:tcPr>
            <w:tcW w:w="3369" w:type="pct"/>
            <w:tcBorders>
              <w:top w:val="nil"/>
              <w:left w:val="nil"/>
              <w:bottom w:val="none" w:sz="0" w:space="0" w:color="auto"/>
              <w:right w:val="nil"/>
            </w:tcBorders>
            <w:shd w:val="clear" w:color="000000" w:fill="auto"/>
            <w:textDirection w:val="lrTb"/>
            <w:vAlign w:val="center"/>
          </w:tcPr>
          <w:p w:rsidR="00271EEB" w:rsidRPr="0072101A" w:rsidP="00BC4C9E">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Zúčtovanie s orgánmi sociálneho a zdravotného poistenia</w:t>
            </w:r>
          </w:p>
        </w:tc>
        <w:tc>
          <w:tcPr>
            <w:tcW w:w="823" w:type="pct"/>
            <w:tcBorders>
              <w:top w:val="nil"/>
              <w:left w:val="nil"/>
              <w:bottom w:val="none" w:sz="0" w:space="0" w:color="auto"/>
              <w:right w:val="nil"/>
            </w:tcBorders>
            <w:shd w:val="clear" w:color="000000" w:fill="auto"/>
            <w:textDirection w:val="lrTb"/>
            <w:vAlign w:val="center"/>
          </w:tcPr>
          <w:p w:rsidR="00271EEB" w:rsidRPr="0072101A" w:rsidP="00BC4C9E">
            <w:pPr>
              <w:bidi w:val="0"/>
              <w:spacing w:after="0" w:line="240" w:lineRule="auto"/>
              <w:jc w:val="right"/>
              <w:rPr>
                <w:rFonts w:ascii="Times New Roman" w:hAnsi="Times New Roman"/>
                <w:bCs/>
                <w:color w:val="000000"/>
                <w:sz w:val="20"/>
                <w:szCs w:val="20"/>
                <w:lang w:eastAsia="sk-SK"/>
              </w:rPr>
            </w:pPr>
            <w:r w:rsidR="004E5CF7">
              <w:rPr>
                <w:rFonts w:ascii="Times New Roman" w:hAnsi="Times New Roman"/>
                <w:bCs/>
                <w:color w:val="000000"/>
                <w:sz w:val="20"/>
                <w:szCs w:val="20"/>
                <w:lang w:eastAsia="sk-SK"/>
              </w:rPr>
              <w:t>349 818</w:t>
            </w:r>
          </w:p>
        </w:tc>
        <w:tc>
          <w:tcPr>
            <w:tcW w:w="808" w:type="pct"/>
            <w:tcBorders>
              <w:top w:val="nil"/>
              <w:left w:val="nil"/>
              <w:bottom w:val="none" w:sz="0" w:space="0" w:color="auto"/>
              <w:right w:val="nil"/>
            </w:tcBorders>
            <w:shd w:val="clear" w:color="000000" w:fill="auto"/>
            <w:textDirection w:val="lrTb"/>
            <w:vAlign w:val="center"/>
          </w:tcPr>
          <w:p w:rsidR="00271EEB" w:rsidRPr="0072101A" w:rsidP="003B5C3D">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320 256</w:t>
            </w:r>
          </w:p>
        </w:tc>
      </w:tr>
      <w:tr>
        <w:tblPrEx>
          <w:tblW w:w="4682" w:type="pct"/>
          <w:jc w:val="center"/>
          <w:tblInd w:w="70" w:type="dxa"/>
          <w:tblLayout w:type="fixed"/>
          <w:tblCellMar>
            <w:left w:w="70" w:type="dxa"/>
            <w:right w:w="70" w:type="dxa"/>
          </w:tblCellMar>
          <w:tblLook w:val="00A0"/>
        </w:tblPrEx>
        <w:trPr>
          <w:trHeight w:hRule="exact" w:val="330"/>
          <w:jc w:val="center"/>
        </w:trPr>
        <w:tc>
          <w:tcPr>
            <w:tcW w:w="3369" w:type="pct"/>
            <w:tcBorders>
              <w:top w:val="nil"/>
              <w:left w:val="nil"/>
              <w:bottom w:val="none" w:sz="0" w:space="0" w:color="auto"/>
              <w:right w:val="nil"/>
            </w:tcBorders>
            <w:shd w:val="clear" w:color="000000" w:fill="auto"/>
            <w:textDirection w:val="lrTb"/>
            <w:vAlign w:val="center"/>
          </w:tcPr>
          <w:p w:rsidR="00271EEB" w:rsidRPr="0072101A" w:rsidP="00BC4C9E">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Záväzky z daní a poplatkov</w:t>
            </w:r>
          </w:p>
        </w:tc>
        <w:tc>
          <w:tcPr>
            <w:tcW w:w="823" w:type="pct"/>
            <w:tcBorders>
              <w:top w:val="nil"/>
              <w:left w:val="nil"/>
              <w:bottom w:val="none" w:sz="0" w:space="0" w:color="auto"/>
              <w:right w:val="nil"/>
            </w:tcBorders>
            <w:shd w:val="clear" w:color="000000" w:fill="auto"/>
            <w:textDirection w:val="lrTb"/>
            <w:vAlign w:val="center"/>
          </w:tcPr>
          <w:p w:rsidR="00271EEB" w:rsidRPr="0072101A" w:rsidP="00BC4C9E">
            <w:pPr>
              <w:bidi w:val="0"/>
              <w:spacing w:after="0" w:line="240" w:lineRule="auto"/>
              <w:jc w:val="right"/>
              <w:rPr>
                <w:rFonts w:ascii="Times New Roman" w:hAnsi="Times New Roman"/>
                <w:bCs/>
                <w:color w:val="000000"/>
                <w:sz w:val="20"/>
                <w:szCs w:val="20"/>
                <w:lang w:eastAsia="sk-SK"/>
              </w:rPr>
            </w:pPr>
            <w:r w:rsidR="004E5CF7">
              <w:rPr>
                <w:rFonts w:ascii="Times New Roman" w:hAnsi="Times New Roman"/>
                <w:bCs/>
                <w:color w:val="000000"/>
                <w:sz w:val="20"/>
                <w:szCs w:val="20"/>
                <w:lang w:eastAsia="sk-SK"/>
              </w:rPr>
              <w:t>43 839</w:t>
            </w:r>
          </w:p>
        </w:tc>
        <w:tc>
          <w:tcPr>
            <w:tcW w:w="808" w:type="pct"/>
            <w:tcBorders>
              <w:top w:val="nil"/>
              <w:left w:val="nil"/>
              <w:bottom w:val="none" w:sz="0" w:space="0" w:color="auto"/>
              <w:right w:val="nil"/>
            </w:tcBorders>
            <w:shd w:val="clear" w:color="000000" w:fill="auto"/>
            <w:textDirection w:val="lrTb"/>
            <w:vAlign w:val="center"/>
          </w:tcPr>
          <w:p w:rsidR="00271EEB" w:rsidRPr="0072101A" w:rsidP="003B5C3D">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42 611</w:t>
            </w:r>
          </w:p>
        </w:tc>
      </w:tr>
      <w:tr>
        <w:tblPrEx>
          <w:tblW w:w="4682" w:type="pct"/>
          <w:jc w:val="center"/>
          <w:tblInd w:w="70" w:type="dxa"/>
          <w:tblLayout w:type="fixed"/>
          <w:tblCellMar>
            <w:left w:w="70" w:type="dxa"/>
            <w:right w:w="70" w:type="dxa"/>
          </w:tblCellMar>
          <w:tblLook w:val="00A0"/>
        </w:tblPrEx>
        <w:trPr>
          <w:trHeight w:hRule="exact" w:val="330"/>
          <w:jc w:val="center"/>
        </w:trPr>
        <w:tc>
          <w:tcPr>
            <w:tcW w:w="3369" w:type="pct"/>
            <w:tcBorders>
              <w:top w:val="nil"/>
              <w:left w:val="nil"/>
              <w:bottom w:val="none" w:sz="0" w:space="0" w:color="auto"/>
              <w:right w:val="nil"/>
            </w:tcBorders>
            <w:shd w:val="clear" w:color="000000" w:fill="auto"/>
            <w:textDirection w:val="lrTb"/>
            <w:vAlign w:val="center"/>
          </w:tcPr>
          <w:p w:rsidR="00271EEB" w:rsidRPr="0072101A" w:rsidP="00BC4C9E">
            <w:pPr>
              <w:bidi w:val="0"/>
              <w:spacing w:after="0" w:line="240" w:lineRule="auto"/>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Ostatné záväzky</w:t>
            </w:r>
          </w:p>
        </w:tc>
        <w:tc>
          <w:tcPr>
            <w:tcW w:w="823" w:type="pct"/>
            <w:tcBorders>
              <w:top w:val="nil"/>
              <w:left w:val="nil"/>
              <w:bottom w:val="none" w:sz="0" w:space="0" w:color="auto"/>
              <w:right w:val="nil"/>
            </w:tcBorders>
            <w:shd w:val="clear" w:color="000000" w:fill="auto"/>
            <w:textDirection w:val="lrTb"/>
            <w:vAlign w:val="center"/>
          </w:tcPr>
          <w:p w:rsidR="00271EEB" w:rsidRPr="0072101A" w:rsidP="004725FA">
            <w:pPr>
              <w:bidi w:val="0"/>
              <w:spacing w:after="0" w:line="240" w:lineRule="auto"/>
              <w:jc w:val="right"/>
              <w:rPr>
                <w:rFonts w:ascii="Times New Roman" w:hAnsi="Times New Roman"/>
                <w:bCs/>
                <w:color w:val="000000"/>
                <w:sz w:val="20"/>
                <w:szCs w:val="20"/>
                <w:lang w:eastAsia="sk-SK"/>
              </w:rPr>
            </w:pPr>
            <w:r w:rsidR="004E5CF7">
              <w:rPr>
                <w:rFonts w:ascii="Times New Roman" w:hAnsi="Times New Roman"/>
                <w:bCs/>
                <w:color w:val="000000"/>
                <w:sz w:val="20"/>
                <w:szCs w:val="20"/>
                <w:lang w:eastAsia="sk-SK"/>
              </w:rPr>
              <w:t>3</w:t>
            </w:r>
            <w:r w:rsidR="004725FA">
              <w:rPr>
                <w:rFonts w:ascii="Times New Roman" w:hAnsi="Times New Roman"/>
                <w:bCs/>
                <w:color w:val="000000"/>
                <w:sz w:val="20"/>
                <w:szCs w:val="20"/>
                <w:lang w:eastAsia="sk-SK"/>
              </w:rPr>
              <w:t> 363 946</w:t>
            </w:r>
          </w:p>
        </w:tc>
        <w:tc>
          <w:tcPr>
            <w:tcW w:w="808" w:type="pct"/>
            <w:tcBorders>
              <w:top w:val="nil"/>
              <w:left w:val="nil"/>
              <w:bottom w:val="none" w:sz="0" w:space="0" w:color="auto"/>
              <w:right w:val="nil"/>
            </w:tcBorders>
            <w:shd w:val="clear" w:color="000000" w:fill="auto"/>
            <w:textDirection w:val="lrTb"/>
            <w:vAlign w:val="center"/>
          </w:tcPr>
          <w:p w:rsidR="00271EEB" w:rsidRPr="0072101A" w:rsidP="003B5C3D">
            <w:pPr>
              <w:bidi w:val="0"/>
              <w:spacing w:after="0" w:line="240" w:lineRule="auto"/>
              <w:jc w:val="right"/>
              <w:rPr>
                <w:rFonts w:ascii="Times New Roman" w:hAnsi="Times New Roman"/>
                <w:bCs/>
                <w:color w:val="000000"/>
                <w:sz w:val="20"/>
                <w:szCs w:val="20"/>
                <w:lang w:eastAsia="sk-SK"/>
              </w:rPr>
            </w:pPr>
            <w:r w:rsidRPr="0072101A">
              <w:rPr>
                <w:rFonts w:ascii="Times New Roman" w:hAnsi="Times New Roman"/>
                <w:bCs/>
                <w:color w:val="000000"/>
                <w:sz w:val="20"/>
                <w:szCs w:val="20"/>
                <w:lang w:eastAsia="sk-SK"/>
              </w:rPr>
              <w:t>1 302 557</w:t>
            </w:r>
          </w:p>
        </w:tc>
      </w:tr>
      <w:tr>
        <w:tblPrEx>
          <w:tblW w:w="4682" w:type="pct"/>
          <w:jc w:val="center"/>
          <w:tblInd w:w="70" w:type="dxa"/>
          <w:tblLayout w:type="fixed"/>
          <w:tblCellMar>
            <w:left w:w="70" w:type="dxa"/>
            <w:right w:w="70" w:type="dxa"/>
          </w:tblCellMar>
          <w:tblLook w:val="00A0"/>
        </w:tblPrEx>
        <w:trPr>
          <w:trHeight w:hRule="exact" w:val="330"/>
          <w:jc w:val="center"/>
        </w:trPr>
        <w:tc>
          <w:tcPr>
            <w:tcW w:w="3369" w:type="pct"/>
            <w:tcBorders>
              <w:top w:val="nil"/>
              <w:left w:val="nil"/>
              <w:bottom w:val="single" w:sz="4" w:space="0" w:color="000000"/>
              <w:right w:val="nil"/>
            </w:tcBorders>
            <w:shd w:val="clear" w:color="000000" w:fill="auto"/>
            <w:textDirection w:val="lrTb"/>
            <w:vAlign w:val="center"/>
          </w:tcPr>
          <w:p w:rsidR="00271EEB" w:rsidRPr="0072101A" w:rsidP="00BC4C9E">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Spolu</w:t>
            </w:r>
          </w:p>
        </w:tc>
        <w:tc>
          <w:tcPr>
            <w:tcW w:w="823" w:type="pct"/>
            <w:tcBorders>
              <w:top w:val="nil"/>
              <w:left w:val="nil"/>
              <w:bottom w:val="single" w:sz="4" w:space="0" w:color="000000"/>
              <w:right w:val="nil"/>
            </w:tcBorders>
            <w:shd w:val="clear" w:color="000000" w:fill="auto"/>
            <w:textDirection w:val="lrTb"/>
            <w:vAlign w:val="center"/>
          </w:tcPr>
          <w:p w:rsidR="00271EEB" w:rsidRPr="0072101A" w:rsidP="004725FA">
            <w:pPr>
              <w:bidi w:val="0"/>
              <w:spacing w:after="0" w:line="240" w:lineRule="auto"/>
              <w:jc w:val="right"/>
              <w:rPr>
                <w:rFonts w:ascii="Times New Roman" w:hAnsi="Times New Roman"/>
                <w:b/>
                <w:bCs/>
                <w:color w:val="000000"/>
                <w:sz w:val="20"/>
                <w:szCs w:val="20"/>
                <w:lang w:eastAsia="sk-SK"/>
              </w:rPr>
            </w:pPr>
            <w:r w:rsidR="004E5CF7">
              <w:rPr>
                <w:rFonts w:ascii="Times New Roman" w:hAnsi="Times New Roman"/>
                <w:b/>
                <w:bCs/>
                <w:color w:val="000000"/>
                <w:sz w:val="20"/>
                <w:szCs w:val="20"/>
                <w:lang w:eastAsia="sk-SK"/>
              </w:rPr>
              <w:t>6</w:t>
            </w:r>
            <w:r w:rsidR="004725FA">
              <w:rPr>
                <w:rFonts w:ascii="Times New Roman" w:hAnsi="Times New Roman"/>
                <w:b/>
                <w:bCs/>
                <w:color w:val="000000"/>
                <w:sz w:val="20"/>
                <w:szCs w:val="20"/>
                <w:lang w:eastAsia="sk-SK"/>
              </w:rPr>
              <w:t> 766 925</w:t>
            </w:r>
          </w:p>
        </w:tc>
        <w:tc>
          <w:tcPr>
            <w:tcW w:w="808" w:type="pct"/>
            <w:tcBorders>
              <w:top w:val="nil"/>
              <w:left w:val="nil"/>
              <w:bottom w:val="single" w:sz="4" w:space="0" w:color="000000"/>
              <w:right w:val="nil"/>
            </w:tcBorders>
            <w:shd w:val="clear" w:color="000000" w:fill="auto"/>
            <w:textDirection w:val="lrTb"/>
            <w:vAlign w:val="center"/>
          </w:tcPr>
          <w:p w:rsidR="00271EEB" w:rsidRPr="0072101A" w:rsidP="003B5C3D">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4 705 380</w:t>
            </w:r>
          </w:p>
        </w:tc>
      </w:tr>
    </w:tbl>
    <w:p w:rsidR="00D7621A" w:rsidRPr="00683393" w:rsidP="0012396F">
      <w:pPr>
        <w:bidi w:val="0"/>
        <w:spacing w:before="240" w:after="120" w:line="336" w:lineRule="auto"/>
        <w:jc w:val="both"/>
        <w:rPr>
          <w:rFonts w:ascii="Times New Roman" w:hAnsi="Times New Roman"/>
          <w:i/>
          <w:szCs w:val="22"/>
          <w:u w:val="single"/>
        </w:rPr>
      </w:pPr>
      <w:r w:rsidRPr="00683393" w:rsidR="0067545F">
        <w:rPr>
          <w:rFonts w:ascii="Times New Roman" w:hAnsi="Times New Roman"/>
          <w:i/>
          <w:szCs w:val="22"/>
          <w:u w:val="single"/>
        </w:rPr>
        <w:t>Dlhodobé záväzky</w:t>
      </w:r>
    </w:p>
    <w:p w:rsidR="0067545F" w:rsidP="000967F2">
      <w:pPr>
        <w:bidi w:val="0"/>
        <w:spacing w:after="120" w:line="336" w:lineRule="auto"/>
        <w:jc w:val="both"/>
        <w:rPr>
          <w:rFonts w:ascii="Times New Roman" w:hAnsi="Times New Roman"/>
        </w:rPr>
      </w:pPr>
      <w:r w:rsidRPr="0072101A" w:rsidR="000967F2">
        <w:rPr>
          <w:rFonts w:ascii="Times New Roman" w:hAnsi="Times New Roman"/>
        </w:rPr>
        <w:t xml:space="preserve">Medziročný </w:t>
      </w:r>
      <w:r>
        <w:rPr>
          <w:rFonts w:ascii="Times New Roman" w:hAnsi="Times New Roman"/>
        </w:rPr>
        <w:t>pokles</w:t>
      </w:r>
      <w:r w:rsidRPr="0072101A" w:rsidR="000967F2">
        <w:rPr>
          <w:rFonts w:ascii="Times New Roman" w:hAnsi="Times New Roman"/>
        </w:rPr>
        <w:t xml:space="preserve"> dlhodobých záväzkov bol spôsobený hlavne poklesom </w:t>
      </w:r>
      <w:r w:rsidRPr="005D3CDC">
        <w:rPr>
          <w:rFonts w:ascii="Times New Roman" w:hAnsi="Times New Roman"/>
          <w:u w:val="single"/>
        </w:rPr>
        <w:t>záväzkov z dlhopisov</w:t>
      </w:r>
      <w:r>
        <w:rPr>
          <w:rFonts w:ascii="Times New Roman" w:hAnsi="Times New Roman"/>
        </w:rPr>
        <w:t xml:space="preserve">, a to o 1 243 624 tis. eur. Ide o výsledné saldo jednak splácania štátnych dlhopisov a zároveň preúčtovania krátkodobej časti dlhopisov, ktorá je splatná nasledujúce účtovné obdobie do </w:t>
      </w:r>
      <w:r w:rsidR="004860E0">
        <w:rPr>
          <w:rFonts w:ascii="Times New Roman" w:hAnsi="Times New Roman"/>
        </w:rPr>
        <w:t>bankových úverov a výpomoci (časť B.IV.). Celková hodnota nesplatených dlhopisov (dlhodobých aj krátkodobých) dosiahla k 31.12.2015 sumu 36 184 075 tis. eur a medziročne bola vyššia o 302 471 tis. eur.</w:t>
      </w:r>
    </w:p>
    <w:p w:rsidR="00D7621A" w:rsidRPr="0072101A" w:rsidP="000967F2">
      <w:pPr>
        <w:bidi w:val="0"/>
        <w:spacing w:after="120" w:line="336" w:lineRule="auto"/>
        <w:jc w:val="both"/>
        <w:rPr>
          <w:rFonts w:ascii="Times New Roman" w:hAnsi="Times New Roman"/>
          <w:szCs w:val="22"/>
        </w:rPr>
      </w:pPr>
      <w:r w:rsidRPr="0072101A" w:rsidR="006F40F7">
        <w:rPr>
          <w:rFonts w:ascii="Times New Roman" w:hAnsi="Times New Roman"/>
          <w:i/>
          <w:szCs w:val="22"/>
          <w:u w:val="single"/>
        </w:rPr>
        <w:t>Záväzky z pevných termínových operácií</w:t>
      </w:r>
      <w:r w:rsidRPr="0072101A" w:rsidR="006F40F7">
        <w:rPr>
          <w:rFonts w:ascii="Times New Roman" w:hAnsi="Times New Roman"/>
          <w:szCs w:val="22"/>
        </w:rPr>
        <w:t xml:space="preserve"> </w:t>
      </w:r>
      <w:r w:rsidRPr="0072101A" w:rsidR="00225638">
        <w:rPr>
          <w:rFonts w:ascii="Times New Roman" w:hAnsi="Times New Roman"/>
          <w:szCs w:val="22"/>
        </w:rPr>
        <w:t>s</w:t>
      </w:r>
      <w:r w:rsidRPr="0072101A" w:rsidR="006F40F7">
        <w:rPr>
          <w:rFonts w:ascii="Times New Roman" w:hAnsi="Times New Roman"/>
          <w:szCs w:val="22"/>
        </w:rPr>
        <w:t xml:space="preserve">a medziročne </w:t>
      </w:r>
      <w:r w:rsidRPr="0072101A" w:rsidR="00344022">
        <w:rPr>
          <w:rFonts w:ascii="Times New Roman" w:hAnsi="Times New Roman"/>
          <w:szCs w:val="22"/>
        </w:rPr>
        <w:t>znížili</w:t>
      </w:r>
      <w:r w:rsidRPr="0072101A" w:rsidR="006F40F7">
        <w:rPr>
          <w:rFonts w:ascii="Times New Roman" w:hAnsi="Times New Roman"/>
          <w:szCs w:val="22"/>
        </w:rPr>
        <w:t xml:space="preserve"> o</w:t>
      </w:r>
      <w:r w:rsidR="005D3CDC">
        <w:rPr>
          <w:rFonts w:ascii="Times New Roman" w:hAnsi="Times New Roman"/>
          <w:szCs w:val="22"/>
        </w:rPr>
        <w:t> 23 947</w:t>
      </w:r>
      <w:r w:rsidRPr="0072101A" w:rsidR="00225638">
        <w:rPr>
          <w:rFonts w:ascii="Times New Roman" w:hAnsi="Times New Roman"/>
          <w:szCs w:val="22"/>
        </w:rPr>
        <w:t xml:space="preserve"> tis.</w:t>
      </w:r>
      <w:r w:rsidRPr="0072101A" w:rsidR="006F40F7">
        <w:rPr>
          <w:rFonts w:ascii="Times New Roman" w:hAnsi="Times New Roman"/>
          <w:szCs w:val="22"/>
        </w:rPr>
        <w:t xml:space="preserve"> eur</w:t>
      </w:r>
      <w:r w:rsidRPr="0072101A" w:rsidR="00344022">
        <w:rPr>
          <w:rFonts w:ascii="Times New Roman" w:hAnsi="Times New Roman"/>
          <w:szCs w:val="22"/>
        </w:rPr>
        <w:t>,</w:t>
      </w:r>
      <w:r w:rsidR="005D3CDC">
        <w:rPr>
          <w:rFonts w:ascii="Times New Roman" w:hAnsi="Times New Roman"/>
          <w:szCs w:val="22"/>
        </w:rPr>
        <w:t xml:space="preserve"> a to</w:t>
      </w:r>
      <w:r w:rsidRPr="0072101A" w:rsidR="00344022">
        <w:rPr>
          <w:rFonts w:ascii="Times New Roman" w:hAnsi="Times New Roman"/>
          <w:szCs w:val="22"/>
        </w:rPr>
        <w:t xml:space="preserve"> </w:t>
      </w:r>
      <w:r w:rsidR="005D3CDC">
        <w:rPr>
          <w:rFonts w:ascii="Times New Roman" w:hAnsi="Times New Roman"/>
          <w:szCs w:val="22"/>
        </w:rPr>
        <w:t xml:space="preserve">najmä u </w:t>
      </w:r>
      <w:r w:rsidRPr="0072101A" w:rsidR="006F40F7">
        <w:rPr>
          <w:rFonts w:ascii="Times New Roman" w:hAnsi="Times New Roman"/>
          <w:szCs w:val="22"/>
        </w:rPr>
        <w:t>Ministerstv</w:t>
      </w:r>
      <w:r w:rsidR="005D3CDC">
        <w:rPr>
          <w:rFonts w:ascii="Times New Roman" w:hAnsi="Times New Roman"/>
          <w:szCs w:val="22"/>
        </w:rPr>
        <w:t>a</w:t>
      </w:r>
      <w:r w:rsidRPr="0072101A" w:rsidR="006F40F7">
        <w:rPr>
          <w:rFonts w:ascii="Times New Roman" w:hAnsi="Times New Roman"/>
          <w:szCs w:val="22"/>
        </w:rPr>
        <w:t xml:space="preserve"> financií SR</w:t>
      </w:r>
      <w:r w:rsidR="005D3CDC">
        <w:rPr>
          <w:rFonts w:ascii="Times New Roman" w:hAnsi="Times New Roman"/>
          <w:szCs w:val="22"/>
        </w:rPr>
        <w:t xml:space="preserve">, ktoré v minulom účtovnom období vykázalo hodnotu 23 944 </w:t>
      </w:r>
      <w:r w:rsidRPr="0072101A" w:rsidR="00344022">
        <w:rPr>
          <w:rFonts w:ascii="Times New Roman" w:hAnsi="Times New Roman"/>
          <w:szCs w:val="22"/>
        </w:rPr>
        <w:t>tis. eur.</w:t>
      </w:r>
    </w:p>
    <w:p w:rsidR="00ED111B" w:rsidP="00F15365">
      <w:pPr>
        <w:bidi w:val="0"/>
        <w:spacing w:after="120" w:line="336" w:lineRule="auto"/>
        <w:jc w:val="both"/>
        <w:rPr>
          <w:rFonts w:ascii="Times New Roman" w:hAnsi="Times New Roman"/>
          <w:szCs w:val="22"/>
        </w:rPr>
      </w:pPr>
      <w:r>
        <w:rPr>
          <w:rFonts w:ascii="Times New Roman" w:hAnsi="Times New Roman"/>
          <w:szCs w:val="22"/>
        </w:rPr>
        <w:t>Z dlhodobých záväzkov bolo eliminovaných spolu 1 425 559 tis. eur, a to hlavne poskytnutá návratná finančná výpomoc Agentúre pre núdzové zásoby ropy a ropných výrobkov (520 000 tis. eur) a pôžičky poskytnuté štátnymi fondmi a Slovenskou záručnou a rozvojovou bankou, a.s. (spolu 905 559 tis. eur).</w:t>
      </w:r>
    </w:p>
    <w:p w:rsidR="009F1F47" w:rsidP="00F15365">
      <w:pPr>
        <w:bidi w:val="0"/>
        <w:spacing w:after="120" w:line="336" w:lineRule="auto"/>
        <w:jc w:val="both"/>
        <w:rPr>
          <w:rFonts w:ascii="Times New Roman" w:hAnsi="Times New Roman"/>
          <w:szCs w:val="22"/>
        </w:rPr>
      </w:pPr>
      <w:r>
        <w:rPr>
          <w:rFonts w:ascii="Times New Roman" w:hAnsi="Times New Roman"/>
          <w:szCs w:val="22"/>
        </w:rPr>
        <w:t xml:space="preserve">Po konsolidácii z dlhodobých záväzkov vykazujú </w:t>
      </w:r>
      <w:r w:rsidR="00C045C5">
        <w:rPr>
          <w:rFonts w:ascii="Times New Roman" w:hAnsi="Times New Roman"/>
          <w:szCs w:val="22"/>
        </w:rPr>
        <w:t>najväčšie hodnoty štátne podniky ako Vodohospodárska výstavba (</w:t>
      </w:r>
      <w:r w:rsidR="00EA4031">
        <w:rPr>
          <w:rFonts w:ascii="Times New Roman" w:hAnsi="Times New Roman"/>
          <w:szCs w:val="22"/>
        </w:rPr>
        <w:t>219 244</w:t>
      </w:r>
      <w:r w:rsidR="00C045C5">
        <w:rPr>
          <w:rFonts w:ascii="Times New Roman" w:hAnsi="Times New Roman"/>
          <w:szCs w:val="22"/>
        </w:rPr>
        <w:t xml:space="preserve"> tis. eur), Slovenský vodohospodársky podnik (107 610 tis. eur), Železnice SR (39 074 tis. eur). V prípade železníc a vodohospodárskeho podniku ide </w:t>
      </w:r>
      <w:r w:rsidR="00EA4031">
        <w:rPr>
          <w:rFonts w:ascii="Times New Roman" w:hAnsi="Times New Roman"/>
          <w:szCs w:val="22"/>
        </w:rPr>
        <w:t xml:space="preserve">najmä </w:t>
      </w:r>
      <w:r w:rsidR="00C045C5">
        <w:rPr>
          <w:rFonts w:ascii="Times New Roman" w:hAnsi="Times New Roman"/>
          <w:szCs w:val="22"/>
        </w:rPr>
        <w:t>o odloženú daň, ktorá bude predmetom konsolidácie budúce účtovné obdobie.</w:t>
      </w:r>
    </w:p>
    <w:p w:rsidR="00662072" w:rsidRPr="006E0705" w:rsidP="00662072">
      <w:pPr>
        <w:bidi w:val="0"/>
        <w:spacing w:before="240" w:after="120" w:line="336" w:lineRule="auto"/>
        <w:jc w:val="both"/>
        <w:rPr>
          <w:rFonts w:ascii="Times New Roman" w:hAnsi="Times New Roman"/>
          <w:i/>
          <w:szCs w:val="22"/>
          <w:u w:val="single"/>
        </w:rPr>
      </w:pPr>
      <w:r w:rsidRPr="006E0705">
        <w:rPr>
          <w:rFonts w:ascii="Times New Roman" w:hAnsi="Times New Roman"/>
          <w:i/>
          <w:szCs w:val="22"/>
          <w:u w:val="single"/>
        </w:rPr>
        <w:t>Krátkodobé záväzky</w:t>
      </w:r>
    </w:p>
    <w:p w:rsidR="006F172B" w:rsidP="008B70DC">
      <w:pPr>
        <w:bidi w:val="0"/>
        <w:spacing w:after="120" w:line="336" w:lineRule="auto"/>
        <w:jc w:val="both"/>
        <w:rPr>
          <w:rFonts w:ascii="Times New Roman" w:hAnsi="Times New Roman"/>
          <w:szCs w:val="22"/>
        </w:rPr>
      </w:pPr>
      <w:r w:rsidRPr="0072101A" w:rsidR="00533E6D">
        <w:rPr>
          <w:rFonts w:ascii="Times New Roman" w:hAnsi="Times New Roman"/>
          <w:i/>
          <w:szCs w:val="22"/>
          <w:u w:val="single"/>
        </w:rPr>
        <w:t>Záväzky voči dodávateľom</w:t>
      </w:r>
      <w:r w:rsidRPr="0072101A" w:rsidR="00533E6D">
        <w:rPr>
          <w:rFonts w:ascii="Times New Roman" w:hAnsi="Times New Roman"/>
          <w:szCs w:val="22"/>
        </w:rPr>
        <w:t xml:space="preserve"> dosiahli </w:t>
      </w:r>
      <w:r w:rsidRPr="0072101A" w:rsidR="00AE55A7">
        <w:rPr>
          <w:rFonts w:ascii="Times New Roman" w:hAnsi="Times New Roman"/>
          <w:szCs w:val="22"/>
        </w:rPr>
        <w:t>1</w:t>
      </w:r>
      <w:r w:rsidR="00EA4031">
        <w:rPr>
          <w:rFonts w:ascii="Times New Roman" w:hAnsi="Times New Roman"/>
          <w:szCs w:val="22"/>
        </w:rPr>
        <w:t xml:space="preserve"> 509 540 </w:t>
      </w:r>
      <w:r w:rsidRPr="0072101A" w:rsidR="00533E6D">
        <w:rPr>
          <w:rFonts w:ascii="Times New Roman" w:hAnsi="Times New Roman"/>
          <w:szCs w:val="22"/>
        </w:rPr>
        <w:t>tis. eur</w:t>
      </w:r>
      <w:r w:rsidR="00EA4031">
        <w:rPr>
          <w:rFonts w:ascii="Times New Roman" w:hAnsi="Times New Roman"/>
          <w:szCs w:val="22"/>
        </w:rPr>
        <w:t xml:space="preserve"> a medziročne sú o 16 768 tis. eur nižšie.</w:t>
      </w:r>
      <w:r w:rsidRPr="0072101A" w:rsidR="00533E6D">
        <w:rPr>
          <w:rFonts w:ascii="Times New Roman" w:hAnsi="Times New Roman"/>
          <w:szCs w:val="22"/>
        </w:rPr>
        <w:t xml:space="preserve"> </w:t>
      </w:r>
      <w:r w:rsidR="00EA4031">
        <w:rPr>
          <w:rFonts w:ascii="Times New Roman" w:hAnsi="Times New Roman"/>
          <w:szCs w:val="22"/>
        </w:rPr>
        <w:t>S</w:t>
      </w:r>
      <w:r w:rsidRPr="0072101A" w:rsidR="00533E6D">
        <w:rPr>
          <w:rFonts w:ascii="Times New Roman" w:hAnsi="Times New Roman"/>
          <w:szCs w:val="22"/>
        </w:rPr>
        <w:t>ub</w:t>
      </w:r>
      <w:r w:rsidR="00EA4031">
        <w:rPr>
          <w:rFonts w:ascii="Times New Roman" w:hAnsi="Times New Roman"/>
          <w:szCs w:val="22"/>
        </w:rPr>
        <w:t>jekty ústrednej správy vykázali 1 160 913 t</w:t>
      </w:r>
      <w:r w:rsidRPr="0072101A" w:rsidR="00533E6D">
        <w:rPr>
          <w:rFonts w:ascii="Times New Roman" w:hAnsi="Times New Roman"/>
          <w:szCs w:val="22"/>
        </w:rPr>
        <w:t xml:space="preserve">is. eur, subjekty územnej samosprávy </w:t>
      </w:r>
      <w:r w:rsidR="00EA4031">
        <w:rPr>
          <w:rFonts w:ascii="Times New Roman" w:hAnsi="Times New Roman"/>
          <w:szCs w:val="22"/>
        </w:rPr>
        <w:t>190 881</w:t>
      </w:r>
      <w:r w:rsidRPr="0072101A" w:rsidR="00533E6D">
        <w:rPr>
          <w:rFonts w:ascii="Times New Roman" w:hAnsi="Times New Roman"/>
          <w:szCs w:val="22"/>
        </w:rPr>
        <w:t xml:space="preserve"> tis. eur a ostatné subjekty </w:t>
      </w:r>
      <w:r w:rsidR="00EA4031">
        <w:rPr>
          <w:rFonts w:ascii="Times New Roman" w:hAnsi="Times New Roman"/>
          <w:szCs w:val="22"/>
        </w:rPr>
        <w:t>157 746</w:t>
      </w:r>
      <w:r w:rsidRPr="0072101A" w:rsidR="00533E6D">
        <w:rPr>
          <w:rFonts w:ascii="Times New Roman" w:hAnsi="Times New Roman"/>
          <w:szCs w:val="22"/>
        </w:rPr>
        <w:t xml:space="preserve"> tis. eur. </w:t>
      </w:r>
    </w:p>
    <w:p w:rsidR="00533E6D" w:rsidRPr="0072101A" w:rsidP="008B70DC">
      <w:pPr>
        <w:bidi w:val="0"/>
        <w:spacing w:after="120" w:line="336" w:lineRule="auto"/>
        <w:jc w:val="both"/>
        <w:rPr>
          <w:rFonts w:ascii="Times New Roman" w:hAnsi="Times New Roman"/>
          <w:i/>
          <w:szCs w:val="22"/>
          <w:u w:val="single"/>
        </w:rPr>
      </w:pPr>
      <w:r w:rsidRPr="0072101A">
        <w:rPr>
          <w:rFonts w:ascii="Times New Roman" w:hAnsi="Times New Roman"/>
          <w:szCs w:val="22"/>
        </w:rPr>
        <w:t xml:space="preserve">V rámci ústrednej správy vykazujú najvyššiu hodnotu </w:t>
      </w:r>
      <w:r w:rsidRPr="0072101A" w:rsidR="00AB2711">
        <w:rPr>
          <w:rFonts w:ascii="Times New Roman" w:hAnsi="Times New Roman"/>
          <w:szCs w:val="22"/>
        </w:rPr>
        <w:t xml:space="preserve">krátkodobých záväzkov </w:t>
      </w:r>
      <w:r w:rsidRPr="0072101A">
        <w:rPr>
          <w:rFonts w:ascii="Times New Roman" w:hAnsi="Times New Roman"/>
          <w:szCs w:val="22"/>
        </w:rPr>
        <w:t xml:space="preserve">najmä obchodné spoločnosti ako Národná diaľničná spoločnosť, a.s. </w:t>
      </w:r>
      <w:r w:rsidR="006F172B">
        <w:rPr>
          <w:rFonts w:ascii="Times New Roman" w:hAnsi="Times New Roman"/>
          <w:szCs w:val="22"/>
        </w:rPr>
        <w:t>189 721</w:t>
      </w:r>
      <w:r w:rsidRPr="0072101A" w:rsidR="00ED480E">
        <w:rPr>
          <w:rFonts w:ascii="Times New Roman" w:hAnsi="Times New Roman"/>
          <w:szCs w:val="22"/>
        </w:rPr>
        <w:t xml:space="preserve"> </w:t>
      </w:r>
      <w:r w:rsidRPr="0072101A" w:rsidR="00F96EB4">
        <w:rPr>
          <w:rFonts w:ascii="Times New Roman" w:hAnsi="Times New Roman"/>
          <w:szCs w:val="22"/>
        </w:rPr>
        <w:t>tis. eur</w:t>
      </w:r>
      <w:r w:rsidRPr="0072101A">
        <w:rPr>
          <w:rFonts w:ascii="Times New Roman" w:hAnsi="Times New Roman"/>
          <w:szCs w:val="22"/>
        </w:rPr>
        <w:t>,</w:t>
      </w:r>
      <w:r w:rsidR="006F172B">
        <w:rPr>
          <w:rFonts w:ascii="Times New Roman" w:hAnsi="Times New Roman"/>
          <w:szCs w:val="22"/>
        </w:rPr>
        <w:t xml:space="preserve"> </w:t>
      </w:r>
      <w:r w:rsidRPr="0072101A" w:rsidR="006F172B">
        <w:rPr>
          <w:rFonts w:ascii="Times New Roman" w:hAnsi="Times New Roman"/>
        </w:rPr>
        <w:t>Slovenský plynárens</w:t>
      </w:r>
      <w:r w:rsidR="006F172B">
        <w:rPr>
          <w:rFonts w:ascii="Times New Roman" w:hAnsi="Times New Roman"/>
        </w:rPr>
        <w:t>ký priemysel, a.s. 103 068</w:t>
      </w:r>
      <w:r w:rsidRPr="0072101A" w:rsidR="006F172B">
        <w:rPr>
          <w:rFonts w:ascii="Times New Roman" w:hAnsi="Times New Roman"/>
        </w:rPr>
        <w:t> tis. eur</w:t>
      </w:r>
      <w:r w:rsidR="006F172B">
        <w:rPr>
          <w:rFonts w:ascii="Times New Roman" w:hAnsi="Times New Roman"/>
        </w:rPr>
        <w:t>, Univerzitná nemocnica Bratislava 84 619 tis. eur,</w:t>
      </w:r>
      <w:r w:rsidRPr="0072101A">
        <w:rPr>
          <w:rFonts w:ascii="Times New Roman" w:hAnsi="Times New Roman"/>
          <w:szCs w:val="22"/>
        </w:rPr>
        <w:t xml:space="preserve"> Slovenská elektrizačná prenosová sústava, a.s</w:t>
      </w:r>
      <w:r w:rsidRPr="0072101A" w:rsidR="00ED480E">
        <w:rPr>
          <w:rFonts w:ascii="Times New Roman" w:hAnsi="Times New Roman"/>
          <w:szCs w:val="22"/>
        </w:rPr>
        <w:t xml:space="preserve">. </w:t>
      </w:r>
      <w:r w:rsidR="006F172B">
        <w:rPr>
          <w:rFonts w:ascii="Times New Roman" w:hAnsi="Times New Roman"/>
          <w:szCs w:val="22"/>
        </w:rPr>
        <w:t>82 111</w:t>
      </w:r>
      <w:r w:rsidRPr="0072101A" w:rsidR="00ED480E">
        <w:rPr>
          <w:rFonts w:ascii="Times New Roman" w:hAnsi="Times New Roman"/>
          <w:szCs w:val="22"/>
        </w:rPr>
        <w:t xml:space="preserve"> </w:t>
      </w:r>
      <w:r w:rsidRPr="0072101A" w:rsidR="00F96EB4">
        <w:rPr>
          <w:rFonts w:ascii="Times New Roman" w:hAnsi="Times New Roman"/>
          <w:szCs w:val="22"/>
        </w:rPr>
        <w:t xml:space="preserve">tis. </w:t>
      </w:r>
      <w:r w:rsidRPr="0072101A">
        <w:rPr>
          <w:rFonts w:ascii="Times New Roman" w:hAnsi="Times New Roman"/>
          <w:szCs w:val="22"/>
        </w:rPr>
        <w:t>eur</w:t>
      </w:r>
      <w:r w:rsidRPr="0072101A" w:rsidR="00ED480E">
        <w:rPr>
          <w:rFonts w:ascii="Times New Roman" w:hAnsi="Times New Roman"/>
        </w:rPr>
        <w:t>.</w:t>
      </w:r>
      <w:r w:rsidRPr="0072101A">
        <w:rPr>
          <w:rFonts w:ascii="Times New Roman" w:hAnsi="Times New Roman"/>
          <w:szCs w:val="22"/>
        </w:rPr>
        <w:t xml:space="preserve"> Celkovo obchodné spoločnosti vykázali </w:t>
      </w:r>
      <w:r w:rsidR="006F172B">
        <w:rPr>
          <w:rFonts w:ascii="Times New Roman" w:hAnsi="Times New Roman"/>
          <w:szCs w:val="22"/>
        </w:rPr>
        <w:t>610 584</w:t>
      </w:r>
      <w:r w:rsidRPr="0072101A" w:rsidR="00F96EB4">
        <w:rPr>
          <w:rFonts w:ascii="Times New Roman" w:hAnsi="Times New Roman"/>
          <w:szCs w:val="22"/>
        </w:rPr>
        <w:t xml:space="preserve"> tis.</w:t>
      </w:r>
      <w:r w:rsidRPr="0072101A">
        <w:rPr>
          <w:rFonts w:ascii="Times New Roman" w:hAnsi="Times New Roman"/>
          <w:szCs w:val="22"/>
        </w:rPr>
        <w:t xml:space="preserve"> eur ako záväzky voči svojim externým dodávateľom tovarov a služieb. </w:t>
      </w:r>
      <w:r w:rsidRPr="0072101A" w:rsidR="00DB5D2D">
        <w:rPr>
          <w:rFonts w:ascii="Times New Roman" w:hAnsi="Times New Roman"/>
          <w:szCs w:val="22"/>
        </w:rPr>
        <w:t xml:space="preserve">Štátne rozpočtové organizácie vykázali spolu </w:t>
      </w:r>
      <w:r w:rsidR="006B3069">
        <w:rPr>
          <w:rFonts w:ascii="Times New Roman" w:hAnsi="Times New Roman"/>
          <w:szCs w:val="22"/>
        </w:rPr>
        <w:t>131 328</w:t>
      </w:r>
      <w:r w:rsidRPr="0072101A" w:rsidR="00326A89">
        <w:rPr>
          <w:rFonts w:ascii="Times New Roman" w:hAnsi="Times New Roman"/>
          <w:szCs w:val="22"/>
        </w:rPr>
        <w:t xml:space="preserve"> </w:t>
      </w:r>
      <w:r w:rsidRPr="0072101A" w:rsidR="00DB5D2D">
        <w:rPr>
          <w:rFonts w:ascii="Times New Roman" w:hAnsi="Times New Roman"/>
          <w:szCs w:val="22"/>
        </w:rPr>
        <w:t xml:space="preserve">tis. eur a štátne príspevkové organizácie vykázali záväzky voči dodávateľom vo výške </w:t>
      </w:r>
      <w:r w:rsidR="006B3069">
        <w:rPr>
          <w:rFonts w:ascii="Times New Roman" w:hAnsi="Times New Roman"/>
          <w:szCs w:val="22"/>
        </w:rPr>
        <w:t>418 999</w:t>
      </w:r>
      <w:r w:rsidRPr="0072101A" w:rsidR="00DB5D2D">
        <w:rPr>
          <w:rFonts w:ascii="Times New Roman" w:hAnsi="Times New Roman"/>
          <w:szCs w:val="22"/>
        </w:rPr>
        <w:t xml:space="preserve"> tis. eur</w:t>
      </w:r>
      <w:r w:rsidR="006B3069">
        <w:rPr>
          <w:rFonts w:ascii="Times New Roman" w:hAnsi="Times New Roman"/>
          <w:szCs w:val="22"/>
        </w:rPr>
        <w:t xml:space="preserve">, </w:t>
      </w:r>
      <w:r w:rsidRPr="0072101A" w:rsidR="00DB5D2D">
        <w:rPr>
          <w:rFonts w:ascii="Times New Roman" w:hAnsi="Times New Roman"/>
          <w:szCs w:val="22"/>
        </w:rPr>
        <w:t xml:space="preserve">z toho zdravotnícke zariadenia </w:t>
      </w:r>
      <w:r w:rsidR="006B3069">
        <w:rPr>
          <w:rFonts w:ascii="Times New Roman" w:hAnsi="Times New Roman"/>
          <w:szCs w:val="22"/>
        </w:rPr>
        <w:t>389 666</w:t>
      </w:r>
      <w:r w:rsidRPr="0072101A" w:rsidR="00DB5D2D">
        <w:rPr>
          <w:rFonts w:ascii="Times New Roman" w:hAnsi="Times New Roman"/>
          <w:szCs w:val="22"/>
        </w:rPr>
        <w:t xml:space="preserve"> tis. eur.</w:t>
      </w:r>
    </w:p>
    <w:p w:rsidR="0060202F" w:rsidRPr="0072101A" w:rsidP="0060202F">
      <w:pPr>
        <w:bidi w:val="0"/>
        <w:spacing w:after="120" w:line="336" w:lineRule="auto"/>
        <w:jc w:val="both"/>
        <w:rPr>
          <w:rFonts w:ascii="Times New Roman" w:hAnsi="Times New Roman"/>
          <w:szCs w:val="22"/>
        </w:rPr>
      </w:pPr>
      <w:r w:rsidRPr="0072101A" w:rsidR="00567126">
        <w:rPr>
          <w:rFonts w:ascii="Times New Roman" w:hAnsi="Times New Roman"/>
          <w:i/>
          <w:szCs w:val="22"/>
          <w:u w:val="single"/>
        </w:rPr>
        <w:t>Z</w:t>
      </w:r>
      <w:r w:rsidRPr="0072101A">
        <w:rPr>
          <w:rFonts w:ascii="Times New Roman" w:hAnsi="Times New Roman"/>
          <w:i/>
          <w:szCs w:val="22"/>
          <w:u w:val="single"/>
        </w:rPr>
        <w:t>áväzky z upísaných a nesplatených cenných papierov</w:t>
      </w:r>
      <w:r w:rsidRPr="0072101A" w:rsidR="00A47F31">
        <w:rPr>
          <w:rFonts w:ascii="Times New Roman" w:hAnsi="Times New Roman"/>
          <w:szCs w:val="22"/>
        </w:rPr>
        <w:t xml:space="preserve"> </w:t>
      </w:r>
      <w:r w:rsidRPr="0072101A">
        <w:rPr>
          <w:rFonts w:ascii="Times New Roman" w:hAnsi="Times New Roman"/>
          <w:szCs w:val="22"/>
        </w:rPr>
        <w:t>vyk</w:t>
      </w:r>
      <w:r w:rsidRPr="0072101A" w:rsidR="00567126">
        <w:rPr>
          <w:rFonts w:ascii="Times New Roman" w:hAnsi="Times New Roman"/>
          <w:szCs w:val="22"/>
        </w:rPr>
        <w:t>azuje najmä</w:t>
      </w:r>
      <w:r w:rsidRPr="0072101A">
        <w:rPr>
          <w:rFonts w:ascii="Times New Roman" w:hAnsi="Times New Roman"/>
          <w:szCs w:val="22"/>
        </w:rPr>
        <w:t xml:space="preserve"> Ministerstvo financií SR</w:t>
      </w:r>
      <w:r w:rsidRPr="0072101A" w:rsidR="00567126">
        <w:rPr>
          <w:rFonts w:ascii="Times New Roman" w:hAnsi="Times New Roman"/>
          <w:szCs w:val="22"/>
        </w:rPr>
        <w:t>,</w:t>
      </w:r>
      <w:r w:rsidRPr="0072101A">
        <w:rPr>
          <w:rFonts w:ascii="Times New Roman" w:hAnsi="Times New Roman"/>
          <w:szCs w:val="22"/>
        </w:rPr>
        <w:t xml:space="preserve"> </w:t>
      </w:r>
      <w:r w:rsidRPr="0072101A" w:rsidR="00567126">
        <w:rPr>
          <w:rFonts w:ascii="Times New Roman" w:hAnsi="Times New Roman"/>
          <w:szCs w:val="22"/>
        </w:rPr>
        <w:t xml:space="preserve">a to </w:t>
      </w:r>
      <w:r w:rsidRPr="0072101A" w:rsidR="007140EF">
        <w:rPr>
          <w:rFonts w:ascii="Times New Roman" w:hAnsi="Times New Roman"/>
          <w:szCs w:val="22"/>
        </w:rPr>
        <w:t>9</w:t>
      </w:r>
      <w:r w:rsidR="00CD47A0">
        <w:rPr>
          <w:rFonts w:ascii="Times New Roman" w:hAnsi="Times New Roman"/>
          <w:szCs w:val="22"/>
        </w:rPr>
        <w:t>98 727</w:t>
      </w:r>
      <w:r w:rsidRPr="0072101A" w:rsidR="00567126">
        <w:rPr>
          <w:rFonts w:ascii="Times New Roman" w:hAnsi="Times New Roman"/>
          <w:szCs w:val="22"/>
        </w:rPr>
        <w:t xml:space="preserve"> tis. eur</w:t>
      </w:r>
      <w:r w:rsidR="00CD47A0">
        <w:rPr>
          <w:rFonts w:ascii="Times New Roman" w:hAnsi="Times New Roman"/>
          <w:szCs w:val="22"/>
        </w:rPr>
        <w:t xml:space="preserve"> a Ministerstvo dopravy, výstavby a regionálneho rozvoja SR 8 992 tis. eur</w:t>
      </w:r>
      <w:r w:rsidRPr="0072101A" w:rsidR="00567126">
        <w:rPr>
          <w:rFonts w:ascii="Times New Roman" w:hAnsi="Times New Roman"/>
          <w:szCs w:val="22"/>
        </w:rPr>
        <w:t>.</w:t>
      </w:r>
      <w:r w:rsidR="00CD47A0">
        <w:rPr>
          <w:rFonts w:ascii="Times New Roman" w:hAnsi="Times New Roman"/>
          <w:szCs w:val="22"/>
        </w:rPr>
        <w:t xml:space="preserve"> V prípade Ministerstva financií SR</w:t>
      </w:r>
      <w:r w:rsidRPr="0072101A" w:rsidR="00567126">
        <w:rPr>
          <w:rFonts w:ascii="Times New Roman" w:hAnsi="Times New Roman"/>
          <w:szCs w:val="22"/>
        </w:rPr>
        <w:t xml:space="preserve"> </w:t>
      </w:r>
      <w:r w:rsidR="00CD47A0">
        <w:rPr>
          <w:rFonts w:ascii="Times New Roman" w:hAnsi="Times New Roman"/>
          <w:szCs w:val="22"/>
        </w:rPr>
        <w:t>i</w:t>
      </w:r>
      <w:r w:rsidRPr="0072101A" w:rsidR="00567126">
        <w:rPr>
          <w:rFonts w:ascii="Times New Roman" w:hAnsi="Times New Roman"/>
          <w:szCs w:val="22"/>
        </w:rPr>
        <w:t xml:space="preserve">de o </w:t>
      </w:r>
      <w:r w:rsidRPr="0072101A">
        <w:rPr>
          <w:rFonts w:ascii="Times New Roman" w:hAnsi="Times New Roman"/>
          <w:szCs w:val="22"/>
        </w:rPr>
        <w:t>upísan</w:t>
      </w:r>
      <w:r w:rsidRPr="0072101A" w:rsidR="00567126">
        <w:rPr>
          <w:rFonts w:ascii="Times New Roman" w:hAnsi="Times New Roman"/>
          <w:szCs w:val="22"/>
        </w:rPr>
        <w:t>é</w:t>
      </w:r>
      <w:r w:rsidRPr="0072101A">
        <w:rPr>
          <w:rFonts w:ascii="Times New Roman" w:hAnsi="Times New Roman"/>
          <w:szCs w:val="22"/>
        </w:rPr>
        <w:t xml:space="preserve"> </w:t>
      </w:r>
      <w:r w:rsidRPr="0072101A" w:rsidR="00567126">
        <w:rPr>
          <w:rFonts w:ascii="Times New Roman" w:hAnsi="Times New Roman"/>
          <w:szCs w:val="22"/>
        </w:rPr>
        <w:t xml:space="preserve">a </w:t>
      </w:r>
      <w:r w:rsidRPr="0072101A">
        <w:rPr>
          <w:rFonts w:ascii="Times New Roman" w:hAnsi="Times New Roman"/>
          <w:szCs w:val="22"/>
        </w:rPr>
        <w:t>nesplaten</w:t>
      </w:r>
      <w:r w:rsidRPr="0072101A" w:rsidR="00567126">
        <w:rPr>
          <w:rFonts w:ascii="Times New Roman" w:hAnsi="Times New Roman"/>
          <w:szCs w:val="22"/>
        </w:rPr>
        <w:t>é</w:t>
      </w:r>
      <w:r w:rsidRPr="0072101A">
        <w:rPr>
          <w:rFonts w:ascii="Times New Roman" w:hAnsi="Times New Roman"/>
          <w:szCs w:val="22"/>
        </w:rPr>
        <w:t xml:space="preserve"> vklad</w:t>
      </w:r>
      <w:r w:rsidRPr="0072101A" w:rsidR="00567126">
        <w:rPr>
          <w:rFonts w:ascii="Times New Roman" w:hAnsi="Times New Roman"/>
          <w:szCs w:val="22"/>
        </w:rPr>
        <w:t>y</w:t>
      </w:r>
      <w:r w:rsidRPr="0072101A">
        <w:rPr>
          <w:rFonts w:ascii="Times New Roman" w:hAnsi="Times New Roman"/>
          <w:szCs w:val="22"/>
        </w:rPr>
        <w:t xml:space="preserve"> na základnom imaní medzinárodných inštitúcií</w:t>
      </w:r>
      <w:r w:rsidRPr="0072101A" w:rsidR="003A3848">
        <w:rPr>
          <w:rFonts w:ascii="Times New Roman" w:hAnsi="Times New Roman"/>
          <w:szCs w:val="22"/>
        </w:rPr>
        <w:t>,</w:t>
      </w:r>
      <w:r w:rsidRPr="0072101A">
        <w:rPr>
          <w:rFonts w:ascii="Times New Roman" w:hAnsi="Times New Roman"/>
          <w:szCs w:val="22"/>
        </w:rPr>
        <w:t xml:space="preserve"> resp. ich zvýšení (viď časť A.III. Dlhodobý finančný majetok). Hodnota tohto záväzku je medziročne </w:t>
      </w:r>
      <w:r w:rsidR="002F7EF2">
        <w:rPr>
          <w:rFonts w:ascii="Times New Roman" w:hAnsi="Times New Roman"/>
          <w:szCs w:val="22"/>
        </w:rPr>
        <w:t>vyššia</w:t>
      </w:r>
      <w:r w:rsidRPr="0072101A" w:rsidR="00567126">
        <w:rPr>
          <w:rFonts w:ascii="Times New Roman" w:hAnsi="Times New Roman"/>
          <w:szCs w:val="22"/>
        </w:rPr>
        <w:t xml:space="preserve"> o</w:t>
      </w:r>
      <w:r w:rsidR="002F7EF2">
        <w:rPr>
          <w:rFonts w:ascii="Times New Roman" w:hAnsi="Times New Roman"/>
          <w:szCs w:val="22"/>
        </w:rPr>
        <w:t> 32 248</w:t>
      </w:r>
      <w:r w:rsidRPr="0072101A" w:rsidR="00567126">
        <w:rPr>
          <w:rFonts w:ascii="Times New Roman" w:hAnsi="Times New Roman"/>
          <w:szCs w:val="22"/>
        </w:rPr>
        <w:t xml:space="preserve"> tis. eur.</w:t>
      </w:r>
    </w:p>
    <w:p w:rsidR="005B79E8" w:rsidRPr="0072101A" w:rsidP="005B79E8">
      <w:pPr>
        <w:bidi w:val="0"/>
        <w:spacing w:after="120" w:line="336" w:lineRule="auto"/>
        <w:jc w:val="both"/>
        <w:rPr>
          <w:rFonts w:ascii="Times New Roman" w:hAnsi="Times New Roman"/>
          <w:szCs w:val="22"/>
        </w:rPr>
      </w:pPr>
      <w:r w:rsidRPr="0072101A" w:rsidR="00B6107F">
        <w:rPr>
          <w:rFonts w:ascii="Times New Roman" w:hAnsi="Times New Roman"/>
          <w:szCs w:val="22"/>
          <w:u w:val="single"/>
        </w:rPr>
        <w:t>Záväzky zo zúčtovania s EÚ</w:t>
      </w:r>
      <w:r w:rsidRPr="0072101A" w:rsidR="00B6107F">
        <w:rPr>
          <w:rFonts w:ascii="Times New Roman" w:hAnsi="Times New Roman"/>
          <w:szCs w:val="22"/>
        </w:rPr>
        <w:t xml:space="preserve"> dosiahli úhrnom </w:t>
      </w:r>
      <w:r w:rsidR="001837C8">
        <w:rPr>
          <w:rFonts w:ascii="Times New Roman" w:hAnsi="Times New Roman"/>
          <w:szCs w:val="22"/>
        </w:rPr>
        <w:t>160 426</w:t>
      </w:r>
      <w:r w:rsidRPr="0072101A" w:rsidR="00B6107F">
        <w:rPr>
          <w:rFonts w:ascii="Times New Roman" w:hAnsi="Times New Roman"/>
          <w:szCs w:val="22"/>
        </w:rPr>
        <w:t xml:space="preserve"> tis. eur, </w:t>
      </w:r>
      <w:r w:rsidRPr="0072101A" w:rsidR="00C4014C">
        <w:rPr>
          <w:rFonts w:ascii="Times New Roman" w:hAnsi="Times New Roman"/>
          <w:szCs w:val="22"/>
        </w:rPr>
        <w:t>z toho ústredná správa vykazuje</w:t>
        <w:br/>
      </w:r>
      <w:r w:rsidR="001837C8">
        <w:rPr>
          <w:rFonts w:ascii="Times New Roman" w:hAnsi="Times New Roman"/>
          <w:szCs w:val="22"/>
        </w:rPr>
        <w:t>157 126</w:t>
      </w:r>
      <w:r w:rsidRPr="0072101A" w:rsidR="00B6107F">
        <w:rPr>
          <w:rFonts w:ascii="Times New Roman" w:hAnsi="Times New Roman"/>
          <w:szCs w:val="22"/>
        </w:rPr>
        <w:t xml:space="preserve"> tis. eur. Ide o zúčtovanie prijatých prostriedkov </w:t>
      </w:r>
      <w:r w:rsidRPr="0072101A" w:rsidR="009938D0">
        <w:rPr>
          <w:rFonts w:ascii="Times New Roman" w:hAnsi="Times New Roman"/>
          <w:szCs w:val="22"/>
        </w:rPr>
        <w:t xml:space="preserve">z </w:t>
      </w:r>
      <w:r w:rsidRPr="0072101A" w:rsidR="00B6107F">
        <w:rPr>
          <w:rFonts w:ascii="Times New Roman" w:hAnsi="Times New Roman"/>
          <w:szCs w:val="22"/>
        </w:rPr>
        <w:t>rozpočtu EÚ a iných finančných nástrojov. Najväčšia časť záväzku vykazuje Ministerstvo pôdohospodárstva a rozvoja vidieka SR</w:t>
      </w:r>
      <w:r w:rsidRPr="0072101A" w:rsidR="005606D9">
        <w:rPr>
          <w:rFonts w:ascii="Times New Roman" w:hAnsi="Times New Roman"/>
          <w:szCs w:val="22"/>
        </w:rPr>
        <w:t xml:space="preserve"> </w:t>
      </w:r>
      <w:r w:rsidR="001837C8">
        <w:rPr>
          <w:rFonts w:ascii="Times New Roman" w:hAnsi="Times New Roman"/>
          <w:szCs w:val="22"/>
        </w:rPr>
        <w:t>112</w:t>
      </w:r>
      <w:r w:rsidR="001D1D14">
        <w:rPr>
          <w:rFonts w:ascii="Times New Roman" w:hAnsi="Times New Roman"/>
          <w:szCs w:val="22"/>
        </w:rPr>
        <w:t> </w:t>
      </w:r>
      <w:r w:rsidR="001837C8">
        <w:rPr>
          <w:rFonts w:ascii="Times New Roman" w:hAnsi="Times New Roman"/>
          <w:szCs w:val="22"/>
        </w:rPr>
        <w:t>197</w:t>
      </w:r>
      <w:r w:rsidR="001D1D14">
        <w:rPr>
          <w:rFonts w:ascii="Times New Roman" w:hAnsi="Times New Roman"/>
          <w:szCs w:val="22"/>
        </w:rPr>
        <w:t> tis. </w:t>
      </w:r>
      <w:r w:rsidRPr="0072101A" w:rsidR="00C34D00">
        <w:rPr>
          <w:rFonts w:ascii="Times New Roman" w:hAnsi="Times New Roman"/>
          <w:szCs w:val="22"/>
        </w:rPr>
        <w:t>eur</w:t>
      </w:r>
      <w:r w:rsidRPr="0072101A" w:rsidR="00A030BE">
        <w:rPr>
          <w:rFonts w:ascii="Times New Roman" w:hAnsi="Times New Roman"/>
          <w:szCs w:val="22"/>
        </w:rPr>
        <w:t>, ktoré spolufinancuje programy v oblasti poľnohospodárstva</w:t>
      </w:r>
      <w:r w:rsidRPr="0072101A" w:rsidR="009938D0">
        <w:rPr>
          <w:rFonts w:ascii="Times New Roman" w:hAnsi="Times New Roman"/>
          <w:szCs w:val="22"/>
        </w:rPr>
        <w:t xml:space="preserve"> a prideľuje priame platby</w:t>
      </w:r>
      <w:r w:rsidRPr="0072101A" w:rsidR="00A030BE">
        <w:rPr>
          <w:rFonts w:ascii="Times New Roman" w:hAnsi="Times New Roman"/>
          <w:szCs w:val="22"/>
        </w:rPr>
        <w:t>.</w:t>
      </w:r>
      <w:r w:rsidR="006E0705">
        <w:rPr>
          <w:rFonts w:ascii="Times New Roman" w:hAnsi="Times New Roman"/>
          <w:szCs w:val="22"/>
        </w:rPr>
        <w:t xml:space="preserve"> Ministerstvo</w:t>
      </w:r>
      <w:r w:rsidRPr="0072101A" w:rsidR="00C34D00">
        <w:rPr>
          <w:rFonts w:ascii="Times New Roman" w:hAnsi="Times New Roman"/>
          <w:szCs w:val="22"/>
        </w:rPr>
        <w:t xml:space="preserve"> financií SR ako certifikačn</w:t>
      </w:r>
      <w:r w:rsidRPr="0072101A">
        <w:rPr>
          <w:rFonts w:ascii="Times New Roman" w:hAnsi="Times New Roman"/>
          <w:szCs w:val="22"/>
        </w:rPr>
        <w:t>ý</w:t>
      </w:r>
      <w:r w:rsidRPr="0072101A" w:rsidR="00C34D00">
        <w:rPr>
          <w:rFonts w:ascii="Times New Roman" w:hAnsi="Times New Roman"/>
          <w:szCs w:val="22"/>
        </w:rPr>
        <w:t xml:space="preserve"> orgán, ktorý prijíma a následne poskytuje prostriedky na financovanie projektov </w:t>
      </w:r>
      <w:r w:rsidR="006E0705">
        <w:rPr>
          <w:rFonts w:ascii="Times New Roman" w:hAnsi="Times New Roman"/>
          <w:szCs w:val="22"/>
        </w:rPr>
        <w:t xml:space="preserve">zo </w:t>
      </w:r>
      <w:r w:rsidRPr="0072101A" w:rsidR="00C34D00">
        <w:rPr>
          <w:rFonts w:ascii="Times New Roman" w:hAnsi="Times New Roman"/>
          <w:szCs w:val="22"/>
        </w:rPr>
        <w:t>štrukturálnych fondov, Kohézneho fondu a iných finančných nástrojov</w:t>
      </w:r>
      <w:r w:rsidRPr="0072101A">
        <w:rPr>
          <w:rFonts w:ascii="Times New Roman" w:hAnsi="Times New Roman"/>
          <w:szCs w:val="22"/>
        </w:rPr>
        <w:t xml:space="preserve"> vykazuje </w:t>
      </w:r>
      <w:r w:rsidR="001837C8">
        <w:rPr>
          <w:rFonts w:ascii="Times New Roman" w:hAnsi="Times New Roman"/>
          <w:szCs w:val="22"/>
        </w:rPr>
        <w:t>24 402</w:t>
      </w:r>
      <w:r w:rsidRPr="0072101A">
        <w:rPr>
          <w:rFonts w:ascii="Times New Roman" w:hAnsi="Times New Roman"/>
          <w:szCs w:val="22"/>
        </w:rPr>
        <w:t xml:space="preserve"> tis. eur</w:t>
      </w:r>
      <w:r w:rsidRPr="0072101A" w:rsidR="00C34D00">
        <w:rPr>
          <w:rFonts w:ascii="Times New Roman" w:hAnsi="Times New Roman"/>
          <w:szCs w:val="22"/>
        </w:rPr>
        <w:t xml:space="preserve">. </w:t>
      </w:r>
    </w:p>
    <w:p w:rsidR="00841BC3" w:rsidRPr="0072101A" w:rsidP="00A030BE">
      <w:pPr>
        <w:bidi w:val="0"/>
        <w:spacing w:before="120" w:after="120" w:line="336" w:lineRule="auto"/>
        <w:jc w:val="both"/>
        <w:rPr>
          <w:rFonts w:ascii="Times New Roman" w:hAnsi="Times New Roman"/>
          <w:szCs w:val="22"/>
        </w:rPr>
      </w:pPr>
      <w:r w:rsidRPr="0072101A">
        <w:rPr>
          <w:rFonts w:ascii="Times New Roman" w:hAnsi="Times New Roman"/>
          <w:i/>
          <w:szCs w:val="22"/>
          <w:u w:val="single"/>
        </w:rPr>
        <w:t>Záväzky voči zamestnancom</w:t>
      </w:r>
      <w:r w:rsidRPr="0072101A">
        <w:rPr>
          <w:rFonts w:ascii="Times New Roman" w:hAnsi="Times New Roman"/>
          <w:szCs w:val="22"/>
        </w:rPr>
        <w:t xml:space="preserve"> boli vykázané úhrnom</w:t>
      </w:r>
      <w:r w:rsidRPr="0072101A" w:rsidR="00A22DCA">
        <w:rPr>
          <w:rFonts w:ascii="Times New Roman" w:hAnsi="Times New Roman"/>
          <w:szCs w:val="22"/>
        </w:rPr>
        <w:t xml:space="preserve"> </w:t>
      </w:r>
      <w:r w:rsidR="00C90315">
        <w:rPr>
          <w:rFonts w:ascii="Times New Roman" w:hAnsi="Times New Roman"/>
          <w:szCs w:val="22"/>
        </w:rPr>
        <w:t>324 426</w:t>
      </w:r>
      <w:r w:rsidRPr="0072101A" w:rsidR="00A22DCA">
        <w:rPr>
          <w:rFonts w:ascii="Times New Roman" w:hAnsi="Times New Roman"/>
          <w:szCs w:val="22"/>
        </w:rPr>
        <w:t xml:space="preserve"> tis. eur</w:t>
      </w:r>
      <w:r w:rsidRPr="0072101A" w:rsidR="007230FA">
        <w:rPr>
          <w:rFonts w:ascii="Times New Roman" w:hAnsi="Times New Roman"/>
          <w:szCs w:val="22"/>
        </w:rPr>
        <w:t>,</w:t>
      </w:r>
      <w:r w:rsidRPr="0072101A">
        <w:rPr>
          <w:rFonts w:ascii="Times New Roman" w:hAnsi="Times New Roman"/>
          <w:szCs w:val="22"/>
        </w:rPr>
        <w:t xml:space="preserve"> </w:t>
      </w:r>
      <w:r w:rsidRPr="0072101A" w:rsidR="007230FA">
        <w:rPr>
          <w:rFonts w:ascii="Times New Roman" w:hAnsi="Times New Roman"/>
          <w:szCs w:val="22"/>
        </w:rPr>
        <w:t>z</w:t>
      </w:r>
      <w:r w:rsidRPr="0072101A">
        <w:rPr>
          <w:rFonts w:ascii="Times New Roman" w:hAnsi="Times New Roman"/>
          <w:szCs w:val="22"/>
        </w:rPr>
        <w:t xml:space="preserve"> toho ústredná správa vykázala </w:t>
      </w:r>
      <w:r w:rsidR="00C90315">
        <w:rPr>
          <w:rFonts w:ascii="Times New Roman" w:hAnsi="Times New Roman"/>
          <w:szCs w:val="22"/>
        </w:rPr>
        <w:t>168 07</w:t>
      </w:r>
      <w:r w:rsidR="006C1F36">
        <w:rPr>
          <w:rFonts w:ascii="Times New Roman" w:hAnsi="Times New Roman"/>
          <w:szCs w:val="22"/>
        </w:rPr>
        <w:t>6</w:t>
      </w:r>
      <w:r w:rsidRPr="0072101A">
        <w:rPr>
          <w:rFonts w:ascii="Times New Roman" w:hAnsi="Times New Roman"/>
          <w:szCs w:val="22"/>
        </w:rPr>
        <w:t xml:space="preserve"> tis. eur, </w:t>
      </w:r>
      <w:r w:rsidRPr="0072101A" w:rsidR="00A22DCA">
        <w:rPr>
          <w:rFonts w:ascii="Times New Roman" w:hAnsi="Times New Roman"/>
          <w:szCs w:val="22"/>
        </w:rPr>
        <w:t xml:space="preserve">územná samospráva </w:t>
      </w:r>
      <w:r w:rsidR="00C90315">
        <w:rPr>
          <w:rFonts w:ascii="Times New Roman" w:hAnsi="Times New Roman"/>
          <w:szCs w:val="22"/>
        </w:rPr>
        <w:t>112 31</w:t>
      </w:r>
      <w:r w:rsidR="006C1F36">
        <w:rPr>
          <w:rFonts w:ascii="Times New Roman" w:hAnsi="Times New Roman"/>
          <w:szCs w:val="22"/>
        </w:rPr>
        <w:t>9</w:t>
      </w:r>
      <w:r w:rsidRPr="0072101A">
        <w:rPr>
          <w:rFonts w:ascii="Times New Roman" w:hAnsi="Times New Roman"/>
          <w:szCs w:val="22"/>
        </w:rPr>
        <w:t xml:space="preserve"> tis. eur a ostatné subjekty </w:t>
      </w:r>
      <w:r w:rsidR="00C90315">
        <w:rPr>
          <w:rFonts w:ascii="Times New Roman" w:hAnsi="Times New Roman"/>
          <w:szCs w:val="22"/>
        </w:rPr>
        <w:t>44 031</w:t>
      </w:r>
      <w:r w:rsidRPr="0072101A">
        <w:rPr>
          <w:rFonts w:ascii="Times New Roman" w:hAnsi="Times New Roman"/>
          <w:szCs w:val="22"/>
        </w:rPr>
        <w:t xml:space="preserve"> tis.</w:t>
      </w:r>
      <w:r w:rsidRPr="0072101A" w:rsidR="0055252D">
        <w:rPr>
          <w:rFonts w:ascii="Times New Roman" w:hAnsi="Times New Roman"/>
          <w:szCs w:val="22"/>
        </w:rPr>
        <w:t xml:space="preserve"> eur, pričom ide najmä o</w:t>
      </w:r>
      <w:r w:rsidRPr="0072101A" w:rsidR="00230536">
        <w:rPr>
          <w:rFonts w:ascii="Times New Roman" w:hAnsi="Times New Roman"/>
          <w:szCs w:val="22"/>
        </w:rPr>
        <w:t> predpis miezd za mesiac december vyplácaných nasledujúce účtovné obdobie</w:t>
      </w:r>
      <w:r w:rsidRPr="0072101A" w:rsidR="0055252D">
        <w:rPr>
          <w:rFonts w:ascii="Times New Roman" w:hAnsi="Times New Roman"/>
          <w:szCs w:val="22"/>
        </w:rPr>
        <w:t>.</w:t>
      </w:r>
    </w:p>
    <w:p w:rsidR="00841BC3" w:rsidRPr="0072101A" w:rsidP="008B70DC">
      <w:pPr>
        <w:bidi w:val="0"/>
        <w:spacing w:after="120" w:line="336" w:lineRule="auto"/>
        <w:jc w:val="both"/>
        <w:rPr>
          <w:rFonts w:ascii="Times New Roman" w:hAnsi="Times New Roman"/>
          <w:szCs w:val="22"/>
        </w:rPr>
      </w:pPr>
      <w:r w:rsidRPr="0072101A">
        <w:rPr>
          <w:rFonts w:ascii="Times New Roman" w:hAnsi="Times New Roman"/>
          <w:i/>
          <w:szCs w:val="22"/>
          <w:u w:val="single"/>
        </w:rPr>
        <w:t>Záväzky zo sociálneho a zdravotného poistenia</w:t>
      </w:r>
      <w:r w:rsidRPr="0072101A">
        <w:rPr>
          <w:rFonts w:ascii="Times New Roman" w:hAnsi="Times New Roman"/>
          <w:szCs w:val="22"/>
        </w:rPr>
        <w:t xml:space="preserve">, ktoré neboli predmetom konsolidácie v súhrnnom celku dosiahli </w:t>
      </w:r>
      <w:r w:rsidR="00BA6005">
        <w:rPr>
          <w:rFonts w:ascii="Times New Roman" w:hAnsi="Times New Roman"/>
          <w:szCs w:val="22"/>
        </w:rPr>
        <w:t>349 818</w:t>
      </w:r>
      <w:r w:rsidRPr="0072101A" w:rsidR="00073F07">
        <w:rPr>
          <w:rFonts w:ascii="Times New Roman" w:hAnsi="Times New Roman"/>
          <w:szCs w:val="22"/>
        </w:rPr>
        <w:t xml:space="preserve"> </w:t>
      </w:r>
      <w:r w:rsidRPr="0072101A">
        <w:rPr>
          <w:rFonts w:ascii="Times New Roman" w:hAnsi="Times New Roman"/>
          <w:szCs w:val="22"/>
        </w:rPr>
        <w:t>tis. eur</w:t>
      </w:r>
      <w:r w:rsidRPr="0072101A" w:rsidR="007230FA">
        <w:rPr>
          <w:rFonts w:ascii="Times New Roman" w:hAnsi="Times New Roman"/>
          <w:szCs w:val="22"/>
        </w:rPr>
        <w:t>,</w:t>
      </w:r>
      <w:r w:rsidRPr="0072101A">
        <w:rPr>
          <w:rFonts w:ascii="Times New Roman" w:hAnsi="Times New Roman"/>
          <w:szCs w:val="22"/>
        </w:rPr>
        <w:t xml:space="preserve"> </w:t>
      </w:r>
      <w:r w:rsidRPr="0072101A" w:rsidR="007230FA">
        <w:rPr>
          <w:rFonts w:ascii="Times New Roman" w:hAnsi="Times New Roman"/>
          <w:szCs w:val="22"/>
        </w:rPr>
        <w:t>z</w:t>
      </w:r>
      <w:r w:rsidRPr="0072101A">
        <w:rPr>
          <w:rFonts w:ascii="Times New Roman" w:hAnsi="Times New Roman"/>
          <w:szCs w:val="22"/>
        </w:rPr>
        <w:t xml:space="preserve"> toho ústredná štátna správa vykázala </w:t>
      </w:r>
      <w:r w:rsidR="00BA6005">
        <w:rPr>
          <w:rFonts w:ascii="Times New Roman" w:hAnsi="Times New Roman"/>
          <w:szCs w:val="22"/>
        </w:rPr>
        <w:t>204 801</w:t>
      </w:r>
      <w:r w:rsidRPr="0072101A" w:rsidR="00705073">
        <w:rPr>
          <w:rFonts w:ascii="Times New Roman" w:hAnsi="Times New Roman"/>
          <w:szCs w:val="22"/>
        </w:rPr>
        <w:t xml:space="preserve"> </w:t>
      </w:r>
      <w:r w:rsidRPr="0072101A">
        <w:rPr>
          <w:rFonts w:ascii="Times New Roman" w:hAnsi="Times New Roman"/>
          <w:szCs w:val="22"/>
        </w:rPr>
        <w:t xml:space="preserve">tis. eur, </w:t>
      </w:r>
      <w:r w:rsidRPr="0072101A" w:rsidR="00705073">
        <w:rPr>
          <w:rFonts w:ascii="Times New Roman" w:hAnsi="Times New Roman"/>
          <w:szCs w:val="22"/>
        </w:rPr>
        <w:t xml:space="preserve">územná samospráva </w:t>
      </w:r>
      <w:r w:rsidR="00BA6005">
        <w:rPr>
          <w:rFonts w:ascii="Times New Roman" w:hAnsi="Times New Roman"/>
          <w:szCs w:val="22"/>
        </w:rPr>
        <w:t>115 054</w:t>
      </w:r>
      <w:r w:rsidRPr="0072101A">
        <w:rPr>
          <w:rFonts w:ascii="Times New Roman" w:hAnsi="Times New Roman"/>
          <w:szCs w:val="22"/>
        </w:rPr>
        <w:t xml:space="preserve"> tis. eur</w:t>
      </w:r>
      <w:r w:rsidRPr="0072101A" w:rsidR="00705073">
        <w:rPr>
          <w:rFonts w:ascii="Times New Roman" w:hAnsi="Times New Roman"/>
          <w:szCs w:val="22"/>
        </w:rPr>
        <w:t xml:space="preserve"> </w:t>
      </w:r>
      <w:r w:rsidRPr="0072101A">
        <w:rPr>
          <w:rFonts w:ascii="Times New Roman" w:hAnsi="Times New Roman"/>
          <w:szCs w:val="22"/>
        </w:rPr>
        <w:t xml:space="preserve">a ostatné subjekty </w:t>
      </w:r>
      <w:r w:rsidR="00BA6005">
        <w:rPr>
          <w:rFonts w:ascii="Times New Roman" w:hAnsi="Times New Roman"/>
          <w:szCs w:val="22"/>
        </w:rPr>
        <w:t>29 963</w:t>
      </w:r>
      <w:r w:rsidRPr="0072101A">
        <w:rPr>
          <w:rFonts w:ascii="Times New Roman" w:hAnsi="Times New Roman"/>
          <w:szCs w:val="22"/>
        </w:rPr>
        <w:t xml:space="preserve"> tis. eur.</w:t>
      </w:r>
    </w:p>
    <w:p w:rsidR="001C4D1E" w:rsidP="008B70DC">
      <w:pPr>
        <w:bidi w:val="0"/>
        <w:spacing w:after="120" w:line="336" w:lineRule="auto"/>
        <w:jc w:val="both"/>
        <w:rPr>
          <w:rFonts w:ascii="Times New Roman" w:hAnsi="Times New Roman"/>
          <w:szCs w:val="22"/>
        </w:rPr>
      </w:pPr>
      <w:r w:rsidRPr="0072101A" w:rsidR="008551F6">
        <w:rPr>
          <w:rFonts w:ascii="Times New Roman" w:hAnsi="Times New Roman"/>
          <w:i/>
          <w:szCs w:val="22"/>
          <w:u w:val="single"/>
        </w:rPr>
        <w:t>V rámci ostatných krátkodobých záväzkov</w:t>
      </w:r>
      <w:r>
        <w:rPr>
          <w:rFonts w:ascii="Times New Roman" w:hAnsi="Times New Roman"/>
          <w:szCs w:val="22"/>
        </w:rPr>
        <w:t xml:space="preserve"> vykazuje hodnotu najmä Ministerstvo financií SR (1 972 265 tis. eur) z daňovej oblasti, pričom ide o záväzky z nárokov na nadmerný odpočet DPH a tzv. voľné platby, ktoré búdu priradené príslušnej daňovej pohľadávke nasledujúce účtovné obdobie. Medziročný prírastok krátkodobých záväzkov bol spôsobený zmenou metodiky účtovania predpisu daní a prijatých platieb z daňových povinností. </w:t>
      </w:r>
    </w:p>
    <w:p w:rsidR="001C4D1E" w:rsidP="008B70DC">
      <w:pPr>
        <w:bidi w:val="0"/>
        <w:spacing w:after="120" w:line="336" w:lineRule="auto"/>
        <w:jc w:val="both"/>
        <w:rPr>
          <w:rFonts w:ascii="Times New Roman" w:hAnsi="Times New Roman"/>
          <w:szCs w:val="22"/>
        </w:rPr>
      </w:pPr>
      <w:r>
        <w:rPr>
          <w:rFonts w:ascii="Times New Roman" w:hAnsi="Times New Roman"/>
          <w:szCs w:val="22"/>
        </w:rPr>
        <w:t>Ďalšie krátkodobé záväzky vykazuje Slovenská záručná a rozvojová banka, a.s. (144 131 tis. eur), Všeobecná zdravotná poisťovňa, a.s. (123 130 tis. eur) a Slovenská pošta, a.s. (74 798 tis. eur).</w:t>
      </w:r>
    </w:p>
    <w:p w:rsidR="001C4D1E" w:rsidP="008B70DC">
      <w:pPr>
        <w:bidi w:val="0"/>
        <w:spacing w:after="120" w:line="336" w:lineRule="auto"/>
        <w:jc w:val="both"/>
        <w:rPr>
          <w:rFonts w:ascii="Times New Roman" w:hAnsi="Times New Roman"/>
          <w:szCs w:val="22"/>
        </w:rPr>
      </w:pPr>
      <w:r>
        <w:rPr>
          <w:rFonts w:ascii="Times New Roman" w:hAnsi="Times New Roman"/>
          <w:szCs w:val="22"/>
        </w:rPr>
        <w:t xml:space="preserve">V rámci krátkodobých záväzkov sa vykazujú aj </w:t>
      </w:r>
      <w:r w:rsidR="0057030D">
        <w:rPr>
          <w:rFonts w:ascii="Times New Roman" w:hAnsi="Times New Roman"/>
          <w:szCs w:val="22"/>
        </w:rPr>
        <w:t>vzťahy k účtom klientov Štátnej pokladnice v sume 270 906 tis. eur,</w:t>
      </w:r>
      <w:r w:rsidR="007D0EC8">
        <w:rPr>
          <w:rFonts w:ascii="Times New Roman" w:hAnsi="Times New Roman"/>
          <w:szCs w:val="22"/>
        </w:rPr>
        <w:t xml:space="preserve"> prijaté účelové transfery vo výške 146 499 tis. eur a</w:t>
      </w:r>
      <w:r w:rsidR="0057030D">
        <w:rPr>
          <w:rFonts w:ascii="Times New Roman" w:hAnsi="Times New Roman"/>
          <w:szCs w:val="22"/>
        </w:rPr>
        <w:t xml:space="preserve"> </w:t>
      </w:r>
      <w:r>
        <w:rPr>
          <w:rFonts w:ascii="Times New Roman" w:hAnsi="Times New Roman"/>
          <w:szCs w:val="22"/>
        </w:rPr>
        <w:t xml:space="preserve">prijaté preddavky v hodnote 137 935 </w:t>
      </w:r>
      <w:r w:rsidR="007D0EC8">
        <w:rPr>
          <w:rFonts w:ascii="Times New Roman" w:hAnsi="Times New Roman"/>
          <w:szCs w:val="22"/>
        </w:rPr>
        <w:t>tis. eur.</w:t>
      </w:r>
    </w:p>
    <w:p w:rsidR="00F81816">
      <w:pPr>
        <w:bidi w:val="0"/>
        <w:spacing w:after="0" w:line="240" w:lineRule="auto"/>
        <w:rPr>
          <w:rFonts w:ascii="Times New Roman" w:hAnsi="Times New Roman"/>
          <w:b/>
          <w:sz w:val="24"/>
          <w:szCs w:val="24"/>
          <w:lang w:eastAsia="sk-SK"/>
        </w:rPr>
      </w:pPr>
      <w:r>
        <w:rPr>
          <w:bCs/>
          <w:sz w:val="24"/>
          <w:szCs w:val="24"/>
        </w:rPr>
        <w:br w:type="page"/>
      </w:r>
    </w:p>
    <w:p w:rsidR="009270BF" w:rsidRPr="0072101A" w:rsidP="008B70DC">
      <w:pPr>
        <w:pStyle w:val="Pismenka"/>
        <w:tabs>
          <w:tab w:val="clear" w:pos="426"/>
        </w:tabs>
        <w:bidi w:val="0"/>
        <w:spacing w:before="360" w:after="120" w:line="360" w:lineRule="auto"/>
        <w:ind w:left="0" w:firstLine="0"/>
        <w:rPr>
          <w:rFonts w:ascii="Times New Roman" w:hAnsi="Times New Roman"/>
          <w:bCs w:val="0"/>
          <w:sz w:val="24"/>
          <w:szCs w:val="24"/>
        </w:rPr>
      </w:pPr>
      <w:r w:rsidRPr="0072101A">
        <w:rPr>
          <w:rFonts w:ascii="Times New Roman" w:hAnsi="Times New Roman"/>
          <w:bCs w:val="0"/>
          <w:sz w:val="24"/>
          <w:szCs w:val="24"/>
        </w:rPr>
        <w:t>B.IV. Bankové úvery a výpomoci</w:t>
      </w:r>
    </w:p>
    <w:p w:rsidR="00654BA3" w:rsidRPr="0072101A" w:rsidP="00C245D5">
      <w:pPr>
        <w:pStyle w:val="Pismenka"/>
        <w:tabs>
          <w:tab w:val="clear" w:pos="426"/>
        </w:tabs>
        <w:bidi w:val="0"/>
        <w:spacing w:after="120" w:line="336" w:lineRule="auto"/>
        <w:ind w:left="0" w:firstLine="0"/>
        <w:rPr>
          <w:rFonts w:ascii="Times New Roman" w:hAnsi="Times New Roman"/>
          <w:b w:val="0"/>
          <w:sz w:val="22"/>
          <w:szCs w:val="22"/>
        </w:rPr>
      </w:pPr>
      <w:r w:rsidRPr="0072101A" w:rsidR="00A6572D">
        <w:rPr>
          <w:rFonts w:ascii="Times New Roman" w:hAnsi="Times New Roman"/>
          <w:b w:val="0"/>
          <w:sz w:val="22"/>
          <w:szCs w:val="22"/>
        </w:rPr>
        <w:t>Bankové úvery</w:t>
      </w:r>
      <w:r w:rsidRPr="0072101A">
        <w:rPr>
          <w:rFonts w:ascii="Times New Roman" w:hAnsi="Times New Roman"/>
          <w:b w:val="0"/>
          <w:sz w:val="22"/>
          <w:szCs w:val="22"/>
        </w:rPr>
        <w:t>,</w:t>
      </w:r>
      <w:r w:rsidRPr="0072101A" w:rsidR="00A6572D">
        <w:rPr>
          <w:rFonts w:ascii="Times New Roman" w:hAnsi="Times New Roman"/>
          <w:b w:val="0"/>
          <w:bCs w:val="0"/>
          <w:sz w:val="22"/>
          <w:szCs w:val="22"/>
        </w:rPr>
        <w:t> </w:t>
      </w:r>
      <w:r w:rsidRPr="0072101A" w:rsidR="00A6572D">
        <w:rPr>
          <w:rFonts w:ascii="Times New Roman" w:hAnsi="Times New Roman"/>
          <w:b w:val="0"/>
          <w:sz w:val="22"/>
          <w:szCs w:val="22"/>
        </w:rPr>
        <w:t>výpomoci</w:t>
      </w:r>
      <w:r w:rsidRPr="0072101A" w:rsidR="00A6572D">
        <w:rPr>
          <w:rFonts w:ascii="Times New Roman" w:hAnsi="Times New Roman"/>
          <w:b w:val="0"/>
          <w:bCs w:val="0"/>
          <w:sz w:val="22"/>
          <w:szCs w:val="22"/>
        </w:rPr>
        <w:t xml:space="preserve"> </w:t>
      </w:r>
      <w:r w:rsidRPr="0072101A">
        <w:rPr>
          <w:rFonts w:ascii="Times New Roman" w:hAnsi="Times New Roman"/>
          <w:b w:val="0"/>
          <w:bCs w:val="0"/>
          <w:sz w:val="22"/>
          <w:szCs w:val="22"/>
        </w:rPr>
        <w:t xml:space="preserve">a krátkodobé dlhové cenné papiere </w:t>
      </w:r>
      <w:r w:rsidRPr="0072101A" w:rsidR="00A6572D">
        <w:rPr>
          <w:rFonts w:ascii="Times New Roman" w:hAnsi="Times New Roman"/>
          <w:b w:val="0"/>
          <w:sz w:val="22"/>
          <w:szCs w:val="22"/>
        </w:rPr>
        <w:t xml:space="preserve">dosiahli hodnotu </w:t>
      </w:r>
      <w:r w:rsidRPr="0072101A" w:rsidR="00C53807">
        <w:rPr>
          <w:rFonts w:ascii="Times New Roman" w:hAnsi="Times New Roman"/>
          <w:b w:val="0"/>
          <w:sz w:val="22"/>
          <w:szCs w:val="22"/>
        </w:rPr>
        <w:t>spolu</w:t>
        <w:br/>
      </w:r>
      <w:r w:rsidR="00D1072F">
        <w:rPr>
          <w:rFonts w:ascii="Times New Roman" w:hAnsi="Times New Roman"/>
          <w:b w:val="0"/>
          <w:sz w:val="22"/>
          <w:szCs w:val="22"/>
        </w:rPr>
        <w:t>9 315 030</w:t>
      </w:r>
      <w:r w:rsidRPr="0072101A" w:rsidR="00C245D5">
        <w:rPr>
          <w:rFonts w:ascii="Times New Roman" w:hAnsi="Times New Roman"/>
          <w:b w:val="0"/>
          <w:sz w:val="22"/>
          <w:szCs w:val="22"/>
        </w:rPr>
        <w:t xml:space="preserve"> tis. eur</w:t>
      </w:r>
      <w:r w:rsidRPr="0072101A">
        <w:rPr>
          <w:rFonts w:ascii="Times New Roman" w:hAnsi="Times New Roman"/>
          <w:b w:val="0"/>
          <w:sz w:val="22"/>
          <w:szCs w:val="22"/>
        </w:rPr>
        <w:t xml:space="preserve">, čo je medziročne </w:t>
      </w:r>
      <w:r w:rsidR="00D1072F">
        <w:rPr>
          <w:rFonts w:ascii="Times New Roman" w:hAnsi="Times New Roman"/>
          <w:b w:val="0"/>
          <w:sz w:val="22"/>
          <w:szCs w:val="22"/>
        </w:rPr>
        <w:t xml:space="preserve">viac </w:t>
      </w:r>
      <w:r w:rsidRPr="0072101A">
        <w:rPr>
          <w:rFonts w:ascii="Times New Roman" w:hAnsi="Times New Roman"/>
          <w:b w:val="0"/>
          <w:sz w:val="22"/>
          <w:szCs w:val="22"/>
        </w:rPr>
        <w:t>o</w:t>
      </w:r>
      <w:r w:rsidR="00D1072F">
        <w:rPr>
          <w:rFonts w:ascii="Times New Roman" w:hAnsi="Times New Roman"/>
          <w:b w:val="0"/>
          <w:sz w:val="22"/>
          <w:szCs w:val="22"/>
        </w:rPr>
        <w:t> 1 951 251</w:t>
      </w:r>
      <w:r w:rsidRPr="0072101A">
        <w:rPr>
          <w:rFonts w:ascii="Times New Roman" w:hAnsi="Times New Roman"/>
          <w:b w:val="0"/>
          <w:sz w:val="22"/>
          <w:szCs w:val="22"/>
        </w:rPr>
        <w:t xml:space="preserve"> tis. eur. </w:t>
      </w:r>
      <w:r w:rsidR="00FB1FB3">
        <w:rPr>
          <w:rFonts w:ascii="Times New Roman" w:hAnsi="Times New Roman"/>
          <w:b w:val="0"/>
          <w:sz w:val="22"/>
          <w:szCs w:val="22"/>
        </w:rPr>
        <w:t xml:space="preserve">Prírastok </w:t>
      </w:r>
      <w:r w:rsidRPr="0072101A">
        <w:rPr>
          <w:rFonts w:ascii="Times New Roman" w:hAnsi="Times New Roman"/>
          <w:b w:val="0"/>
          <w:sz w:val="22"/>
          <w:szCs w:val="22"/>
        </w:rPr>
        <w:t xml:space="preserve">zaznamenali najmä </w:t>
      </w:r>
      <w:r w:rsidRPr="0072101A" w:rsidR="00C245D5">
        <w:rPr>
          <w:rFonts w:ascii="Times New Roman" w:hAnsi="Times New Roman"/>
          <w:b w:val="0"/>
          <w:sz w:val="22"/>
          <w:szCs w:val="22"/>
        </w:rPr>
        <w:t xml:space="preserve">štátne </w:t>
      </w:r>
      <w:r w:rsidRPr="0072101A">
        <w:rPr>
          <w:rFonts w:ascii="Times New Roman" w:hAnsi="Times New Roman"/>
          <w:b w:val="0"/>
          <w:sz w:val="22"/>
          <w:szCs w:val="22"/>
        </w:rPr>
        <w:t xml:space="preserve">krátkodobé </w:t>
      </w:r>
      <w:r w:rsidRPr="0072101A" w:rsidR="00C245D5">
        <w:rPr>
          <w:rFonts w:ascii="Times New Roman" w:hAnsi="Times New Roman"/>
          <w:b w:val="0"/>
          <w:sz w:val="22"/>
          <w:szCs w:val="22"/>
        </w:rPr>
        <w:t>dlhopisy o</w:t>
      </w:r>
      <w:r w:rsidR="00FB1FB3">
        <w:rPr>
          <w:rFonts w:ascii="Times New Roman" w:hAnsi="Times New Roman"/>
          <w:b w:val="0"/>
          <w:sz w:val="22"/>
          <w:szCs w:val="22"/>
        </w:rPr>
        <w:t> 1 546 095</w:t>
      </w:r>
      <w:r w:rsidRPr="0072101A" w:rsidR="00C245D5">
        <w:rPr>
          <w:rFonts w:ascii="Times New Roman" w:hAnsi="Times New Roman"/>
          <w:b w:val="0"/>
          <w:sz w:val="22"/>
          <w:szCs w:val="22"/>
        </w:rPr>
        <w:t xml:space="preserve"> tis. eur</w:t>
      </w:r>
      <w:r w:rsidR="00FB1FB3">
        <w:rPr>
          <w:rFonts w:ascii="Times New Roman" w:hAnsi="Times New Roman"/>
          <w:b w:val="0"/>
          <w:sz w:val="22"/>
          <w:szCs w:val="22"/>
        </w:rPr>
        <w:t>, čo bolo spôsobené preúčtovaním dlhodobých dlhopisov, ktorých splatnosť sa očakáva do jedného roka</w:t>
      </w:r>
      <w:r w:rsidRPr="0072101A" w:rsidR="00C245D5">
        <w:rPr>
          <w:rFonts w:ascii="Times New Roman" w:hAnsi="Times New Roman"/>
          <w:b w:val="0"/>
          <w:sz w:val="22"/>
          <w:szCs w:val="22"/>
        </w:rPr>
        <w:t xml:space="preserve">. Prírastok zaznamenali </w:t>
      </w:r>
      <w:r w:rsidR="00C2111B">
        <w:rPr>
          <w:rFonts w:ascii="Times New Roman" w:hAnsi="Times New Roman"/>
          <w:b w:val="0"/>
          <w:sz w:val="22"/>
          <w:szCs w:val="22"/>
        </w:rPr>
        <w:t xml:space="preserve">aj </w:t>
      </w:r>
      <w:r w:rsidRPr="0072101A" w:rsidR="00C245D5">
        <w:rPr>
          <w:rFonts w:ascii="Times New Roman" w:hAnsi="Times New Roman"/>
          <w:b w:val="0"/>
          <w:sz w:val="22"/>
          <w:szCs w:val="22"/>
        </w:rPr>
        <w:t>dlhodobé bankové úvery o</w:t>
      </w:r>
      <w:r w:rsidR="00C2111B">
        <w:rPr>
          <w:rFonts w:ascii="Times New Roman" w:hAnsi="Times New Roman"/>
          <w:b w:val="0"/>
          <w:sz w:val="22"/>
          <w:szCs w:val="22"/>
        </w:rPr>
        <w:t> 459 817</w:t>
      </w:r>
      <w:r w:rsidRPr="0072101A" w:rsidR="00C245D5">
        <w:rPr>
          <w:rFonts w:ascii="Times New Roman" w:hAnsi="Times New Roman"/>
          <w:b w:val="0"/>
          <w:sz w:val="22"/>
          <w:szCs w:val="22"/>
        </w:rPr>
        <w:t xml:space="preserve"> tis. eur</w:t>
      </w:r>
      <w:r w:rsidR="00C2111B">
        <w:rPr>
          <w:rFonts w:ascii="Times New Roman" w:hAnsi="Times New Roman"/>
          <w:b w:val="0"/>
          <w:sz w:val="22"/>
          <w:szCs w:val="22"/>
        </w:rPr>
        <w:t xml:space="preserve"> a krátkodobé výpomoci o 12 565 tis. eur. Naopak</w:t>
      </w:r>
      <w:r w:rsidRPr="0072101A" w:rsidR="00C245D5">
        <w:rPr>
          <w:rFonts w:ascii="Times New Roman" w:hAnsi="Times New Roman"/>
          <w:b w:val="0"/>
          <w:sz w:val="22"/>
          <w:szCs w:val="22"/>
        </w:rPr>
        <w:t xml:space="preserve"> krátkodobé úvery </w:t>
      </w:r>
      <w:r w:rsidR="00C2111B">
        <w:rPr>
          <w:rFonts w:ascii="Times New Roman" w:hAnsi="Times New Roman"/>
          <w:b w:val="0"/>
          <w:sz w:val="22"/>
          <w:szCs w:val="22"/>
        </w:rPr>
        <w:t xml:space="preserve">poklesli úhrnom </w:t>
      </w:r>
      <w:r w:rsidRPr="0072101A" w:rsidR="00C245D5">
        <w:rPr>
          <w:rFonts w:ascii="Times New Roman" w:hAnsi="Times New Roman"/>
          <w:b w:val="0"/>
          <w:sz w:val="22"/>
          <w:szCs w:val="22"/>
        </w:rPr>
        <w:t>o</w:t>
      </w:r>
      <w:r w:rsidR="00C2111B">
        <w:rPr>
          <w:rFonts w:ascii="Times New Roman" w:hAnsi="Times New Roman"/>
          <w:b w:val="0"/>
          <w:sz w:val="22"/>
          <w:szCs w:val="22"/>
        </w:rPr>
        <w:t> 64 125</w:t>
      </w:r>
      <w:r w:rsidRPr="0072101A" w:rsidR="00C245D5">
        <w:rPr>
          <w:rFonts w:ascii="Times New Roman" w:hAnsi="Times New Roman"/>
          <w:b w:val="0"/>
          <w:sz w:val="22"/>
          <w:szCs w:val="22"/>
        </w:rPr>
        <w:t xml:space="preserve"> tis. eur.</w:t>
      </w:r>
    </w:p>
    <w:p w:rsidR="00AA6D51" w:rsidRPr="0072101A" w:rsidP="008B70DC">
      <w:pPr>
        <w:pStyle w:val="Pismenka"/>
        <w:tabs>
          <w:tab w:val="clear" w:pos="426"/>
        </w:tabs>
        <w:bidi w:val="0"/>
        <w:spacing w:after="120" w:line="336" w:lineRule="auto"/>
        <w:ind w:left="0" w:firstLine="0"/>
        <w:rPr>
          <w:rFonts w:ascii="Times New Roman" w:hAnsi="Times New Roman"/>
          <w:b w:val="0"/>
          <w:i/>
          <w:sz w:val="22"/>
          <w:szCs w:val="22"/>
          <w:u w:val="single"/>
        </w:rPr>
      </w:pPr>
      <w:r w:rsidRPr="0072101A">
        <w:rPr>
          <w:rFonts w:ascii="Times New Roman" w:hAnsi="Times New Roman"/>
          <w:b w:val="0"/>
          <w:i/>
          <w:sz w:val="22"/>
          <w:szCs w:val="22"/>
          <w:u w:val="single"/>
        </w:rPr>
        <w:t>Bankové úvery</w:t>
      </w:r>
    </w:p>
    <w:p w:rsidR="00C92548" w:rsidRPr="0072101A" w:rsidP="008B70DC">
      <w:pPr>
        <w:pStyle w:val="Pismenka"/>
        <w:tabs>
          <w:tab w:val="clear" w:pos="426"/>
        </w:tabs>
        <w:bidi w:val="0"/>
        <w:spacing w:after="120" w:line="336" w:lineRule="auto"/>
        <w:ind w:left="0" w:firstLine="0"/>
        <w:rPr>
          <w:rFonts w:ascii="Times New Roman" w:hAnsi="Times New Roman"/>
          <w:b w:val="0"/>
          <w:sz w:val="22"/>
          <w:szCs w:val="22"/>
        </w:rPr>
      </w:pPr>
      <w:r w:rsidRPr="0072101A" w:rsidR="00AA6D51">
        <w:rPr>
          <w:rFonts w:ascii="Times New Roman" w:hAnsi="Times New Roman"/>
          <w:b w:val="0"/>
          <w:sz w:val="22"/>
          <w:szCs w:val="22"/>
        </w:rPr>
        <w:t>Bankové úvery dosiahli k 31.12.201</w:t>
      </w:r>
      <w:r w:rsidR="005E5C9B">
        <w:rPr>
          <w:rFonts w:ascii="Times New Roman" w:hAnsi="Times New Roman"/>
          <w:b w:val="0"/>
          <w:sz w:val="22"/>
          <w:szCs w:val="22"/>
        </w:rPr>
        <w:t>5</w:t>
      </w:r>
      <w:r w:rsidRPr="0072101A" w:rsidR="00AA6D51">
        <w:rPr>
          <w:rFonts w:ascii="Times New Roman" w:hAnsi="Times New Roman"/>
          <w:b w:val="0"/>
          <w:sz w:val="22"/>
          <w:szCs w:val="22"/>
        </w:rPr>
        <w:t xml:space="preserve"> hodnotu </w:t>
      </w:r>
      <w:r w:rsidR="005E5C9B">
        <w:rPr>
          <w:rFonts w:ascii="Times New Roman" w:hAnsi="Times New Roman"/>
          <w:b w:val="0"/>
          <w:sz w:val="22"/>
          <w:szCs w:val="22"/>
        </w:rPr>
        <w:t>4 482 674 tis. eur</w:t>
      </w:r>
      <w:r w:rsidRPr="0072101A" w:rsidR="007B3540">
        <w:rPr>
          <w:rFonts w:ascii="Times New Roman" w:hAnsi="Times New Roman"/>
          <w:b w:val="0"/>
          <w:sz w:val="22"/>
          <w:szCs w:val="22"/>
        </w:rPr>
        <w:t>, z toho bežné bankové úvery</w:t>
        <w:br/>
      </w:r>
      <w:r w:rsidR="005E5C9B">
        <w:rPr>
          <w:rFonts w:ascii="Times New Roman" w:hAnsi="Times New Roman"/>
          <w:b w:val="0"/>
          <w:sz w:val="22"/>
          <w:szCs w:val="22"/>
        </w:rPr>
        <w:t>445 53</w:t>
      </w:r>
      <w:r w:rsidR="006E0705">
        <w:rPr>
          <w:rFonts w:ascii="Times New Roman" w:hAnsi="Times New Roman"/>
          <w:b w:val="0"/>
          <w:sz w:val="22"/>
          <w:szCs w:val="22"/>
        </w:rPr>
        <w:t>1</w:t>
      </w:r>
      <w:r w:rsidR="005E5C9B">
        <w:rPr>
          <w:rFonts w:ascii="Times New Roman" w:hAnsi="Times New Roman"/>
          <w:b w:val="0"/>
          <w:sz w:val="22"/>
          <w:szCs w:val="22"/>
        </w:rPr>
        <w:t xml:space="preserve"> </w:t>
      </w:r>
      <w:r w:rsidRPr="0072101A" w:rsidR="00AA6D51">
        <w:rPr>
          <w:rFonts w:ascii="Times New Roman" w:hAnsi="Times New Roman"/>
          <w:b w:val="0"/>
          <w:sz w:val="22"/>
          <w:szCs w:val="22"/>
        </w:rPr>
        <w:t xml:space="preserve">tis. eur a dlhodobé úvery </w:t>
      </w:r>
      <w:r w:rsidR="005E5C9B">
        <w:rPr>
          <w:rFonts w:ascii="Times New Roman" w:hAnsi="Times New Roman"/>
          <w:b w:val="0"/>
          <w:sz w:val="22"/>
          <w:szCs w:val="22"/>
        </w:rPr>
        <w:t>4 037 143</w:t>
      </w:r>
      <w:r w:rsidRPr="0072101A" w:rsidR="00AA6D51">
        <w:rPr>
          <w:rFonts w:ascii="Times New Roman" w:hAnsi="Times New Roman"/>
          <w:b w:val="0"/>
          <w:sz w:val="22"/>
          <w:szCs w:val="22"/>
        </w:rPr>
        <w:t xml:space="preserve"> tis. eur.</w:t>
      </w:r>
      <w:r w:rsidR="006E60DA">
        <w:rPr>
          <w:rFonts w:ascii="Times New Roman" w:hAnsi="Times New Roman"/>
          <w:b w:val="0"/>
          <w:sz w:val="22"/>
          <w:szCs w:val="22"/>
        </w:rPr>
        <w:t xml:space="preserve"> Medziročne bol zost</w:t>
      </w:r>
      <w:r w:rsidR="001D1D14">
        <w:rPr>
          <w:rFonts w:ascii="Times New Roman" w:hAnsi="Times New Roman"/>
          <w:b w:val="0"/>
          <w:sz w:val="22"/>
          <w:szCs w:val="22"/>
        </w:rPr>
        <w:t>atok úverov vyšší o 392 691 </w:t>
      </w:r>
      <w:r w:rsidR="006E60DA">
        <w:rPr>
          <w:rFonts w:ascii="Times New Roman" w:hAnsi="Times New Roman"/>
          <w:b w:val="0"/>
          <w:sz w:val="22"/>
          <w:szCs w:val="22"/>
        </w:rPr>
        <w:t>tis. eur.</w:t>
      </w:r>
    </w:p>
    <w:p w:rsidR="00990A37" w:rsidP="008B70DC">
      <w:pPr>
        <w:pStyle w:val="Pismenka"/>
        <w:tabs>
          <w:tab w:val="clear" w:pos="426"/>
        </w:tabs>
        <w:bidi w:val="0"/>
        <w:spacing w:after="120" w:line="336" w:lineRule="auto"/>
        <w:ind w:left="0" w:firstLine="0"/>
        <w:rPr>
          <w:rFonts w:ascii="Times New Roman" w:hAnsi="Times New Roman"/>
          <w:b w:val="0"/>
          <w:sz w:val="22"/>
          <w:szCs w:val="22"/>
        </w:rPr>
      </w:pPr>
      <w:r w:rsidRPr="0072101A" w:rsidR="00E9203C">
        <w:rPr>
          <w:rFonts w:ascii="Times New Roman" w:hAnsi="Times New Roman"/>
          <w:b w:val="0"/>
          <w:sz w:val="22"/>
          <w:szCs w:val="22"/>
        </w:rPr>
        <w:t xml:space="preserve">Z celkovej hodnoty bankových úverov vykazuje ústredná správa </w:t>
      </w:r>
      <w:r w:rsidRPr="0072101A" w:rsidR="003458AF">
        <w:rPr>
          <w:rFonts w:ascii="Times New Roman" w:hAnsi="Times New Roman"/>
          <w:b w:val="0"/>
          <w:sz w:val="22"/>
          <w:szCs w:val="22"/>
        </w:rPr>
        <w:t xml:space="preserve">sumu </w:t>
      </w:r>
      <w:r>
        <w:rPr>
          <w:rFonts w:ascii="Times New Roman" w:hAnsi="Times New Roman"/>
          <w:b w:val="0"/>
          <w:sz w:val="22"/>
          <w:szCs w:val="22"/>
        </w:rPr>
        <w:t xml:space="preserve">2 837 716 </w:t>
      </w:r>
      <w:r w:rsidRPr="0072101A" w:rsidR="001D1B33">
        <w:rPr>
          <w:rFonts w:ascii="Times New Roman" w:hAnsi="Times New Roman"/>
          <w:b w:val="0"/>
          <w:sz w:val="22"/>
          <w:szCs w:val="22"/>
        </w:rPr>
        <w:t>tis. eur</w:t>
      </w:r>
      <w:r>
        <w:rPr>
          <w:rFonts w:ascii="Times New Roman" w:hAnsi="Times New Roman"/>
          <w:b w:val="0"/>
          <w:sz w:val="22"/>
          <w:szCs w:val="22"/>
        </w:rPr>
        <w:t xml:space="preserve"> a najviac sa podieľa aj na medziročnom prírastku 264 736 tis. eur. </w:t>
      </w:r>
      <w:r w:rsidR="001D2881">
        <w:rPr>
          <w:rFonts w:ascii="Times New Roman" w:hAnsi="Times New Roman"/>
          <w:b w:val="0"/>
          <w:sz w:val="22"/>
          <w:szCs w:val="22"/>
        </w:rPr>
        <w:t>Úvery</w:t>
      </w:r>
      <w:r w:rsidR="002D1E43">
        <w:rPr>
          <w:rFonts w:ascii="Times New Roman" w:hAnsi="Times New Roman"/>
          <w:b w:val="0"/>
          <w:sz w:val="22"/>
          <w:szCs w:val="22"/>
        </w:rPr>
        <w:t xml:space="preserve"> obcí dosiahli 924 080 tis. eur, úvery vyšších územných celkov 363 360 tis. eur a ostatných subjektov 357 518 tis. eur.</w:t>
      </w:r>
    </w:p>
    <w:p w:rsidR="001D1B33" w:rsidRPr="0072101A" w:rsidP="008B70DC">
      <w:pPr>
        <w:pStyle w:val="Pismenka"/>
        <w:tabs>
          <w:tab w:val="clear" w:pos="426"/>
        </w:tabs>
        <w:bidi w:val="0"/>
        <w:spacing w:after="120" w:line="336" w:lineRule="auto"/>
        <w:ind w:left="0" w:firstLine="0"/>
        <w:rPr>
          <w:rFonts w:ascii="Times New Roman" w:hAnsi="Times New Roman"/>
          <w:b w:val="0"/>
          <w:sz w:val="22"/>
          <w:szCs w:val="22"/>
        </w:rPr>
      </w:pPr>
      <w:r w:rsidR="00F73723">
        <w:rPr>
          <w:rFonts w:ascii="Times New Roman" w:hAnsi="Times New Roman"/>
          <w:b w:val="0"/>
          <w:sz w:val="22"/>
          <w:szCs w:val="22"/>
        </w:rPr>
        <w:t xml:space="preserve">Z ústrednej správy je rozhodujúcim subjektom vo výške prijatých a splácaných úverov Ministerstvo financií SR, ktoré využíva výhodnejšie úrokové a úverové podmienky od medzinárodných finančných inštitúcií (vo väčšine ktorých je samotné Slovensko aj členom) na financovanie projektov v oblasti infraštruktúry, životného prostredia, podpory hospodárstva a jeho modernizácie. </w:t>
      </w:r>
    </w:p>
    <w:tbl>
      <w:tblPr>
        <w:tblStyle w:val="TableNormal"/>
        <w:tblW w:w="4583" w:type="pct"/>
        <w:jc w:val="center"/>
        <w:tblCellMar>
          <w:left w:w="70" w:type="dxa"/>
          <w:right w:w="70" w:type="dxa"/>
        </w:tblCellMar>
        <w:tblLook w:val="00A0"/>
      </w:tblPr>
      <w:tblGrid>
        <w:gridCol w:w="5600"/>
        <w:gridCol w:w="1435"/>
        <w:gridCol w:w="1408"/>
      </w:tblGrid>
      <w:tr>
        <w:tblPrEx>
          <w:tblW w:w="4583" w:type="pct"/>
          <w:jc w:val="center"/>
          <w:tblCellMar>
            <w:left w:w="70" w:type="dxa"/>
            <w:right w:w="70" w:type="dxa"/>
          </w:tblCellMar>
          <w:tblLook w:val="00A0"/>
        </w:tblPrEx>
        <w:trPr>
          <w:trHeight w:val="330"/>
          <w:jc w:val="center"/>
        </w:trPr>
        <w:tc>
          <w:tcPr>
            <w:tcW w:w="3316" w:type="pct"/>
            <w:tcBorders>
              <w:top w:val="single" w:sz="4" w:space="0" w:color="auto"/>
              <w:left w:val="nil"/>
              <w:bottom w:val="single" w:sz="4" w:space="0" w:color="auto"/>
              <w:right w:val="nil"/>
            </w:tcBorders>
            <w:shd w:val="clear" w:color="000000" w:fill="000000"/>
            <w:noWrap/>
            <w:textDirection w:val="lrTb"/>
            <w:vAlign w:val="center"/>
          </w:tcPr>
          <w:p w:rsidR="002536B9" w:rsidRPr="0072101A" w:rsidP="0070488B">
            <w:pPr>
              <w:bidi w:val="0"/>
              <w:spacing w:after="0" w:line="240" w:lineRule="auto"/>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Úvery SR voči zahraničným inštitúciám (v tis. eur)</w:t>
            </w:r>
          </w:p>
        </w:tc>
        <w:tc>
          <w:tcPr>
            <w:tcW w:w="850" w:type="pct"/>
            <w:tcBorders>
              <w:top w:val="single" w:sz="4" w:space="0" w:color="auto"/>
              <w:left w:val="nil"/>
              <w:bottom w:val="single" w:sz="4" w:space="0" w:color="auto"/>
              <w:right w:val="nil"/>
            </w:tcBorders>
            <w:shd w:val="clear" w:color="000000" w:fill="000000"/>
            <w:textDirection w:val="lrTb"/>
            <w:vAlign w:val="center"/>
          </w:tcPr>
          <w:p w:rsidR="002536B9" w:rsidRPr="0072101A" w:rsidP="0070488B">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c>
          <w:tcPr>
            <w:tcW w:w="834" w:type="pct"/>
            <w:tcBorders>
              <w:top w:val="single" w:sz="4" w:space="0" w:color="auto"/>
              <w:left w:val="nil"/>
              <w:bottom w:val="single" w:sz="4" w:space="0" w:color="auto"/>
              <w:right w:val="nil"/>
            </w:tcBorders>
            <w:shd w:val="clear" w:color="000000" w:fill="000000"/>
            <w:textDirection w:val="lrTb"/>
            <w:vAlign w:val="center"/>
          </w:tcPr>
          <w:p w:rsidR="002536B9" w:rsidRPr="0072101A" w:rsidP="0070488B">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r>
      <w:tr>
        <w:tblPrEx>
          <w:tblW w:w="4583" w:type="pct"/>
          <w:jc w:val="center"/>
          <w:tblCellMar>
            <w:left w:w="70" w:type="dxa"/>
            <w:right w:w="70" w:type="dxa"/>
          </w:tblCellMar>
          <w:tblLook w:val="00A0"/>
        </w:tblPrEx>
        <w:trPr>
          <w:trHeight w:val="330"/>
          <w:jc w:val="center"/>
        </w:trPr>
        <w:tc>
          <w:tcPr>
            <w:tcW w:w="3316" w:type="pct"/>
            <w:tcBorders>
              <w:top w:val="nil"/>
              <w:left w:val="nil"/>
              <w:bottom w:val="single" w:sz="4" w:space="0" w:color="auto"/>
              <w:right w:val="nil"/>
            </w:tcBorders>
            <w:shd w:val="clear" w:color="000000" w:fill="BFBFBF"/>
            <w:noWrap/>
            <w:textDirection w:val="lrTb"/>
            <w:vAlign w:val="bottom"/>
          </w:tcPr>
          <w:p w:rsidR="002536B9" w:rsidRPr="0072101A" w:rsidP="0070488B">
            <w:pPr>
              <w:bidi w:val="0"/>
              <w:spacing w:after="0" w:line="240" w:lineRule="auto"/>
              <w:rPr>
                <w:rFonts w:ascii="Times New Roman" w:hAnsi="Times New Roman"/>
                <w:b/>
                <w:bCs/>
                <w:sz w:val="20"/>
                <w:szCs w:val="20"/>
                <w:lang w:eastAsia="sk-SK"/>
              </w:rPr>
            </w:pPr>
            <w:r w:rsidRPr="0072101A">
              <w:rPr>
                <w:rFonts w:ascii="Times New Roman" w:hAnsi="Times New Roman"/>
                <w:b/>
                <w:bCs/>
                <w:sz w:val="20"/>
                <w:szCs w:val="20"/>
                <w:lang w:eastAsia="sk-SK"/>
              </w:rPr>
              <w:t>Finančná inštitúcia</w:t>
            </w:r>
          </w:p>
        </w:tc>
        <w:tc>
          <w:tcPr>
            <w:tcW w:w="850" w:type="pct"/>
            <w:tcBorders>
              <w:top w:val="nil"/>
              <w:left w:val="nil"/>
              <w:bottom w:val="single" w:sz="4" w:space="0" w:color="auto"/>
              <w:right w:val="nil"/>
            </w:tcBorders>
            <w:shd w:val="clear" w:color="000000" w:fill="BFBFBF"/>
            <w:noWrap/>
            <w:textDirection w:val="lrTb"/>
            <w:vAlign w:val="bottom"/>
          </w:tcPr>
          <w:p w:rsidR="002536B9" w:rsidRPr="0072101A" w:rsidP="003E44B3">
            <w:pPr>
              <w:bidi w:val="0"/>
              <w:spacing w:after="0" w:line="240" w:lineRule="auto"/>
              <w:jc w:val="center"/>
              <w:rPr>
                <w:rFonts w:ascii="Times New Roman" w:hAnsi="Times New Roman"/>
                <w:b/>
                <w:bCs/>
                <w:sz w:val="20"/>
                <w:szCs w:val="20"/>
                <w:lang w:eastAsia="sk-SK"/>
              </w:rPr>
            </w:pPr>
            <w:r w:rsidRPr="0072101A" w:rsidR="0026450F">
              <w:rPr>
                <w:rFonts w:ascii="Times New Roman" w:hAnsi="Times New Roman"/>
                <w:b/>
                <w:bCs/>
                <w:sz w:val="20"/>
                <w:szCs w:val="20"/>
                <w:lang w:eastAsia="sk-SK"/>
              </w:rPr>
              <w:t xml:space="preserve">       </w:t>
            </w:r>
            <w:r w:rsidR="00F73723">
              <w:rPr>
                <w:rFonts w:ascii="Times New Roman" w:hAnsi="Times New Roman"/>
                <w:b/>
                <w:bCs/>
                <w:sz w:val="20"/>
                <w:szCs w:val="20"/>
                <w:lang w:eastAsia="sk-SK"/>
              </w:rPr>
              <w:t>2015</w:t>
            </w:r>
          </w:p>
        </w:tc>
        <w:tc>
          <w:tcPr>
            <w:tcW w:w="834" w:type="pct"/>
            <w:tcBorders>
              <w:top w:val="nil"/>
              <w:left w:val="nil"/>
              <w:bottom w:val="single" w:sz="4" w:space="0" w:color="auto"/>
              <w:right w:val="nil"/>
            </w:tcBorders>
            <w:shd w:val="clear" w:color="000000" w:fill="BFBFBF"/>
            <w:noWrap/>
            <w:textDirection w:val="lrTb"/>
            <w:vAlign w:val="bottom"/>
          </w:tcPr>
          <w:p w:rsidR="002536B9" w:rsidRPr="0072101A" w:rsidP="003E44B3">
            <w:pPr>
              <w:bidi w:val="0"/>
              <w:spacing w:after="0" w:line="240" w:lineRule="auto"/>
              <w:jc w:val="center"/>
              <w:rPr>
                <w:rFonts w:ascii="Times New Roman" w:hAnsi="Times New Roman"/>
                <w:b/>
                <w:bCs/>
                <w:sz w:val="20"/>
                <w:szCs w:val="20"/>
                <w:lang w:eastAsia="sk-SK"/>
              </w:rPr>
            </w:pPr>
            <w:r w:rsidRPr="0072101A" w:rsidR="0026450F">
              <w:rPr>
                <w:rFonts w:ascii="Times New Roman" w:hAnsi="Times New Roman"/>
                <w:b/>
                <w:bCs/>
                <w:sz w:val="20"/>
                <w:szCs w:val="20"/>
                <w:lang w:eastAsia="sk-SK"/>
              </w:rPr>
              <w:t xml:space="preserve">          201</w:t>
            </w:r>
            <w:r w:rsidR="00F73723">
              <w:rPr>
                <w:rFonts w:ascii="Times New Roman" w:hAnsi="Times New Roman"/>
                <w:b/>
                <w:bCs/>
                <w:sz w:val="20"/>
                <w:szCs w:val="20"/>
                <w:lang w:eastAsia="sk-SK"/>
              </w:rPr>
              <w:t>4</w:t>
            </w:r>
          </w:p>
        </w:tc>
      </w:tr>
      <w:tr>
        <w:tblPrEx>
          <w:tblW w:w="4583" w:type="pct"/>
          <w:jc w:val="center"/>
          <w:tblCellMar>
            <w:left w:w="70" w:type="dxa"/>
            <w:right w:w="70" w:type="dxa"/>
          </w:tblCellMar>
          <w:tblLook w:val="00A0"/>
        </w:tblPrEx>
        <w:trPr>
          <w:trHeight w:val="330"/>
          <w:jc w:val="center"/>
        </w:trPr>
        <w:tc>
          <w:tcPr>
            <w:tcW w:w="3316" w:type="pct"/>
            <w:tcBorders>
              <w:top w:val="nil"/>
              <w:left w:val="nil"/>
              <w:bottom w:val="nil"/>
              <w:right w:val="nil"/>
            </w:tcBorders>
            <w:shd w:val="clear" w:color="000000" w:fill="FFFFFF"/>
            <w:textDirection w:val="lrTb"/>
            <w:vAlign w:val="center"/>
          </w:tcPr>
          <w:p w:rsidR="00F73723" w:rsidRPr="0072101A" w:rsidP="00254B31">
            <w:pPr>
              <w:bidi w:val="0"/>
              <w:spacing w:after="0" w:line="240" w:lineRule="auto"/>
              <w:rPr>
                <w:rFonts w:ascii="Times New Roman" w:hAnsi="Times New Roman"/>
                <w:color w:val="000000"/>
                <w:sz w:val="20"/>
                <w:szCs w:val="20"/>
                <w:lang w:eastAsia="sk-SK"/>
              </w:rPr>
            </w:pPr>
            <w:r w:rsidRPr="0072101A">
              <w:rPr>
                <w:rFonts w:ascii="Times New Roman" w:hAnsi="Times New Roman"/>
                <w:bCs/>
                <w:color w:val="000000"/>
                <w:sz w:val="20"/>
                <w:szCs w:val="20"/>
                <w:lang w:eastAsia="sk-SK"/>
              </w:rPr>
              <w:t xml:space="preserve">Európska investičná banka </w:t>
            </w:r>
          </w:p>
        </w:tc>
        <w:tc>
          <w:tcPr>
            <w:tcW w:w="850" w:type="pct"/>
            <w:tcBorders>
              <w:top w:val="nil"/>
              <w:left w:val="nil"/>
              <w:bottom w:val="nil"/>
              <w:right w:val="nil"/>
            </w:tcBorders>
            <w:shd w:val="clear" w:color="000000" w:fill="FFFFFF"/>
            <w:textDirection w:val="lrTb"/>
            <w:vAlign w:val="center"/>
          </w:tcPr>
          <w:p w:rsidR="00F73723" w:rsidRPr="00F73723" w:rsidP="00254B31">
            <w:pPr>
              <w:bidi w:val="0"/>
              <w:spacing w:after="0" w:line="240" w:lineRule="auto"/>
              <w:jc w:val="right"/>
              <w:rPr>
                <w:rFonts w:ascii="Times New Roman" w:hAnsi="Times New Roman"/>
                <w:color w:val="000000"/>
                <w:sz w:val="20"/>
                <w:szCs w:val="20"/>
                <w:lang w:eastAsia="sk-SK"/>
              </w:rPr>
            </w:pPr>
            <w:r w:rsidR="009F60D2">
              <w:rPr>
                <w:rFonts w:ascii="Times New Roman" w:hAnsi="Times New Roman"/>
                <w:color w:val="000000"/>
                <w:sz w:val="20"/>
                <w:szCs w:val="20"/>
                <w:lang w:eastAsia="sk-SK"/>
              </w:rPr>
              <w:t>1 814 486</w:t>
            </w:r>
          </w:p>
        </w:tc>
        <w:tc>
          <w:tcPr>
            <w:tcW w:w="834" w:type="pct"/>
            <w:tcBorders>
              <w:top w:val="nil"/>
              <w:left w:val="nil"/>
              <w:bottom w:val="nil"/>
              <w:right w:val="nil"/>
            </w:tcBorders>
            <w:shd w:val="clear" w:color="000000" w:fill="FFFFFF"/>
            <w:textDirection w:val="lrTb"/>
            <w:vAlign w:val="center"/>
          </w:tcPr>
          <w:p w:rsidR="00F73723" w:rsidRPr="0072101A" w:rsidP="001603B3">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1 499 633</w:t>
            </w:r>
          </w:p>
        </w:tc>
      </w:tr>
      <w:tr>
        <w:tblPrEx>
          <w:tblW w:w="4583" w:type="pct"/>
          <w:jc w:val="center"/>
          <w:tblCellMar>
            <w:left w:w="70" w:type="dxa"/>
            <w:right w:w="70" w:type="dxa"/>
          </w:tblCellMar>
          <w:tblLook w:val="00A0"/>
        </w:tblPrEx>
        <w:trPr>
          <w:trHeight w:val="330"/>
          <w:jc w:val="center"/>
        </w:trPr>
        <w:tc>
          <w:tcPr>
            <w:tcW w:w="3316" w:type="pct"/>
            <w:tcBorders>
              <w:top w:val="nil"/>
              <w:left w:val="nil"/>
              <w:bottom w:val="nil"/>
              <w:right w:val="nil"/>
            </w:tcBorders>
            <w:shd w:val="clear" w:color="000000" w:fill="FFFFFF"/>
            <w:textDirection w:val="lrTb"/>
            <w:vAlign w:val="center"/>
          </w:tcPr>
          <w:p w:rsidR="00F73723" w:rsidRPr="0072101A" w:rsidP="0070488B">
            <w:pPr>
              <w:bidi w:val="0"/>
              <w:spacing w:after="0" w:line="240" w:lineRule="auto"/>
              <w:rPr>
                <w:rFonts w:ascii="Times New Roman" w:hAnsi="Times New Roman"/>
                <w:color w:val="000000"/>
                <w:sz w:val="20"/>
                <w:szCs w:val="20"/>
                <w:lang w:eastAsia="sk-SK"/>
              </w:rPr>
            </w:pPr>
            <w:r w:rsidRPr="0072101A">
              <w:rPr>
                <w:rFonts w:ascii="Times New Roman" w:hAnsi="Times New Roman"/>
                <w:bCs/>
                <w:color w:val="000000"/>
                <w:sz w:val="20"/>
                <w:szCs w:val="20"/>
                <w:lang w:eastAsia="sk-SK"/>
              </w:rPr>
              <w:t xml:space="preserve">Medzinárodná banka pre obnovu a rozvoj </w:t>
            </w:r>
          </w:p>
        </w:tc>
        <w:tc>
          <w:tcPr>
            <w:tcW w:w="850" w:type="pct"/>
            <w:tcBorders>
              <w:top w:val="nil"/>
              <w:left w:val="nil"/>
              <w:bottom w:val="nil"/>
              <w:right w:val="nil"/>
            </w:tcBorders>
            <w:shd w:val="clear" w:color="000000" w:fill="FFFFFF"/>
            <w:textDirection w:val="lrTb"/>
            <w:vAlign w:val="center"/>
          </w:tcPr>
          <w:p w:rsidR="00F73723" w:rsidRPr="0072101A" w:rsidP="0070488B">
            <w:pPr>
              <w:bidi w:val="0"/>
              <w:spacing w:after="0" w:line="240" w:lineRule="auto"/>
              <w:jc w:val="right"/>
              <w:rPr>
                <w:rFonts w:ascii="Times New Roman" w:hAnsi="Times New Roman"/>
                <w:color w:val="000000"/>
                <w:sz w:val="20"/>
                <w:szCs w:val="20"/>
                <w:lang w:eastAsia="sk-SK"/>
              </w:rPr>
            </w:pPr>
            <w:r w:rsidR="009F60D2">
              <w:rPr>
                <w:rFonts w:ascii="Times New Roman" w:hAnsi="Times New Roman"/>
                <w:color w:val="000000"/>
                <w:sz w:val="20"/>
                <w:szCs w:val="20"/>
                <w:lang w:eastAsia="sk-SK"/>
              </w:rPr>
              <w:t>251</w:t>
            </w:r>
          </w:p>
        </w:tc>
        <w:tc>
          <w:tcPr>
            <w:tcW w:w="834" w:type="pct"/>
            <w:tcBorders>
              <w:top w:val="nil"/>
              <w:left w:val="nil"/>
              <w:bottom w:val="nil"/>
              <w:right w:val="nil"/>
            </w:tcBorders>
            <w:shd w:val="clear" w:color="000000" w:fill="FFFFFF"/>
            <w:textDirection w:val="lrTb"/>
            <w:vAlign w:val="center"/>
          </w:tcPr>
          <w:p w:rsidR="00F73723" w:rsidRPr="0072101A" w:rsidP="001603B3">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29 725</w:t>
            </w:r>
          </w:p>
        </w:tc>
      </w:tr>
      <w:tr>
        <w:tblPrEx>
          <w:tblW w:w="4583" w:type="pct"/>
          <w:jc w:val="center"/>
          <w:tblCellMar>
            <w:left w:w="70" w:type="dxa"/>
            <w:right w:w="70" w:type="dxa"/>
          </w:tblCellMar>
          <w:tblLook w:val="00A0"/>
        </w:tblPrEx>
        <w:trPr>
          <w:trHeight w:val="330"/>
          <w:jc w:val="center"/>
        </w:trPr>
        <w:tc>
          <w:tcPr>
            <w:tcW w:w="3316" w:type="pct"/>
            <w:tcBorders>
              <w:top w:val="nil"/>
              <w:left w:val="nil"/>
              <w:bottom w:val="nil"/>
              <w:right w:val="nil"/>
            </w:tcBorders>
            <w:shd w:val="clear" w:color="000000" w:fill="FFFFFF"/>
            <w:textDirection w:val="lrTb"/>
            <w:vAlign w:val="center"/>
          </w:tcPr>
          <w:p w:rsidR="00F73723" w:rsidRPr="0072101A" w:rsidP="00254B31">
            <w:pPr>
              <w:bidi w:val="0"/>
              <w:spacing w:after="0" w:line="240" w:lineRule="auto"/>
              <w:rPr>
                <w:rFonts w:ascii="Times New Roman" w:hAnsi="Times New Roman"/>
                <w:color w:val="000000"/>
                <w:sz w:val="20"/>
                <w:szCs w:val="20"/>
                <w:lang w:eastAsia="sk-SK"/>
              </w:rPr>
            </w:pPr>
            <w:r w:rsidRPr="0072101A">
              <w:rPr>
                <w:rFonts w:ascii="Times New Roman" w:hAnsi="Times New Roman"/>
                <w:bCs/>
                <w:color w:val="000000"/>
                <w:sz w:val="20"/>
                <w:szCs w:val="20"/>
                <w:lang w:eastAsia="sk-SK"/>
              </w:rPr>
              <w:t>Japonská banka pre medzinárodnú spoluprácu</w:t>
            </w:r>
          </w:p>
        </w:tc>
        <w:tc>
          <w:tcPr>
            <w:tcW w:w="850" w:type="pct"/>
            <w:tcBorders>
              <w:top w:val="nil"/>
              <w:left w:val="nil"/>
              <w:bottom w:val="nil"/>
              <w:right w:val="nil"/>
            </w:tcBorders>
            <w:shd w:val="clear" w:color="000000" w:fill="FFFFFF"/>
            <w:textDirection w:val="lrTb"/>
            <w:vAlign w:val="center"/>
          </w:tcPr>
          <w:p w:rsidR="00F73723" w:rsidRPr="0072101A" w:rsidP="00254B31">
            <w:pPr>
              <w:bidi w:val="0"/>
              <w:spacing w:after="0" w:line="240" w:lineRule="auto"/>
              <w:jc w:val="right"/>
              <w:rPr>
                <w:rFonts w:ascii="Times New Roman" w:hAnsi="Times New Roman"/>
                <w:color w:val="000000"/>
                <w:sz w:val="20"/>
                <w:szCs w:val="20"/>
                <w:lang w:eastAsia="sk-SK"/>
              </w:rPr>
            </w:pPr>
            <w:r w:rsidR="009F60D2">
              <w:rPr>
                <w:rFonts w:ascii="Times New Roman" w:hAnsi="Times New Roman"/>
                <w:color w:val="000000"/>
                <w:sz w:val="20"/>
                <w:szCs w:val="20"/>
                <w:lang w:eastAsia="sk-SK"/>
              </w:rPr>
              <w:t>39 986</w:t>
            </w:r>
          </w:p>
        </w:tc>
        <w:tc>
          <w:tcPr>
            <w:tcW w:w="834" w:type="pct"/>
            <w:tcBorders>
              <w:top w:val="nil"/>
              <w:left w:val="nil"/>
              <w:bottom w:val="nil"/>
              <w:right w:val="nil"/>
            </w:tcBorders>
            <w:shd w:val="clear" w:color="000000" w:fill="FFFFFF"/>
            <w:textDirection w:val="lrTb"/>
            <w:vAlign w:val="center"/>
          </w:tcPr>
          <w:p w:rsidR="00F73723" w:rsidRPr="0072101A" w:rsidP="001603B3">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40 195</w:t>
            </w:r>
          </w:p>
        </w:tc>
      </w:tr>
      <w:tr>
        <w:tblPrEx>
          <w:tblW w:w="4583" w:type="pct"/>
          <w:jc w:val="center"/>
          <w:tblCellMar>
            <w:left w:w="70" w:type="dxa"/>
            <w:right w:w="70" w:type="dxa"/>
          </w:tblCellMar>
          <w:tblLook w:val="00A0"/>
        </w:tblPrEx>
        <w:trPr>
          <w:trHeight w:val="330"/>
          <w:jc w:val="center"/>
        </w:trPr>
        <w:tc>
          <w:tcPr>
            <w:tcW w:w="3316" w:type="pct"/>
            <w:tcBorders>
              <w:top w:val="nil"/>
              <w:left w:val="nil"/>
              <w:bottom w:val="nil"/>
              <w:right w:val="nil"/>
            </w:tcBorders>
            <w:shd w:val="clear" w:color="000000" w:fill="FFFFFF"/>
            <w:textDirection w:val="lrTb"/>
            <w:vAlign w:val="center"/>
          </w:tcPr>
          <w:p w:rsidR="00F73723" w:rsidRPr="0072101A" w:rsidP="0070488B">
            <w:pPr>
              <w:bidi w:val="0"/>
              <w:spacing w:after="0" w:line="240" w:lineRule="auto"/>
              <w:rPr>
                <w:rFonts w:ascii="Times New Roman" w:hAnsi="Times New Roman"/>
                <w:color w:val="000000"/>
                <w:sz w:val="20"/>
                <w:szCs w:val="20"/>
                <w:lang w:eastAsia="sk-SK"/>
              </w:rPr>
            </w:pPr>
            <w:r w:rsidRPr="0072101A">
              <w:rPr>
                <w:rFonts w:ascii="Times New Roman" w:hAnsi="Times New Roman"/>
                <w:bCs/>
                <w:color w:val="000000"/>
                <w:sz w:val="20"/>
                <w:szCs w:val="20"/>
                <w:lang w:eastAsia="sk-SK"/>
              </w:rPr>
              <w:t xml:space="preserve">Rozvojová banka Rady Európy </w:t>
            </w:r>
          </w:p>
        </w:tc>
        <w:tc>
          <w:tcPr>
            <w:tcW w:w="850" w:type="pct"/>
            <w:tcBorders>
              <w:top w:val="nil"/>
              <w:left w:val="nil"/>
              <w:bottom w:val="nil"/>
              <w:right w:val="nil"/>
            </w:tcBorders>
            <w:shd w:val="clear" w:color="000000" w:fill="FFFFFF"/>
            <w:textDirection w:val="lrTb"/>
            <w:vAlign w:val="center"/>
          </w:tcPr>
          <w:p w:rsidR="00F73723" w:rsidRPr="0072101A" w:rsidP="0070488B">
            <w:pPr>
              <w:bidi w:val="0"/>
              <w:spacing w:after="0" w:line="240" w:lineRule="auto"/>
              <w:jc w:val="right"/>
              <w:rPr>
                <w:rFonts w:ascii="Times New Roman" w:hAnsi="Times New Roman"/>
                <w:color w:val="000000"/>
                <w:sz w:val="20"/>
                <w:szCs w:val="20"/>
                <w:lang w:eastAsia="sk-SK"/>
              </w:rPr>
            </w:pPr>
            <w:r w:rsidR="009F60D2">
              <w:rPr>
                <w:rFonts w:ascii="Times New Roman" w:hAnsi="Times New Roman"/>
                <w:color w:val="000000"/>
                <w:sz w:val="20"/>
                <w:szCs w:val="20"/>
                <w:lang w:eastAsia="sk-SK"/>
              </w:rPr>
              <w:t>75 692</w:t>
            </w:r>
          </w:p>
        </w:tc>
        <w:tc>
          <w:tcPr>
            <w:tcW w:w="834" w:type="pct"/>
            <w:tcBorders>
              <w:top w:val="nil"/>
              <w:left w:val="nil"/>
              <w:bottom w:val="nil"/>
              <w:right w:val="nil"/>
            </w:tcBorders>
            <w:shd w:val="clear" w:color="000000" w:fill="FFFFFF"/>
            <w:textDirection w:val="lrTb"/>
            <w:vAlign w:val="center"/>
          </w:tcPr>
          <w:p w:rsidR="00F73723" w:rsidRPr="0072101A" w:rsidP="001603B3">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0</w:t>
            </w:r>
          </w:p>
        </w:tc>
      </w:tr>
      <w:tr>
        <w:tblPrEx>
          <w:tblW w:w="4583" w:type="pct"/>
          <w:jc w:val="center"/>
          <w:tblCellMar>
            <w:left w:w="70" w:type="dxa"/>
            <w:right w:w="70" w:type="dxa"/>
          </w:tblCellMar>
          <w:tblLook w:val="00A0"/>
        </w:tblPrEx>
        <w:trPr>
          <w:trHeight w:val="330"/>
          <w:jc w:val="center"/>
        </w:trPr>
        <w:tc>
          <w:tcPr>
            <w:tcW w:w="3316" w:type="pct"/>
            <w:tcBorders>
              <w:top w:val="nil"/>
              <w:left w:val="nil"/>
              <w:bottom w:val="single" w:sz="4" w:space="0" w:color="000000"/>
              <w:right w:val="nil"/>
            </w:tcBorders>
            <w:shd w:val="clear" w:color="000000" w:fill="FFFFFF"/>
            <w:textDirection w:val="lrTb"/>
            <w:vAlign w:val="center"/>
          </w:tcPr>
          <w:p w:rsidR="00F73723" w:rsidRPr="0072101A" w:rsidP="0070488B">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Spolu</w:t>
            </w:r>
          </w:p>
        </w:tc>
        <w:tc>
          <w:tcPr>
            <w:tcW w:w="850" w:type="pct"/>
            <w:tcBorders>
              <w:top w:val="nil"/>
              <w:left w:val="nil"/>
              <w:bottom w:val="single" w:sz="4" w:space="0" w:color="000000"/>
              <w:right w:val="nil"/>
            </w:tcBorders>
            <w:shd w:val="clear" w:color="000000" w:fill="FFFFFF"/>
            <w:textDirection w:val="lrTb"/>
            <w:vAlign w:val="center"/>
          </w:tcPr>
          <w:p w:rsidR="00F73723" w:rsidRPr="0072101A" w:rsidP="0070488B">
            <w:pPr>
              <w:bidi w:val="0"/>
              <w:spacing w:after="0" w:line="240" w:lineRule="auto"/>
              <w:jc w:val="right"/>
              <w:rPr>
                <w:rFonts w:ascii="Times New Roman" w:hAnsi="Times New Roman"/>
                <w:b/>
                <w:bCs/>
                <w:color w:val="000000"/>
                <w:sz w:val="20"/>
                <w:szCs w:val="20"/>
                <w:lang w:eastAsia="sk-SK"/>
              </w:rPr>
            </w:pPr>
            <w:r w:rsidR="009F60D2">
              <w:rPr>
                <w:rFonts w:ascii="Times New Roman" w:hAnsi="Times New Roman"/>
                <w:b/>
                <w:bCs/>
                <w:color w:val="000000"/>
                <w:sz w:val="20"/>
                <w:szCs w:val="20"/>
                <w:lang w:eastAsia="sk-SK"/>
              </w:rPr>
              <w:t>1 930 415</w:t>
            </w:r>
          </w:p>
        </w:tc>
        <w:tc>
          <w:tcPr>
            <w:tcW w:w="834" w:type="pct"/>
            <w:tcBorders>
              <w:top w:val="nil"/>
              <w:left w:val="nil"/>
              <w:bottom w:val="single" w:sz="4" w:space="0" w:color="000000"/>
              <w:right w:val="nil"/>
            </w:tcBorders>
            <w:shd w:val="clear" w:color="000000" w:fill="FFFFFF"/>
            <w:textDirection w:val="lrTb"/>
            <w:vAlign w:val="center"/>
          </w:tcPr>
          <w:p w:rsidR="00F73723" w:rsidRPr="0072101A" w:rsidP="001603B3">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1 569 553</w:t>
            </w:r>
          </w:p>
        </w:tc>
      </w:tr>
    </w:tbl>
    <w:p w:rsidR="005C6EC7" w:rsidRPr="0072101A" w:rsidP="00307AA0">
      <w:pPr>
        <w:pStyle w:val="Pismenka"/>
        <w:tabs>
          <w:tab w:val="num" w:pos="0"/>
          <w:tab w:val="clear" w:pos="426"/>
        </w:tabs>
        <w:bidi w:val="0"/>
        <w:spacing w:before="180" w:line="336" w:lineRule="auto"/>
        <w:ind w:left="0" w:firstLine="0"/>
        <w:rPr>
          <w:rFonts w:ascii="Times New Roman" w:hAnsi="Times New Roman"/>
          <w:b w:val="0"/>
          <w:bCs w:val="0"/>
          <w:sz w:val="22"/>
          <w:szCs w:val="22"/>
        </w:rPr>
      </w:pPr>
      <w:r w:rsidRPr="00353493" w:rsidR="00353493">
        <w:rPr>
          <w:rFonts w:ascii="Times New Roman" w:hAnsi="Times New Roman"/>
          <w:b w:val="0"/>
          <w:bCs w:val="0"/>
          <w:sz w:val="22"/>
          <w:szCs w:val="22"/>
        </w:rPr>
        <w:t xml:space="preserve">V roku 2015 boli uhrádzané splátky týchto úverov a bol čerpaný nový úver od Rozvojovej banky Rady Európy </w:t>
      </w:r>
      <w:r w:rsidR="006E0705">
        <w:rPr>
          <w:rFonts w:ascii="Times New Roman" w:hAnsi="Times New Roman"/>
          <w:b w:val="0"/>
          <w:bCs w:val="0"/>
          <w:sz w:val="22"/>
          <w:szCs w:val="22"/>
        </w:rPr>
        <w:t xml:space="preserve">vo výške 75 000 tis. eur </w:t>
      </w:r>
      <w:r w:rsidRPr="00353493" w:rsidR="00353493">
        <w:rPr>
          <w:rFonts w:ascii="Times New Roman" w:hAnsi="Times New Roman"/>
          <w:b w:val="0"/>
          <w:bCs w:val="0"/>
          <w:sz w:val="22"/>
          <w:szCs w:val="22"/>
        </w:rPr>
        <w:t>na spolufinancovanie projektov v rámci operačného programu Kvalita životného prostredia a Integrovaného regionálneho operačného programu pre programové obdobie 2014 – 2020. V roku 2015 prijalo ministerstvo v mene Slovenskej republiky nové úvery od Európskej investičnej banky v hodnote 395 000 </w:t>
      </w:r>
      <w:r w:rsidR="00353493">
        <w:rPr>
          <w:rFonts w:ascii="Times New Roman" w:hAnsi="Times New Roman"/>
          <w:b w:val="0"/>
          <w:bCs w:val="0"/>
          <w:sz w:val="22"/>
          <w:szCs w:val="22"/>
        </w:rPr>
        <w:t>tis. eur</w:t>
      </w:r>
      <w:r w:rsidRPr="00353493" w:rsidR="00353493">
        <w:rPr>
          <w:rFonts w:ascii="Times New Roman" w:hAnsi="Times New Roman"/>
          <w:b w:val="0"/>
          <w:bCs w:val="0"/>
          <w:sz w:val="22"/>
          <w:szCs w:val="22"/>
        </w:rPr>
        <w:t xml:space="preserve">, ktoré sú určené na financovanie projektov dopravnej infraštruktúry a rozvoj v oblasti poľnohospodárstva a lesníctva na Slovensku. </w:t>
      </w:r>
      <w:r w:rsidR="006E0705">
        <w:rPr>
          <w:rFonts w:ascii="Times New Roman" w:hAnsi="Times New Roman"/>
          <w:b w:val="0"/>
          <w:bCs w:val="0"/>
          <w:sz w:val="22"/>
          <w:szCs w:val="22"/>
        </w:rPr>
        <w:t>T</w:t>
      </w:r>
      <w:r w:rsidRPr="00353493" w:rsidR="00353493">
        <w:rPr>
          <w:rFonts w:ascii="Times New Roman" w:hAnsi="Times New Roman"/>
          <w:b w:val="0"/>
          <w:bCs w:val="0"/>
          <w:sz w:val="22"/>
          <w:szCs w:val="22"/>
        </w:rPr>
        <w:t>ieto úvery v roku 2015 neboli splácané, vzhľadom na dohodnutú dobu splatnosti až v nasledujúcich obdobiach.</w:t>
      </w:r>
      <w:r w:rsidR="00353493">
        <w:rPr>
          <w:rFonts w:ascii="Arial Narrow" w:hAnsi="Arial Narrow"/>
          <w:sz w:val="22"/>
          <w:szCs w:val="22"/>
        </w:rPr>
        <w:t xml:space="preserve"> </w:t>
      </w:r>
    </w:p>
    <w:p w:rsidR="00B06934" w:rsidRPr="0072101A" w:rsidP="00B06934">
      <w:pPr>
        <w:pStyle w:val="Pismenka"/>
        <w:tabs>
          <w:tab w:val="num" w:pos="0"/>
          <w:tab w:val="clear" w:pos="426"/>
        </w:tabs>
        <w:bidi w:val="0"/>
        <w:spacing w:before="180" w:line="336" w:lineRule="auto"/>
        <w:ind w:left="0" w:firstLine="0"/>
        <w:rPr>
          <w:rFonts w:ascii="Times New Roman" w:hAnsi="Times New Roman"/>
          <w:b w:val="0"/>
          <w:bCs w:val="0"/>
          <w:sz w:val="22"/>
          <w:szCs w:val="22"/>
        </w:rPr>
      </w:pPr>
      <w:r w:rsidRPr="0072101A" w:rsidR="00C06B1C">
        <w:rPr>
          <w:rFonts w:ascii="Times New Roman" w:hAnsi="Times New Roman"/>
          <w:b w:val="0"/>
          <w:bCs w:val="0"/>
          <w:sz w:val="22"/>
          <w:szCs w:val="22"/>
        </w:rPr>
        <w:t xml:space="preserve">Zvyšnú časť dlhodobých úverov </w:t>
      </w:r>
      <w:r w:rsidR="00E90BEC">
        <w:rPr>
          <w:rFonts w:ascii="Times New Roman" w:hAnsi="Times New Roman"/>
          <w:b w:val="0"/>
          <w:bCs w:val="0"/>
          <w:sz w:val="22"/>
          <w:szCs w:val="22"/>
        </w:rPr>
        <w:t xml:space="preserve">ústrednej správy </w:t>
      </w:r>
      <w:r w:rsidRPr="0072101A" w:rsidR="00C06B1C">
        <w:rPr>
          <w:rFonts w:ascii="Times New Roman" w:hAnsi="Times New Roman"/>
          <w:b w:val="0"/>
          <w:bCs w:val="0"/>
          <w:sz w:val="22"/>
          <w:szCs w:val="22"/>
        </w:rPr>
        <w:t>vykazujú obchodné spoločnosti, ako napríklad N</w:t>
      </w:r>
      <w:r w:rsidR="0031308F">
        <w:rPr>
          <w:rFonts w:ascii="Times New Roman" w:hAnsi="Times New Roman"/>
          <w:b w:val="0"/>
          <w:bCs w:val="0"/>
          <w:sz w:val="22"/>
          <w:szCs w:val="22"/>
        </w:rPr>
        <w:t>árodná diaľničná spoločnosť, a.</w:t>
      </w:r>
      <w:r w:rsidRPr="0072101A" w:rsidR="00C06B1C">
        <w:rPr>
          <w:rFonts w:ascii="Times New Roman" w:hAnsi="Times New Roman"/>
          <w:b w:val="0"/>
          <w:bCs w:val="0"/>
          <w:sz w:val="22"/>
          <w:szCs w:val="22"/>
        </w:rPr>
        <w:t>s. 260 </w:t>
      </w:r>
      <w:r w:rsidR="001C72DC">
        <w:rPr>
          <w:rFonts w:ascii="Times New Roman" w:hAnsi="Times New Roman"/>
          <w:b w:val="0"/>
          <w:bCs w:val="0"/>
          <w:sz w:val="22"/>
          <w:szCs w:val="22"/>
        </w:rPr>
        <w:t>254</w:t>
      </w:r>
      <w:r w:rsidRPr="0072101A" w:rsidR="00C06B1C">
        <w:rPr>
          <w:rFonts w:ascii="Times New Roman" w:hAnsi="Times New Roman"/>
          <w:b w:val="0"/>
          <w:bCs w:val="0"/>
          <w:sz w:val="22"/>
          <w:szCs w:val="22"/>
        </w:rPr>
        <w:t> </w:t>
      </w:r>
      <w:r w:rsidRPr="0072101A" w:rsidR="00821EC2">
        <w:rPr>
          <w:rFonts w:ascii="Times New Roman" w:hAnsi="Times New Roman"/>
          <w:b w:val="0"/>
          <w:bCs w:val="0"/>
          <w:sz w:val="22"/>
          <w:szCs w:val="22"/>
        </w:rPr>
        <w:t>tis.</w:t>
      </w:r>
      <w:r w:rsidRPr="0072101A" w:rsidR="00C06B1C">
        <w:rPr>
          <w:rFonts w:ascii="Times New Roman" w:hAnsi="Times New Roman"/>
          <w:b w:val="0"/>
          <w:bCs w:val="0"/>
          <w:sz w:val="22"/>
          <w:szCs w:val="22"/>
        </w:rPr>
        <w:t xml:space="preserve"> eur,</w:t>
      </w:r>
      <w:r w:rsidR="001C72DC">
        <w:rPr>
          <w:rFonts w:ascii="Times New Roman" w:hAnsi="Times New Roman"/>
          <w:b w:val="0"/>
          <w:bCs w:val="0"/>
          <w:sz w:val="22"/>
          <w:szCs w:val="22"/>
        </w:rPr>
        <w:t xml:space="preserve"> </w:t>
      </w:r>
      <w:r w:rsidRPr="0072101A" w:rsidR="001C72DC">
        <w:rPr>
          <w:rFonts w:ascii="Times New Roman" w:hAnsi="Times New Roman"/>
          <w:b w:val="0"/>
          <w:bCs w:val="0"/>
          <w:sz w:val="22"/>
          <w:szCs w:val="22"/>
        </w:rPr>
        <w:t>Žele</w:t>
      </w:r>
      <w:r w:rsidR="001C72DC">
        <w:rPr>
          <w:rFonts w:ascii="Times New Roman" w:hAnsi="Times New Roman"/>
          <w:b w:val="0"/>
          <w:bCs w:val="0"/>
          <w:sz w:val="22"/>
          <w:szCs w:val="22"/>
        </w:rPr>
        <w:t>zničná spoločnosť Slovensko, a.</w:t>
      </w:r>
      <w:r w:rsidRPr="0072101A" w:rsidR="001C72DC">
        <w:rPr>
          <w:rFonts w:ascii="Times New Roman" w:hAnsi="Times New Roman"/>
          <w:b w:val="0"/>
          <w:bCs w:val="0"/>
          <w:sz w:val="22"/>
          <w:szCs w:val="22"/>
        </w:rPr>
        <w:t xml:space="preserve">s. </w:t>
      </w:r>
      <w:r w:rsidR="0068327C">
        <w:rPr>
          <w:rFonts w:ascii="Times New Roman" w:hAnsi="Times New Roman"/>
          <w:b w:val="0"/>
          <w:bCs w:val="0"/>
          <w:sz w:val="22"/>
          <w:szCs w:val="22"/>
        </w:rPr>
        <w:t>257 </w:t>
      </w:r>
      <w:r w:rsidR="001C72DC">
        <w:rPr>
          <w:rFonts w:ascii="Times New Roman" w:hAnsi="Times New Roman"/>
          <w:b w:val="0"/>
          <w:bCs w:val="0"/>
          <w:sz w:val="22"/>
          <w:szCs w:val="22"/>
        </w:rPr>
        <w:t>086</w:t>
      </w:r>
      <w:r w:rsidR="0068327C">
        <w:rPr>
          <w:rFonts w:ascii="Times New Roman" w:hAnsi="Times New Roman"/>
          <w:b w:val="0"/>
          <w:bCs w:val="0"/>
          <w:sz w:val="22"/>
          <w:szCs w:val="22"/>
        </w:rPr>
        <w:t> tis. </w:t>
      </w:r>
      <w:r w:rsidRPr="0072101A" w:rsidR="001C72DC">
        <w:rPr>
          <w:rFonts w:ascii="Times New Roman" w:hAnsi="Times New Roman"/>
          <w:b w:val="0"/>
          <w:bCs w:val="0"/>
          <w:sz w:val="22"/>
          <w:szCs w:val="22"/>
        </w:rPr>
        <w:t>eur</w:t>
      </w:r>
      <w:r w:rsidR="001C72DC">
        <w:rPr>
          <w:rFonts w:ascii="Times New Roman" w:hAnsi="Times New Roman"/>
          <w:b w:val="0"/>
          <w:bCs w:val="0"/>
          <w:sz w:val="22"/>
          <w:szCs w:val="22"/>
        </w:rPr>
        <w:t xml:space="preserve">, </w:t>
      </w:r>
      <w:r w:rsidRPr="0072101A" w:rsidR="00C06B1C">
        <w:rPr>
          <w:rFonts w:ascii="Times New Roman" w:hAnsi="Times New Roman"/>
          <w:b w:val="0"/>
          <w:bCs w:val="0"/>
          <w:sz w:val="22"/>
          <w:szCs w:val="22"/>
        </w:rPr>
        <w:t xml:space="preserve"> Slovenská záručná a rozvojová banka, a.s. </w:t>
      </w:r>
      <w:r w:rsidR="001C72DC">
        <w:rPr>
          <w:rFonts w:ascii="Times New Roman" w:hAnsi="Times New Roman"/>
          <w:b w:val="0"/>
          <w:bCs w:val="0"/>
          <w:sz w:val="22"/>
          <w:szCs w:val="22"/>
        </w:rPr>
        <w:t>90 138</w:t>
      </w:r>
      <w:r w:rsidRPr="0072101A" w:rsidR="00821EC2">
        <w:rPr>
          <w:rFonts w:ascii="Times New Roman" w:hAnsi="Times New Roman"/>
          <w:b w:val="0"/>
          <w:bCs w:val="0"/>
          <w:sz w:val="22"/>
          <w:szCs w:val="22"/>
        </w:rPr>
        <w:t xml:space="preserve"> tis.</w:t>
      </w:r>
      <w:r w:rsidRPr="0072101A" w:rsidR="00C06B1C">
        <w:rPr>
          <w:rFonts w:ascii="Times New Roman" w:hAnsi="Times New Roman"/>
          <w:b w:val="0"/>
          <w:bCs w:val="0"/>
          <w:sz w:val="22"/>
          <w:szCs w:val="22"/>
        </w:rPr>
        <w:t xml:space="preserve"> eur, Slovenský plynárenský priemysel, a.s. 84 </w:t>
      </w:r>
      <w:r w:rsidR="001C72DC">
        <w:rPr>
          <w:rFonts w:ascii="Times New Roman" w:hAnsi="Times New Roman"/>
          <w:b w:val="0"/>
          <w:bCs w:val="0"/>
          <w:sz w:val="22"/>
          <w:szCs w:val="22"/>
        </w:rPr>
        <w:t>240</w:t>
      </w:r>
      <w:r w:rsidRPr="0072101A" w:rsidR="00C06B1C">
        <w:rPr>
          <w:rFonts w:ascii="Times New Roman" w:hAnsi="Times New Roman"/>
          <w:b w:val="0"/>
          <w:bCs w:val="0"/>
          <w:sz w:val="22"/>
          <w:szCs w:val="22"/>
        </w:rPr>
        <w:t> </w:t>
      </w:r>
      <w:r w:rsidRPr="0072101A" w:rsidR="00462E80">
        <w:rPr>
          <w:rFonts w:ascii="Times New Roman" w:hAnsi="Times New Roman"/>
          <w:b w:val="0"/>
          <w:bCs w:val="0"/>
          <w:sz w:val="22"/>
          <w:szCs w:val="22"/>
        </w:rPr>
        <w:t xml:space="preserve">tis. </w:t>
      </w:r>
      <w:r w:rsidRPr="0072101A" w:rsidR="00C06B1C">
        <w:rPr>
          <w:rFonts w:ascii="Times New Roman" w:hAnsi="Times New Roman"/>
          <w:b w:val="0"/>
          <w:bCs w:val="0"/>
          <w:sz w:val="22"/>
          <w:szCs w:val="22"/>
        </w:rPr>
        <w:t xml:space="preserve">eur. Spolu obchodné spoločnosti </w:t>
      </w:r>
      <w:r w:rsidRPr="0072101A" w:rsidR="00F65BA6">
        <w:rPr>
          <w:rFonts w:ascii="Times New Roman" w:hAnsi="Times New Roman"/>
          <w:b w:val="0"/>
          <w:bCs w:val="0"/>
          <w:sz w:val="22"/>
          <w:szCs w:val="22"/>
        </w:rPr>
        <w:t xml:space="preserve">ústrednej správy </w:t>
      </w:r>
      <w:r w:rsidRPr="0072101A" w:rsidR="00C06B1C">
        <w:rPr>
          <w:rFonts w:ascii="Times New Roman" w:hAnsi="Times New Roman"/>
          <w:b w:val="0"/>
          <w:bCs w:val="0"/>
          <w:sz w:val="22"/>
          <w:szCs w:val="22"/>
        </w:rPr>
        <w:t xml:space="preserve">vykazujú dlhodobé úvery v hodnote </w:t>
      </w:r>
      <w:r w:rsidR="001C72DC">
        <w:rPr>
          <w:rFonts w:ascii="Times New Roman" w:hAnsi="Times New Roman"/>
          <w:b w:val="0"/>
          <w:bCs w:val="0"/>
          <w:sz w:val="22"/>
          <w:szCs w:val="22"/>
        </w:rPr>
        <w:t>907 300 tis. eur, čo je medziročne viac o 96 125</w:t>
      </w:r>
      <w:r w:rsidRPr="0072101A" w:rsidR="00C06B1C">
        <w:rPr>
          <w:rFonts w:ascii="Times New Roman" w:hAnsi="Times New Roman"/>
          <w:b w:val="0"/>
          <w:bCs w:val="0"/>
          <w:sz w:val="22"/>
          <w:szCs w:val="22"/>
        </w:rPr>
        <w:t> </w:t>
      </w:r>
      <w:r w:rsidRPr="0072101A" w:rsidR="00821EC2">
        <w:rPr>
          <w:rFonts w:ascii="Times New Roman" w:hAnsi="Times New Roman"/>
          <w:b w:val="0"/>
          <w:bCs w:val="0"/>
          <w:sz w:val="22"/>
          <w:szCs w:val="22"/>
        </w:rPr>
        <w:t>tis.</w:t>
      </w:r>
      <w:r w:rsidRPr="0072101A" w:rsidR="00C06B1C">
        <w:rPr>
          <w:rFonts w:ascii="Times New Roman" w:hAnsi="Times New Roman"/>
          <w:b w:val="0"/>
          <w:bCs w:val="0"/>
          <w:sz w:val="22"/>
          <w:szCs w:val="22"/>
        </w:rPr>
        <w:t xml:space="preserve"> eur.</w:t>
      </w:r>
    </w:p>
    <w:p w:rsidR="006E60DA" w:rsidP="00B06934">
      <w:pPr>
        <w:pStyle w:val="Pismenka"/>
        <w:tabs>
          <w:tab w:val="num" w:pos="0"/>
          <w:tab w:val="clear" w:pos="426"/>
        </w:tabs>
        <w:bidi w:val="0"/>
        <w:spacing w:before="180" w:line="336" w:lineRule="auto"/>
        <w:ind w:left="0" w:firstLine="0"/>
        <w:rPr>
          <w:rFonts w:ascii="Times New Roman" w:hAnsi="Times New Roman"/>
          <w:b w:val="0"/>
          <w:sz w:val="22"/>
          <w:szCs w:val="22"/>
        </w:rPr>
      </w:pPr>
      <w:r>
        <w:rPr>
          <w:rFonts w:ascii="Times New Roman" w:hAnsi="Times New Roman"/>
          <w:b w:val="0"/>
          <w:sz w:val="22"/>
          <w:szCs w:val="22"/>
        </w:rPr>
        <w:t>Na medziročnom prírastku sa ú</w:t>
      </w:r>
      <w:r w:rsidRPr="0072101A" w:rsidR="0007343D">
        <w:rPr>
          <w:rFonts w:ascii="Times New Roman" w:hAnsi="Times New Roman"/>
          <w:b w:val="0"/>
          <w:sz w:val="22"/>
          <w:szCs w:val="22"/>
        </w:rPr>
        <w:t xml:space="preserve">zemná samospráva </w:t>
      </w:r>
      <w:r>
        <w:rPr>
          <w:rFonts w:ascii="Times New Roman" w:hAnsi="Times New Roman"/>
          <w:b w:val="0"/>
          <w:sz w:val="22"/>
          <w:szCs w:val="22"/>
        </w:rPr>
        <w:t>podieľala sumou 122 141 tis. eur, a ostatné subjekty sumou 3 798 tis. eur. Z ostatných subjektov vykazuje najvyššiu hodnotu Vodohospodársky podnik, š.p., a to 235 519 tis. eur a Železnice SR sumu 62 739 tis. eur na financovanie rozvojových projektov.</w:t>
      </w:r>
    </w:p>
    <w:p w:rsidR="00B84855" w:rsidRPr="0072101A" w:rsidP="008E1F23">
      <w:pPr>
        <w:bidi w:val="0"/>
        <w:spacing w:before="120" w:after="0" w:line="336" w:lineRule="auto"/>
        <w:jc w:val="both"/>
        <w:rPr>
          <w:rFonts w:ascii="Times New Roman" w:hAnsi="Times New Roman"/>
          <w:i/>
          <w:szCs w:val="22"/>
          <w:u w:val="single"/>
        </w:rPr>
      </w:pPr>
      <w:r w:rsidRPr="0072101A">
        <w:rPr>
          <w:rFonts w:ascii="Times New Roman" w:hAnsi="Times New Roman"/>
          <w:i/>
          <w:szCs w:val="22"/>
          <w:u w:val="single"/>
        </w:rPr>
        <w:t>Krátkodobé dlhové cenné papiere</w:t>
      </w:r>
    </w:p>
    <w:p w:rsidR="00B84855" w:rsidRPr="0072101A" w:rsidP="00F45360">
      <w:pPr>
        <w:bidi w:val="0"/>
        <w:spacing w:before="120" w:after="0" w:line="336" w:lineRule="auto"/>
        <w:jc w:val="both"/>
        <w:rPr>
          <w:rFonts w:ascii="Times New Roman" w:hAnsi="Times New Roman"/>
          <w:szCs w:val="22"/>
        </w:rPr>
      </w:pPr>
      <w:r w:rsidRPr="0072101A" w:rsidR="00A33D33">
        <w:rPr>
          <w:rFonts w:ascii="Times New Roman" w:hAnsi="Times New Roman"/>
          <w:szCs w:val="22"/>
        </w:rPr>
        <w:t>V rámci krátkodobých dlhových cenných papierov sa vykazujú štátne dlhopisy, ktorých doba splatnosti je kratšia ako jeden rok odo dňa, ku ktorému sa zostavuj</w:t>
      </w:r>
      <w:r w:rsidRPr="0072101A" w:rsidR="00C53807">
        <w:rPr>
          <w:rFonts w:ascii="Times New Roman" w:hAnsi="Times New Roman"/>
          <w:szCs w:val="22"/>
        </w:rPr>
        <w:t>e</w:t>
      </w:r>
      <w:r w:rsidR="00060DC1">
        <w:rPr>
          <w:rFonts w:ascii="Times New Roman" w:hAnsi="Times New Roman"/>
          <w:szCs w:val="22"/>
        </w:rPr>
        <w:t xml:space="preserve"> súhrnná účtovná závierka </w:t>
      </w:r>
      <w:r w:rsidRPr="0072101A" w:rsidR="00A33D33">
        <w:rPr>
          <w:rFonts w:ascii="Times New Roman" w:hAnsi="Times New Roman"/>
          <w:szCs w:val="22"/>
        </w:rPr>
        <w:t>a krátkodobé dlhopisy Fondu národného majetku</w:t>
      </w:r>
      <w:r w:rsidRPr="0072101A" w:rsidR="00C53807">
        <w:rPr>
          <w:rFonts w:ascii="Times New Roman" w:hAnsi="Times New Roman"/>
          <w:szCs w:val="22"/>
        </w:rPr>
        <w:t xml:space="preserve"> SR</w:t>
      </w:r>
      <w:r w:rsidRPr="0072101A" w:rsidR="00A33D33">
        <w:rPr>
          <w:rFonts w:ascii="Times New Roman" w:hAnsi="Times New Roman"/>
          <w:szCs w:val="22"/>
        </w:rPr>
        <w:t>.</w:t>
      </w:r>
    </w:p>
    <w:p w:rsidR="00A33D33" w:rsidRPr="0072101A" w:rsidP="00F45360">
      <w:pPr>
        <w:bidi w:val="0"/>
        <w:spacing w:before="120" w:after="0" w:line="336" w:lineRule="auto"/>
        <w:jc w:val="both"/>
        <w:rPr>
          <w:rFonts w:ascii="Times New Roman" w:hAnsi="Times New Roman"/>
          <w:szCs w:val="22"/>
        </w:rPr>
      </w:pPr>
      <w:r w:rsidRPr="0072101A">
        <w:rPr>
          <w:rFonts w:ascii="Times New Roman" w:hAnsi="Times New Roman"/>
          <w:szCs w:val="22"/>
        </w:rPr>
        <w:t>Hodnota krátkodobých štátnych dlhopisov k 31.12.201</w:t>
      </w:r>
      <w:r w:rsidR="006E60DA">
        <w:rPr>
          <w:rFonts w:ascii="Times New Roman" w:hAnsi="Times New Roman"/>
          <w:szCs w:val="22"/>
        </w:rPr>
        <w:t>5</w:t>
      </w:r>
      <w:r w:rsidRPr="0072101A">
        <w:rPr>
          <w:rFonts w:ascii="Times New Roman" w:hAnsi="Times New Roman"/>
          <w:szCs w:val="22"/>
        </w:rPr>
        <w:t xml:space="preserve"> bola </w:t>
      </w:r>
      <w:r w:rsidR="006E60DA">
        <w:rPr>
          <w:rFonts w:ascii="Times New Roman" w:hAnsi="Times New Roman"/>
          <w:szCs w:val="22"/>
        </w:rPr>
        <w:t>4 818 590</w:t>
      </w:r>
      <w:r w:rsidRPr="0072101A" w:rsidR="00281155">
        <w:rPr>
          <w:rFonts w:ascii="Times New Roman" w:hAnsi="Times New Roman"/>
          <w:szCs w:val="22"/>
        </w:rPr>
        <w:t xml:space="preserve"> </w:t>
      </w:r>
      <w:r w:rsidRPr="0072101A">
        <w:rPr>
          <w:rFonts w:ascii="Times New Roman" w:hAnsi="Times New Roman"/>
          <w:szCs w:val="22"/>
        </w:rPr>
        <w:t>tis. eur</w:t>
      </w:r>
      <w:r w:rsidRPr="0072101A" w:rsidR="00D018D1">
        <w:rPr>
          <w:rFonts w:ascii="Times New Roman" w:hAnsi="Times New Roman"/>
          <w:szCs w:val="22"/>
        </w:rPr>
        <w:t>.</w:t>
      </w:r>
      <w:r w:rsidRPr="0072101A">
        <w:rPr>
          <w:rFonts w:ascii="Times New Roman" w:hAnsi="Times New Roman"/>
          <w:szCs w:val="22"/>
        </w:rPr>
        <w:t xml:space="preserve"> </w:t>
      </w:r>
      <w:r w:rsidRPr="0072101A" w:rsidR="00AF3760">
        <w:rPr>
          <w:rFonts w:ascii="Times New Roman" w:hAnsi="Times New Roman"/>
          <w:szCs w:val="22"/>
        </w:rPr>
        <w:t>Medziročne sa hodnota týchto štátnych dlhových nástrojov z</w:t>
      </w:r>
      <w:r w:rsidR="00D93010">
        <w:rPr>
          <w:rFonts w:ascii="Times New Roman" w:hAnsi="Times New Roman"/>
          <w:szCs w:val="22"/>
        </w:rPr>
        <w:t>výšila</w:t>
      </w:r>
      <w:r w:rsidRPr="0072101A" w:rsidR="00AF3760">
        <w:rPr>
          <w:rFonts w:ascii="Times New Roman" w:hAnsi="Times New Roman"/>
          <w:szCs w:val="22"/>
        </w:rPr>
        <w:t xml:space="preserve"> o</w:t>
      </w:r>
      <w:r w:rsidR="00D93010">
        <w:rPr>
          <w:rFonts w:ascii="Times New Roman" w:hAnsi="Times New Roman"/>
          <w:szCs w:val="22"/>
        </w:rPr>
        <w:t> 1 546 095</w:t>
      </w:r>
      <w:r w:rsidRPr="0072101A" w:rsidR="00596F86">
        <w:rPr>
          <w:rFonts w:ascii="Times New Roman" w:hAnsi="Times New Roman"/>
          <w:szCs w:val="22"/>
        </w:rPr>
        <w:t xml:space="preserve"> </w:t>
      </w:r>
      <w:r w:rsidRPr="0072101A" w:rsidR="00AF3760">
        <w:rPr>
          <w:rFonts w:ascii="Times New Roman" w:hAnsi="Times New Roman"/>
          <w:szCs w:val="22"/>
        </w:rPr>
        <w:t>tis. eur</w:t>
      </w:r>
      <w:r w:rsidR="00D93010">
        <w:rPr>
          <w:rFonts w:ascii="Times New Roman" w:hAnsi="Times New Roman"/>
          <w:szCs w:val="22"/>
        </w:rPr>
        <w:t>, najmä vykázaní dlhopisov so splatnosťou do jedného roka (ide o reklasifikáciu z dlhodobých záväzkov do krátkodobých</w:t>
      </w:r>
      <w:r w:rsidR="00EE5257">
        <w:rPr>
          <w:rFonts w:ascii="Times New Roman" w:hAnsi="Times New Roman"/>
          <w:szCs w:val="22"/>
        </w:rPr>
        <w:t xml:space="preserve"> pre účely zostavenia účtovnej závierky</w:t>
      </w:r>
      <w:r w:rsidR="00D93010">
        <w:rPr>
          <w:rFonts w:ascii="Times New Roman" w:hAnsi="Times New Roman"/>
          <w:szCs w:val="22"/>
        </w:rPr>
        <w:t>).</w:t>
      </w:r>
    </w:p>
    <w:p w:rsidR="00AF3760" w:rsidRPr="0072101A" w:rsidP="00F45360">
      <w:pPr>
        <w:bidi w:val="0"/>
        <w:spacing w:before="120" w:after="0" w:line="336" w:lineRule="auto"/>
        <w:jc w:val="both"/>
        <w:rPr>
          <w:rFonts w:ascii="Times New Roman" w:hAnsi="Times New Roman"/>
          <w:szCs w:val="22"/>
        </w:rPr>
      </w:pPr>
      <w:r w:rsidRPr="0072101A" w:rsidR="00281155">
        <w:rPr>
          <w:rFonts w:ascii="Times New Roman" w:hAnsi="Times New Roman"/>
          <w:szCs w:val="22"/>
        </w:rPr>
        <w:t xml:space="preserve">Hodnota dlhových cenných papierov Fondu národného majetku </w:t>
      </w:r>
      <w:r w:rsidRPr="0072101A" w:rsidR="00C53807">
        <w:rPr>
          <w:rFonts w:ascii="Times New Roman" w:hAnsi="Times New Roman"/>
          <w:szCs w:val="22"/>
        </w:rPr>
        <w:t xml:space="preserve">SR </w:t>
      </w:r>
      <w:r w:rsidRPr="0072101A" w:rsidR="00281155">
        <w:rPr>
          <w:rFonts w:ascii="Times New Roman" w:hAnsi="Times New Roman"/>
          <w:szCs w:val="22"/>
        </w:rPr>
        <w:t>dosiahla 15</w:t>
      </w:r>
      <w:r w:rsidRPr="0072101A" w:rsidR="00D018D1">
        <w:rPr>
          <w:rFonts w:ascii="Times New Roman" w:hAnsi="Times New Roman"/>
          <w:szCs w:val="22"/>
        </w:rPr>
        <w:t> </w:t>
      </w:r>
      <w:r w:rsidR="006E60DA">
        <w:rPr>
          <w:rFonts w:ascii="Times New Roman" w:hAnsi="Times New Roman"/>
          <w:szCs w:val="22"/>
        </w:rPr>
        <w:t>312</w:t>
      </w:r>
      <w:r w:rsidRPr="0072101A" w:rsidR="00D018D1">
        <w:rPr>
          <w:rFonts w:ascii="Times New Roman" w:hAnsi="Times New Roman"/>
          <w:szCs w:val="22"/>
        </w:rPr>
        <w:t xml:space="preserve"> </w:t>
      </w:r>
      <w:r w:rsidRPr="0072101A" w:rsidR="00281155">
        <w:rPr>
          <w:rFonts w:ascii="Times New Roman" w:hAnsi="Times New Roman"/>
          <w:szCs w:val="22"/>
        </w:rPr>
        <w:t>tis. eur a medziročne sa znížila o 1</w:t>
      </w:r>
      <w:r w:rsidR="006E60DA">
        <w:rPr>
          <w:rFonts w:ascii="Times New Roman" w:hAnsi="Times New Roman"/>
          <w:szCs w:val="22"/>
        </w:rPr>
        <w:t>02</w:t>
      </w:r>
      <w:r w:rsidRPr="0072101A" w:rsidR="00281155">
        <w:rPr>
          <w:rFonts w:ascii="Times New Roman" w:hAnsi="Times New Roman"/>
          <w:szCs w:val="22"/>
        </w:rPr>
        <w:t xml:space="preserve"> tis. eur. </w:t>
      </w:r>
    </w:p>
    <w:p w:rsidR="009270BF" w:rsidRPr="0072101A" w:rsidP="008F6F24">
      <w:pPr>
        <w:pStyle w:val="Pismenka"/>
        <w:numPr>
          <w:numId w:val="21"/>
        </w:numPr>
        <w:tabs>
          <w:tab w:val="clear" w:pos="426"/>
        </w:tabs>
        <w:bidi w:val="0"/>
        <w:spacing w:before="200" w:after="200" w:line="336" w:lineRule="auto"/>
        <w:ind w:left="284" w:hanging="284"/>
        <w:rPr>
          <w:rFonts w:ascii="Times New Roman" w:hAnsi="Times New Roman"/>
          <w:bCs w:val="0"/>
          <w:sz w:val="24"/>
          <w:szCs w:val="24"/>
        </w:rPr>
      </w:pPr>
      <w:r w:rsidRPr="0072101A">
        <w:rPr>
          <w:rFonts w:ascii="Times New Roman" w:hAnsi="Times New Roman"/>
          <w:bCs w:val="0"/>
          <w:sz w:val="24"/>
          <w:szCs w:val="24"/>
        </w:rPr>
        <w:t>Časové rozlíšenie pasív</w:t>
      </w:r>
    </w:p>
    <w:p w:rsidR="004927D6" w:rsidRPr="0072101A" w:rsidP="008B70DC">
      <w:pPr>
        <w:pStyle w:val="Pismenka"/>
        <w:tabs>
          <w:tab w:val="clear" w:pos="426"/>
        </w:tabs>
        <w:bidi w:val="0"/>
        <w:spacing w:after="120" w:line="336" w:lineRule="auto"/>
        <w:ind w:left="0" w:firstLine="0"/>
        <w:rPr>
          <w:rFonts w:ascii="Times New Roman" w:hAnsi="Times New Roman"/>
          <w:b w:val="0"/>
          <w:bCs w:val="0"/>
          <w:sz w:val="22"/>
          <w:szCs w:val="22"/>
        </w:rPr>
      </w:pPr>
      <w:r w:rsidRPr="0072101A" w:rsidR="009270BF">
        <w:rPr>
          <w:rFonts w:ascii="Times New Roman" w:hAnsi="Times New Roman"/>
          <w:b w:val="0"/>
          <w:bCs w:val="0"/>
          <w:sz w:val="22"/>
          <w:szCs w:val="22"/>
        </w:rPr>
        <w:t xml:space="preserve">V rámci časového rozlíšenia na strane pasív sa vykazujú výnosy budúcich období a výdavky budúcich období. Položky časového rozlíšenia slúžia na zachytenie časového nesúladu medzi výdavkami a nákladmi a príjmami a výnosmi. Uplatňujú sa v účtovníctve z dôvodu akruálneho princípu účtovania, </w:t>
      </w:r>
      <w:r w:rsidRPr="0072101A">
        <w:rPr>
          <w:rFonts w:ascii="Times New Roman" w:hAnsi="Times New Roman"/>
          <w:b w:val="0"/>
          <w:bCs w:val="0"/>
          <w:sz w:val="22"/>
          <w:szCs w:val="22"/>
        </w:rPr>
        <w:t>podľa ktorého sa náklady a výnosy účtujú do obdobia, s ktorým časovo a vecne súvisia.</w:t>
      </w:r>
    </w:p>
    <w:p w:rsidR="0062078D" w:rsidRPr="0072101A" w:rsidP="008B70DC">
      <w:pPr>
        <w:pStyle w:val="Pismenka"/>
        <w:tabs>
          <w:tab w:val="clear" w:pos="426"/>
        </w:tabs>
        <w:bidi w:val="0"/>
        <w:spacing w:after="120" w:line="336" w:lineRule="auto"/>
        <w:ind w:left="0" w:firstLine="0"/>
        <w:rPr>
          <w:rFonts w:ascii="Times New Roman" w:hAnsi="Times New Roman"/>
          <w:b w:val="0"/>
          <w:bCs w:val="0"/>
          <w:sz w:val="22"/>
          <w:szCs w:val="22"/>
        </w:rPr>
      </w:pPr>
      <w:r w:rsidRPr="0072101A" w:rsidR="009270BF">
        <w:rPr>
          <w:rFonts w:ascii="Times New Roman" w:hAnsi="Times New Roman"/>
          <w:b w:val="0"/>
          <w:bCs w:val="0"/>
          <w:sz w:val="22"/>
          <w:szCs w:val="22"/>
        </w:rPr>
        <w:t xml:space="preserve">Časové rozlíšenie pasív </w:t>
      </w:r>
      <w:r w:rsidRPr="0072101A">
        <w:rPr>
          <w:rFonts w:ascii="Times New Roman" w:hAnsi="Times New Roman"/>
          <w:b w:val="0"/>
          <w:bCs w:val="0"/>
          <w:sz w:val="22"/>
          <w:szCs w:val="22"/>
        </w:rPr>
        <w:t>dosiahlo</w:t>
      </w:r>
      <w:r w:rsidRPr="0072101A" w:rsidR="009270BF">
        <w:rPr>
          <w:rFonts w:ascii="Times New Roman" w:hAnsi="Times New Roman"/>
          <w:b w:val="0"/>
          <w:bCs w:val="0"/>
          <w:sz w:val="22"/>
          <w:szCs w:val="22"/>
        </w:rPr>
        <w:t xml:space="preserve"> k 31.12.201</w:t>
      </w:r>
      <w:r w:rsidR="005F0011">
        <w:rPr>
          <w:rFonts w:ascii="Times New Roman" w:hAnsi="Times New Roman"/>
          <w:b w:val="0"/>
          <w:bCs w:val="0"/>
          <w:sz w:val="22"/>
          <w:szCs w:val="22"/>
        </w:rPr>
        <w:t>5</w:t>
      </w:r>
      <w:r w:rsidRPr="0072101A" w:rsidR="009270BF">
        <w:rPr>
          <w:rFonts w:ascii="Times New Roman" w:hAnsi="Times New Roman"/>
          <w:b w:val="0"/>
          <w:bCs w:val="0"/>
          <w:sz w:val="22"/>
          <w:szCs w:val="22"/>
        </w:rPr>
        <w:t xml:space="preserve"> hodnot</w:t>
      </w:r>
      <w:r w:rsidRPr="0072101A">
        <w:rPr>
          <w:rFonts w:ascii="Times New Roman" w:hAnsi="Times New Roman"/>
          <w:b w:val="0"/>
          <w:bCs w:val="0"/>
          <w:sz w:val="22"/>
          <w:szCs w:val="22"/>
        </w:rPr>
        <w:t>u</w:t>
      </w:r>
      <w:r w:rsidRPr="0072101A" w:rsidR="009270BF">
        <w:rPr>
          <w:rFonts w:ascii="Times New Roman" w:hAnsi="Times New Roman"/>
          <w:b w:val="0"/>
          <w:bCs w:val="0"/>
          <w:sz w:val="22"/>
          <w:szCs w:val="22"/>
        </w:rPr>
        <w:t xml:space="preserve"> </w:t>
      </w:r>
      <w:r w:rsidR="005F0011">
        <w:rPr>
          <w:rFonts w:ascii="Times New Roman" w:hAnsi="Times New Roman"/>
          <w:b w:val="0"/>
          <w:bCs w:val="0"/>
          <w:sz w:val="22"/>
          <w:szCs w:val="22"/>
        </w:rPr>
        <w:t>9 763 639</w:t>
      </w:r>
      <w:r w:rsidRPr="0072101A" w:rsidR="001949FA">
        <w:rPr>
          <w:rFonts w:ascii="Times New Roman" w:hAnsi="Times New Roman"/>
          <w:b w:val="0"/>
          <w:bCs w:val="0"/>
          <w:sz w:val="22"/>
          <w:szCs w:val="22"/>
        </w:rPr>
        <w:t xml:space="preserve"> tis. eur</w:t>
      </w:r>
      <w:r w:rsidRPr="0072101A" w:rsidR="006E0D4B">
        <w:rPr>
          <w:rFonts w:ascii="Times New Roman" w:hAnsi="Times New Roman"/>
          <w:b w:val="0"/>
          <w:bCs w:val="0"/>
          <w:sz w:val="22"/>
          <w:szCs w:val="22"/>
        </w:rPr>
        <w:t>,</w:t>
      </w:r>
      <w:r w:rsidRPr="0072101A" w:rsidR="009270BF">
        <w:rPr>
          <w:rFonts w:ascii="Times New Roman" w:hAnsi="Times New Roman"/>
          <w:b w:val="0"/>
          <w:bCs w:val="0"/>
          <w:sz w:val="22"/>
          <w:szCs w:val="22"/>
        </w:rPr>
        <w:t xml:space="preserve"> </w:t>
      </w:r>
      <w:r w:rsidRPr="0072101A" w:rsidR="006E0D4B">
        <w:rPr>
          <w:rFonts w:ascii="Times New Roman" w:hAnsi="Times New Roman"/>
          <w:b w:val="0"/>
          <w:bCs w:val="0"/>
          <w:sz w:val="22"/>
          <w:szCs w:val="22"/>
        </w:rPr>
        <w:t>z</w:t>
      </w:r>
      <w:r w:rsidRPr="0072101A" w:rsidR="009270BF">
        <w:rPr>
          <w:rFonts w:ascii="Times New Roman" w:hAnsi="Times New Roman"/>
          <w:b w:val="0"/>
          <w:bCs w:val="0"/>
          <w:sz w:val="22"/>
          <w:szCs w:val="22"/>
        </w:rPr>
        <w:t xml:space="preserve"> toho výnosy budúcich období </w:t>
      </w:r>
      <w:r w:rsidR="005F0011">
        <w:rPr>
          <w:rFonts w:ascii="Times New Roman" w:hAnsi="Times New Roman"/>
          <w:b w:val="0"/>
          <w:bCs w:val="0"/>
          <w:sz w:val="22"/>
          <w:szCs w:val="22"/>
        </w:rPr>
        <w:t>9 726 898</w:t>
      </w:r>
      <w:r w:rsidRPr="0072101A">
        <w:rPr>
          <w:rFonts w:ascii="Times New Roman" w:hAnsi="Times New Roman"/>
          <w:b w:val="0"/>
          <w:bCs w:val="0"/>
          <w:sz w:val="22"/>
          <w:szCs w:val="22"/>
        </w:rPr>
        <w:t xml:space="preserve"> </w:t>
      </w:r>
      <w:r w:rsidRPr="0072101A" w:rsidR="00973D6E">
        <w:rPr>
          <w:rFonts w:ascii="Times New Roman" w:hAnsi="Times New Roman"/>
          <w:b w:val="0"/>
          <w:bCs w:val="0"/>
          <w:sz w:val="22"/>
          <w:szCs w:val="22"/>
        </w:rPr>
        <w:t>tis.</w:t>
      </w:r>
      <w:r w:rsidRPr="0072101A" w:rsidR="009270BF">
        <w:rPr>
          <w:rFonts w:ascii="Times New Roman" w:hAnsi="Times New Roman"/>
          <w:b w:val="0"/>
          <w:bCs w:val="0"/>
          <w:sz w:val="22"/>
          <w:szCs w:val="22"/>
        </w:rPr>
        <w:t xml:space="preserve"> eur a výdavky budúcich období </w:t>
      </w:r>
      <w:r w:rsidR="005F0011">
        <w:rPr>
          <w:rFonts w:ascii="Times New Roman" w:hAnsi="Times New Roman"/>
          <w:b w:val="0"/>
          <w:bCs w:val="0"/>
          <w:sz w:val="22"/>
          <w:szCs w:val="22"/>
        </w:rPr>
        <w:t>36 741</w:t>
      </w:r>
      <w:r w:rsidRPr="0072101A" w:rsidR="001949FA">
        <w:rPr>
          <w:rFonts w:ascii="Times New Roman" w:hAnsi="Times New Roman"/>
          <w:b w:val="0"/>
          <w:bCs w:val="0"/>
          <w:sz w:val="22"/>
          <w:szCs w:val="22"/>
        </w:rPr>
        <w:t xml:space="preserve"> </w:t>
      </w:r>
      <w:r w:rsidRPr="0072101A" w:rsidR="00973D6E">
        <w:rPr>
          <w:rFonts w:ascii="Times New Roman" w:hAnsi="Times New Roman"/>
          <w:b w:val="0"/>
          <w:bCs w:val="0"/>
          <w:sz w:val="22"/>
          <w:szCs w:val="22"/>
        </w:rPr>
        <w:t>tis.</w:t>
      </w:r>
      <w:r w:rsidRPr="0072101A" w:rsidR="009270BF">
        <w:rPr>
          <w:rFonts w:ascii="Times New Roman" w:hAnsi="Times New Roman"/>
          <w:b w:val="0"/>
          <w:bCs w:val="0"/>
          <w:sz w:val="22"/>
          <w:szCs w:val="22"/>
        </w:rPr>
        <w:t xml:space="preserve"> eur.</w:t>
      </w:r>
      <w:r w:rsidRPr="0072101A" w:rsidR="00D670BF">
        <w:rPr>
          <w:rFonts w:ascii="Times New Roman" w:hAnsi="Times New Roman"/>
          <w:b w:val="0"/>
          <w:bCs w:val="0"/>
          <w:sz w:val="22"/>
          <w:szCs w:val="22"/>
        </w:rPr>
        <w:t xml:space="preserve"> Medziročne sa </w:t>
      </w:r>
      <w:r w:rsidR="005F0011">
        <w:rPr>
          <w:rFonts w:ascii="Times New Roman" w:hAnsi="Times New Roman"/>
          <w:b w:val="0"/>
          <w:bCs w:val="0"/>
          <w:sz w:val="22"/>
          <w:szCs w:val="22"/>
        </w:rPr>
        <w:t xml:space="preserve">celková </w:t>
      </w:r>
      <w:r w:rsidRPr="0072101A" w:rsidR="00D670BF">
        <w:rPr>
          <w:rFonts w:ascii="Times New Roman" w:hAnsi="Times New Roman"/>
          <w:b w:val="0"/>
          <w:bCs w:val="0"/>
          <w:sz w:val="22"/>
          <w:szCs w:val="22"/>
        </w:rPr>
        <w:t>hodnota časového rozlíšenia pasív zvýšila o</w:t>
      </w:r>
      <w:r w:rsidR="005F0011">
        <w:rPr>
          <w:rFonts w:ascii="Times New Roman" w:hAnsi="Times New Roman"/>
          <w:b w:val="0"/>
          <w:bCs w:val="0"/>
          <w:sz w:val="22"/>
          <w:szCs w:val="22"/>
        </w:rPr>
        <w:t> 1 067 031</w:t>
      </w:r>
      <w:r w:rsidRPr="0072101A" w:rsidR="00D670BF">
        <w:rPr>
          <w:rFonts w:ascii="Times New Roman" w:hAnsi="Times New Roman"/>
          <w:b w:val="0"/>
          <w:bCs w:val="0"/>
          <w:sz w:val="22"/>
          <w:szCs w:val="22"/>
        </w:rPr>
        <w:t xml:space="preserve"> tis. eur</w:t>
      </w:r>
      <w:r w:rsidRPr="0072101A">
        <w:rPr>
          <w:rFonts w:ascii="Times New Roman" w:hAnsi="Times New Roman"/>
          <w:b w:val="0"/>
          <w:bCs w:val="0"/>
          <w:sz w:val="22"/>
          <w:szCs w:val="22"/>
        </w:rPr>
        <w:t>.</w:t>
      </w:r>
      <w:r w:rsidRPr="0072101A" w:rsidR="005D30FD">
        <w:rPr>
          <w:rFonts w:ascii="Times New Roman" w:hAnsi="Times New Roman"/>
          <w:b w:val="0"/>
          <w:bCs w:val="0"/>
          <w:sz w:val="22"/>
          <w:szCs w:val="22"/>
        </w:rPr>
        <w:t xml:space="preserve"> </w:t>
      </w:r>
      <w:r w:rsidRPr="0072101A">
        <w:rPr>
          <w:rFonts w:ascii="Times New Roman" w:hAnsi="Times New Roman"/>
          <w:b w:val="0"/>
          <w:bCs w:val="0"/>
          <w:sz w:val="22"/>
          <w:szCs w:val="22"/>
        </w:rPr>
        <w:t>Takmer celkový prírastok</w:t>
      </w:r>
      <w:r w:rsidRPr="0072101A" w:rsidR="006D16AB">
        <w:rPr>
          <w:rFonts w:ascii="Times New Roman" w:hAnsi="Times New Roman"/>
          <w:b w:val="0"/>
          <w:bCs w:val="0"/>
          <w:sz w:val="22"/>
          <w:szCs w:val="22"/>
        </w:rPr>
        <w:t xml:space="preserve"> (</w:t>
      </w:r>
      <w:r w:rsidR="005F0011">
        <w:rPr>
          <w:rFonts w:ascii="Times New Roman" w:hAnsi="Times New Roman"/>
          <w:b w:val="0"/>
          <w:bCs w:val="0"/>
          <w:sz w:val="22"/>
          <w:szCs w:val="22"/>
        </w:rPr>
        <w:t>1 060 931</w:t>
      </w:r>
      <w:r w:rsidRPr="0072101A" w:rsidR="006D16AB">
        <w:rPr>
          <w:rFonts w:ascii="Times New Roman" w:hAnsi="Times New Roman"/>
          <w:b w:val="0"/>
          <w:bCs w:val="0"/>
          <w:sz w:val="22"/>
          <w:szCs w:val="22"/>
        </w:rPr>
        <w:t xml:space="preserve"> tis. eur)</w:t>
      </w:r>
      <w:r w:rsidRPr="0072101A">
        <w:rPr>
          <w:rFonts w:ascii="Times New Roman" w:hAnsi="Times New Roman"/>
          <w:b w:val="0"/>
          <w:bCs w:val="0"/>
          <w:sz w:val="22"/>
          <w:szCs w:val="22"/>
        </w:rPr>
        <w:t xml:space="preserve"> tvorili práve časovo rozlíšené výnosy, najmä v podobe prijatých kapitálových transferov, ktoré sa do výnosov bežného obdobia časovo a vecne rozpúšťajú s dosahovanými nákladmi.</w:t>
      </w:r>
    </w:p>
    <w:p w:rsidR="00A3779B" w:rsidRPr="0072101A" w:rsidP="008B70DC">
      <w:pPr>
        <w:pStyle w:val="Pismenka"/>
        <w:tabs>
          <w:tab w:val="clear" w:pos="426"/>
        </w:tabs>
        <w:bidi w:val="0"/>
        <w:spacing w:after="120"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rPr>
        <w:t xml:space="preserve">Najvyššiu položku </w:t>
      </w:r>
      <w:r w:rsidRPr="0072101A">
        <w:rPr>
          <w:rFonts w:ascii="Times New Roman" w:hAnsi="Times New Roman"/>
          <w:b w:val="0"/>
          <w:bCs w:val="0"/>
          <w:sz w:val="22"/>
          <w:szCs w:val="22"/>
          <w:u w:val="single"/>
        </w:rPr>
        <w:t>časovo rozlíšených výnosov</w:t>
      </w:r>
      <w:r w:rsidRPr="0072101A">
        <w:rPr>
          <w:rFonts w:ascii="Times New Roman" w:hAnsi="Times New Roman"/>
          <w:b w:val="0"/>
          <w:bCs w:val="0"/>
          <w:sz w:val="22"/>
          <w:szCs w:val="22"/>
        </w:rPr>
        <w:t xml:space="preserve"> vykazu</w:t>
      </w:r>
      <w:r w:rsidRPr="0072101A" w:rsidR="00C53807">
        <w:rPr>
          <w:rFonts w:ascii="Times New Roman" w:hAnsi="Times New Roman"/>
          <w:b w:val="0"/>
          <w:bCs w:val="0"/>
          <w:sz w:val="22"/>
          <w:szCs w:val="22"/>
        </w:rPr>
        <w:t>jú subjekty územnej samosprávy</w:t>
        <w:br/>
      </w:r>
      <w:r w:rsidR="003A7366">
        <w:rPr>
          <w:rFonts w:ascii="Times New Roman" w:hAnsi="Times New Roman"/>
          <w:b w:val="0"/>
          <w:bCs w:val="0"/>
          <w:sz w:val="22"/>
          <w:szCs w:val="22"/>
        </w:rPr>
        <w:t>4 5</w:t>
      </w:r>
      <w:r w:rsidR="00FE0DF1">
        <w:rPr>
          <w:rFonts w:ascii="Times New Roman" w:hAnsi="Times New Roman"/>
          <w:b w:val="0"/>
          <w:bCs w:val="0"/>
          <w:sz w:val="22"/>
          <w:szCs w:val="22"/>
        </w:rPr>
        <w:t>62</w:t>
      </w:r>
      <w:r w:rsidR="003A7366">
        <w:rPr>
          <w:rFonts w:ascii="Times New Roman" w:hAnsi="Times New Roman"/>
          <w:b w:val="0"/>
          <w:bCs w:val="0"/>
          <w:sz w:val="22"/>
          <w:szCs w:val="22"/>
        </w:rPr>
        <w:t xml:space="preserve"> </w:t>
      </w:r>
      <w:r w:rsidR="00FE0DF1">
        <w:rPr>
          <w:rFonts w:ascii="Times New Roman" w:hAnsi="Times New Roman"/>
          <w:b w:val="0"/>
          <w:bCs w:val="0"/>
          <w:sz w:val="22"/>
          <w:szCs w:val="22"/>
        </w:rPr>
        <w:t>613</w:t>
      </w:r>
      <w:r w:rsidRPr="0072101A">
        <w:rPr>
          <w:rFonts w:ascii="Times New Roman" w:hAnsi="Times New Roman"/>
          <w:b w:val="0"/>
          <w:bCs w:val="0"/>
          <w:sz w:val="22"/>
          <w:szCs w:val="22"/>
        </w:rPr>
        <w:t xml:space="preserve"> tis. eur, najmä ako prijaté časovo rozlíšené bežné a kapitálové transfery zo štátneho rozpočtu a od iných subjektov, ktoré v súvislosti s nákladmi postupne zúčtovávajú do výnosov daného obdobia</w:t>
      </w:r>
      <w:r w:rsidRPr="0072101A" w:rsidR="007A5695">
        <w:rPr>
          <w:rFonts w:ascii="Times New Roman" w:hAnsi="Times New Roman"/>
          <w:b w:val="0"/>
          <w:bCs w:val="0"/>
          <w:sz w:val="22"/>
          <w:szCs w:val="22"/>
        </w:rPr>
        <w:t>.</w:t>
      </w:r>
      <w:r w:rsidRPr="0072101A" w:rsidR="00C53807">
        <w:rPr>
          <w:rFonts w:ascii="Times New Roman" w:hAnsi="Times New Roman"/>
          <w:b w:val="0"/>
          <w:bCs w:val="0"/>
          <w:sz w:val="22"/>
          <w:szCs w:val="22"/>
        </w:rPr>
        <w:t xml:space="preserve"> </w:t>
      </w:r>
      <w:r w:rsidR="003A7366">
        <w:rPr>
          <w:rFonts w:ascii="Times New Roman" w:hAnsi="Times New Roman"/>
          <w:b w:val="0"/>
          <w:bCs w:val="0"/>
          <w:sz w:val="22"/>
          <w:szCs w:val="22"/>
        </w:rPr>
        <w:t>Medziročne územná samospráva dosiahla prírastok v hodnote 56</w:t>
      </w:r>
      <w:r w:rsidR="00FE0DF1">
        <w:rPr>
          <w:rFonts w:ascii="Times New Roman" w:hAnsi="Times New Roman"/>
          <w:b w:val="0"/>
          <w:bCs w:val="0"/>
          <w:sz w:val="22"/>
          <w:szCs w:val="22"/>
        </w:rPr>
        <w:t>8</w:t>
      </w:r>
      <w:r w:rsidR="003A7366">
        <w:rPr>
          <w:rFonts w:ascii="Times New Roman" w:hAnsi="Times New Roman"/>
          <w:b w:val="0"/>
          <w:bCs w:val="0"/>
          <w:sz w:val="22"/>
          <w:szCs w:val="22"/>
        </w:rPr>
        <w:t> </w:t>
      </w:r>
      <w:r w:rsidR="00FE0DF1">
        <w:rPr>
          <w:rFonts w:ascii="Times New Roman" w:hAnsi="Times New Roman"/>
          <w:b w:val="0"/>
          <w:bCs w:val="0"/>
          <w:sz w:val="22"/>
          <w:szCs w:val="22"/>
        </w:rPr>
        <w:t>683</w:t>
      </w:r>
      <w:r w:rsidR="003A7366">
        <w:rPr>
          <w:rFonts w:ascii="Times New Roman" w:hAnsi="Times New Roman"/>
          <w:b w:val="0"/>
          <w:bCs w:val="0"/>
          <w:sz w:val="22"/>
          <w:szCs w:val="22"/>
        </w:rPr>
        <w:t xml:space="preserve"> tis. eur. </w:t>
      </w:r>
    </w:p>
    <w:p w:rsidR="005F3A0B" w:rsidRPr="0072101A" w:rsidP="00F046BD">
      <w:pPr>
        <w:pStyle w:val="Pismenka"/>
        <w:tabs>
          <w:tab w:val="clear" w:pos="426"/>
        </w:tabs>
        <w:bidi w:val="0"/>
        <w:spacing w:after="120" w:line="336" w:lineRule="auto"/>
        <w:ind w:left="0" w:firstLine="0"/>
        <w:rPr>
          <w:rFonts w:ascii="Times New Roman" w:hAnsi="Times New Roman"/>
          <w:b w:val="0"/>
          <w:bCs w:val="0"/>
          <w:sz w:val="22"/>
          <w:szCs w:val="22"/>
        </w:rPr>
      </w:pPr>
      <w:r w:rsidRPr="0072101A" w:rsidR="00A3779B">
        <w:rPr>
          <w:rFonts w:ascii="Times New Roman" w:hAnsi="Times New Roman"/>
          <w:b w:val="0"/>
          <w:bCs w:val="0"/>
          <w:sz w:val="22"/>
          <w:szCs w:val="22"/>
          <w:u w:val="single"/>
        </w:rPr>
        <w:t xml:space="preserve">Ústredná správa vykazuje časovo rozlíšené výnosy v hodnote </w:t>
      </w:r>
      <w:r w:rsidRPr="0072101A" w:rsidR="009D080D">
        <w:rPr>
          <w:rFonts w:ascii="Times New Roman" w:hAnsi="Times New Roman"/>
          <w:b w:val="0"/>
          <w:bCs w:val="0"/>
          <w:sz w:val="22"/>
          <w:szCs w:val="22"/>
          <w:u w:val="single"/>
        </w:rPr>
        <w:t>2</w:t>
      </w:r>
      <w:r w:rsidR="00FE0DF1">
        <w:rPr>
          <w:rFonts w:ascii="Times New Roman" w:hAnsi="Times New Roman"/>
          <w:b w:val="0"/>
          <w:bCs w:val="0"/>
          <w:sz w:val="22"/>
          <w:szCs w:val="22"/>
          <w:u w:val="single"/>
        </w:rPr>
        <w:t> 231 230</w:t>
      </w:r>
      <w:r w:rsidRPr="0072101A" w:rsidR="00A3779B">
        <w:rPr>
          <w:rFonts w:ascii="Times New Roman" w:hAnsi="Times New Roman"/>
          <w:b w:val="0"/>
          <w:bCs w:val="0"/>
          <w:sz w:val="22"/>
          <w:szCs w:val="22"/>
          <w:u w:val="single"/>
        </w:rPr>
        <w:t xml:space="preserve"> tis. eur</w:t>
      </w:r>
      <w:r w:rsidR="00FE0DF1">
        <w:rPr>
          <w:rFonts w:ascii="Times New Roman" w:hAnsi="Times New Roman"/>
          <w:b w:val="0"/>
          <w:bCs w:val="0"/>
          <w:sz w:val="22"/>
          <w:szCs w:val="22"/>
        </w:rPr>
        <w:t>, a medziročne sú vyššie o</w:t>
      </w:r>
      <w:r w:rsidR="00F32389">
        <w:rPr>
          <w:rFonts w:ascii="Times New Roman" w:hAnsi="Times New Roman"/>
          <w:b w:val="0"/>
          <w:bCs w:val="0"/>
          <w:sz w:val="22"/>
          <w:szCs w:val="22"/>
        </w:rPr>
        <w:t xml:space="preserve"> </w:t>
      </w:r>
      <w:r w:rsidR="00FE0DF1">
        <w:rPr>
          <w:rFonts w:ascii="Times New Roman" w:hAnsi="Times New Roman"/>
          <w:b w:val="0"/>
          <w:bCs w:val="0"/>
          <w:sz w:val="22"/>
          <w:szCs w:val="22"/>
        </w:rPr>
        <w:t xml:space="preserve">92 483. </w:t>
      </w:r>
      <w:r w:rsidRPr="0072101A" w:rsidR="00A3779B">
        <w:rPr>
          <w:rFonts w:ascii="Times New Roman" w:hAnsi="Times New Roman"/>
          <w:b w:val="0"/>
          <w:bCs w:val="0"/>
          <w:sz w:val="22"/>
          <w:szCs w:val="22"/>
        </w:rPr>
        <w:t>V rámci transferov vykazuje najvyššiu hodnotu Ministerstvo dopravy, výstavby a regionálneho rozvoja SR za PPP projekt</w:t>
      </w:r>
      <w:r w:rsidRPr="0072101A" w:rsidR="00886A01">
        <w:rPr>
          <w:rFonts w:ascii="Times New Roman" w:hAnsi="Times New Roman"/>
          <w:b w:val="0"/>
          <w:bCs w:val="0"/>
          <w:sz w:val="22"/>
          <w:szCs w:val="22"/>
        </w:rPr>
        <w:t xml:space="preserve"> rýchlostnej cesty R1</w:t>
      </w:r>
      <w:r w:rsidRPr="0072101A" w:rsidR="00A3779B">
        <w:rPr>
          <w:rFonts w:ascii="Times New Roman" w:hAnsi="Times New Roman"/>
          <w:b w:val="0"/>
          <w:bCs w:val="0"/>
          <w:sz w:val="22"/>
          <w:szCs w:val="22"/>
        </w:rPr>
        <w:t>, ktor</w:t>
      </w:r>
      <w:r w:rsidRPr="0072101A" w:rsidR="00886A01">
        <w:rPr>
          <w:rFonts w:ascii="Times New Roman" w:hAnsi="Times New Roman"/>
          <w:b w:val="0"/>
          <w:bCs w:val="0"/>
          <w:sz w:val="22"/>
          <w:szCs w:val="22"/>
        </w:rPr>
        <w:t>ý</w:t>
      </w:r>
      <w:r w:rsidRPr="0072101A" w:rsidR="00A3779B">
        <w:rPr>
          <w:rFonts w:ascii="Times New Roman" w:hAnsi="Times New Roman"/>
          <w:b w:val="0"/>
          <w:bCs w:val="0"/>
          <w:sz w:val="22"/>
          <w:szCs w:val="22"/>
        </w:rPr>
        <w:t xml:space="preserve"> </w:t>
      </w:r>
      <w:r w:rsidRPr="0072101A" w:rsidR="00886A01">
        <w:rPr>
          <w:rFonts w:ascii="Times New Roman" w:hAnsi="Times New Roman"/>
          <w:b w:val="0"/>
          <w:bCs w:val="0"/>
          <w:sz w:val="22"/>
          <w:szCs w:val="22"/>
        </w:rPr>
        <w:t>je</w:t>
      </w:r>
      <w:r w:rsidRPr="0072101A" w:rsidR="00A3779B">
        <w:rPr>
          <w:rFonts w:ascii="Times New Roman" w:hAnsi="Times New Roman"/>
          <w:b w:val="0"/>
          <w:bCs w:val="0"/>
          <w:sz w:val="22"/>
          <w:szCs w:val="22"/>
        </w:rPr>
        <w:t xml:space="preserve"> na strane pasív časovo rozlíšen</w:t>
      </w:r>
      <w:r w:rsidRPr="0072101A" w:rsidR="00886A01">
        <w:rPr>
          <w:rFonts w:ascii="Times New Roman" w:hAnsi="Times New Roman"/>
          <w:b w:val="0"/>
          <w:bCs w:val="0"/>
          <w:sz w:val="22"/>
          <w:szCs w:val="22"/>
        </w:rPr>
        <w:t>ý</w:t>
      </w:r>
      <w:r w:rsidRPr="0072101A" w:rsidR="00EF2867">
        <w:rPr>
          <w:rFonts w:ascii="Times New Roman" w:hAnsi="Times New Roman"/>
          <w:b w:val="0"/>
          <w:bCs w:val="0"/>
          <w:sz w:val="22"/>
          <w:szCs w:val="22"/>
        </w:rPr>
        <w:t xml:space="preserve"> v konsolidovanej</w:t>
      </w:r>
      <w:r w:rsidRPr="0072101A" w:rsidR="00A3779B">
        <w:rPr>
          <w:rFonts w:ascii="Times New Roman" w:hAnsi="Times New Roman"/>
          <w:b w:val="0"/>
          <w:bCs w:val="0"/>
          <w:sz w:val="22"/>
          <w:szCs w:val="22"/>
        </w:rPr>
        <w:t xml:space="preserve"> výške </w:t>
      </w:r>
      <w:r w:rsidR="005F5F1C">
        <w:rPr>
          <w:rFonts w:ascii="Times New Roman" w:hAnsi="Times New Roman"/>
          <w:b w:val="0"/>
          <w:bCs w:val="0"/>
          <w:sz w:val="22"/>
          <w:szCs w:val="22"/>
        </w:rPr>
        <w:t>862 779</w:t>
      </w:r>
      <w:r w:rsidRPr="0072101A" w:rsidR="000408BA">
        <w:rPr>
          <w:rFonts w:ascii="Times New Roman" w:hAnsi="Times New Roman"/>
          <w:b w:val="0"/>
          <w:bCs w:val="0"/>
          <w:sz w:val="22"/>
          <w:szCs w:val="22"/>
        </w:rPr>
        <w:t xml:space="preserve"> tis. eur a postupne zúčtovávaný vo výške oprávok </w:t>
      </w:r>
      <w:r w:rsidRPr="0072101A" w:rsidR="00EF2867">
        <w:rPr>
          <w:rFonts w:ascii="Times New Roman" w:hAnsi="Times New Roman"/>
          <w:b w:val="0"/>
          <w:bCs w:val="0"/>
          <w:sz w:val="22"/>
          <w:szCs w:val="22"/>
        </w:rPr>
        <w:t>do výnosov bežného obdobia.</w:t>
      </w:r>
      <w:r w:rsidRPr="0072101A" w:rsidR="00C74D08">
        <w:rPr>
          <w:rFonts w:ascii="Times New Roman" w:hAnsi="Times New Roman"/>
          <w:b w:val="0"/>
          <w:bCs w:val="0"/>
          <w:sz w:val="22"/>
          <w:szCs w:val="22"/>
        </w:rPr>
        <w:t xml:space="preserve"> </w:t>
      </w:r>
      <w:r w:rsidRPr="0072101A" w:rsidR="00A3779B">
        <w:rPr>
          <w:rFonts w:ascii="Times New Roman" w:hAnsi="Times New Roman"/>
          <w:b w:val="0"/>
          <w:bCs w:val="0"/>
          <w:sz w:val="22"/>
          <w:szCs w:val="22"/>
        </w:rPr>
        <w:t>Ministerstvo financií SR vykazuje v rámci výnosov budúcich období prém</w:t>
      </w:r>
      <w:r w:rsidRPr="0072101A" w:rsidR="000408BA">
        <w:rPr>
          <w:rFonts w:ascii="Times New Roman" w:hAnsi="Times New Roman"/>
          <w:b w:val="0"/>
          <w:bCs w:val="0"/>
          <w:sz w:val="22"/>
          <w:szCs w:val="22"/>
        </w:rPr>
        <w:t xml:space="preserve">iu z predaných cenných papierov vo výške </w:t>
      </w:r>
      <w:r w:rsidR="005F5F1C">
        <w:rPr>
          <w:rFonts w:ascii="Times New Roman" w:hAnsi="Times New Roman"/>
          <w:b w:val="0"/>
          <w:bCs w:val="0"/>
          <w:sz w:val="22"/>
          <w:szCs w:val="22"/>
        </w:rPr>
        <w:t>541 644</w:t>
      </w:r>
      <w:r w:rsidRPr="0072101A" w:rsidR="000408BA">
        <w:rPr>
          <w:rFonts w:ascii="Times New Roman" w:hAnsi="Times New Roman"/>
          <w:b w:val="0"/>
          <w:bCs w:val="0"/>
          <w:sz w:val="22"/>
          <w:szCs w:val="22"/>
        </w:rPr>
        <w:t xml:space="preserve"> tis. eur</w:t>
      </w:r>
      <w:r w:rsidRPr="0072101A" w:rsidR="00A3779B">
        <w:rPr>
          <w:rFonts w:ascii="Times New Roman" w:hAnsi="Times New Roman"/>
          <w:b w:val="0"/>
          <w:bCs w:val="0"/>
          <w:sz w:val="22"/>
          <w:szCs w:val="22"/>
        </w:rPr>
        <w:t xml:space="preserve">. </w:t>
      </w:r>
      <w:r w:rsidRPr="0072101A" w:rsidR="000408BA">
        <w:rPr>
          <w:rFonts w:ascii="Times New Roman" w:hAnsi="Times New Roman"/>
          <w:b w:val="0"/>
          <w:bCs w:val="0"/>
          <w:sz w:val="22"/>
          <w:szCs w:val="22"/>
        </w:rPr>
        <w:t xml:space="preserve">Ministerstvo vnútra </w:t>
      </w:r>
      <w:r w:rsidRPr="0072101A" w:rsidR="00C53807">
        <w:rPr>
          <w:rFonts w:ascii="Times New Roman" w:hAnsi="Times New Roman"/>
          <w:b w:val="0"/>
          <w:bCs w:val="0"/>
          <w:sz w:val="22"/>
          <w:szCs w:val="22"/>
        </w:rPr>
        <w:t xml:space="preserve">SR </w:t>
      </w:r>
      <w:r w:rsidRPr="0072101A" w:rsidR="000408BA">
        <w:rPr>
          <w:rFonts w:ascii="Times New Roman" w:hAnsi="Times New Roman"/>
          <w:b w:val="0"/>
          <w:bCs w:val="0"/>
          <w:sz w:val="22"/>
          <w:szCs w:val="22"/>
        </w:rPr>
        <w:t xml:space="preserve">vykazuje výnosy budúcich období v hodnote </w:t>
      </w:r>
      <w:r w:rsidR="005F5F1C">
        <w:rPr>
          <w:rFonts w:ascii="Times New Roman" w:hAnsi="Times New Roman"/>
          <w:b w:val="0"/>
          <w:bCs w:val="0"/>
          <w:sz w:val="22"/>
          <w:szCs w:val="22"/>
        </w:rPr>
        <w:t>245 444</w:t>
      </w:r>
      <w:r w:rsidRPr="0072101A" w:rsidR="000408BA">
        <w:rPr>
          <w:rFonts w:ascii="Times New Roman" w:hAnsi="Times New Roman"/>
          <w:b w:val="0"/>
          <w:bCs w:val="0"/>
          <w:sz w:val="22"/>
          <w:szCs w:val="22"/>
        </w:rPr>
        <w:t xml:space="preserve"> tis. eur z titulu prijatých grantov a majetku v správe ministerstva, získaného prepadnutím alebo zabavením majetku od subjektov mimo súhrnného celku. </w:t>
      </w:r>
      <w:r w:rsidRPr="0072101A" w:rsidR="00E8781E">
        <w:rPr>
          <w:rFonts w:ascii="Times New Roman" w:hAnsi="Times New Roman"/>
          <w:b w:val="0"/>
          <w:bCs w:val="0"/>
          <w:sz w:val="22"/>
          <w:szCs w:val="22"/>
        </w:rPr>
        <w:t>Úrad pre reguláciu elektronických komunikácií a poštových služieb SR (bývalý Telekomunikačný úrad)  za príjem z predaja licencií (1</w:t>
      </w:r>
      <w:r w:rsidR="005F5F1C">
        <w:rPr>
          <w:rFonts w:ascii="Times New Roman" w:hAnsi="Times New Roman"/>
          <w:b w:val="0"/>
          <w:bCs w:val="0"/>
          <w:sz w:val="22"/>
          <w:szCs w:val="22"/>
        </w:rPr>
        <w:t>56 109</w:t>
      </w:r>
      <w:r w:rsidRPr="0072101A" w:rsidR="00E8781E">
        <w:rPr>
          <w:rFonts w:ascii="Times New Roman" w:hAnsi="Times New Roman"/>
          <w:b w:val="0"/>
          <w:bCs w:val="0"/>
          <w:sz w:val="22"/>
          <w:szCs w:val="22"/>
        </w:rPr>
        <w:t xml:space="preserve"> tis. eur), Slovenská elektrizačná prenosová sústava, a.s. (10</w:t>
      </w:r>
      <w:r w:rsidR="005F5F1C">
        <w:rPr>
          <w:rFonts w:ascii="Times New Roman" w:hAnsi="Times New Roman"/>
          <w:b w:val="0"/>
          <w:bCs w:val="0"/>
          <w:sz w:val="22"/>
          <w:szCs w:val="22"/>
        </w:rPr>
        <w:t>5 239</w:t>
      </w:r>
      <w:r w:rsidRPr="0072101A" w:rsidR="00E8781E">
        <w:rPr>
          <w:rFonts w:ascii="Times New Roman" w:hAnsi="Times New Roman"/>
          <w:b w:val="0"/>
          <w:bCs w:val="0"/>
          <w:sz w:val="22"/>
          <w:szCs w:val="22"/>
        </w:rPr>
        <w:t> tis. eur) z dôvodu prijatých grantov od banky EBOR na rekonštrukciu elektrickej siete</w:t>
      </w:r>
      <w:r w:rsidR="00E719ED">
        <w:rPr>
          <w:rFonts w:ascii="Times New Roman" w:hAnsi="Times New Roman"/>
          <w:b w:val="0"/>
          <w:bCs w:val="0"/>
          <w:sz w:val="22"/>
          <w:szCs w:val="22"/>
        </w:rPr>
        <w:t xml:space="preserve"> </w:t>
      </w:r>
      <w:r w:rsidRPr="0072101A" w:rsidR="00E8781E">
        <w:rPr>
          <w:rFonts w:ascii="Times New Roman" w:hAnsi="Times New Roman"/>
          <w:b w:val="0"/>
          <w:bCs w:val="0"/>
          <w:sz w:val="22"/>
          <w:szCs w:val="22"/>
        </w:rPr>
        <w:t>a Jadrová a</w:t>
      </w:r>
      <w:r w:rsidR="005F5F1C">
        <w:rPr>
          <w:rFonts w:ascii="Times New Roman" w:hAnsi="Times New Roman"/>
          <w:b w:val="0"/>
          <w:bCs w:val="0"/>
          <w:sz w:val="22"/>
          <w:szCs w:val="22"/>
        </w:rPr>
        <w:t xml:space="preserve"> vyraďovacia spoločnosť, a.s. (9</w:t>
      </w:r>
      <w:r w:rsidRPr="0072101A" w:rsidR="00E8781E">
        <w:rPr>
          <w:rFonts w:ascii="Times New Roman" w:hAnsi="Times New Roman"/>
          <w:b w:val="0"/>
          <w:bCs w:val="0"/>
          <w:sz w:val="22"/>
          <w:szCs w:val="22"/>
        </w:rPr>
        <w:t>2 </w:t>
      </w:r>
      <w:r w:rsidR="005F5F1C">
        <w:rPr>
          <w:rFonts w:ascii="Times New Roman" w:hAnsi="Times New Roman"/>
          <w:b w:val="0"/>
          <w:bCs w:val="0"/>
          <w:sz w:val="22"/>
          <w:szCs w:val="22"/>
        </w:rPr>
        <w:t>480</w:t>
      </w:r>
      <w:r w:rsidRPr="0072101A" w:rsidR="00E8781E">
        <w:rPr>
          <w:rFonts w:ascii="Times New Roman" w:hAnsi="Times New Roman"/>
          <w:b w:val="0"/>
          <w:bCs w:val="0"/>
          <w:sz w:val="22"/>
          <w:szCs w:val="22"/>
        </w:rPr>
        <w:t xml:space="preserve"> tis. eur) z prijatých </w:t>
      </w:r>
      <w:r w:rsidR="00D12D25">
        <w:rPr>
          <w:rFonts w:ascii="Times New Roman" w:hAnsi="Times New Roman"/>
          <w:b w:val="0"/>
          <w:bCs w:val="0"/>
          <w:sz w:val="22"/>
          <w:szCs w:val="22"/>
        </w:rPr>
        <w:t>prostriedkov</w:t>
      </w:r>
      <w:r w:rsidRPr="0072101A" w:rsidR="00E8781E">
        <w:rPr>
          <w:rFonts w:ascii="Times New Roman" w:hAnsi="Times New Roman"/>
          <w:b w:val="0"/>
          <w:bCs w:val="0"/>
          <w:sz w:val="22"/>
          <w:szCs w:val="22"/>
        </w:rPr>
        <w:t xml:space="preserve"> od Národného jadrového fondu</w:t>
      </w:r>
      <w:r w:rsidR="00E719ED">
        <w:rPr>
          <w:rFonts w:ascii="Times New Roman" w:hAnsi="Times New Roman"/>
          <w:b w:val="0"/>
          <w:bCs w:val="0"/>
          <w:sz w:val="22"/>
          <w:szCs w:val="22"/>
        </w:rPr>
        <w:t xml:space="preserve"> vyinkasované od elektrárenských spoločností</w:t>
      </w:r>
      <w:r w:rsidRPr="0072101A" w:rsidR="00E8781E">
        <w:rPr>
          <w:rFonts w:ascii="Times New Roman" w:hAnsi="Times New Roman"/>
          <w:b w:val="0"/>
          <w:bCs w:val="0"/>
          <w:sz w:val="22"/>
          <w:szCs w:val="22"/>
        </w:rPr>
        <w:t>.</w:t>
      </w:r>
    </w:p>
    <w:p w:rsidR="001E6917" w:rsidRPr="0072101A" w:rsidP="008B70DC">
      <w:pPr>
        <w:pStyle w:val="Pismenka"/>
        <w:tabs>
          <w:tab w:val="clear" w:pos="426"/>
        </w:tabs>
        <w:bidi w:val="0"/>
        <w:spacing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u w:val="single"/>
        </w:rPr>
        <w:t>Ostatné subjekty</w:t>
      </w:r>
      <w:r w:rsidRPr="0072101A">
        <w:rPr>
          <w:rFonts w:ascii="Times New Roman" w:hAnsi="Times New Roman"/>
          <w:b w:val="0"/>
          <w:bCs w:val="0"/>
          <w:sz w:val="22"/>
          <w:szCs w:val="22"/>
        </w:rPr>
        <w:t xml:space="preserve"> vykazujú časovo rozlíšené výnosy v hodnote 2</w:t>
      </w:r>
      <w:r w:rsidR="004903FA">
        <w:rPr>
          <w:rFonts w:ascii="Times New Roman" w:hAnsi="Times New Roman"/>
          <w:b w:val="0"/>
          <w:bCs w:val="0"/>
          <w:sz w:val="22"/>
          <w:szCs w:val="22"/>
        </w:rPr>
        <w:t xml:space="preserve"> 893 691 </w:t>
      </w:r>
      <w:r w:rsidRPr="0072101A">
        <w:rPr>
          <w:rFonts w:ascii="Times New Roman" w:hAnsi="Times New Roman"/>
          <w:b w:val="0"/>
          <w:bCs w:val="0"/>
          <w:sz w:val="22"/>
          <w:szCs w:val="22"/>
        </w:rPr>
        <w:t>tis. eur</w:t>
      </w:r>
      <w:r w:rsidR="004903FA">
        <w:rPr>
          <w:rFonts w:ascii="Times New Roman" w:hAnsi="Times New Roman"/>
          <w:b w:val="0"/>
          <w:bCs w:val="0"/>
          <w:sz w:val="22"/>
          <w:szCs w:val="22"/>
        </w:rPr>
        <w:t xml:space="preserve"> a medziročnej sú úhrnom vyššie o 360 401 tis. eur. Podstatnú časť tejto sumy tvorili časovo rozlíšené výnosy troch štátnych podnikov; Železníc</w:t>
      </w:r>
      <w:r w:rsidRPr="0072101A" w:rsidR="0007354A">
        <w:rPr>
          <w:rFonts w:ascii="Times New Roman" w:hAnsi="Times New Roman"/>
          <w:b w:val="0"/>
          <w:bCs w:val="0"/>
          <w:sz w:val="22"/>
          <w:szCs w:val="22"/>
        </w:rPr>
        <w:t xml:space="preserve"> SR </w:t>
      </w:r>
      <w:r w:rsidR="004903FA">
        <w:rPr>
          <w:rFonts w:ascii="Times New Roman" w:hAnsi="Times New Roman"/>
          <w:b w:val="0"/>
          <w:bCs w:val="0"/>
          <w:sz w:val="22"/>
          <w:szCs w:val="22"/>
        </w:rPr>
        <w:t>(1 568 552</w:t>
      </w:r>
      <w:r w:rsidRPr="0072101A" w:rsidR="0007354A">
        <w:rPr>
          <w:rFonts w:ascii="Times New Roman" w:hAnsi="Times New Roman"/>
          <w:b w:val="0"/>
          <w:bCs w:val="0"/>
          <w:sz w:val="22"/>
          <w:szCs w:val="22"/>
        </w:rPr>
        <w:t xml:space="preserve"> tis. eur)</w:t>
      </w:r>
      <w:r w:rsidR="004903FA">
        <w:rPr>
          <w:rFonts w:ascii="Times New Roman" w:hAnsi="Times New Roman"/>
          <w:b w:val="0"/>
          <w:bCs w:val="0"/>
          <w:sz w:val="22"/>
          <w:szCs w:val="22"/>
        </w:rPr>
        <w:t>, Vodohospodárskej výstavby (283 898 tis. eur) a Slovenského vodohospodárskeho podniku (282 218 tis. eur)</w:t>
      </w:r>
      <w:r w:rsidRPr="0072101A" w:rsidR="00E85B65">
        <w:rPr>
          <w:rFonts w:ascii="Times New Roman" w:hAnsi="Times New Roman"/>
          <w:b w:val="0"/>
          <w:bCs w:val="0"/>
          <w:sz w:val="22"/>
          <w:szCs w:val="22"/>
        </w:rPr>
        <w:t>.</w:t>
      </w:r>
      <w:r w:rsidR="00E64333">
        <w:rPr>
          <w:rFonts w:ascii="Times New Roman" w:hAnsi="Times New Roman"/>
          <w:b w:val="0"/>
          <w:bCs w:val="0"/>
          <w:sz w:val="22"/>
          <w:szCs w:val="22"/>
        </w:rPr>
        <w:t xml:space="preserve"> Medziročný prírastok u týchto troch podnikov tvoril úhrnom 228 325 tis. eur.</w:t>
      </w:r>
    </w:p>
    <w:p w:rsidR="007B2A04" w:rsidRPr="0072101A" w:rsidP="00A427D3">
      <w:pPr>
        <w:bidi w:val="0"/>
        <w:spacing w:after="0" w:line="336" w:lineRule="auto"/>
        <w:jc w:val="center"/>
        <w:rPr>
          <w:rFonts w:ascii="Times New Roman" w:hAnsi="Times New Roman"/>
          <w:b/>
          <w:bCs/>
          <w:sz w:val="24"/>
          <w:szCs w:val="24"/>
        </w:rPr>
      </w:pPr>
    </w:p>
    <w:p w:rsidR="009270BF" w:rsidRPr="0072101A" w:rsidP="00A427D3">
      <w:pPr>
        <w:bidi w:val="0"/>
        <w:spacing w:after="0" w:line="336" w:lineRule="auto"/>
        <w:jc w:val="center"/>
        <w:rPr>
          <w:rFonts w:ascii="Times New Roman" w:hAnsi="Times New Roman"/>
          <w:b/>
          <w:bCs/>
          <w:sz w:val="24"/>
          <w:szCs w:val="24"/>
        </w:rPr>
      </w:pPr>
      <w:r w:rsidRPr="0072101A">
        <w:rPr>
          <w:rFonts w:ascii="Times New Roman" w:hAnsi="Times New Roman"/>
          <w:b/>
          <w:bCs/>
          <w:sz w:val="24"/>
          <w:szCs w:val="24"/>
        </w:rPr>
        <w:t xml:space="preserve">IV. </w:t>
      </w:r>
      <w:r w:rsidRPr="0072101A">
        <w:rPr>
          <w:rFonts w:ascii="Times New Roman" w:hAnsi="Times New Roman"/>
          <w:b/>
          <w:bCs/>
          <w:caps/>
          <w:sz w:val="24"/>
          <w:szCs w:val="24"/>
        </w:rPr>
        <w:t>Informácie o Nákladoch a výnosoch</w:t>
      </w:r>
      <w:r w:rsidRPr="0072101A" w:rsidR="000B11BE">
        <w:rPr>
          <w:rFonts w:ascii="Times New Roman" w:hAnsi="Times New Roman"/>
          <w:b/>
          <w:bCs/>
          <w:sz w:val="24"/>
          <w:szCs w:val="24"/>
        </w:rPr>
        <w:t xml:space="preserve"> </w:t>
      </w:r>
    </w:p>
    <w:p w:rsidR="009270BF" w:rsidRPr="0072101A" w:rsidP="008C11BF">
      <w:pPr>
        <w:pStyle w:val="Pismenka"/>
        <w:tabs>
          <w:tab w:val="clear" w:pos="426"/>
        </w:tabs>
        <w:bidi w:val="0"/>
        <w:spacing w:before="200" w:after="120" w:line="336" w:lineRule="auto"/>
        <w:ind w:left="425" w:hanging="425"/>
        <w:rPr>
          <w:rFonts w:ascii="Times New Roman" w:hAnsi="Times New Roman"/>
          <w:bCs w:val="0"/>
          <w:sz w:val="24"/>
          <w:szCs w:val="24"/>
        </w:rPr>
      </w:pPr>
      <w:r w:rsidRPr="0072101A" w:rsidR="00EB4514">
        <w:rPr>
          <w:rFonts w:ascii="Times New Roman" w:hAnsi="Times New Roman"/>
          <w:bCs w:val="0"/>
          <w:sz w:val="24"/>
          <w:szCs w:val="24"/>
        </w:rPr>
        <w:t>NÁKLADY</w:t>
      </w:r>
    </w:p>
    <w:p w:rsidR="00F74CD2" w:rsidP="00142D17">
      <w:pPr>
        <w:pStyle w:val="Pismenka"/>
        <w:tabs>
          <w:tab w:val="clear" w:pos="426"/>
        </w:tabs>
        <w:bidi w:val="0"/>
        <w:spacing w:after="120" w:line="336" w:lineRule="auto"/>
        <w:ind w:left="0" w:firstLine="0"/>
        <w:rPr>
          <w:rFonts w:ascii="Times New Roman" w:hAnsi="Times New Roman"/>
          <w:b w:val="0"/>
          <w:bCs w:val="0"/>
          <w:sz w:val="22"/>
          <w:szCs w:val="22"/>
        </w:rPr>
      </w:pPr>
      <w:r w:rsidRPr="0072101A" w:rsidR="00B83AE0">
        <w:rPr>
          <w:rFonts w:ascii="Times New Roman" w:hAnsi="Times New Roman"/>
          <w:b w:val="0"/>
          <w:bCs w:val="0"/>
          <w:sz w:val="22"/>
          <w:szCs w:val="22"/>
        </w:rPr>
        <w:t xml:space="preserve">Náklady súhrnného celku </w:t>
      </w:r>
      <w:r w:rsidRPr="0072101A" w:rsidR="00BB68C7">
        <w:rPr>
          <w:rFonts w:ascii="Times New Roman" w:hAnsi="Times New Roman"/>
          <w:b w:val="0"/>
          <w:bCs w:val="0"/>
          <w:sz w:val="22"/>
          <w:szCs w:val="22"/>
        </w:rPr>
        <w:t xml:space="preserve">za rok </w:t>
      </w:r>
      <w:r w:rsidRPr="0072101A" w:rsidR="00B83AE0">
        <w:rPr>
          <w:rFonts w:ascii="Times New Roman" w:hAnsi="Times New Roman"/>
          <w:b w:val="0"/>
          <w:bCs w:val="0"/>
          <w:sz w:val="22"/>
          <w:szCs w:val="22"/>
        </w:rPr>
        <w:t>201</w:t>
      </w:r>
      <w:r w:rsidR="00C67B16">
        <w:rPr>
          <w:rFonts w:ascii="Times New Roman" w:hAnsi="Times New Roman"/>
          <w:b w:val="0"/>
          <w:bCs w:val="0"/>
          <w:sz w:val="22"/>
          <w:szCs w:val="22"/>
        </w:rPr>
        <w:t>5</w:t>
      </w:r>
      <w:r w:rsidRPr="0072101A" w:rsidR="00B83AE0">
        <w:rPr>
          <w:rFonts w:ascii="Times New Roman" w:hAnsi="Times New Roman"/>
          <w:b w:val="0"/>
          <w:bCs w:val="0"/>
          <w:sz w:val="22"/>
          <w:szCs w:val="22"/>
        </w:rPr>
        <w:t xml:space="preserve"> </w:t>
      </w:r>
      <w:r w:rsidRPr="0072101A" w:rsidR="00BB68C7">
        <w:rPr>
          <w:rFonts w:ascii="Times New Roman" w:hAnsi="Times New Roman"/>
          <w:b w:val="0"/>
          <w:bCs w:val="0"/>
          <w:sz w:val="22"/>
          <w:szCs w:val="22"/>
        </w:rPr>
        <w:t xml:space="preserve">dosiahli </w:t>
      </w:r>
      <w:r w:rsidRPr="0072101A" w:rsidR="00B83AE0">
        <w:rPr>
          <w:rFonts w:ascii="Times New Roman" w:hAnsi="Times New Roman"/>
          <w:b w:val="0"/>
          <w:bCs w:val="0"/>
          <w:sz w:val="22"/>
          <w:szCs w:val="22"/>
        </w:rPr>
        <w:t xml:space="preserve">hodnotu </w:t>
      </w:r>
      <w:r w:rsidR="00C67B16">
        <w:rPr>
          <w:rFonts w:ascii="Times New Roman" w:hAnsi="Times New Roman"/>
          <w:b w:val="0"/>
          <w:bCs w:val="0"/>
          <w:sz w:val="22"/>
          <w:szCs w:val="22"/>
        </w:rPr>
        <w:t>56 174 77</w:t>
      </w:r>
      <w:r>
        <w:rPr>
          <w:rFonts w:ascii="Times New Roman" w:hAnsi="Times New Roman"/>
          <w:b w:val="0"/>
          <w:bCs w:val="0"/>
          <w:sz w:val="22"/>
          <w:szCs w:val="22"/>
        </w:rPr>
        <w:t>0</w:t>
      </w:r>
      <w:r w:rsidR="00C67B16">
        <w:rPr>
          <w:rFonts w:ascii="Times New Roman" w:hAnsi="Times New Roman"/>
          <w:b w:val="0"/>
          <w:bCs w:val="0"/>
          <w:sz w:val="22"/>
          <w:szCs w:val="22"/>
        </w:rPr>
        <w:t xml:space="preserve"> tis. eur</w:t>
      </w:r>
      <w:r w:rsidRPr="0072101A" w:rsidR="0011540D">
        <w:rPr>
          <w:rFonts w:ascii="Times New Roman" w:hAnsi="Times New Roman"/>
          <w:b w:val="0"/>
          <w:bCs w:val="0"/>
          <w:sz w:val="22"/>
          <w:szCs w:val="22"/>
        </w:rPr>
        <w:t xml:space="preserve"> (bez nákladov na nekonsolidovanú časť dane z príjmov)</w:t>
      </w:r>
      <w:r w:rsidRPr="0072101A" w:rsidR="008D5A85">
        <w:rPr>
          <w:rFonts w:ascii="Times New Roman" w:hAnsi="Times New Roman"/>
          <w:b w:val="0"/>
          <w:bCs w:val="0"/>
          <w:sz w:val="22"/>
          <w:szCs w:val="22"/>
        </w:rPr>
        <w:t>.</w:t>
      </w:r>
      <w:r w:rsidRPr="0072101A" w:rsidR="009945D2">
        <w:rPr>
          <w:rFonts w:ascii="Times New Roman" w:hAnsi="Times New Roman"/>
          <w:b w:val="0"/>
          <w:bCs w:val="0"/>
          <w:sz w:val="22"/>
          <w:szCs w:val="22"/>
        </w:rPr>
        <w:t xml:space="preserve"> Oproti roku 201</w:t>
      </w:r>
      <w:r w:rsidR="00C67B16">
        <w:rPr>
          <w:rFonts w:ascii="Times New Roman" w:hAnsi="Times New Roman"/>
          <w:b w:val="0"/>
          <w:bCs w:val="0"/>
          <w:sz w:val="22"/>
          <w:szCs w:val="22"/>
        </w:rPr>
        <w:t>4</w:t>
      </w:r>
      <w:r w:rsidRPr="0072101A" w:rsidR="009945D2">
        <w:rPr>
          <w:rFonts w:ascii="Times New Roman" w:hAnsi="Times New Roman"/>
          <w:b w:val="0"/>
          <w:bCs w:val="0"/>
          <w:sz w:val="22"/>
          <w:szCs w:val="22"/>
        </w:rPr>
        <w:t xml:space="preserve"> sa celkové náklady </w:t>
      </w:r>
      <w:r w:rsidRPr="0072101A" w:rsidR="00BB68C7">
        <w:rPr>
          <w:rFonts w:ascii="Times New Roman" w:hAnsi="Times New Roman"/>
          <w:b w:val="0"/>
          <w:bCs w:val="0"/>
          <w:sz w:val="22"/>
          <w:szCs w:val="22"/>
        </w:rPr>
        <w:t>znížili</w:t>
      </w:r>
      <w:r w:rsidRPr="0072101A" w:rsidR="009945D2">
        <w:rPr>
          <w:rFonts w:ascii="Times New Roman" w:hAnsi="Times New Roman"/>
          <w:b w:val="0"/>
          <w:bCs w:val="0"/>
          <w:sz w:val="22"/>
          <w:szCs w:val="22"/>
        </w:rPr>
        <w:t xml:space="preserve"> o</w:t>
      </w:r>
      <w:r w:rsidR="001D1D14">
        <w:rPr>
          <w:rFonts w:ascii="Times New Roman" w:hAnsi="Times New Roman"/>
          <w:b w:val="0"/>
          <w:bCs w:val="0"/>
          <w:sz w:val="22"/>
          <w:szCs w:val="22"/>
        </w:rPr>
        <w:t> </w:t>
      </w:r>
      <w:r w:rsidR="00C67B16">
        <w:rPr>
          <w:rFonts w:ascii="Times New Roman" w:hAnsi="Times New Roman"/>
          <w:b w:val="0"/>
          <w:bCs w:val="0"/>
          <w:sz w:val="22"/>
          <w:szCs w:val="22"/>
        </w:rPr>
        <w:t>49 933</w:t>
      </w:r>
      <w:r>
        <w:rPr>
          <w:rFonts w:ascii="Times New Roman" w:hAnsi="Times New Roman"/>
          <w:b w:val="0"/>
          <w:bCs w:val="0"/>
          <w:sz w:val="22"/>
          <w:szCs w:val="22"/>
        </w:rPr>
        <w:t xml:space="preserve"> tis. eur, pričom toto zníženie je výsledkom rastúcich nákladov </w:t>
      </w:r>
      <w:r w:rsidR="000C6837">
        <w:rPr>
          <w:rFonts w:ascii="Times New Roman" w:hAnsi="Times New Roman"/>
          <w:b w:val="0"/>
          <w:bCs w:val="0"/>
          <w:sz w:val="22"/>
          <w:szCs w:val="22"/>
        </w:rPr>
        <w:t xml:space="preserve">najmä </w:t>
      </w:r>
      <w:r>
        <w:rPr>
          <w:rFonts w:ascii="Times New Roman" w:hAnsi="Times New Roman"/>
          <w:b w:val="0"/>
          <w:bCs w:val="0"/>
          <w:sz w:val="22"/>
          <w:szCs w:val="22"/>
        </w:rPr>
        <w:t xml:space="preserve">na spotrebované nákupy a služby o 1 347 872 tis. eur, nákladov na transfery o 1 114 121 tis. </w:t>
      </w:r>
      <w:r w:rsidR="000C6837">
        <w:rPr>
          <w:rFonts w:ascii="Times New Roman" w:hAnsi="Times New Roman"/>
          <w:b w:val="0"/>
          <w:bCs w:val="0"/>
          <w:sz w:val="22"/>
          <w:szCs w:val="22"/>
        </w:rPr>
        <w:t xml:space="preserve">eur </w:t>
      </w:r>
      <w:r>
        <w:rPr>
          <w:rFonts w:ascii="Times New Roman" w:hAnsi="Times New Roman"/>
          <w:b w:val="0"/>
          <w:bCs w:val="0"/>
          <w:sz w:val="22"/>
          <w:szCs w:val="22"/>
        </w:rPr>
        <w:t>a osobných nákladov o 327 709 tis. eur, pri súčasnom poklese nákladov na tvorbu rezerv a</w:t>
      </w:r>
      <w:r w:rsidR="001D1D14">
        <w:rPr>
          <w:rFonts w:ascii="Times New Roman" w:hAnsi="Times New Roman"/>
          <w:b w:val="0"/>
          <w:bCs w:val="0"/>
          <w:sz w:val="22"/>
          <w:szCs w:val="22"/>
        </w:rPr>
        <w:t> opravných položiek o 3 200 614 </w:t>
      </w:r>
      <w:r>
        <w:rPr>
          <w:rFonts w:ascii="Times New Roman" w:hAnsi="Times New Roman"/>
          <w:b w:val="0"/>
          <w:bCs w:val="0"/>
          <w:sz w:val="22"/>
          <w:szCs w:val="22"/>
        </w:rPr>
        <w:t xml:space="preserve">tis. eur. </w:t>
      </w:r>
    </w:p>
    <w:p w:rsidR="000C6837" w:rsidP="00142D17">
      <w:pPr>
        <w:pStyle w:val="Pismenka"/>
        <w:tabs>
          <w:tab w:val="clear" w:pos="426"/>
        </w:tabs>
        <w:bidi w:val="0"/>
        <w:spacing w:after="120" w:line="336" w:lineRule="auto"/>
        <w:ind w:left="0" w:firstLine="0"/>
        <w:rPr>
          <w:rFonts w:ascii="Times New Roman" w:hAnsi="Times New Roman"/>
          <w:b w:val="0"/>
          <w:bCs w:val="0"/>
          <w:sz w:val="22"/>
          <w:szCs w:val="22"/>
        </w:rPr>
      </w:pPr>
      <w:r w:rsidR="00F74CD2">
        <w:rPr>
          <w:rFonts w:ascii="Times New Roman" w:hAnsi="Times New Roman"/>
          <w:b w:val="0"/>
          <w:bCs w:val="0"/>
          <w:sz w:val="22"/>
          <w:szCs w:val="22"/>
        </w:rPr>
        <w:t>Tvorba rezerv bola významná v roku 2014, a to najmä na zamestnanecké požitky v ústrednej správe. V roku 2015 došlo k jej aktualizácii a navýšeniu o 598 010 tis. eur.</w:t>
      </w:r>
      <w:r w:rsidRPr="0072101A" w:rsidR="00156B30">
        <w:rPr>
          <w:rFonts w:ascii="Times New Roman" w:hAnsi="Times New Roman"/>
          <w:b w:val="0"/>
          <w:bCs w:val="0"/>
          <w:sz w:val="22"/>
          <w:szCs w:val="22"/>
        </w:rPr>
        <w:t xml:space="preserve"> </w:t>
      </w:r>
    </w:p>
    <w:tbl>
      <w:tblPr>
        <w:tblStyle w:val="TableNormal"/>
        <w:tblW w:w="4578" w:type="pct"/>
        <w:jc w:val="center"/>
        <w:tblCellMar>
          <w:left w:w="70" w:type="dxa"/>
          <w:right w:w="70" w:type="dxa"/>
        </w:tblCellMar>
        <w:tblLook w:val="00A0"/>
      </w:tblPr>
      <w:tblGrid>
        <w:gridCol w:w="5458"/>
        <w:gridCol w:w="1434"/>
        <w:gridCol w:w="1542"/>
      </w:tblGrid>
      <w:tr>
        <w:tblPrEx>
          <w:tblW w:w="4578" w:type="pct"/>
          <w:jc w:val="center"/>
          <w:tblCellMar>
            <w:left w:w="70" w:type="dxa"/>
            <w:right w:w="70" w:type="dxa"/>
          </w:tblCellMar>
          <w:tblLook w:val="00A0"/>
        </w:tblPrEx>
        <w:trPr>
          <w:trHeight w:val="330"/>
          <w:jc w:val="center"/>
        </w:trPr>
        <w:tc>
          <w:tcPr>
            <w:tcW w:w="3236" w:type="pct"/>
            <w:tcBorders>
              <w:top w:val="single" w:sz="4" w:space="0" w:color="auto"/>
              <w:left w:val="nil"/>
              <w:bottom w:val="single" w:sz="4" w:space="0" w:color="auto"/>
              <w:right w:val="nil"/>
            </w:tcBorders>
            <w:shd w:val="clear" w:color="000000" w:fill="000000"/>
            <w:noWrap/>
            <w:textDirection w:val="lrTb"/>
            <w:vAlign w:val="center"/>
          </w:tcPr>
          <w:p w:rsidR="00156B30" w:rsidRPr="0072101A" w:rsidP="00156B30">
            <w:pPr>
              <w:bidi w:val="0"/>
              <w:spacing w:after="0" w:line="240" w:lineRule="auto"/>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Náklady podľa druhu (v tis. eur)</w:t>
            </w:r>
          </w:p>
        </w:tc>
        <w:tc>
          <w:tcPr>
            <w:tcW w:w="850" w:type="pct"/>
            <w:tcBorders>
              <w:top w:val="single" w:sz="4" w:space="0" w:color="auto"/>
              <w:left w:val="nil"/>
              <w:bottom w:val="single" w:sz="4" w:space="0" w:color="auto"/>
              <w:right w:val="nil"/>
            </w:tcBorders>
            <w:shd w:val="clear" w:color="000000" w:fill="000000"/>
            <w:textDirection w:val="lrTb"/>
            <w:vAlign w:val="center"/>
          </w:tcPr>
          <w:p w:rsidR="00156B30" w:rsidRPr="0072101A" w:rsidP="0024355C">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c>
          <w:tcPr>
            <w:tcW w:w="914" w:type="pct"/>
            <w:tcBorders>
              <w:top w:val="single" w:sz="4" w:space="0" w:color="auto"/>
              <w:left w:val="nil"/>
              <w:bottom w:val="single" w:sz="4" w:space="0" w:color="auto"/>
              <w:right w:val="nil"/>
            </w:tcBorders>
            <w:shd w:val="clear" w:color="000000" w:fill="000000"/>
            <w:textDirection w:val="lrTb"/>
            <w:vAlign w:val="center"/>
          </w:tcPr>
          <w:p w:rsidR="00156B30" w:rsidRPr="0072101A" w:rsidP="0024355C">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r>
      <w:tr>
        <w:tblPrEx>
          <w:tblW w:w="4578" w:type="pct"/>
          <w:jc w:val="center"/>
          <w:tblCellMar>
            <w:left w:w="70" w:type="dxa"/>
            <w:right w:w="70" w:type="dxa"/>
          </w:tblCellMar>
          <w:tblLook w:val="00A0"/>
        </w:tblPrEx>
        <w:trPr>
          <w:trHeight w:val="330"/>
          <w:jc w:val="center"/>
        </w:trPr>
        <w:tc>
          <w:tcPr>
            <w:tcW w:w="3236" w:type="pct"/>
            <w:tcBorders>
              <w:top w:val="nil"/>
              <w:left w:val="nil"/>
              <w:bottom w:val="single" w:sz="4" w:space="0" w:color="auto"/>
              <w:right w:val="nil"/>
            </w:tcBorders>
            <w:shd w:val="clear" w:color="000000" w:fill="BFBFBF"/>
            <w:noWrap/>
            <w:textDirection w:val="lrTb"/>
            <w:vAlign w:val="bottom"/>
          </w:tcPr>
          <w:p w:rsidR="00156B30" w:rsidRPr="0072101A" w:rsidP="0024355C">
            <w:pPr>
              <w:bidi w:val="0"/>
              <w:spacing w:after="0" w:line="240" w:lineRule="auto"/>
              <w:rPr>
                <w:rFonts w:ascii="Times New Roman" w:hAnsi="Times New Roman"/>
                <w:b/>
                <w:bCs/>
                <w:sz w:val="20"/>
                <w:szCs w:val="20"/>
                <w:lang w:eastAsia="sk-SK"/>
              </w:rPr>
            </w:pPr>
          </w:p>
        </w:tc>
        <w:tc>
          <w:tcPr>
            <w:tcW w:w="850" w:type="pct"/>
            <w:tcBorders>
              <w:top w:val="nil"/>
              <w:left w:val="nil"/>
              <w:bottom w:val="single" w:sz="4" w:space="0" w:color="auto"/>
              <w:right w:val="nil"/>
            </w:tcBorders>
            <w:shd w:val="clear" w:color="000000" w:fill="BFBFBF"/>
            <w:noWrap/>
            <w:textDirection w:val="lrTb"/>
            <w:vAlign w:val="bottom"/>
          </w:tcPr>
          <w:p w:rsidR="00156B30" w:rsidRPr="0072101A" w:rsidP="008C479C">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201</w:t>
            </w:r>
            <w:r w:rsidR="00480AA7">
              <w:rPr>
                <w:rFonts w:ascii="Times New Roman" w:hAnsi="Times New Roman"/>
                <w:b/>
                <w:bCs/>
                <w:sz w:val="20"/>
                <w:szCs w:val="20"/>
                <w:lang w:eastAsia="sk-SK"/>
              </w:rPr>
              <w:t>5</w:t>
            </w:r>
          </w:p>
        </w:tc>
        <w:tc>
          <w:tcPr>
            <w:tcW w:w="914" w:type="pct"/>
            <w:tcBorders>
              <w:top w:val="nil"/>
              <w:left w:val="nil"/>
              <w:bottom w:val="single" w:sz="4" w:space="0" w:color="auto"/>
              <w:right w:val="nil"/>
            </w:tcBorders>
            <w:shd w:val="clear" w:color="000000" w:fill="BFBFBF"/>
            <w:noWrap/>
            <w:textDirection w:val="lrTb"/>
            <w:vAlign w:val="bottom"/>
          </w:tcPr>
          <w:p w:rsidR="00156B30" w:rsidRPr="0072101A" w:rsidP="00F37078">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201</w:t>
            </w:r>
            <w:r w:rsidR="00480AA7">
              <w:rPr>
                <w:rFonts w:ascii="Times New Roman" w:hAnsi="Times New Roman"/>
                <w:b/>
                <w:bCs/>
                <w:sz w:val="20"/>
                <w:szCs w:val="20"/>
                <w:lang w:eastAsia="sk-SK"/>
              </w:rPr>
              <w:t>4</w:t>
            </w:r>
          </w:p>
        </w:tc>
      </w:tr>
      <w:tr>
        <w:tblPrEx>
          <w:tblW w:w="4578" w:type="pct"/>
          <w:jc w:val="center"/>
          <w:tblCellMar>
            <w:left w:w="70" w:type="dxa"/>
            <w:right w:w="70" w:type="dxa"/>
          </w:tblCellMar>
          <w:tblLook w:val="00A0"/>
        </w:tblPrEx>
        <w:trPr>
          <w:trHeight w:val="330"/>
          <w:jc w:val="center"/>
        </w:trPr>
        <w:tc>
          <w:tcPr>
            <w:tcW w:w="3236" w:type="pct"/>
            <w:tcBorders>
              <w:top w:val="nil"/>
              <w:left w:val="nil"/>
              <w:bottom w:val="nil"/>
              <w:right w:val="nil"/>
            </w:tcBorders>
            <w:shd w:val="clear" w:color="000000" w:fill="FFFFFF"/>
            <w:textDirection w:val="lrTb"/>
            <w:vAlign w:val="center"/>
          </w:tcPr>
          <w:p w:rsidR="00480AA7" w:rsidRPr="0072101A" w:rsidP="0024355C">
            <w:pPr>
              <w:bidi w:val="0"/>
              <w:spacing w:after="0" w:line="240" w:lineRule="auto"/>
              <w:rPr>
                <w:rFonts w:ascii="Times New Roman" w:hAnsi="Times New Roman"/>
                <w:color w:val="000000"/>
                <w:sz w:val="20"/>
                <w:szCs w:val="20"/>
                <w:lang w:eastAsia="sk-SK"/>
              </w:rPr>
            </w:pPr>
            <w:r w:rsidRPr="0072101A">
              <w:rPr>
                <w:rFonts w:ascii="Times New Roman" w:hAnsi="Times New Roman"/>
                <w:bCs/>
                <w:color w:val="000000"/>
                <w:sz w:val="20"/>
                <w:szCs w:val="20"/>
                <w:lang w:eastAsia="sk-SK"/>
              </w:rPr>
              <w:t xml:space="preserve">Prevádzkové </w:t>
            </w:r>
          </w:p>
        </w:tc>
        <w:tc>
          <w:tcPr>
            <w:tcW w:w="850" w:type="pct"/>
            <w:tcBorders>
              <w:top w:val="nil"/>
              <w:left w:val="nil"/>
              <w:bottom w:val="nil"/>
              <w:right w:val="nil"/>
            </w:tcBorders>
            <w:shd w:val="clear" w:color="000000" w:fill="FFFFFF"/>
            <w:textDirection w:val="lrTb"/>
            <w:vAlign w:val="center"/>
          </w:tcPr>
          <w:p w:rsidR="00480AA7" w:rsidRPr="0072101A" w:rsidP="0041398D">
            <w:pPr>
              <w:bidi w:val="0"/>
              <w:spacing w:after="0" w:line="240" w:lineRule="auto"/>
              <w:jc w:val="right"/>
              <w:rPr>
                <w:rFonts w:ascii="Times New Roman" w:hAnsi="Times New Roman"/>
                <w:color w:val="000000"/>
                <w:sz w:val="20"/>
                <w:szCs w:val="20"/>
                <w:lang w:eastAsia="sk-SK"/>
              </w:rPr>
            </w:pPr>
            <w:r w:rsidR="00DC0BF6">
              <w:rPr>
                <w:rFonts w:ascii="Times New Roman" w:hAnsi="Times New Roman"/>
                <w:color w:val="000000"/>
                <w:sz w:val="20"/>
                <w:szCs w:val="20"/>
                <w:lang w:eastAsia="sk-SK"/>
              </w:rPr>
              <w:t>28 656 717</w:t>
            </w:r>
          </w:p>
        </w:tc>
        <w:tc>
          <w:tcPr>
            <w:tcW w:w="914" w:type="pct"/>
            <w:tcBorders>
              <w:top w:val="nil"/>
              <w:left w:val="nil"/>
              <w:bottom w:val="nil"/>
              <w:right w:val="nil"/>
            </w:tcBorders>
            <w:shd w:val="clear" w:color="000000" w:fill="FFFFFF"/>
            <w:textDirection w:val="lrTb"/>
            <w:vAlign w:val="center"/>
          </w:tcPr>
          <w:p w:rsidR="00480AA7" w:rsidRPr="0072101A" w:rsidP="001603B3">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29 973 459</w:t>
            </w:r>
          </w:p>
        </w:tc>
      </w:tr>
      <w:tr>
        <w:tblPrEx>
          <w:tblW w:w="4578" w:type="pct"/>
          <w:jc w:val="center"/>
          <w:tblCellMar>
            <w:left w:w="70" w:type="dxa"/>
            <w:right w:w="70" w:type="dxa"/>
          </w:tblCellMar>
          <w:tblLook w:val="00A0"/>
        </w:tblPrEx>
        <w:trPr>
          <w:trHeight w:val="330"/>
          <w:jc w:val="center"/>
        </w:trPr>
        <w:tc>
          <w:tcPr>
            <w:tcW w:w="3236" w:type="pct"/>
            <w:tcBorders>
              <w:top w:val="nil"/>
              <w:left w:val="nil"/>
              <w:bottom w:val="nil"/>
              <w:right w:val="nil"/>
            </w:tcBorders>
            <w:shd w:val="clear" w:color="000000" w:fill="FFFFFF"/>
            <w:textDirection w:val="lrTb"/>
            <w:vAlign w:val="center"/>
          </w:tcPr>
          <w:p w:rsidR="00480AA7" w:rsidRPr="0072101A" w:rsidP="0024355C">
            <w:pPr>
              <w:bidi w:val="0"/>
              <w:spacing w:after="0" w:line="240" w:lineRule="auto"/>
              <w:rPr>
                <w:rFonts w:ascii="Times New Roman" w:hAnsi="Times New Roman"/>
                <w:color w:val="000000"/>
                <w:sz w:val="20"/>
                <w:szCs w:val="20"/>
                <w:lang w:eastAsia="sk-SK"/>
              </w:rPr>
            </w:pPr>
            <w:r w:rsidRPr="0072101A">
              <w:rPr>
                <w:rFonts w:ascii="Times New Roman" w:hAnsi="Times New Roman"/>
                <w:bCs/>
                <w:color w:val="000000"/>
                <w:sz w:val="20"/>
                <w:szCs w:val="20"/>
                <w:lang w:eastAsia="sk-SK"/>
              </w:rPr>
              <w:t xml:space="preserve">Finančné </w:t>
            </w:r>
          </w:p>
        </w:tc>
        <w:tc>
          <w:tcPr>
            <w:tcW w:w="850" w:type="pct"/>
            <w:tcBorders>
              <w:top w:val="nil"/>
              <w:left w:val="nil"/>
              <w:bottom w:val="nil"/>
              <w:right w:val="nil"/>
            </w:tcBorders>
            <w:shd w:val="clear" w:color="000000" w:fill="FFFFFF"/>
            <w:textDirection w:val="lrTb"/>
            <w:vAlign w:val="center"/>
          </w:tcPr>
          <w:p w:rsidR="00480AA7" w:rsidRPr="0072101A" w:rsidP="00DC0BF6">
            <w:pPr>
              <w:bidi w:val="0"/>
              <w:spacing w:after="0" w:line="240" w:lineRule="auto"/>
              <w:jc w:val="right"/>
              <w:rPr>
                <w:rFonts w:ascii="Times New Roman" w:hAnsi="Times New Roman"/>
                <w:color w:val="000000"/>
                <w:sz w:val="20"/>
                <w:szCs w:val="20"/>
                <w:lang w:eastAsia="sk-SK"/>
              </w:rPr>
            </w:pPr>
            <w:r w:rsidR="00DC0BF6">
              <w:rPr>
                <w:rFonts w:ascii="Times New Roman" w:hAnsi="Times New Roman"/>
                <w:color w:val="000000"/>
                <w:sz w:val="20"/>
                <w:szCs w:val="20"/>
                <w:lang w:eastAsia="sk-SK"/>
              </w:rPr>
              <w:t>2 286 536</w:t>
            </w:r>
          </w:p>
        </w:tc>
        <w:tc>
          <w:tcPr>
            <w:tcW w:w="914" w:type="pct"/>
            <w:tcBorders>
              <w:top w:val="nil"/>
              <w:left w:val="nil"/>
              <w:bottom w:val="nil"/>
              <w:right w:val="nil"/>
            </w:tcBorders>
            <w:shd w:val="clear" w:color="000000" w:fill="FFFFFF"/>
            <w:textDirection w:val="lrTb"/>
            <w:vAlign w:val="center"/>
          </w:tcPr>
          <w:p w:rsidR="00480AA7" w:rsidRPr="0072101A" w:rsidP="001603B3">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2 134 172</w:t>
            </w:r>
          </w:p>
        </w:tc>
      </w:tr>
      <w:tr>
        <w:tblPrEx>
          <w:tblW w:w="4578" w:type="pct"/>
          <w:jc w:val="center"/>
          <w:tblCellMar>
            <w:left w:w="70" w:type="dxa"/>
            <w:right w:w="70" w:type="dxa"/>
          </w:tblCellMar>
          <w:tblLook w:val="00A0"/>
        </w:tblPrEx>
        <w:trPr>
          <w:trHeight w:val="330"/>
          <w:jc w:val="center"/>
        </w:trPr>
        <w:tc>
          <w:tcPr>
            <w:tcW w:w="3236" w:type="pct"/>
            <w:tcBorders>
              <w:top w:val="nil"/>
              <w:left w:val="nil"/>
              <w:bottom w:val="nil"/>
              <w:right w:val="nil"/>
            </w:tcBorders>
            <w:shd w:val="clear" w:color="000000" w:fill="FFFFFF"/>
            <w:textDirection w:val="lrTb"/>
            <w:vAlign w:val="center"/>
          </w:tcPr>
          <w:p w:rsidR="00480AA7" w:rsidRPr="0072101A" w:rsidP="0024355C">
            <w:pPr>
              <w:bidi w:val="0"/>
              <w:spacing w:after="0" w:line="240" w:lineRule="auto"/>
              <w:rPr>
                <w:rFonts w:ascii="Times New Roman" w:hAnsi="Times New Roman"/>
                <w:color w:val="000000"/>
                <w:sz w:val="20"/>
                <w:szCs w:val="20"/>
                <w:lang w:eastAsia="sk-SK"/>
              </w:rPr>
            </w:pPr>
            <w:r w:rsidRPr="0072101A">
              <w:rPr>
                <w:rFonts w:ascii="Times New Roman" w:hAnsi="Times New Roman"/>
                <w:bCs/>
                <w:color w:val="000000"/>
                <w:sz w:val="20"/>
                <w:szCs w:val="20"/>
                <w:lang w:eastAsia="sk-SK"/>
              </w:rPr>
              <w:t xml:space="preserve">Mimoriadne </w:t>
            </w:r>
          </w:p>
        </w:tc>
        <w:tc>
          <w:tcPr>
            <w:tcW w:w="850" w:type="pct"/>
            <w:tcBorders>
              <w:top w:val="nil"/>
              <w:left w:val="nil"/>
              <w:bottom w:val="nil"/>
              <w:right w:val="nil"/>
            </w:tcBorders>
            <w:shd w:val="clear" w:color="000000" w:fill="FFFFFF"/>
            <w:textDirection w:val="lrTb"/>
            <w:vAlign w:val="center"/>
          </w:tcPr>
          <w:p w:rsidR="00480AA7" w:rsidRPr="0072101A" w:rsidP="0024355C">
            <w:pPr>
              <w:bidi w:val="0"/>
              <w:spacing w:after="0" w:line="240" w:lineRule="auto"/>
              <w:jc w:val="right"/>
              <w:rPr>
                <w:rFonts w:ascii="Times New Roman" w:hAnsi="Times New Roman"/>
                <w:color w:val="000000"/>
                <w:sz w:val="20"/>
                <w:szCs w:val="20"/>
                <w:lang w:eastAsia="sk-SK"/>
              </w:rPr>
            </w:pPr>
            <w:r w:rsidR="00DC0BF6">
              <w:rPr>
                <w:rFonts w:ascii="Times New Roman" w:hAnsi="Times New Roman"/>
                <w:color w:val="000000"/>
                <w:sz w:val="20"/>
                <w:szCs w:val="20"/>
                <w:lang w:eastAsia="sk-SK"/>
              </w:rPr>
              <w:t>1 248</w:t>
            </w:r>
          </w:p>
        </w:tc>
        <w:tc>
          <w:tcPr>
            <w:tcW w:w="914" w:type="pct"/>
            <w:tcBorders>
              <w:top w:val="nil"/>
              <w:left w:val="nil"/>
              <w:bottom w:val="nil"/>
              <w:right w:val="nil"/>
            </w:tcBorders>
            <w:shd w:val="clear" w:color="000000" w:fill="FFFFFF"/>
            <w:textDirection w:val="lrTb"/>
            <w:vAlign w:val="center"/>
          </w:tcPr>
          <w:p w:rsidR="00480AA7" w:rsidRPr="0072101A" w:rsidP="001603B3">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924</w:t>
            </w:r>
          </w:p>
        </w:tc>
      </w:tr>
      <w:tr>
        <w:tblPrEx>
          <w:tblW w:w="4578" w:type="pct"/>
          <w:jc w:val="center"/>
          <w:tblCellMar>
            <w:left w:w="70" w:type="dxa"/>
            <w:right w:w="70" w:type="dxa"/>
          </w:tblCellMar>
          <w:tblLook w:val="00A0"/>
        </w:tblPrEx>
        <w:trPr>
          <w:trHeight w:val="330"/>
          <w:jc w:val="center"/>
        </w:trPr>
        <w:tc>
          <w:tcPr>
            <w:tcW w:w="3236" w:type="pct"/>
            <w:tcBorders>
              <w:top w:val="nil"/>
              <w:left w:val="nil"/>
              <w:bottom w:val="nil"/>
              <w:right w:val="nil"/>
            </w:tcBorders>
            <w:shd w:val="clear" w:color="000000" w:fill="FFFFFF"/>
            <w:textDirection w:val="lrTb"/>
            <w:vAlign w:val="center"/>
          </w:tcPr>
          <w:p w:rsidR="00480AA7" w:rsidRPr="0072101A" w:rsidP="0024355C">
            <w:pPr>
              <w:bidi w:val="0"/>
              <w:spacing w:after="0" w:line="240" w:lineRule="auto"/>
              <w:rPr>
                <w:rFonts w:ascii="Times New Roman" w:hAnsi="Times New Roman"/>
                <w:color w:val="000000"/>
                <w:sz w:val="20"/>
                <w:szCs w:val="20"/>
                <w:lang w:eastAsia="sk-SK"/>
              </w:rPr>
            </w:pPr>
            <w:r w:rsidRPr="0072101A">
              <w:rPr>
                <w:rFonts w:ascii="Times New Roman" w:hAnsi="Times New Roman"/>
                <w:bCs/>
                <w:color w:val="000000"/>
                <w:sz w:val="20"/>
                <w:szCs w:val="20"/>
                <w:lang w:eastAsia="sk-SK"/>
              </w:rPr>
              <w:t>Náklady na transfery</w:t>
            </w:r>
          </w:p>
        </w:tc>
        <w:tc>
          <w:tcPr>
            <w:tcW w:w="850" w:type="pct"/>
            <w:tcBorders>
              <w:top w:val="nil"/>
              <w:left w:val="nil"/>
              <w:bottom w:val="nil"/>
              <w:right w:val="nil"/>
            </w:tcBorders>
            <w:shd w:val="clear" w:color="000000" w:fill="FFFFFF"/>
            <w:textDirection w:val="lrTb"/>
            <w:vAlign w:val="center"/>
          </w:tcPr>
          <w:p w:rsidR="00480AA7" w:rsidRPr="0072101A" w:rsidP="0024355C">
            <w:pPr>
              <w:bidi w:val="0"/>
              <w:spacing w:after="0" w:line="240" w:lineRule="auto"/>
              <w:jc w:val="right"/>
              <w:rPr>
                <w:rFonts w:ascii="Times New Roman" w:hAnsi="Times New Roman"/>
                <w:color w:val="000000"/>
                <w:sz w:val="20"/>
                <w:szCs w:val="20"/>
                <w:lang w:eastAsia="sk-SK"/>
              </w:rPr>
            </w:pPr>
            <w:r w:rsidR="00DC0BF6">
              <w:rPr>
                <w:rFonts w:ascii="Times New Roman" w:hAnsi="Times New Roman"/>
                <w:color w:val="000000"/>
                <w:sz w:val="20"/>
                <w:szCs w:val="20"/>
                <w:lang w:eastAsia="sk-SK"/>
              </w:rPr>
              <w:t>25 230 269</w:t>
            </w:r>
          </w:p>
        </w:tc>
        <w:tc>
          <w:tcPr>
            <w:tcW w:w="914" w:type="pct"/>
            <w:tcBorders>
              <w:top w:val="nil"/>
              <w:left w:val="nil"/>
              <w:bottom w:val="nil"/>
              <w:right w:val="nil"/>
            </w:tcBorders>
            <w:shd w:val="clear" w:color="000000" w:fill="FFFFFF"/>
            <w:textDirection w:val="lrTb"/>
            <w:vAlign w:val="center"/>
          </w:tcPr>
          <w:p w:rsidR="00480AA7" w:rsidRPr="0072101A" w:rsidP="001603B3">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24 116 148</w:t>
            </w:r>
          </w:p>
        </w:tc>
      </w:tr>
      <w:tr>
        <w:tblPrEx>
          <w:tblW w:w="4578" w:type="pct"/>
          <w:jc w:val="center"/>
          <w:tblCellMar>
            <w:left w:w="70" w:type="dxa"/>
            <w:right w:w="70" w:type="dxa"/>
          </w:tblCellMar>
          <w:tblLook w:val="00A0"/>
        </w:tblPrEx>
        <w:trPr>
          <w:trHeight w:val="330"/>
          <w:jc w:val="center"/>
        </w:trPr>
        <w:tc>
          <w:tcPr>
            <w:tcW w:w="3236" w:type="pct"/>
            <w:tcBorders>
              <w:top w:val="nil"/>
              <w:left w:val="nil"/>
              <w:bottom w:val="single" w:sz="4" w:space="0" w:color="000000"/>
              <w:right w:val="nil"/>
            </w:tcBorders>
            <w:shd w:val="clear" w:color="000000" w:fill="FFFFFF"/>
            <w:textDirection w:val="lrTb"/>
            <w:vAlign w:val="center"/>
          </w:tcPr>
          <w:p w:rsidR="00480AA7" w:rsidRPr="0072101A" w:rsidP="0024355C">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Spolu</w:t>
            </w:r>
          </w:p>
        </w:tc>
        <w:tc>
          <w:tcPr>
            <w:tcW w:w="850" w:type="pct"/>
            <w:tcBorders>
              <w:top w:val="nil"/>
              <w:left w:val="nil"/>
              <w:bottom w:val="single" w:sz="4" w:space="0" w:color="000000"/>
              <w:right w:val="nil"/>
            </w:tcBorders>
            <w:shd w:val="clear" w:color="000000" w:fill="FFFFFF"/>
            <w:textDirection w:val="lrTb"/>
            <w:vAlign w:val="center"/>
          </w:tcPr>
          <w:p w:rsidR="00480AA7" w:rsidRPr="0072101A" w:rsidP="008D5A85">
            <w:pPr>
              <w:bidi w:val="0"/>
              <w:spacing w:after="0" w:line="240" w:lineRule="auto"/>
              <w:jc w:val="right"/>
              <w:rPr>
                <w:rFonts w:ascii="Times New Roman" w:hAnsi="Times New Roman"/>
                <w:b/>
                <w:bCs/>
                <w:color w:val="000000"/>
                <w:sz w:val="20"/>
                <w:szCs w:val="20"/>
                <w:lang w:eastAsia="sk-SK"/>
              </w:rPr>
            </w:pPr>
            <w:r w:rsidR="00DC0BF6">
              <w:rPr>
                <w:rFonts w:ascii="Times New Roman" w:hAnsi="Times New Roman"/>
                <w:b/>
                <w:bCs/>
                <w:color w:val="000000"/>
                <w:sz w:val="20"/>
                <w:szCs w:val="20"/>
                <w:lang w:eastAsia="sk-SK"/>
              </w:rPr>
              <w:t>56 174 770</w:t>
            </w:r>
          </w:p>
        </w:tc>
        <w:tc>
          <w:tcPr>
            <w:tcW w:w="914" w:type="pct"/>
            <w:tcBorders>
              <w:top w:val="nil"/>
              <w:left w:val="nil"/>
              <w:bottom w:val="single" w:sz="4" w:space="0" w:color="000000"/>
              <w:right w:val="nil"/>
            </w:tcBorders>
            <w:shd w:val="clear" w:color="000000" w:fill="FFFFFF"/>
            <w:textDirection w:val="lrTb"/>
            <w:vAlign w:val="center"/>
          </w:tcPr>
          <w:p w:rsidR="00480AA7" w:rsidRPr="0072101A" w:rsidP="001603B3">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56 224 703</w:t>
            </w:r>
          </w:p>
        </w:tc>
      </w:tr>
    </w:tbl>
    <w:p w:rsidR="00027B8B" w:rsidRPr="0072101A" w:rsidP="00027B8B">
      <w:pPr>
        <w:bidi w:val="0"/>
        <w:spacing w:before="120" w:after="120" w:line="360" w:lineRule="auto"/>
        <w:jc w:val="both"/>
        <w:rPr>
          <w:rFonts w:ascii="Times New Roman" w:hAnsi="Times New Roman"/>
          <w:bCs/>
          <w:szCs w:val="22"/>
        </w:rPr>
      </w:pPr>
      <w:r w:rsidRPr="00DC0BF6">
        <w:rPr>
          <w:rFonts w:ascii="Times New Roman" w:hAnsi="Times New Roman"/>
          <w:b/>
          <w:bCs/>
          <w:szCs w:val="22"/>
        </w:rPr>
        <w:t>Ako prevádzkové náklady sa vykazujú spotrebované nákupy a služby, osobné náklady, dane a poplatky, odpisy, rezervy a opravné položky a ostatné prevádzkové náklady uvedené v nasledovnom texte</w:t>
      </w:r>
      <w:r w:rsidRPr="0072101A">
        <w:rPr>
          <w:rFonts w:ascii="Times New Roman" w:hAnsi="Times New Roman"/>
          <w:bCs/>
          <w:szCs w:val="22"/>
        </w:rPr>
        <w:t xml:space="preserve">. </w:t>
      </w:r>
    </w:p>
    <w:p w:rsidR="009945D2" w:rsidRPr="0072101A" w:rsidP="00B81A6C">
      <w:pPr>
        <w:pStyle w:val="Pismenka"/>
        <w:numPr>
          <w:numId w:val="24"/>
        </w:numPr>
        <w:tabs>
          <w:tab w:val="clear" w:pos="426"/>
        </w:tabs>
        <w:bidi w:val="0"/>
        <w:spacing w:after="120" w:line="336" w:lineRule="auto"/>
        <w:ind w:left="426" w:hanging="426"/>
        <w:rPr>
          <w:rFonts w:ascii="Times New Roman" w:hAnsi="Times New Roman"/>
          <w:bCs w:val="0"/>
          <w:sz w:val="24"/>
          <w:szCs w:val="24"/>
        </w:rPr>
      </w:pPr>
      <w:r w:rsidRPr="0072101A" w:rsidR="00156B30">
        <w:rPr>
          <w:rFonts w:ascii="Times New Roman" w:hAnsi="Times New Roman"/>
          <w:bCs w:val="0"/>
          <w:sz w:val="24"/>
          <w:szCs w:val="24"/>
        </w:rPr>
        <w:t>Spotrebované nákupy a služby</w:t>
      </w:r>
    </w:p>
    <w:p w:rsidR="00371336" w:rsidRPr="0072101A" w:rsidP="00A427D3">
      <w:pPr>
        <w:pStyle w:val="Pismenka"/>
        <w:tabs>
          <w:tab w:val="clear" w:pos="426"/>
        </w:tabs>
        <w:bidi w:val="0"/>
        <w:spacing w:line="336" w:lineRule="auto"/>
        <w:ind w:left="0" w:firstLine="0"/>
        <w:rPr>
          <w:rFonts w:ascii="Times New Roman" w:hAnsi="Times New Roman"/>
          <w:b w:val="0"/>
          <w:bCs w:val="0"/>
          <w:sz w:val="22"/>
          <w:szCs w:val="22"/>
        </w:rPr>
      </w:pPr>
      <w:r w:rsidRPr="0072101A" w:rsidR="009B2FCF">
        <w:rPr>
          <w:rFonts w:ascii="Times New Roman" w:hAnsi="Times New Roman"/>
          <w:b w:val="0"/>
          <w:bCs w:val="0"/>
          <w:sz w:val="22"/>
          <w:szCs w:val="22"/>
        </w:rPr>
        <w:t xml:space="preserve">V rámci týchto nákladov tvoria najvyššiu hodnotu náklady na </w:t>
      </w:r>
      <w:r w:rsidRPr="0072101A" w:rsidR="009B2FCF">
        <w:rPr>
          <w:rFonts w:ascii="Times New Roman" w:hAnsi="Times New Roman"/>
          <w:b w:val="0"/>
          <w:bCs w:val="0"/>
          <w:sz w:val="22"/>
          <w:szCs w:val="22"/>
          <w:u w:val="single"/>
        </w:rPr>
        <w:t>služby</w:t>
      </w:r>
      <w:r w:rsidRPr="0072101A" w:rsidR="009B2FCF">
        <w:rPr>
          <w:rFonts w:ascii="Times New Roman" w:hAnsi="Times New Roman"/>
          <w:b w:val="0"/>
          <w:bCs w:val="0"/>
          <w:sz w:val="22"/>
          <w:szCs w:val="22"/>
        </w:rPr>
        <w:t xml:space="preserve"> </w:t>
      </w:r>
      <w:r w:rsidR="001603B3">
        <w:rPr>
          <w:rFonts w:ascii="Times New Roman" w:hAnsi="Times New Roman"/>
          <w:b w:val="0"/>
          <w:bCs w:val="0"/>
          <w:sz w:val="22"/>
          <w:szCs w:val="22"/>
        </w:rPr>
        <w:t xml:space="preserve">5 813 459 </w:t>
      </w:r>
      <w:r w:rsidRPr="0072101A" w:rsidR="009B2FCF">
        <w:rPr>
          <w:rFonts w:ascii="Times New Roman" w:hAnsi="Times New Roman"/>
          <w:b w:val="0"/>
          <w:bCs w:val="0"/>
          <w:sz w:val="22"/>
          <w:szCs w:val="22"/>
        </w:rPr>
        <w:t>tis. eur</w:t>
      </w:r>
      <w:r w:rsidRPr="0072101A" w:rsidR="00556FD0">
        <w:rPr>
          <w:rFonts w:ascii="Times New Roman" w:hAnsi="Times New Roman"/>
          <w:b w:val="0"/>
          <w:bCs w:val="0"/>
          <w:sz w:val="22"/>
          <w:szCs w:val="22"/>
        </w:rPr>
        <w:t xml:space="preserve"> (201</w:t>
      </w:r>
      <w:r w:rsidR="001603B3">
        <w:rPr>
          <w:rFonts w:ascii="Times New Roman" w:hAnsi="Times New Roman"/>
          <w:b w:val="0"/>
          <w:bCs w:val="0"/>
          <w:sz w:val="22"/>
          <w:szCs w:val="22"/>
        </w:rPr>
        <w:t>4</w:t>
      </w:r>
      <w:r w:rsidRPr="0072101A" w:rsidR="00556FD0">
        <w:rPr>
          <w:rFonts w:ascii="Times New Roman" w:hAnsi="Times New Roman"/>
          <w:b w:val="0"/>
          <w:bCs w:val="0"/>
          <w:sz w:val="22"/>
          <w:szCs w:val="22"/>
        </w:rPr>
        <w:t>: </w:t>
      </w:r>
      <w:r w:rsidRPr="0072101A" w:rsidR="001603B3">
        <w:rPr>
          <w:rFonts w:ascii="Times New Roman" w:hAnsi="Times New Roman"/>
          <w:b w:val="0"/>
          <w:bCs w:val="0"/>
          <w:sz w:val="22"/>
          <w:szCs w:val="22"/>
        </w:rPr>
        <w:t>5 369</w:t>
      </w:r>
      <w:r w:rsidR="001603B3">
        <w:rPr>
          <w:rFonts w:ascii="Times New Roman" w:hAnsi="Times New Roman"/>
          <w:b w:val="0"/>
          <w:bCs w:val="0"/>
          <w:sz w:val="22"/>
          <w:szCs w:val="22"/>
        </w:rPr>
        <w:t> </w:t>
      </w:r>
      <w:r w:rsidRPr="0072101A" w:rsidR="001603B3">
        <w:rPr>
          <w:rFonts w:ascii="Times New Roman" w:hAnsi="Times New Roman"/>
          <w:b w:val="0"/>
          <w:bCs w:val="0"/>
          <w:sz w:val="22"/>
          <w:szCs w:val="22"/>
        </w:rPr>
        <w:t>185</w:t>
      </w:r>
      <w:r w:rsidR="001603B3">
        <w:rPr>
          <w:rFonts w:ascii="Times New Roman" w:hAnsi="Times New Roman"/>
          <w:b w:val="0"/>
          <w:bCs w:val="0"/>
          <w:sz w:val="22"/>
          <w:szCs w:val="22"/>
        </w:rPr>
        <w:t xml:space="preserve"> </w:t>
      </w:r>
      <w:r w:rsidRPr="0072101A" w:rsidR="00474787">
        <w:rPr>
          <w:rFonts w:ascii="Times New Roman" w:hAnsi="Times New Roman"/>
          <w:b w:val="0"/>
          <w:bCs w:val="0"/>
          <w:sz w:val="22"/>
          <w:szCs w:val="22"/>
        </w:rPr>
        <w:t>tis. eur)</w:t>
      </w:r>
      <w:r w:rsidRPr="0072101A" w:rsidR="009B2FCF">
        <w:rPr>
          <w:rFonts w:ascii="Times New Roman" w:hAnsi="Times New Roman"/>
          <w:b w:val="0"/>
          <w:bCs w:val="0"/>
          <w:sz w:val="22"/>
          <w:szCs w:val="22"/>
        </w:rPr>
        <w:t xml:space="preserve">, </w:t>
      </w:r>
      <w:r w:rsidRPr="0072101A" w:rsidR="009B2FCF">
        <w:rPr>
          <w:rFonts w:ascii="Times New Roman" w:hAnsi="Times New Roman"/>
          <w:b w:val="0"/>
          <w:bCs w:val="0"/>
          <w:sz w:val="22"/>
          <w:szCs w:val="22"/>
          <w:u w:val="single"/>
        </w:rPr>
        <w:t>spotreba materiálu</w:t>
      </w:r>
      <w:r w:rsidR="001603B3">
        <w:rPr>
          <w:rFonts w:ascii="Times New Roman" w:hAnsi="Times New Roman"/>
          <w:b w:val="0"/>
          <w:bCs w:val="0"/>
          <w:sz w:val="22"/>
          <w:szCs w:val="22"/>
        </w:rPr>
        <w:t xml:space="preserve"> 2 529 604</w:t>
      </w:r>
      <w:r w:rsidRPr="0072101A" w:rsidR="009B2FCF">
        <w:rPr>
          <w:rFonts w:ascii="Times New Roman" w:hAnsi="Times New Roman"/>
          <w:b w:val="0"/>
          <w:bCs w:val="0"/>
          <w:sz w:val="22"/>
          <w:szCs w:val="22"/>
        </w:rPr>
        <w:t xml:space="preserve"> </w:t>
      </w:r>
      <w:r w:rsidRPr="0072101A" w:rsidR="00F012BE">
        <w:rPr>
          <w:rFonts w:ascii="Times New Roman" w:hAnsi="Times New Roman"/>
          <w:b w:val="0"/>
          <w:bCs w:val="0"/>
          <w:sz w:val="22"/>
          <w:szCs w:val="22"/>
        </w:rPr>
        <w:t xml:space="preserve"> </w:t>
      </w:r>
      <w:r w:rsidRPr="0072101A" w:rsidR="009B2FCF">
        <w:rPr>
          <w:rFonts w:ascii="Times New Roman" w:hAnsi="Times New Roman"/>
          <w:b w:val="0"/>
          <w:bCs w:val="0"/>
          <w:sz w:val="22"/>
          <w:szCs w:val="22"/>
        </w:rPr>
        <w:t>tis. eur</w:t>
      </w:r>
      <w:r w:rsidRPr="0072101A" w:rsidR="00474787">
        <w:rPr>
          <w:rFonts w:ascii="Times New Roman" w:hAnsi="Times New Roman"/>
          <w:b w:val="0"/>
          <w:bCs w:val="0"/>
          <w:sz w:val="22"/>
          <w:szCs w:val="22"/>
        </w:rPr>
        <w:t xml:space="preserve"> (201</w:t>
      </w:r>
      <w:r w:rsidR="001603B3">
        <w:rPr>
          <w:rFonts w:ascii="Times New Roman" w:hAnsi="Times New Roman"/>
          <w:b w:val="0"/>
          <w:bCs w:val="0"/>
          <w:sz w:val="22"/>
          <w:szCs w:val="22"/>
        </w:rPr>
        <w:t>4</w:t>
      </w:r>
      <w:r w:rsidRPr="0072101A" w:rsidR="00474787">
        <w:rPr>
          <w:rFonts w:ascii="Times New Roman" w:hAnsi="Times New Roman"/>
          <w:b w:val="0"/>
          <w:bCs w:val="0"/>
          <w:sz w:val="22"/>
          <w:szCs w:val="22"/>
        </w:rPr>
        <w:t xml:space="preserve">: </w:t>
      </w:r>
      <w:r w:rsidRPr="0072101A" w:rsidR="001603B3">
        <w:rPr>
          <w:rFonts w:ascii="Times New Roman" w:hAnsi="Times New Roman"/>
          <w:b w:val="0"/>
          <w:bCs w:val="0"/>
          <w:sz w:val="22"/>
          <w:szCs w:val="22"/>
        </w:rPr>
        <w:t>1 975</w:t>
      </w:r>
      <w:r w:rsidR="001603B3">
        <w:rPr>
          <w:rFonts w:ascii="Times New Roman" w:hAnsi="Times New Roman"/>
          <w:b w:val="0"/>
          <w:bCs w:val="0"/>
          <w:sz w:val="22"/>
          <w:szCs w:val="22"/>
        </w:rPr>
        <w:t> </w:t>
      </w:r>
      <w:r w:rsidRPr="0072101A" w:rsidR="001603B3">
        <w:rPr>
          <w:rFonts w:ascii="Times New Roman" w:hAnsi="Times New Roman"/>
          <w:b w:val="0"/>
          <w:bCs w:val="0"/>
          <w:sz w:val="22"/>
          <w:szCs w:val="22"/>
        </w:rPr>
        <w:t>324</w:t>
      </w:r>
      <w:r w:rsidR="001603B3">
        <w:rPr>
          <w:rFonts w:ascii="Times New Roman" w:hAnsi="Times New Roman"/>
          <w:b w:val="0"/>
          <w:bCs w:val="0"/>
          <w:sz w:val="22"/>
          <w:szCs w:val="22"/>
        </w:rPr>
        <w:t xml:space="preserve"> </w:t>
      </w:r>
      <w:r w:rsidRPr="0072101A" w:rsidR="00474787">
        <w:rPr>
          <w:rFonts w:ascii="Times New Roman" w:hAnsi="Times New Roman"/>
          <w:b w:val="0"/>
          <w:bCs w:val="0"/>
          <w:sz w:val="22"/>
          <w:szCs w:val="22"/>
        </w:rPr>
        <w:t>tis. eur)</w:t>
      </w:r>
      <w:r w:rsidR="00C15F22">
        <w:rPr>
          <w:rFonts w:ascii="Times New Roman" w:hAnsi="Times New Roman"/>
          <w:b w:val="0"/>
          <w:bCs w:val="0"/>
          <w:sz w:val="22"/>
          <w:szCs w:val="22"/>
        </w:rPr>
        <w:t>,</w:t>
        <w:br/>
      </w:r>
      <w:r w:rsidRPr="0072101A">
        <w:rPr>
          <w:rFonts w:ascii="Times New Roman" w:hAnsi="Times New Roman"/>
          <w:b w:val="0"/>
          <w:bCs w:val="0"/>
          <w:sz w:val="22"/>
          <w:szCs w:val="22"/>
          <w:u w:val="single"/>
        </w:rPr>
        <w:t>spotreba energií</w:t>
      </w:r>
      <w:r w:rsidRPr="0072101A" w:rsidR="009B2FCF">
        <w:rPr>
          <w:rFonts w:ascii="Times New Roman" w:hAnsi="Times New Roman"/>
          <w:b w:val="0"/>
          <w:bCs w:val="0"/>
          <w:sz w:val="22"/>
          <w:szCs w:val="22"/>
        </w:rPr>
        <w:t xml:space="preserve"> </w:t>
      </w:r>
      <w:r w:rsidR="001603B3">
        <w:rPr>
          <w:rFonts w:ascii="Times New Roman" w:hAnsi="Times New Roman"/>
          <w:b w:val="0"/>
          <w:bCs w:val="0"/>
          <w:sz w:val="22"/>
          <w:szCs w:val="22"/>
        </w:rPr>
        <w:t xml:space="preserve"> 692 796 </w:t>
      </w:r>
      <w:r w:rsidRPr="0072101A" w:rsidR="009B2FCF">
        <w:rPr>
          <w:rFonts w:ascii="Times New Roman" w:hAnsi="Times New Roman"/>
          <w:b w:val="0"/>
          <w:bCs w:val="0"/>
          <w:sz w:val="22"/>
          <w:szCs w:val="22"/>
        </w:rPr>
        <w:t>tis. eur</w:t>
      </w:r>
      <w:r w:rsidRPr="0072101A" w:rsidR="00474787">
        <w:rPr>
          <w:rFonts w:ascii="Times New Roman" w:hAnsi="Times New Roman"/>
          <w:b w:val="0"/>
          <w:bCs w:val="0"/>
          <w:sz w:val="22"/>
          <w:szCs w:val="22"/>
        </w:rPr>
        <w:t xml:space="preserve"> (201</w:t>
      </w:r>
      <w:r w:rsidR="001603B3">
        <w:rPr>
          <w:rFonts w:ascii="Times New Roman" w:hAnsi="Times New Roman"/>
          <w:b w:val="0"/>
          <w:bCs w:val="0"/>
          <w:sz w:val="22"/>
          <w:szCs w:val="22"/>
        </w:rPr>
        <w:t>4</w:t>
      </w:r>
      <w:r w:rsidRPr="0072101A" w:rsidR="00474787">
        <w:rPr>
          <w:rFonts w:ascii="Times New Roman" w:hAnsi="Times New Roman"/>
          <w:b w:val="0"/>
          <w:bCs w:val="0"/>
          <w:sz w:val="22"/>
          <w:szCs w:val="22"/>
        </w:rPr>
        <w:t xml:space="preserve">: </w:t>
      </w:r>
      <w:r w:rsidRPr="0072101A" w:rsidR="001603B3">
        <w:rPr>
          <w:rFonts w:ascii="Times New Roman" w:hAnsi="Times New Roman"/>
          <w:b w:val="0"/>
          <w:bCs w:val="0"/>
          <w:sz w:val="22"/>
          <w:szCs w:val="22"/>
        </w:rPr>
        <w:t>703</w:t>
      </w:r>
      <w:r w:rsidR="001603B3">
        <w:rPr>
          <w:rFonts w:ascii="Times New Roman" w:hAnsi="Times New Roman"/>
          <w:b w:val="0"/>
          <w:bCs w:val="0"/>
          <w:sz w:val="22"/>
          <w:szCs w:val="22"/>
        </w:rPr>
        <w:t> </w:t>
      </w:r>
      <w:r w:rsidRPr="0072101A" w:rsidR="001603B3">
        <w:rPr>
          <w:rFonts w:ascii="Times New Roman" w:hAnsi="Times New Roman"/>
          <w:b w:val="0"/>
          <w:bCs w:val="0"/>
          <w:sz w:val="22"/>
          <w:szCs w:val="22"/>
        </w:rPr>
        <w:t xml:space="preserve">167 </w:t>
      </w:r>
      <w:r w:rsidRPr="0072101A" w:rsidR="00474787">
        <w:rPr>
          <w:rFonts w:ascii="Times New Roman" w:hAnsi="Times New Roman"/>
          <w:b w:val="0"/>
          <w:bCs w:val="0"/>
          <w:sz w:val="22"/>
          <w:szCs w:val="22"/>
        </w:rPr>
        <w:t>tis. eur)</w:t>
      </w:r>
      <w:r w:rsidRPr="0072101A" w:rsidR="00D75B27">
        <w:rPr>
          <w:rFonts w:ascii="Times New Roman" w:hAnsi="Times New Roman"/>
          <w:b w:val="0"/>
          <w:bCs w:val="0"/>
          <w:sz w:val="22"/>
          <w:szCs w:val="22"/>
        </w:rPr>
        <w:t xml:space="preserve"> a</w:t>
      </w:r>
      <w:r w:rsidRPr="0072101A" w:rsidR="009B2FCF">
        <w:rPr>
          <w:rFonts w:ascii="Times New Roman" w:hAnsi="Times New Roman"/>
          <w:b w:val="0"/>
          <w:bCs w:val="0"/>
          <w:sz w:val="22"/>
          <w:szCs w:val="22"/>
        </w:rPr>
        <w:t xml:space="preserve"> </w:t>
      </w:r>
      <w:r w:rsidRPr="0072101A" w:rsidR="009B2FCF">
        <w:rPr>
          <w:rFonts w:ascii="Times New Roman" w:hAnsi="Times New Roman"/>
          <w:b w:val="0"/>
          <w:bCs w:val="0"/>
          <w:sz w:val="22"/>
          <w:szCs w:val="22"/>
          <w:u w:val="single"/>
        </w:rPr>
        <w:t>predaný tovar</w:t>
      </w:r>
      <w:r w:rsidRPr="0072101A" w:rsidR="009B2FCF">
        <w:rPr>
          <w:rFonts w:ascii="Times New Roman" w:hAnsi="Times New Roman"/>
          <w:b w:val="0"/>
          <w:bCs w:val="0"/>
          <w:sz w:val="22"/>
          <w:szCs w:val="22"/>
        </w:rPr>
        <w:t xml:space="preserve"> </w:t>
      </w:r>
      <w:r w:rsidR="001603B3">
        <w:rPr>
          <w:rFonts w:ascii="Times New Roman" w:hAnsi="Times New Roman"/>
          <w:b w:val="0"/>
          <w:bCs w:val="0"/>
          <w:sz w:val="22"/>
          <w:szCs w:val="22"/>
        </w:rPr>
        <w:t>795 852</w:t>
      </w:r>
      <w:r w:rsidR="00C15F22">
        <w:rPr>
          <w:rFonts w:ascii="Times New Roman" w:hAnsi="Times New Roman"/>
          <w:b w:val="0"/>
          <w:bCs w:val="0"/>
          <w:sz w:val="22"/>
          <w:szCs w:val="22"/>
        </w:rPr>
        <w:t xml:space="preserve"> tis. eur</w:t>
        <w:br/>
      </w:r>
      <w:r w:rsidRPr="0072101A" w:rsidR="00474787">
        <w:rPr>
          <w:rFonts w:ascii="Times New Roman" w:hAnsi="Times New Roman"/>
          <w:b w:val="0"/>
          <w:bCs w:val="0"/>
          <w:sz w:val="22"/>
          <w:szCs w:val="22"/>
        </w:rPr>
        <w:t>(201</w:t>
      </w:r>
      <w:r w:rsidR="001603B3">
        <w:rPr>
          <w:rFonts w:ascii="Times New Roman" w:hAnsi="Times New Roman"/>
          <w:b w:val="0"/>
          <w:bCs w:val="0"/>
          <w:sz w:val="22"/>
          <w:szCs w:val="22"/>
        </w:rPr>
        <w:t>4</w:t>
      </w:r>
      <w:r w:rsidRPr="0072101A" w:rsidR="00474787">
        <w:rPr>
          <w:rFonts w:ascii="Times New Roman" w:hAnsi="Times New Roman"/>
          <w:b w:val="0"/>
          <w:bCs w:val="0"/>
          <w:sz w:val="22"/>
          <w:szCs w:val="22"/>
        </w:rPr>
        <w:t>:</w:t>
      </w:r>
      <w:r w:rsidRPr="0072101A" w:rsidR="00556FD0">
        <w:rPr>
          <w:rFonts w:ascii="Times New Roman" w:hAnsi="Times New Roman"/>
          <w:b w:val="0"/>
          <w:bCs w:val="0"/>
          <w:sz w:val="22"/>
          <w:szCs w:val="22"/>
        </w:rPr>
        <w:t> </w:t>
      </w:r>
      <w:r w:rsidRPr="0072101A" w:rsidR="001603B3">
        <w:rPr>
          <w:rFonts w:ascii="Times New Roman" w:hAnsi="Times New Roman"/>
          <w:b w:val="0"/>
          <w:bCs w:val="0"/>
          <w:sz w:val="22"/>
          <w:szCs w:val="22"/>
        </w:rPr>
        <w:t>440 463</w:t>
      </w:r>
      <w:r w:rsidRPr="0072101A" w:rsidR="00556FD0">
        <w:rPr>
          <w:rFonts w:ascii="Times New Roman" w:hAnsi="Times New Roman"/>
          <w:b w:val="0"/>
          <w:bCs w:val="0"/>
          <w:sz w:val="22"/>
          <w:szCs w:val="22"/>
        </w:rPr>
        <w:t> tis. </w:t>
      </w:r>
      <w:r w:rsidRPr="0072101A" w:rsidR="00474787">
        <w:rPr>
          <w:rFonts w:ascii="Times New Roman" w:hAnsi="Times New Roman"/>
          <w:b w:val="0"/>
          <w:bCs w:val="0"/>
          <w:sz w:val="22"/>
          <w:szCs w:val="22"/>
        </w:rPr>
        <w:t>eur)</w:t>
      </w:r>
      <w:r w:rsidRPr="0072101A">
        <w:rPr>
          <w:rFonts w:ascii="Times New Roman" w:hAnsi="Times New Roman"/>
          <w:b w:val="0"/>
          <w:bCs w:val="0"/>
          <w:sz w:val="22"/>
          <w:szCs w:val="22"/>
        </w:rPr>
        <w:t xml:space="preserve">. Medziročný nárast </w:t>
      </w:r>
      <w:r w:rsidRPr="0072101A" w:rsidR="000B630E">
        <w:rPr>
          <w:rFonts w:ascii="Times New Roman" w:hAnsi="Times New Roman"/>
          <w:b w:val="0"/>
          <w:bCs w:val="0"/>
          <w:sz w:val="22"/>
          <w:szCs w:val="22"/>
        </w:rPr>
        <w:t xml:space="preserve">týchto </w:t>
      </w:r>
      <w:r w:rsidRPr="0072101A">
        <w:rPr>
          <w:rFonts w:ascii="Times New Roman" w:hAnsi="Times New Roman"/>
          <w:b w:val="0"/>
          <w:bCs w:val="0"/>
          <w:sz w:val="22"/>
          <w:szCs w:val="22"/>
        </w:rPr>
        <w:t xml:space="preserve">nákladov </w:t>
      </w:r>
      <w:r w:rsidR="001603B3">
        <w:rPr>
          <w:rFonts w:ascii="Times New Roman" w:hAnsi="Times New Roman"/>
          <w:b w:val="0"/>
          <w:bCs w:val="0"/>
          <w:sz w:val="22"/>
          <w:szCs w:val="22"/>
        </w:rPr>
        <w:t xml:space="preserve">o 1 347 872 tis. eur </w:t>
      </w:r>
      <w:r w:rsidRPr="0072101A" w:rsidR="00FA3158">
        <w:rPr>
          <w:rFonts w:ascii="Times New Roman" w:hAnsi="Times New Roman"/>
          <w:b w:val="0"/>
          <w:bCs w:val="0"/>
          <w:sz w:val="22"/>
          <w:szCs w:val="22"/>
        </w:rPr>
        <w:t>bol spôsobený najmä rasto</w:t>
      </w:r>
      <w:r w:rsidRPr="0072101A" w:rsidR="00C53807">
        <w:rPr>
          <w:rFonts w:ascii="Times New Roman" w:hAnsi="Times New Roman"/>
          <w:b w:val="0"/>
          <w:bCs w:val="0"/>
          <w:sz w:val="22"/>
          <w:szCs w:val="22"/>
        </w:rPr>
        <w:t xml:space="preserve">m </w:t>
      </w:r>
      <w:r w:rsidRPr="0072101A" w:rsidR="000B630E">
        <w:rPr>
          <w:rFonts w:ascii="Times New Roman" w:hAnsi="Times New Roman"/>
          <w:b w:val="0"/>
          <w:bCs w:val="0"/>
          <w:sz w:val="22"/>
          <w:szCs w:val="22"/>
        </w:rPr>
        <w:t>spotreby materiálu o</w:t>
      </w:r>
      <w:r w:rsidR="001603B3">
        <w:rPr>
          <w:rFonts w:ascii="Times New Roman" w:hAnsi="Times New Roman"/>
          <w:b w:val="0"/>
          <w:bCs w:val="0"/>
          <w:sz w:val="22"/>
          <w:szCs w:val="22"/>
        </w:rPr>
        <w:t> 554 279</w:t>
      </w:r>
      <w:r w:rsidRPr="0072101A" w:rsidR="000B630E">
        <w:rPr>
          <w:rFonts w:ascii="Times New Roman" w:hAnsi="Times New Roman"/>
          <w:b w:val="0"/>
          <w:bCs w:val="0"/>
          <w:sz w:val="22"/>
          <w:szCs w:val="22"/>
        </w:rPr>
        <w:t xml:space="preserve"> tis. eur a rastom nákladov na ostatné služby o</w:t>
      </w:r>
      <w:r w:rsidR="001603B3">
        <w:rPr>
          <w:rFonts w:ascii="Times New Roman" w:hAnsi="Times New Roman"/>
          <w:b w:val="0"/>
          <w:bCs w:val="0"/>
          <w:sz w:val="22"/>
          <w:szCs w:val="22"/>
        </w:rPr>
        <w:t> 419 289</w:t>
      </w:r>
      <w:r w:rsidRPr="0072101A" w:rsidR="000B630E">
        <w:rPr>
          <w:rFonts w:ascii="Times New Roman" w:hAnsi="Times New Roman"/>
          <w:b w:val="0"/>
          <w:bCs w:val="0"/>
          <w:sz w:val="22"/>
          <w:szCs w:val="22"/>
        </w:rPr>
        <w:t xml:space="preserve"> tis. eur.</w:t>
      </w:r>
    </w:p>
    <w:p w:rsidR="001603B3" w:rsidRPr="001603B3" w:rsidP="00B174CC">
      <w:pPr>
        <w:pStyle w:val="Pismenka"/>
        <w:tabs>
          <w:tab w:val="clear" w:pos="426"/>
        </w:tabs>
        <w:bidi w:val="0"/>
        <w:spacing w:before="120" w:line="336" w:lineRule="auto"/>
        <w:ind w:left="0" w:firstLine="0"/>
        <w:rPr>
          <w:rFonts w:ascii="Times New Roman" w:hAnsi="Times New Roman"/>
          <w:b w:val="0"/>
          <w:bCs w:val="0"/>
          <w:sz w:val="22"/>
          <w:szCs w:val="22"/>
        </w:rPr>
      </w:pPr>
      <w:r>
        <w:rPr>
          <w:rFonts w:ascii="Times New Roman" w:hAnsi="Times New Roman"/>
          <w:b w:val="0"/>
          <w:bCs w:val="0"/>
          <w:sz w:val="22"/>
          <w:szCs w:val="22"/>
        </w:rPr>
        <w:t xml:space="preserve">Nárast spotreby materiálov, predaného tovaru a ostatných služieb súvisí najmä s nákladmi Slovenského plynárenského priemyslu, a.s. Tento subjekt bol v roku 2014 konsolidovaný ako dcérska účtovná jednotka, ale </w:t>
      </w:r>
      <w:r w:rsidR="000C6837">
        <w:rPr>
          <w:rFonts w:ascii="Times New Roman" w:hAnsi="Times New Roman"/>
          <w:b w:val="0"/>
          <w:bCs w:val="0"/>
          <w:sz w:val="22"/>
          <w:szCs w:val="22"/>
        </w:rPr>
        <w:t xml:space="preserve">len </w:t>
      </w:r>
      <w:r>
        <w:rPr>
          <w:rFonts w:ascii="Times New Roman" w:hAnsi="Times New Roman"/>
          <w:b w:val="0"/>
          <w:bCs w:val="0"/>
          <w:sz w:val="22"/>
          <w:szCs w:val="22"/>
        </w:rPr>
        <w:t>za obdobie 7 mesiacov, teda od získania majoritného podielu do 31.12.2014. V roku 2015 bola spoločnosť súčasťou konsolidovaného celku Ministerstva hospodárstva SR celý</w:t>
      </w:r>
      <w:r w:rsidR="00756145">
        <w:rPr>
          <w:rFonts w:ascii="Times New Roman" w:hAnsi="Times New Roman"/>
          <w:b w:val="0"/>
          <w:bCs w:val="0"/>
          <w:sz w:val="22"/>
          <w:szCs w:val="22"/>
        </w:rPr>
        <w:t>ch 12 mesiacov a tým sa prevzala</w:t>
      </w:r>
      <w:r>
        <w:rPr>
          <w:rFonts w:ascii="Times New Roman" w:hAnsi="Times New Roman"/>
          <w:b w:val="0"/>
          <w:bCs w:val="0"/>
          <w:sz w:val="22"/>
          <w:szCs w:val="22"/>
        </w:rPr>
        <w:t xml:space="preserve"> do agregovaných nákl</w:t>
      </w:r>
      <w:r w:rsidR="00756145">
        <w:rPr>
          <w:rFonts w:ascii="Times New Roman" w:hAnsi="Times New Roman"/>
          <w:b w:val="0"/>
          <w:bCs w:val="0"/>
          <w:sz w:val="22"/>
          <w:szCs w:val="22"/>
        </w:rPr>
        <w:t>adov celková hodnota nákladov spoločnosti.</w:t>
      </w:r>
      <w:r>
        <w:rPr>
          <w:rFonts w:ascii="Times New Roman" w:hAnsi="Times New Roman"/>
          <w:b w:val="0"/>
          <w:bCs w:val="0"/>
          <w:sz w:val="22"/>
          <w:szCs w:val="22"/>
        </w:rPr>
        <w:t xml:space="preserve"> </w:t>
      </w:r>
    </w:p>
    <w:p w:rsidR="002870F0" w:rsidRPr="002870F0" w:rsidP="00B174CC">
      <w:pPr>
        <w:pStyle w:val="Pismenka"/>
        <w:tabs>
          <w:tab w:val="clear" w:pos="426"/>
        </w:tabs>
        <w:bidi w:val="0"/>
        <w:spacing w:before="120" w:line="336" w:lineRule="auto"/>
        <w:ind w:left="0" w:firstLine="0"/>
        <w:rPr>
          <w:rFonts w:ascii="Times New Roman" w:hAnsi="Times New Roman"/>
          <w:b w:val="0"/>
          <w:bCs w:val="0"/>
          <w:sz w:val="22"/>
          <w:szCs w:val="22"/>
        </w:rPr>
      </w:pPr>
      <w:r>
        <w:rPr>
          <w:rFonts w:ascii="Times New Roman" w:hAnsi="Times New Roman"/>
          <w:b w:val="0"/>
          <w:bCs w:val="0"/>
          <w:sz w:val="22"/>
          <w:szCs w:val="22"/>
          <w:u w:val="single"/>
        </w:rPr>
        <w:t>Na spotrebe materiálu</w:t>
      </w:r>
      <w:r>
        <w:rPr>
          <w:rFonts w:ascii="Times New Roman" w:hAnsi="Times New Roman"/>
          <w:b w:val="0"/>
          <w:bCs w:val="0"/>
          <w:sz w:val="22"/>
          <w:szCs w:val="22"/>
        </w:rPr>
        <w:t xml:space="preserve"> sa SPP, a.s. podieľa sumou 1 176 148 tis. eur, pričom v roku 2014 to bolo sumou len 699 655 tis. eur. Na predanom tovare sa SPP, a.s. podieľa sumou 341 650 tis. eur, pričom v roku 2014 to bolo len 113 976 tis. eur a na spotrebe ostatných prevádzkových služieb sumou 138 022 tis. eur, pričom v roku 2014 to bolo 83 771 tis. eur.  </w:t>
      </w:r>
    </w:p>
    <w:p w:rsidR="008722EF" w:rsidP="00B174CC">
      <w:pPr>
        <w:pStyle w:val="Pismenka"/>
        <w:tabs>
          <w:tab w:val="clear" w:pos="426"/>
        </w:tabs>
        <w:bidi w:val="0"/>
        <w:spacing w:before="120" w:line="336" w:lineRule="auto"/>
        <w:ind w:left="0" w:firstLine="0"/>
        <w:rPr>
          <w:rFonts w:ascii="Times New Roman" w:hAnsi="Times New Roman"/>
          <w:b w:val="0"/>
          <w:bCs w:val="0"/>
          <w:sz w:val="22"/>
          <w:szCs w:val="22"/>
        </w:rPr>
      </w:pPr>
      <w:r w:rsidRPr="0072101A" w:rsidR="00803349">
        <w:rPr>
          <w:rFonts w:ascii="Times New Roman" w:hAnsi="Times New Roman"/>
          <w:b w:val="0"/>
          <w:bCs w:val="0"/>
          <w:sz w:val="22"/>
          <w:szCs w:val="22"/>
          <w:u w:val="single"/>
        </w:rPr>
        <w:t>Náklady na služby</w:t>
      </w:r>
      <w:r w:rsidRPr="0072101A" w:rsidR="00803349">
        <w:rPr>
          <w:rFonts w:ascii="Times New Roman" w:hAnsi="Times New Roman"/>
          <w:b w:val="0"/>
          <w:bCs w:val="0"/>
          <w:sz w:val="22"/>
          <w:szCs w:val="22"/>
        </w:rPr>
        <w:t xml:space="preserve"> vzrástli najmä na</w:t>
      </w:r>
      <w:r w:rsidRPr="0072101A" w:rsidR="00C53807">
        <w:rPr>
          <w:rFonts w:ascii="Times New Roman" w:hAnsi="Times New Roman"/>
          <w:b w:val="0"/>
          <w:bCs w:val="0"/>
          <w:sz w:val="22"/>
          <w:szCs w:val="22"/>
        </w:rPr>
        <w:t xml:space="preserve"> ostatné služby</w:t>
      </w:r>
      <w:r w:rsidRPr="0072101A" w:rsidR="000A2595">
        <w:rPr>
          <w:rFonts w:ascii="Times New Roman" w:hAnsi="Times New Roman"/>
          <w:b w:val="0"/>
          <w:bCs w:val="0"/>
          <w:sz w:val="22"/>
          <w:szCs w:val="22"/>
        </w:rPr>
        <w:t xml:space="preserve"> u</w:t>
      </w:r>
      <w:r>
        <w:rPr>
          <w:rFonts w:ascii="Times New Roman" w:hAnsi="Times New Roman"/>
          <w:b w:val="0"/>
          <w:bCs w:val="0"/>
          <w:sz w:val="22"/>
          <w:szCs w:val="22"/>
        </w:rPr>
        <w:t> Všeobecnej zdra</w:t>
      </w:r>
      <w:r w:rsidR="001D1D14">
        <w:rPr>
          <w:rFonts w:ascii="Times New Roman" w:hAnsi="Times New Roman"/>
          <w:b w:val="0"/>
          <w:bCs w:val="0"/>
          <w:sz w:val="22"/>
          <w:szCs w:val="22"/>
        </w:rPr>
        <w:t>votnej poisťovni, a.s. o 77 311 </w:t>
      </w:r>
      <w:r>
        <w:rPr>
          <w:rFonts w:ascii="Times New Roman" w:hAnsi="Times New Roman"/>
          <w:b w:val="0"/>
          <w:bCs w:val="0"/>
          <w:sz w:val="22"/>
          <w:szCs w:val="22"/>
        </w:rPr>
        <w:t xml:space="preserve">tis. eur a u </w:t>
      </w:r>
      <w:r w:rsidRPr="0072101A" w:rsidR="000A2595">
        <w:rPr>
          <w:rFonts w:ascii="Times New Roman" w:hAnsi="Times New Roman"/>
          <w:b w:val="0"/>
          <w:bCs w:val="0"/>
          <w:sz w:val="22"/>
          <w:szCs w:val="22"/>
        </w:rPr>
        <w:t>Slovenskej elektrizačnej a prenosovej sústavy, a.s. o</w:t>
      </w:r>
      <w:r>
        <w:rPr>
          <w:rFonts w:ascii="Times New Roman" w:hAnsi="Times New Roman"/>
          <w:b w:val="0"/>
          <w:bCs w:val="0"/>
          <w:sz w:val="22"/>
          <w:szCs w:val="22"/>
        </w:rPr>
        <w:t> 45 649 tis. eur.</w:t>
      </w:r>
    </w:p>
    <w:p w:rsidR="009B2FCF" w:rsidRPr="0072101A" w:rsidP="00B174CC">
      <w:pPr>
        <w:pStyle w:val="Pismenka"/>
        <w:tabs>
          <w:tab w:val="clear" w:pos="426"/>
        </w:tabs>
        <w:bidi w:val="0"/>
        <w:spacing w:before="120" w:line="336" w:lineRule="auto"/>
        <w:ind w:left="0" w:firstLine="0"/>
        <w:rPr>
          <w:rFonts w:ascii="Times New Roman" w:hAnsi="Times New Roman"/>
          <w:b w:val="0"/>
          <w:bCs w:val="0"/>
          <w:sz w:val="22"/>
          <w:szCs w:val="22"/>
        </w:rPr>
      </w:pPr>
      <w:r w:rsidRPr="0072101A" w:rsidR="00B174CC">
        <w:rPr>
          <w:rFonts w:ascii="Times New Roman" w:hAnsi="Times New Roman"/>
          <w:b w:val="0"/>
          <w:bCs w:val="0"/>
          <w:sz w:val="22"/>
          <w:szCs w:val="22"/>
        </w:rPr>
        <w:t xml:space="preserve">Najvýznamnejšiu položku nákladov </w:t>
      </w:r>
      <w:r w:rsidRPr="0072101A" w:rsidR="001B0869">
        <w:rPr>
          <w:rFonts w:ascii="Times New Roman" w:hAnsi="Times New Roman"/>
          <w:b w:val="0"/>
          <w:bCs w:val="0"/>
          <w:sz w:val="22"/>
          <w:szCs w:val="22"/>
        </w:rPr>
        <w:t xml:space="preserve">na služby </w:t>
      </w:r>
      <w:r w:rsidRPr="0072101A" w:rsidR="00B174CC">
        <w:rPr>
          <w:rFonts w:ascii="Times New Roman" w:hAnsi="Times New Roman"/>
          <w:b w:val="0"/>
          <w:bCs w:val="0"/>
          <w:sz w:val="22"/>
          <w:szCs w:val="22"/>
        </w:rPr>
        <w:t>vykazuje</w:t>
      </w:r>
      <w:r w:rsidRPr="0072101A">
        <w:rPr>
          <w:rFonts w:ascii="Times New Roman" w:hAnsi="Times New Roman"/>
          <w:b w:val="0"/>
          <w:bCs w:val="0"/>
          <w:sz w:val="22"/>
          <w:szCs w:val="22"/>
        </w:rPr>
        <w:t xml:space="preserve"> Všeobecná zdravotná poisťovňa, a.s.</w:t>
      </w:r>
      <w:r w:rsidRPr="0072101A" w:rsidR="00EF62DC">
        <w:rPr>
          <w:rFonts w:ascii="Times New Roman" w:hAnsi="Times New Roman"/>
          <w:b w:val="0"/>
          <w:bCs w:val="0"/>
          <w:sz w:val="22"/>
          <w:szCs w:val="22"/>
        </w:rPr>
        <w:t>,</w:t>
      </w:r>
      <w:r w:rsidRPr="0072101A">
        <w:rPr>
          <w:rFonts w:ascii="Times New Roman" w:hAnsi="Times New Roman"/>
          <w:b w:val="0"/>
          <w:bCs w:val="0"/>
          <w:sz w:val="22"/>
          <w:szCs w:val="22"/>
        </w:rPr>
        <w:t xml:space="preserve"> a to náklady na zdravotnú starostlivosť</w:t>
      </w:r>
      <w:r w:rsidRPr="0072101A" w:rsidR="00B174CC">
        <w:rPr>
          <w:rFonts w:ascii="Times New Roman" w:hAnsi="Times New Roman"/>
          <w:b w:val="0"/>
          <w:bCs w:val="0"/>
          <w:sz w:val="22"/>
          <w:szCs w:val="22"/>
        </w:rPr>
        <w:t xml:space="preserve"> </w:t>
      </w:r>
      <w:r w:rsidR="008722EF">
        <w:rPr>
          <w:rFonts w:ascii="Times New Roman" w:hAnsi="Times New Roman"/>
          <w:b w:val="0"/>
          <w:bCs w:val="0"/>
          <w:sz w:val="22"/>
          <w:szCs w:val="22"/>
        </w:rPr>
        <w:t>2 040</w:t>
      </w:r>
      <w:r w:rsidR="00C630EC">
        <w:rPr>
          <w:rFonts w:ascii="Times New Roman" w:hAnsi="Times New Roman"/>
          <w:b w:val="0"/>
          <w:bCs w:val="0"/>
          <w:sz w:val="22"/>
          <w:szCs w:val="22"/>
        </w:rPr>
        <w:t> </w:t>
      </w:r>
      <w:r w:rsidR="008722EF">
        <w:rPr>
          <w:rFonts w:ascii="Times New Roman" w:hAnsi="Times New Roman"/>
          <w:b w:val="0"/>
          <w:bCs w:val="0"/>
          <w:sz w:val="22"/>
          <w:szCs w:val="22"/>
        </w:rPr>
        <w:t>477</w:t>
      </w:r>
      <w:r w:rsidR="00C630EC">
        <w:rPr>
          <w:rFonts w:ascii="Times New Roman" w:hAnsi="Times New Roman"/>
          <w:b w:val="0"/>
          <w:bCs w:val="0"/>
          <w:sz w:val="22"/>
          <w:szCs w:val="22"/>
        </w:rPr>
        <w:t xml:space="preserve"> </w:t>
      </w:r>
      <w:r w:rsidRPr="0072101A" w:rsidR="008B4F5E">
        <w:rPr>
          <w:rFonts w:ascii="Times New Roman" w:hAnsi="Times New Roman"/>
          <w:b w:val="0"/>
          <w:bCs w:val="0"/>
          <w:sz w:val="22"/>
          <w:szCs w:val="22"/>
        </w:rPr>
        <w:t>tis. eur (201</w:t>
      </w:r>
      <w:r w:rsidR="008722EF">
        <w:rPr>
          <w:rFonts w:ascii="Times New Roman" w:hAnsi="Times New Roman"/>
          <w:b w:val="0"/>
          <w:bCs w:val="0"/>
          <w:sz w:val="22"/>
          <w:szCs w:val="22"/>
        </w:rPr>
        <w:t>4</w:t>
      </w:r>
      <w:r w:rsidRPr="0072101A" w:rsidR="008B4F5E">
        <w:rPr>
          <w:rFonts w:ascii="Times New Roman" w:hAnsi="Times New Roman"/>
          <w:b w:val="0"/>
          <w:bCs w:val="0"/>
          <w:sz w:val="22"/>
          <w:szCs w:val="22"/>
        </w:rPr>
        <w:t xml:space="preserve">: </w:t>
      </w:r>
      <w:r w:rsidRPr="0072101A" w:rsidR="008722EF">
        <w:rPr>
          <w:rFonts w:ascii="Times New Roman" w:hAnsi="Times New Roman"/>
          <w:b w:val="0"/>
          <w:bCs w:val="0"/>
          <w:sz w:val="22"/>
          <w:szCs w:val="22"/>
        </w:rPr>
        <w:t>1 963</w:t>
      </w:r>
      <w:r w:rsidR="008722EF">
        <w:rPr>
          <w:rFonts w:ascii="Times New Roman" w:hAnsi="Times New Roman"/>
          <w:b w:val="0"/>
          <w:bCs w:val="0"/>
          <w:sz w:val="22"/>
          <w:szCs w:val="22"/>
        </w:rPr>
        <w:t> </w:t>
      </w:r>
      <w:r w:rsidRPr="0072101A" w:rsidR="008722EF">
        <w:rPr>
          <w:rFonts w:ascii="Times New Roman" w:hAnsi="Times New Roman"/>
          <w:b w:val="0"/>
          <w:bCs w:val="0"/>
          <w:sz w:val="22"/>
          <w:szCs w:val="22"/>
        </w:rPr>
        <w:t xml:space="preserve">166 </w:t>
      </w:r>
      <w:r w:rsidRPr="0072101A">
        <w:rPr>
          <w:rFonts w:ascii="Times New Roman" w:hAnsi="Times New Roman"/>
          <w:b w:val="0"/>
          <w:bCs w:val="0"/>
          <w:sz w:val="22"/>
          <w:szCs w:val="22"/>
        </w:rPr>
        <w:t>tis. eur</w:t>
      </w:r>
      <w:r w:rsidRPr="0072101A" w:rsidR="008B4F5E">
        <w:rPr>
          <w:rFonts w:ascii="Times New Roman" w:hAnsi="Times New Roman"/>
          <w:b w:val="0"/>
          <w:bCs w:val="0"/>
          <w:sz w:val="22"/>
          <w:szCs w:val="22"/>
        </w:rPr>
        <w:t>) a</w:t>
      </w:r>
      <w:r w:rsidRPr="0072101A">
        <w:rPr>
          <w:rFonts w:ascii="Times New Roman" w:hAnsi="Times New Roman"/>
          <w:b w:val="0"/>
          <w:bCs w:val="0"/>
          <w:sz w:val="22"/>
          <w:szCs w:val="22"/>
        </w:rPr>
        <w:t xml:space="preserve"> Slovenská elektrizačná prenosová sústava, a.s. na nákup systémových služieb </w:t>
      </w:r>
      <w:r w:rsidR="008722EF">
        <w:rPr>
          <w:rFonts w:ascii="Times New Roman" w:hAnsi="Times New Roman"/>
          <w:b w:val="0"/>
          <w:bCs w:val="0"/>
          <w:sz w:val="22"/>
          <w:szCs w:val="22"/>
        </w:rPr>
        <w:t>749 549</w:t>
      </w:r>
      <w:r w:rsidRPr="0072101A">
        <w:rPr>
          <w:rFonts w:ascii="Times New Roman" w:hAnsi="Times New Roman"/>
          <w:b w:val="0"/>
          <w:bCs w:val="0"/>
          <w:sz w:val="22"/>
          <w:szCs w:val="22"/>
        </w:rPr>
        <w:t xml:space="preserve"> tis. eur. </w:t>
      </w:r>
    </w:p>
    <w:p w:rsidR="009B2FCF" w:rsidRPr="0072101A" w:rsidP="00133D47">
      <w:pPr>
        <w:pStyle w:val="Pismenka"/>
        <w:numPr>
          <w:numId w:val="24"/>
        </w:numPr>
        <w:tabs>
          <w:tab w:val="clear" w:pos="426"/>
        </w:tabs>
        <w:bidi w:val="0"/>
        <w:spacing w:before="200" w:after="120" w:line="336" w:lineRule="auto"/>
        <w:ind w:left="425" w:hanging="425"/>
        <w:rPr>
          <w:rFonts w:ascii="Times New Roman" w:hAnsi="Times New Roman"/>
          <w:bCs w:val="0"/>
          <w:sz w:val="24"/>
          <w:szCs w:val="24"/>
        </w:rPr>
      </w:pPr>
      <w:r w:rsidRPr="0072101A" w:rsidR="00ED7096">
        <w:rPr>
          <w:rFonts w:ascii="Times New Roman" w:hAnsi="Times New Roman"/>
          <w:bCs w:val="0"/>
          <w:sz w:val="24"/>
          <w:szCs w:val="24"/>
        </w:rPr>
        <w:t>Osobné náklady</w:t>
      </w:r>
    </w:p>
    <w:p w:rsidR="008D6E65" w:rsidRPr="0072101A" w:rsidP="008D6E65">
      <w:pPr>
        <w:bidi w:val="0"/>
        <w:spacing w:before="120" w:after="120" w:line="336" w:lineRule="auto"/>
        <w:jc w:val="both"/>
        <w:rPr>
          <w:rFonts w:ascii="Times New Roman" w:hAnsi="Times New Roman"/>
          <w:bCs/>
          <w:szCs w:val="22"/>
        </w:rPr>
      </w:pPr>
      <w:r w:rsidRPr="0072101A" w:rsidR="00D93E9C">
        <w:rPr>
          <w:rFonts w:ascii="Times New Roman" w:hAnsi="Times New Roman"/>
          <w:bCs/>
          <w:szCs w:val="22"/>
        </w:rPr>
        <w:t xml:space="preserve">Osobné náklady tvorili najmä </w:t>
      </w:r>
      <w:r w:rsidRPr="0072101A" w:rsidR="00D93E9C">
        <w:rPr>
          <w:rFonts w:ascii="Times New Roman" w:hAnsi="Times New Roman"/>
          <w:bCs/>
          <w:szCs w:val="22"/>
          <w:u w:val="single"/>
        </w:rPr>
        <w:t>mzdové náklady</w:t>
      </w:r>
      <w:r w:rsidRPr="0072101A" w:rsidR="00D93E9C">
        <w:rPr>
          <w:rFonts w:ascii="Times New Roman" w:hAnsi="Times New Roman"/>
          <w:bCs/>
          <w:szCs w:val="22"/>
        </w:rPr>
        <w:t xml:space="preserve"> vo výške </w:t>
      </w:r>
      <w:r w:rsidR="0004314E">
        <w:rPr>
          <w:rFonts w:ascii="Times New Roman" w:hAnsi="Times New Roman"/>
          <w:bCs/>
          <w:szCs w:val="22"/>
        </w:rPr>
        <w:t>5 325</w:t>
      </w:r>
      <w:r w:rsidR="000C6837">
        <w:rPr>
          <w:rFonts w:ascii="Times New Roman" w:hAnsi="Times New Roman"/>
          <w:bCs/>
          <w:szCs w:val="22"/>
        </w:rPr>
        <w:t> </w:t>
      </w:r>
      <w:r w:rsidR="0004314E">
        <w:rPr>
          <w:rFonts w:ascii="Times New Roman" w:hAnsi="Times New Roman"/>
          <w:bCs/>
          <w:szCs w:val="22"/>
        </w:rPr>
        <w:t>190</w:t>
      </w:r>
      <w:r w:rsidR="000C6837">
        <w:rPr>
          <w:rFonts w:ascii="Times New Roman" w:hAnsi="Times New Roman"/>
          <w:bCs/>
          <w:szCs w:val="22"/>
        </w:rPr>
        <w:t xml:space="preserve"> </w:t>
      </w:r>
      <w:r w:rsidRPr="0072101A" w:rsidR="00ED7096">
        <w:rPr>
          <w:rFonts w:ascii="Times New Roman" w:hAnsi="Times New Roman"/>
          <w:bCs/>
          <w:szCs w:val="22"/>
        </w:rPr>
        <w:t>tis. eur</w:t>
      </w:r>
      <w:r w:rsidRPr="0072101A" w:rsidR="00AF3810">
        <w:rPr>
          <w:rFonts w:ascii="Times New Roman" w:hAnsi="Times New Roman"/>
          <w:bCs/>
          <w:szCs w:val="22"/>
        </w:rPr>
        <w:t xml:space="preserve"> (201</w:t>
      </w:r>
      <w:r w:rsidR="0004314E">
        <w:rPr>
          <w:rFonts w:ascii="Times New Roman" w:hAnsi="Times New Roman"/>
          <w:bCs/>
          <w:szCs w:val="22"/>
        </w:rPr>
        <w:t>4</w:t>
      </w:r>
      <w:r w:rsidRPr="0072101A" w:rsidR="00AF3810">
        <w:rPr>
          <w:rFonts w:ascii="Times New Roman" w:hAnsi="Times New Roman"/>
          <w:bCs/>
          <w:szCs w:val="22"/>
        </w:rPr>
        <w:t>:</w:t>
      </w:r>
      <w:r w:rsidRPr="0072101A" w:rsidR="00D77CA1">
        <w:rPr>
          <w:rFonts w:ascii="Times New Roman" w:hAnsi="Times New Roman"/>
          <w:bCs/>
          <w:szCs w:val="22"/>
        </w:rPr>
        <w:t xml:space="preserve"> </w:t>
      </w:r>
      <w:r w:rsidRPr="0072101A" w:rsidR="0004314E">
        <w:rPr>
          <w:rFonts w:ascii="Times New Roman" w:hAnsi="Times New Roman"/>
          <w:bCs/>
          <w:szCs w:val="22"/>
        </w:rPr>
        <w:t>5 074</w:t>
      </w:r>
      <w:r w:rsidR="0004314E">
        <w:rPr>
          <w:rFonts w:ascii="Times New Roman" w:hAnsi="Times New Roman"/>
          <w:bCs/>
          <w:szCs w:val="22"/>
        </w:rPr>
        <w:t> </w:t>
      </w:r>
      <w:r w:rsidRPr="0072101A" w:rsidR="0004314E">
        <w:rPr>
          <w:rFonts w:ascii="Times New Roman" w:hAnsi="Times New Roman"/>
          <w:bCs/>
          <w:szCs w:val="22"/>
        </w:rPr>
        <w:t xml:space="preserve">195 </w:t>
      </w:r>
      <w:r w:rsidRPr="0072101A" w:rsidR="00D77CA1">
        <w:rPr>
          <w:rFonts w:ascii="Times New Roman" w:hAnsi="Times New Roman"/>
          <w:bCs/>
          <w:szCs w:val="22"/>
        </w:rPr>
        <w:t>tis. eur</w:t>
      </w:r>
      <w:r w:rsidRPr="0072101A" w:rsidR="00AF3810">
        <w:rPr>
          <w:rFonts w:ascii="Times New Roman" w:hAnsi="Times New Roman"/>
          <w:bCs/>
          <w:szCs w:val="22"/>
        </w:rPr>
        <w:t>)</w:t>
      </w:r>
      <w:r w:rsidRPr="0072101A" w:rsidR="00ED7096">
        <w:rPr>
          <w:rFonts w:ascii="Times New Roman" w:hAnsi="Times New Roman"/>
          <w:bCs/>
          <w:szCs w:val="22"/>
        </w:rPr>
        <w:t xml:space="preserve">, </w:t>
      </w:r>
      <w:r w:rsidRPr="0072101A" w:rsidR="00ED7096">
        <w:rPr>
          <w:rFonts w:ascii="Times New Roman" w:hAnsi="Times New Roman"/>
          <w:bCs/>
          <w:szCs w:val="22"/>
          <w:u w:val="single"/>
        </w:rPr>
        <w:t>zákonné sociálne poistenie</w:t>
      </w:r>
      <w:r w:rsidRPr="0072101A" w:rsidR="00ED7096">
        <w:rPr>
          <w:rFonts w:ascii="Times New Roman" w:hAnsi="Times New Roman"/>
          <w:bCs/>
          <w:szCs w:val="22"/>
        </w:rPr>
        <w:t xml:space="preserve"> </w:t>
      </w:r>
      <w:r w:rsidR="0004314E">
        <w:rPr>
          <w:rFonts w:ascii="Times New Roman" w:hAnsi="Times New Roman"/>
          <w:bCs/>
          <w:szCs w:val="22"/>
        </w:rPr>
        <w:t xml:space="preserve">1 574 943 </w:t>
      </w:r>
      <w:r w:rsidRPr="0072101A" w:rsidR="00ED7096">
        <w:rPr>
          <w:rFonts w:ascii="Times New Roman" w:hAnsi="Times New Roman"/>
          <w:bCs/>
          <w:szCs w:val="22"/>
        </w:rPr>
        <w:t>tis. eur</w:t>
      </w:r>
      <w:r w:rsidRPr="0072101A" w:rsidR="00AF3810">
        <w:rPr>
          <w:rFonts w:ascii="Times New Roman" w:hAnsi="Times New Roman"/>
          <w:bCs/>
          <w:szCs w:val="22"/>
        </w:rPr>
        <w:t xml:space="preserve"> (201</w:t>
      </w:r>
      <w:r w:rsidR="0004314E">
        <w:rPr>
          <w:rFonts w:ascii="Times New Roman" w:hAnsi="Times New Roman"/>
          <w:bCs/>
          <w:szCs w:val="22"/>
        </w:rPr>
        <w:t>4</w:t>
      </w:r>
      <w:r w:rsidRPr="0072101A" w:rsidR="00AF3810">
        <w:rPr>
          <w:rFonts w:ascii="Times New Roman" w:hAnsi="Times New Roman"/>
          <w:bCs/>
          <w:szCs w:val="22"/>
        </w:rPr>
        <w:t>:</w:t>
      </w:r>
      <w:r w:rsidRPr="0072101A" w:rsidR="00D77CA1">
        <w:rPr>
          <w:rFonts w:ascii="Times New Roman" w:hAnsi="Times New Roman"/>
          <w:bCs/>
          <w:szCs w:val="22"/>
        </w:rPr>
        <w:t xml:space="preserve"> </w:t>
      </w:r>
      <w:r w:rsidRPr="0072101A" w:rsidR="0004314E">
        <w:rPr>
          <w:rFonts w:ascii="Times New Roman" w:hAnsi="Times New Roman"/>
          <w:bCs/>
          <w:szCs w:val="22"/>
        </w:rPr>
        <w:t>1 512</w:t>
      </w:r>
      <w:r w:rsidR="0004314E">
        <w:rPr>
          <w:rFonts w:ascii="Times New Roman" w:hAnsi="Times New Roman"/>
          <w:bCs/>
          <w:szCs w:val="22"/>
        </w:rPr>
        <w:t> </w:t>
      </w:r>
      <w:r w:rsidRPr="0072101A" w:rsidR="0004314E">
        <w:rPr>
          <w:rFonts w:ascii="Times New Roman" w:hAnsi="Times New Roman"/>
          <w:bCs/>
          <w:szCs w:val="22"/>
        </w:rPr>
        <w:t xml:space="preserve">156 </w:t>
      </w:r>
      <w:r w:rsidRPr="0072101A" w:rsidR="00D77CA1">
        <w:rPr>
          <w:rFonts w:ascii="Times New Roman" w:hAnsi="Times New Roman"/>
          <w:bCs/>
          <w:szCs w:val="22"/>
        </w:rPr>
        <w:t>tis. eur</w:t>
      </w:r>
      <w:r w:rsidRPr="0072101A" w:rsidR="00AF3810">
        <w:rPr>
          <w:rFonts w:ascii="Times New Roman" w:hAnsi="Times New Roman"/>
          <w:bCs/>
          <w:szCs w:val="22"/>
        </w:rPr>
        <w:t>)</w:t>
      </w:r>
      <w:r w:rsidRPr="0072101A" w:rsidR="00ED7096">
        <w:rPr>
          <w:rFonts w:ascii="Times New Roman" w:hAnsi="Times New Roman"/>
          <w:bCs/>
          <w:szCs w:val="22"/>
        </w:rPr>
        <w:t xml:space="preserve">, </w:t>
      </w:r>
      <w:r w:rsidRPr="0072101A" w:rsidR="00ED7096">
        <w:rPr>
          <w:rFonts w:ascii="Times New Roman" w:hAnsi="Times New Roman"/>
          <w:bCs/>
          <w:szCs w:val="22"/>
          <w:u w:val="single"/>
        </w:rPr>
        <w:t>zákonné sociálne náklady</w:t>
      </w:r>
      <w:r w:rsidRPr="0072101A" w:rsidR="00ED7096">
        <w:rPr>
          <w:rFonts w:ascii="Times New Roman" w:hAnsi="Times New Roman"/>
          <w:bCs/>
          <w:szCs w:val="22"/>
        </w:rPr>
        <w:t xml:space="preserve"> </w:t>
      </w:r>
      <w:r w:rsidR="0004314E">
        <w:rPr>
          <w:rFonts w:ascii="Times New Roman" w:hAnsi="Times New Roman"/>
          <w:bCs/>
          <w:szCs w:val="22"/>
        </w:rPr>
        <w:t xml:space="preserve">303 658 </w:t>
      </w:r>
      <w:r w:rsidRPr="0072101A" w:rsidR="00497086">
        <w:rPr>
          <w:rFonts w:ascii="Times New Roman" w:hAnsi="Times New Roman"/>
          <w:bCs/>
          <w:szCs w:val="22"/>
        </w:rPr>
        <w:t>tis. eur (201</w:t>
      </w:r>
      <w:r w:rsidR="0004314E">
        <w:rPr>
          <w:rFonts w:ascii="Times New Roman" w:hAnsi="Times New Roman"/>
          <w:bCs/>
          <w:szCs w:val="22"/>
        </w:rPr>
        <w:t>4</w:t>
      </w:r>
      <w:r w:rsidRPr="0072101A" w:rsidR="00497086">
        <w:rPr>
          <w:rFonts w:ascii="Times New Roman" w:hAnsi="Times New Roman"/>
          <w:bCs/>
          <w:szCs w:val="22"/>
        </w:rPr>
        <w:t>:</w:t>
      </w:r>
      <w:r w:rsidRPr="0072101A" w:rsidR="00465EEE">
        <w:rPr>
          <w:rFonts w:ascii="Times New Roman" w:hAnsi="Times New Roman"/>
          <w:bCs/>
          <w:szCs w:val="22"/>
        </w:rPr>
        <w:t xml:space="preserve"> </w:t>
      </w:r>
      <w:r w:rsidRPr="0072101A" w:rsidR="0004314E">
        <w:rPr>
          <w:rFonts w:ascii="Times New Roman" w:hAnsi="Times New Roman"/>
          <w:bCs/>
          <w:szCs w:val="22"/>
        </w:rPr>
        <w:t>292</w:t>
      </w:r>
      <w:r w:rsidR="0004314E">
        <w:rPr>
          <w:rFonts w:ascii="Times New Roman" w:hAnsi="Times New Roman"/>
          <w:bCs/>
          <w:szCs w:val="22"/>
        </w:rPr>
        <w:t> </w:t>
      </w:r>
      <w:r w:rsidRPr="0072101A" w:rsidR="0004314E">
        <w:rPr>
          <w:rFonts w:ascii="Times New Roman" w:hAnsi="Times New Roman"/>
          <w:bCs/>
          <w:szCs w:val="22"/>
        </w:rPr>
        <w:t xml:space="preserve">150 </w:t>
      </w:r>
      <w:r w:rsidRPr="0072101A" w:rsidR="00ED7096">
        <w:rPr>
          <w:rFonts w:ascii="Times New Roman" w:hAnsi="Times New Roman"/>
          <w:bCs/>
          <w:szCs w:val="22"/>
        </w:rPr>
        <w:t>tis. eur</w:t>
      </w:r>
      <w:r w:rsidRPr="0072101A" w:rsidR="00497086">
        <w:rPr>
          <w:rFonts w:ascii="Times New Roman" w:hAnsi="Times New Roman"/>
          <w:bCs/>
          <w:szCs w:val="22"/>
        </w:rPr>
        <w:t>)</w:t>
      </w:r>
      <w:r w:rsidRPr="0072101A" w:rsidR="00ED7096">
        <w:rPr>
          <w:rFonts w:ascii="Times New Roman" w:hAnsi="Times New Roman"/>
          <w:bCs/>
          <w:szCs w:val="22"/>
        </w:rPr>
        <w:t xml:space="preserve"> a </w:t>
      </w:r>
      <w:r w:rsidRPr="0017742E" w:rsidR="00ED7096">
        <w:rPr>
          <w:rFonts w:ascii="Times New Roman" w:hAnsi="Times New Roman"/>
          <w:bCs/>
          <w:szCs w:val="22"/>
          <w:u w:val="single"/>
        </w:rPr>
        <w:t>ostatné sociálne poisteni</w:t>
      </w:r>
      <w:r w:rsidR="000C6837">
        <w:rPr>
          <w:rFonts w:ascii="Times New Roman" w:hAnsi="Times New Roman"/>
          <w:bCs/>
          <w:szCs w:val="22"/>
          <w:u w:val="single"/>
        </w:rPr>
        <w:t>e</w:t>
      </w:r>
      <w:r w:rsidRPr="0017742E" w:rsidR="00ED7096">
        <w:rPr>
          <w:rFonts w:ascii="Times New Roman" w:hAnsi="Times New Roman"/>
          <w:bCs/>
          <w:szCs w:val="22"/>
          <w:u w:val="single"/>
        </w:rPr>
        <w:t xml:space="preserve"> a sociálne náklady</w:t>
      </w:r>
      <w:r w:rsidRPr="0072101A" w:rsidR="00ED7096">
        <w:rPr>
          <w:rFonts w:ascii="Times New Roman" w:hAnsi="Times New Roman"/>
          <w:bCs/>
          <w:szCs w:val="22"/>
        </w:rPr>
        <w:t xml:space="preserve"> </w:t>
      </w:r>
      <w:r w:rsidR="0004314E">
        <w:rPr>
          <w:rFonts w:ascii="Times New Roman" w:hAnsi="Times New Roman"/>
          <w:bCs/>
          <w:szCs w:val="22"/>
        </w:rPr>
        <w:t xml:space="preserve">53 862 </w:t>
      </w:r>
      <w:r w:rsidRPr="0072101A">
        <w:rPr>
          <w:rFonts w:ascii="Times New Roman" w:hAnsi="Times New Roman"/>
          <w:bCs/>
          <w:szCs w:val="22"/>
        </w:rPr>
        <w:t>tis. eur.</w:t>
      </w:r>
    </w:p>
    <w:p w:rsidR="0094699D" w:rsidP="008D6E65">
      <w:pPr>
        <w:bidi w:val="0"/>
        <w:spacing w:before="120" w:after="120" w:line="336" w:lineRule="auto"/>
        <w:jc w:val="both"/>
        <w:rPr>
          <w:rFonts w:ascii="Times New Roman" w:hAnsi="Times New Roman"/>
          <w:bCs/>
          <w:szCs w:val="22"/>
        </w:rPr>
      </w:pPr>
      <w:r w:rsidRPr="0072101A" w:rsidR="00AF3810">
        <w:rPr>
          <w:rFonts w:ascii="Times New Roman" w:hAnsi="Times New Roman"/>
          <w:bCs/>
          <w:szCs w:val="22"/>
        </w:rPr>
        <w:t xml:space="preserve">Vzhľadom </w:t>
      </w:r>
      <w:r w:rsidRPr="0072101A" w:rsidR="00ED7096">
        <w:rPr>
          <w:rFonts w:ascii="Times New Roman" w:hAnsi="Times New Roman"/>
          <w:bCs/>
          <w:szCs w:val="22"/>
        </w:rPr>
        <w:t xml:space="preserve">na počet zamestnancov v jednotlivých subjektoch súhrnného celku vykazuje </w:t>
      </w:r>
      <w:r w:rsidRPr="0072101A" w:rsidR="00314109">
        <w:rPr>
          <w:rFonts w:ascii="Times New Roman" w:hAnsi="Times New Roman"/>
          <w:bCs/>
          <w:szCs w:val="22"/>
        </w:rPr>
        <w:t>ú</w:t>
      </w:r>
      <w:r w:rsidRPr="0072101A" w:rsidR="00ED7096">
        <w:rPr>
          <w:rFonts w:ascii="Times New Roman" w:hAnsi="Times New Roman"/>
          <w:bCs/>
          <w:szCs w:val="22"/>
        </w:rPr>
        <w:t>stredná správa</w:t>
      </w:r>
      <w:r w:rsidRPr="0072101A" w:rsidR="00BA47F9">
        <w:rPr>
          <w:rFonts w:ascii="Times New Roman" w:hAnsi="Times New Roman"/>
          <w:bCs/>
          <w:szCs w:val="22"/>
        </w:rPr>
        <w:t xml:space="preserve"> </w:t>
      </w:r>
      <w:r w:rsidRPr="0072101A" w:rsidR="00ED7096">
        <w:rPr>
          <w:rFonts w:ascii="Times New Roman" w:hAnsi="Times New Roman"/>
          <w:bCs/>
          <w:szCs w:val="22"/>
        </w:rPr>
        <w:t>mzdové náklady vo výške</w:t>
      </w:r>
      <w:r w:rsidRPr="0072101A" w:rsidR="00E477E7">
        <w:rPr>
          <w:rFonts w:ascii="Times New Roman" w:hAnsi="Times New Roman"/>
          <w:bCs/>
          <w:szCs w:val="22"/>
        </w:rPr>
        <w:t xml:space="preserve"> </w:t>
      </w:r>
      <w:r>
        <w:rPr>
          <w:rFonts w:ascii="Times New Roman" w:hAnsi="Times New Roman"/>
          <w:bCs/>
          <w:szCs w:val="22"/>
        </w:rPr>
        <w:t xml:space="preserve">2 726 505 </w:t>
      </w:r>
      <w:r w:rsidRPr="0072101A" w:rsidR="0058626A">
        <w:rPr>
          <w:rFonts w:ascii="Times New Roman" w:hAnsi="Times New Roman"/>
          <w:bCs/>
          <w:szCs w:val="22"/>
        </w:rPr>
        <w:t>tis. eur, pričom tieto náklady sú vrátane všetkých obchodných spoločností štátu (</w:t>
      </w:r>
      <w:r>
        <w:rPr>
          <w:rFonts w:ascii="Times New Roman" w:hAnsi="Times New Roman"/>
          <w:bCs/>
          <w:szCs w:val="22"/>
        </w:rPr>
        <w:t>462 760</w:t>
      </w:r>
      <w:r w:rsidRPr="0072101A" w:rsidR="0058626A">
        <w:rPr>
          <w:rFonts w:ascii="Times New Roman" w:hAnsi="Times New Roman"/>
          <w:bCs/>
          <w:szCs w:val="22"/>
        </w:rPr>
        <w:t xml:space="preserve"> tis. eur).</w:t>
      </w:r>
      <w:r>
        <w:rPr>
          <w:rFonts w:ascii="Times New Roman" w:hAnsi="Times New Roman"/>
          <w:bCs/>
          <w:szCs w:val="22"/>
        </w:rPr>
        <w:t xml:space="preserve"> Štátne rozpočtové a štátne príspevkové organizácie dosiahli medziročný nárast nákladov o 84 079 tis. eur a obchodné spoločnosti štátu o 30 343 tis. eur.</w:t>
      </w:r>
    </w:p>
    <w:p w:rsidR="0094699D" w:rsidP="008D6E65">
      <w:pPr>
        <w:bidi w:val="0"/>
        <w:spacing w:before="120" w:after="120" w:line="336" w:lineRule="auto"/>
        <w:jc w:val="both"/>
        <w:rPr>
          <w:rFonts w:ascii="Times New Roman" w:hAnsi="Times New Roman"/>
          <w:bCs/>
          <w:szCs w:val="22"/>
        </w:rPr>
      </w:pPr>
      <w:r w:rsidR="00DC51A6">
        <w:rPr>
          <w:rFonts w:ascii="Times New Roman" w:hAnsi="Times New Roman"/>
          <w:bCs/>
          <w:szCs w:val="22"/>
        </w:rPr>
        <w:t>Ú</w:t>
      </w:r>
      <w:r w:rsidRPr="0072101A">
        <w:rPr>
          <w:rFonts w:ascii="Times New Roman" w:hAnsi="Times New Roman"/>
          <w:bCs/>
          <w:szCs w:val="22"/>
        </w:rPr>
        <w:t xml:space="preserve">zemná samospráva </w:t>
      </w:r>
      <w:r w:rsidR="00DC51A6">
        <w:rPr>
          <w:rFonts w:ascii="Times New Roman" w:hAnsi="Times New Roman"/>
          <w:bCs/>
          <w:szCs w:val="22"/>
        </w:rPr>
        <w:t xml:space="preserve">dosiahla </w:t>
      </w:r>
      <w:r w:rsidRPr="0072101A">
        <w:rPr>
          <w:rFonts w:ascii="Times New Roman" w:hAnsi="Times New Roman"/>
          <w:bCs/>
          <w:szCs w:val="22"/>
        </w:rPr>
        <w:t xml:space="preserve">mzdové náklady vo výške </w:t>
      </w:r>
      <w:r w:rsidR="00DC51A6">
        <w:rPr>
          <w:rFonts w:ascii="Times New Roman" w:hAnsi="Times New Roman"/>
          <w:bCs/>
          <w:szCs w:val="22"/>
        </w:rPr>
        <w:t>1 908 997</w:t>
      </w:r>
      <w:r w:rsidRPr="0072101A">
        <w:rPr>
          <w:rFonts w:ascii="Times New Roman" w:hAnsi="Times New Roman"/>
          <w:bCs/>
          <w:szCs w:val="22"/>
        </w:rPr>
        <w:t xml:space="preserve"> tis. eur, z toho obce 1</w:t>
      </w:r>
      <w:r w:rsidR="00DC51A6">
        <w:rPr>
          <w:rFonts w:ascii="Times New Roman" w:hAnsi="Times New Roman"/>
          <w:bCs/>
          <w:szCs w:val="22"/>
        </w:rPr>
        <w:t> 399</w:t>
      </w:r>
      <w:r w:rsidR="001D1D14">
        <w:rPr>
          <w:rFonts w:ascii="Times New Roman" w:hAnsi="Times New Roman"/>
          <w:bCs/>
          <w:szCs w:val="22"/>
        </w:rPr>
        <w:t> </w:t>
      </w:r>
      <w:r w:rsidR="00DC51A6">
        <w:rPr>
          <w:rFonts w:ascii="Times New Roman" w:hAnsi="Times New Roman"/>
          <w:bCs/>
          <w:szCs w:val="22"/>
        </w:rPr>
        <w:t>441</w:t>
      </w:r>
      <w:r w:rsidR="001D1D14">
        <w:rPr>
          <w:rFonts w:ascii="Times New Roman" w:hAnsi="Times New Roman"/>
          <w:bCs/>
          <w:szCs w:val="22"/>
        </w:rPr>
        <w:t> tis. </w:t>
      </w:r>
      <w:r w:rsidR="00DC51A6">
        <w:rPr>
          <w:rFonts w:ascii="Times New Roman" w:hAnsi="Times New Roman"/>
          <w:bCs/>
          <w:szCs w:val="22"/>
        </w:rPr>
        <w:t>eur. Medziročný nárast v nákladoch v územnej samospráve bol o 90 174 tis. eur.</w:t>
      </w:r>
    </w:p>
    <w:p w:rsidR="00CE3C4C" w:rsidRPr="0072101A" w:rsidP="008F6F24">
      <w:pPr>
        <w:numPr>
          <w:numId w:val="24"/>
        </w:numPr>
        <w:bidi w:val="0"/>
        <w:spacing w:before="200" w:line="336" w:lineRule="auto"/>
        <w:ind w:left="426" w:hanging="426"/>
        <w:jc w:val="both"/>
        <w:rPr>
          <w:rFonts w:ascii="Times New Roman" w:hAnsi="Times New Roman"/>
          <w:b/>
          <w:bCs/>
          <w:sz w:val="24"/>
          <w:szCs w:val="24"/>
        </w:rPr>
      </w:pPr>
      <w:r w:rsidRPr="0072101A">
        <w:rPr>
          <w:rFonts w:ascii="Times New Roman" w:hAnsi="Times New Roman"/>
          <w:b/>
          <w:bCs/>
          <w:sz w:val="24"/>
          <w:szCs w:val="24"/>
        </w:rPr>
        <w:t>Dane a poplatky</w:t>
      </w:r>
    </w:p>
    <w:p w:rsidR="00CE3C4C" w:rsidRPr="0072101A" w:rsidP="00A427D3">
      <w:pPr>
        <w:bidi w:val="0"/>
        <w:spacing w:after="0" w:line="336" w:lineRule="auto"/>
        <w:jc w:val="both"/>
        <w:rPr>
          <w:rFonts w:ascii="Times New Roman" w:hAnsi="Times New Roman"/>
          <w:bCs/>
          <w:szCs w:val="22"/>
        </w:rPr>
      </w:pPr>
      <w:r w:rsidRPr="0072101A" w:rsidR="00EE5F45">
        <w:rPr>
          <w:rFonts w:ascii="Times New Roman" w:hAnsi="Times New Roman"/>
          <w:bCs/>
          <w:szCs w:val="22"/>
        </w:rPr>
        <w:t xml:space="preserve">Dane a poplatky boli vykázané v hodnote </w:t>
      </w:r>
      <w:r w:rsidR="008A4062">
        <w:rPr>
          <w:rFonts w:ascii="Times New Roman" w:hAnsi="Times New Roman"/>
          <w:bCs/>
          <w:szCs w:val="22"/>
        </w:rPr>
        <w:t>52 896</w:t>
      </w:r>
      <w:r w:rsidRPr="0072101A" w:rsidR="00CC5E56">
        <w:rPr>
          <w:rFonts w:ascii="Times New Roman" w:hAnsi="Times New Roman"/>
          <w:bCs/>
          <w:szCs w:val="22"/>
        </w:rPr>
        <w:t xml:space="preserve"> tis eur</w:t>
      </w:r>
      <w:r w:rsidRPr="0072101A" w:rsidR="00EE5F45">
        <w:rPr>
          <w:rFonts w:ascii="Times New Roman" w:hAnsi="Times New Roman"/>
          <w:bCs/>
          <w:szCs w:val="22"/>
        </w:rPr>
        <w:t>, oproti roku 201</w:t>
      </w:r>
      <w:r w:rsidR="008A4062">
        <w:rPr>
          <w:rFonts w:ascii="Times New Roman" w:hAnsi="Times New Roman"/>
          <w:bCs/>
          <w:szCs w:val="22"/>
        </w:rPr>
        <w:t>4</w:t>
      </w:r>
      <w:r w:rsidRPr="0072101A" w:rsidR="00EE5F45">
        <w:rPr>
          <w:rFonts w:ascii="Times New Roman" w:hAnsi="Times New Roman"/>
          <w:bCs/>
          <w:szCs w:val="22"/>
        </w:rPr>
        <w:t xml:space="preserve"> </w:t>
      </w:r>
      <w:r w:rsidRPr="0072101A" w:rsidR="00345C1E">
        <w:rPr>
          <w:rFonts w:ascii="Times New Roman" w:hAnsi="Times New Roman"/>
          <w:bCs/>
          <w:szCs w:val="22"/>
        </w:rPr>
        <w:t xml:space="preserve">sa zvýšili </w:t>
      </w:r>
      <w:r w:rsidRPr="0072101A" w:rsidR="00EE5F45">
        <w:rPr>
          <w:rFonts w:ascii="Times New Roman" w:hAnsi="Times New Roman"/>
          <w:bCs/>
          <w:szCs w:val="22"/>
        </w:rPr>
        <w:t>o</w:t>
      </w:r>
      <w:r w:rsidR="008A4062">
        <w:rPr>
          <w:rFonts w:ascii="Times New Roman" w:hAnsi="Times New Roman"/>
          <w:bCs/>
          <w:szCs w:val="22"/>
        </w:rPr>
        <w:t> 17 477</w:t>
      </w:r>
      <w:r w:rsidRPr="0072101A" w:rsidR="00EE5F45">
        <w:rPr>
          <w:rFonts w:ascii="Times New Roman" w:hAnsi="Times New Roman"/>
          <w:bCs/>
          <w:szCs w:val="22"/>
        </w:rPr>
        <w:t xml:space="preserve"> tis. eur.</w:t>
      </w:r>
      <w:r w:rsidRPr="0072101A" w:rsidR="00BA600F">
        <w:rPr>
          <w:rFonts w:ascii="Times New Roman" w:hAnsi="Times New Roman"/>
          <w:bCs/>
          <w:szCs w:val="22"/>
        </w:rPr>
        <w:t xml:space="preserve"> </w:t>
      </w:r>
      <w:r w:rsidRPr="0072101A" w:rsidR="00BA600F">
        <w:rPr>
          <w:rFonts w:ascii="Times New Roman" w:hAnsi="Times New Roman"/>
          <w:bCs/>
          <w:szCs w:val="22"/>
          <w:u w:val="single"/>
        </w:rPr>
        <w:t>Daň z motorových vozidiel</w:t>
      </w:r>
      <w:r w:rsidRPr="0072101A" w:rsidR="00BA600F">
        <w:rPr>
          <w:rFonts w:ascii="Times New Roman" w:hAnsi="Times New Roman"/>
          <w:bCs/>
          <w:szCs w:val="22"/>
        </w:rPr>
        <w:t xml:space="preserve"> bola vykázaná v hodnote </w:t>
      </w:r>
      <w:r w:rsidR="008A4062">
        <w:rPr>
          <w:rFonts w:ascii="Times New Roman" w:hAnsi="Times New Roman"/>
          <w:bCs/>
          <w:szCs w:val="22"/>
        </w:rPr>
        <w:t>2 302</w:t>
      </w:r>
      <w:r w:rsidRPr="0072101A" w:rsidR="00BA600F">
        <w:rPr>
          <w:rFonts w:ascii="Times New Roman" w:hAnsi="Times New Roman"/>
          <w:bCs/>
          <w:szCs w:val="22"/>
        </w:rPr>
        <w:t xml:space="preserve"> tis. eur </w:t>
      </w:r>
      <w:r w:rsidRPr="0072101A" w:rsidR="00B66E7A">
        <w:rPr>
          <w:rFonts w:ascii="Times New Roman" w:hAnsi="Times New Roman"/>
          <w:bCs/>
          <w:szCs w:val="22"/>
        </w:rPr>
        <w:t xml:space="preserve">ako nekonsolidovaná </w:t>
      </w:r>
      <w:r w:rsidRPr="0072101A" w:rsidR="00BA600F">
        <w:rPr>
          <w:rFonts w:ascii="Times New Roman" w:hAnsi="Times New Roman"/>
          <w:bCs/>
          <w:szCs w:val="22"/>
        </w:rPr>
        <w:t xml:space="preserve">časť </w:t>
      </w:r>
      <w:r w:rsidRPr="0072101A" w:rsidR="001748B8">
        <w:rPr>
          <w:rFonts w:ascii="Times New Roman" w:hAnsi="Times New Roman"/>
          <w:bCs/>
          <w:szCs w:val="22"/>
        </w:rPr>
        <w:t>nákladov</w:t>
      </w:r>
      <w:r w:rsidRPr="0072101A" w:rsidR="00B66E7A">
        <w:rPr>
          <w:rFonts w:ascii="Times New Roman" w:hAnsi="Times New Roman"/>
          <w:bCs/>
          <w:szCs w:val="22"/>
        </w:rPr>
        <w:t xml:space="preserve"> v rámci súhrnného celku.</w:t>
      </w:r>
      <w:r w:rsidRPr="0072101A" w:rsidR="00BA600F">
        <w:rPr>
          <w:rFonts w:ascii="Times New Roman" w:hAnsi="Times New Roman"/>
          <w:bCs/>
          <w:szCs w:val="22"/>
        </w:rPr>
        <w:t xml:space="preserve"> </w:t>
      </w:r>
      <w:r w:rsidRPr="0072101A" w:rsidR="00B66E7A">
        <w:rPr>
          <w:rFonts w:ascii="Times New Roman" w:hAnsi="Times New Roman"/>
          <w:bCs/>
          <w:szCs w:val="22"/>
        </w:rPr>
        <w:t>D</w:t>
      </w:r>
      <w:r w:rsidRPr="0072101A" w:rsidR="00BA600F">
        <w:rPr>
          <w:rFonts w:ascii="Times New Roman" w:hAnsi="Times New Roman"/>
          <w:bCs/>
          <w:szCs w:val="22"/>
        </w:rPr>
        <w:t>aň z nehnuteľností, ktor</w:t>
      </w:r>
      <w:r w:rsidRPr="0072101A" w:rsidR="001748B8">
        <w:rPr>
          <w:rFonts w:ascii="Times New Roman" w:hAnsi="Times New Roman"/>
          <w:bCs/>
          <w:szCs w:val="22"/>
        </w:rPr>
        <w:t>ej</w:t>
      </w:r>
      <w:r w:rsidRPr="0072101A" w:rsidR="00BA600F">
        <w:rPr>
          <w:rFonts w:ascii="Times New Roman" w:hAnsi="Times New Roman"/>
          <w:bCs/>
          <w:szCs w:val="22"/>
        </w:rPr>
        <w:t xml:space="preserve"> príjemcom sú obce SR</w:t>
      </w:r>
      <w:r w:rsidRPr="0072101A" w:rsidR="00B66E7A">
        <w:rPr>
          <w:rFonts w:ascii="Times New Roman" w:hAnsi="Times New Roman"/>
          <w:bCs/>
          <w:szCs w:val="22"/>
        </w:rPr>
        <w:t xml:space="preserve"> bola eliminovaná v plnej výške, a to </w:t>
      </w:r>
      <w:r w:rsidR="008A4062">
        <w:rPr>
          <w:rFonts w:ascii="Times New Roman" w:hAnsi="Times New Roman"/>
          <w:bCs/>
          <w:szCs w:val="22"/>
        </w:rPr>
        <w:t>29 764</w:t>
      </w:r>
      <w:r w:rsidRPr="0072101A" w:rsidR="00B66E7A">
        <w:rPr>
          <w:rFonts w:ascii="Times New Roman" w:hAnsi="Times New Roman"/>
          <w:bCs/>
          <w:szCs w:val="22"/>
        </w:rPr>
        <w:t xml:space="preserve"> tis. eur</w:t>
      </w:r>
      <w:r w:rsidRPr="0072101A" w:rsidR="00BA600F">
        <w:rPr>
          <w:rFonts w:ascii="Times New Roman" w:hAnsi="Times New Roman"/>
          <w:bCs/>
          <w:szCs w:val="22"/>
        </w:rPr>
        <w:t xml:space="preserve">. </w:t>
      </w:r>
      <w:r w:rsidRPr="0072101A" w:rsidR="00BA600F">
        <w:rPr>
          <w:rFonts w:ascii="Times New Roman" w:hAnsi="Times New Roman"/>
          <w:bCs/>
          <w:szCs w:val="22"/>
          <w:u w:val="single"/>
        </w:rPr>
        <w:t>Ostatné dane a poplatky</w:t>
      </w:r>
      <w:r w:rsidRPr="0072101A" w:rsidR="00BA600F">
        <w:rPr>
          <w:rFonts w:ascii="Times New Roman" w:hAnsi="Times New Roman"/>
          <w:bCs/>
          <w:szCs w:val="22"/>
        </w:rPr>
        <w:t xml:space="preserve"> </w:t>
      </w:r>
      <w:r w:rsidR="00087FC6">
        <w:rPr>
          <w:rFonts w:ascii="Times New Roman" w:hAnsi="Times New Roman"/>
          <w:bCs/>
          <w:szCs w:val="22"/>
        </w:rPr>
        <w:t xml:space="preserve">(napríklad miestne dane) </w:t>
      </w:r>
      <w:r w:rsidRPr="0072101A" w:rsidR="00BA600F">
        <w:rPr>
          <w:rFonts w:ascii="Times New Roman" w:hAnsi="Times New Roman"/>
          <w:bCs/>
          <w:szCs w:val="22"/>
        </w:rPr>
        <w:t xml:space="preserve">boli </w:t>
      </w:r>
      <w:r w:rsidRPr="0072101A" w:rsidR="005E2A22">
        <w:rPr>
          <w:rFonts w:ascii="Times New Roman" w:hAnsi="Times New Roman"/>
          <w:bCs/>
          <w:szCs w:val="22"/>
        </w:rPr>
        <w:t xml:space="preserve">vykázané </w:t>
      </w:r>
      <w:r w:rsidRPr="0072101A" w:rsidR="00BA600F">
        <w:rPr>
          <w:rFonts w:ascii="Times New Roman" w:hAnsi="Times New Roman"/>
          <w:bCs/>
          <w:szCs w:val="22"/>
        </w:rPr>
        <w:t xml:space="preserve">v hodnote </w:t>
      </w:r>
      <w:r w:rsidR="008A4062">
        <w:rPr>
          <w:rFonts w:ascii="Times New Roman" w:hAnsi="Times New Roman"/>
          <w:bCs/>
          <w:szCs w:val="22"/>
        </w:rPr>
        <w:t>50 593</w:t>
      </w:r>
      <w:r w:rsidRPr="0072101A" w:rsidR="00BA600F">
        <w:rPr>
          <w:rFonts w:ascii="Times New Roman" w:hAnsi="Times New Roman"/>
          <w:bCs/>
          <w:szCs w:val="22"/>
        </w:rPr>
        <w:t xml:space="preserve"> tis. eur</w:t>
      </w:r>
      <w:r w:rsidRPr="0072101A" w:rsidR="000100D0">
        <w:rPr>
          <w:rFonts w:ascii="Times New Roman" w:hAnsi="Times New Roman"/>
          <w:bCs/>
          <w:szCs w:val="22"/>
        </w:rPr>
        <w:t>.</w:t>
      </w:r>
    </w:p>
    <w:p w:rsidR="00F81816">
      <w:pPr>
        <w:bidi w:val="0"/>
        <w:spacing w:after="0" w:line="240" w:lineRule="auto"/>
        <w:rPr>
          <w:rFonts w:ascii="Times New Roman" w:hAnsi="Times New Roman"/>
          <w:b/>
          <w:bCs/>
          <w:sz w:val="24"/>
          <w:szCs w:val="24"/>
        </w:rPr>
      </w:pPr>
      <w:r>
        <w:rPr>
          <w:rFonts w:ascii="Times New Roman" w:hAnsi="Times New Roman"/>
          <w:b/>
          <w:bCs/>
          <w:sz w:val="24"/>
          <w:szCs w:val="24"/>
        </w:rPr>
        <w:br w:type="page"/>
      </w:r>
    </w:p>
    <w:p w:rsidR="002943E8" w:rsidRPr="0072101A" w:rsidP="008F6F24">
      <w:pPr>
        <w:numPr>
          <w:numId w:val="24"/>
        </w:numPr>
        <w:bidi w:val="0"/>
        <w:spacing w:before="200" w:line="336" w:lineRule="auto"/>
        <w:ind w:left="426" w:hanging="426"/>
        <w:jc w:val="both"/>
        <w:rPr>
          <w:rFonts w:ascii="Times New Roman" w:hAnsi="Times New Roman"/>
          <w:b/>
          <w:bCs/>
          <w:sz w:val="24"/>
          <w:szCs w:val="24"/>
        </w:rPr>
      </w:pPr>
      <w:r w:rsidRPr="0072101A">
        <w:rPr>
          <w:rFonts w:ascii="Times New Roman" w:hAnsi="Times New Roman"/>
          <w:b/>
          <w:bCs/>
          <w:sz w:val="24"/>
          <w:szCs w:val="24"/>
        </w:rPr>
        <w:t>Odpisy, rezervy a opravné položky</w:t>
      </w:r>
    </w:p>
    <w:p w:rsidR="000E1D9C" w:rsidRPr="0072101A" w:rsidP="002943E8">
      <w:pPr>
        <w:bidi w:val="0"/>
        <w:spacing w:after="120" w:line="336" w:lineRule="auto"/>
        <w:jc w:val="both"/>
        <w:rPr>
          <w:rFonts w:ascii="Times New Roman" w:hAnsi="Times New Roman"/>
          <w:bCs/>
          <w:szCs w:val="22"/>
        </w:rPr>
      </w:pPr>
      <w:r w:rsidRPr="0072101A" w:rsidR="002943E8">
        <w:rPr>
          <w:rFonts w:ascii="Times New Roman" w:hAnsi="Times New Roman"/>
          <w:bCs/>
          <w:szCs w:val="22"/>
        </w:rPr>
        <w:t xml:space="preserve">Náklady na odpisy, tvorbu rezerv a opravných položiek dosiahli spolu sumu </w:t>
      </w:r>
      <w:r w:rsidR="00947184">
        <w:rPr>
          <w:rFonts w:ascii="Times New Roman" w:hAnsi="Times New Roman"/>
          <w:bCs/>
          <w:szCs w:val="22"/>
        </w:rPr>
        <w:t xml:space="preserve">7 808 791 </w:t>
      </w:r>
      <w:r w:rsidRPr="0072101A" w:rsidR="00956CF3">
        <w:rPr>
          <w:rFonts w:ascii="Times New Roman" w:hAnsi="Times New Roman"/>
          <w:bCs/>
          <w:szCs w:val="22"/>
        </w:rPr>
        <w:t xml:space="preserve">tis. eur </w:t>
      </w:r>
      <w:r w:rsidRPr="0072101A" w:rsidR="002943E8">
        <w:rPr>
          <w:rFonts w:ascii="Times New Roman" w:hAnsi="Times New Roman"/>
          <w:bCs/>
          <w:szCs w:val="22"/>
        </w:rPr>
        <w:t xml:space="preserve">a medziročne boli </w:t>
      </w:r>
      <w:r w:rsidR="00947184">
        <w:rPr>
          <w:rFonts w:ascii="Times New Roman" w:hAnsi="Times New Roman"/>
          <w:bCs/>
          <w:szCs w:val="22"/>
        </w:rPr>
        <w:t>nižšie</w:t>
      </w:r>
      <w:r w:rsidRPr="0072101A" w:rsidR="00956CF3">
        <w:rPr>
          <w:rFonts w:ascii="Times New Roman" w:hAnsi="Times New Roman"/>
          <w:bCs/>
          <w:szCs w:val="22"/>
        </w:rPr>
        <w:t xml:space="preserve"> </w:t>
      </w:r>
      <w:r w:rsidR="00947184">
        <w:rPr>
          <w:rFonts w:ascii="Times New Roman" w:hAnsi="Times New Roman"/>
          <w:bCs/>
          <w:szCs w:val="22"/>
        </w:rPr>
        <w:t>o 3 102 580</w:t>
      </w:r>
      <w:r w:rsidRPr="0072101A" w:rsidR="00956CF3">
        <w:rPr>
          <w:rFonts w:ascii="Times New Roman" w:hAnsi="Times New Roman"/>
          <w:bCs/>
          <w:szCs w:val="22"/>
        </w:rPr>
        <w:t xml:space="preserve"> tis. eur</w:t>
      </w:r>
      <w:r w:rsidRPr="0072101A" w:rsidR="002943E8">
        <w:rPr>
          <w:rFonts w:ascii="Times New Roman" w:hAnsi="Times New Roman"/>
          <w:bCs/>
          <w:szCs w:val="22"/>
        </w:rPr>
        <w:t xml:space="preserve">. Na tomto </w:t>
      </w:r>
      <w:r w:rsidR="00947184">
        <w:rPr>
          <w:rFonts w:ascii="Times New Roman" w:hAnsi="Times New Roman"/>
          <w:bCs/>
          <w:szCs w:val="22"/>
        </w:rPr>
        <w:t>znížení</w:t>
      </w:r>
      <w:r w:rsidRPr="0072101A" w:rsidR="002943E8">
        <w:rPr>
          <w:rFonts w:ascii="Times New Roman" w:hAnsi="Times New Roman"/>
          <w:bCs/>
          <w:szCs w:val="22"/>
        </w:rPr>
        <w:t xml:space="preserve"> sa v rozhodujúcej miere podieľala </w:t>
      </w:r>
      <w:r w:rsidR="00947184">
        <w:rPr>
          <w:rFonts w:ascii="Times New Roman" w:hAnsi="Times New Roman"/>
          <w:bCs/>
          <w:szCs w:val="22"/>
        </w:rPr>
        <w:t>v minulom roku vyššia jednorazová</w:t>
      </w:r>
      <w:r w:rsidRPr="0072101A" w:rsidR="002943E8">
        <w:rPr>
          <w:rFonts w:ascii="Times New Roman" w:hAnsi="Times New Roman"/>
          <w:bCs/>
          <w:szCs w:val="22"/>
        </w:rPr>
        <w:t xml:space="preserve"> tvorba rezerv</w:t>
      </w:r>
      <w:r w:rsidR="00947184">
        <w:rPr>
          <w:rFonts w:ascii="Times New Roman" w:hAnsi="Times New Roman"/>
          <w:bCs/>
          <w:szCs w:val="22"/>
        </w:rPr>
        <w:t>y</w:t>
      </w:r>
      <w:r w:rsidRPr="0072101A" w:rsidR="002943E8">
        <w:rPr>
          <w:rFonts w:ascii="Times New Roman" w:hAnsi="Times New Roman"/>
          <w:bCs/>
          <w:szCs w:val="22"/>
        </w:rPr>
        <w:t xml:space="preserve"> </w:t>
      </w:r>
      <w:r w:rsidRPr="0072101A">
        <w:rPr>
          <w:rFonts w:ascii="Times New Roman" w:hAnsi="Times New Roman"/>
          <w:bCs/>
          <w:szCs w:val="22"/>
        </w:rPr>
        <w:t>na zamestnanecké požitky štátnych rozpočtových a štátnych príspevkových organizácií.</w:t>
      </w:r>
      <w:r w:rsidR="00947184">
        <w:rPr>
          <w:rFonts w:ascii="Times New Roman" w:hAnsi="Times New Roman"/>
          <w:bCs/>
          <w:szCs w:val="22"/>
        </w:rPr>
        <w:t xml:space="preserve"> V porovnaní s rokom 2014 dosiahli </w:t>
      </w:r>
      <w:r w:rsidRPr="00817AB5" w:rsidR="00947184">
        <w:rPr>
          <w:rFonts w:ascii="Times New Roman" w:hAnsi="Times New Roman"/>
          <w:bCs/>
          <w:szCs w:val="22"/>
          <w:u w:val="single"/>
        </w:rPr>
        <w:t>náklady na tvorbu rezerv</w:t>
      </w:r>
      <w:r w:rsidR="00947184">
        <w:rPr>
          <w:rFonts w:ascii="Times New Roman" w:hAnsi="Times New Roman"/>
          <w:bCs/>
          <w:szCs w:val="22"/>
        </w:rPr>
        <w:t xml:space="preserve"> v roku 2015 hodnotu </w:t>
      </w:r>
      <w:r w:rsidR="00817AB5">
        <w:rPr>
          <w:rFonts w:ascii="Times New Roman" w:hAnsi="Times New Roman"/>
          <w:bCs/>
          <w:szCs w:val="22"/>
        </w:rPr>
        <w:t>3 436 412</w:t>
      </w:r>
      <w:r w:rsidR="00947184">
        <w:rPr>
          <w:rFonts w:ascii="Times New Roman" w:hAnsi="Times New Roman"/>
          <w:bCs/>
          <w:szCs w:val="22"/>
        </w:rPr>
        <w:t xml:space="preserve"> tis. eur, čo je o 4</w:t>
      </w:r>
      <w:r w:rsidR="00B357EE">
        <w:rPr>
          <w:rFonts w:ascii="Times New Roman" w:hAnsi="Times New Roman"/>
          <w:bCs/>
          <w:szCs w:val="22"/>
        </w:rPr>
        <w:t> 405 765</w:t>
      </w:r>
      <w:r w:rsidR="00947184">
        <w:rPr>
          <w:rFonts w:ascii="Times New Roman" w:hAnsi="Times New Roman"/>
          <w:bCs/>
          <w:szCs w:val="22"/>
        </w:rPr>
        <w:t xml:space="preserve"> tis. eur menej. Na druhej strane vzrástli </w:t>
      </w:r>
      <w:r w:rsidRPr="00ED753F" w:rsidR="00947184">
        <w:rPr>
          <w:rFonts w:ascii="Times New Roman" w:hAnsi="Times New Roman"/>
          <w:bCs/>
          <w:szCs w:val="22"/>
          <w:u w:val="single"/>
        </w:rPr>
        <w:t>náklady na tvorbu opravných položiek</w:t>
      </w:r>
      <w:r w:rsidR="00947184">
        <w:rPr>
          <w:rFonts w:ascii="Times New Roman" w:hAnsi="Times New Roman"/>
          <w:bCs/>
          <w:szCs w:val="22"/>
        </w:rPr>
        <w:t xml:space="preserve">, a to o 1 191 721 tis. eur. </w:t>
      </w:r>
      <w:r w:rsidRPr="0072101A">
        <w:rPr>
          <w:rFonts w:ascii="Times New Roman" w:hAnsi="Times New Roman"/>
          <w:bCs/>
          <w:szCs w:val="22"/>
        </w:rPr>
        <w:t xml:space="preserve"> </w:t>
      </w:r>
    </w:p>
    <w:p w:rsidR="002943E8" w:rsidRPr="0072101A" w:rsidP="002943E8">
      <w:pPr>
        <w:bidi w:val="0"/>
        <w:spacing w:after="120" w:line="336" w:lineRule="auto"/>
        <w:jc w:val="both"/>
        <w:rPr>
          <w:rFonts w:ascii="Times New Roman" w:hAnsi="Times New Roman"/>
          <w:bCs/>
          <w:szCs w:val="22"/>
        </w:rPr>
      </w:pPr>
      <w:r w:rsidRPr="00D016D8">
        <w:rPr>
          <w:rFonts w:ascii="Times New Roman" w:hAnsi="Times New Roman"/>
          <w:bCs/>
          <w:szCs w:val="22"/>
          <w:u w:val="single"/>
        </w:rPr>
        <w:t>Od</w:t>
      </w:r>
      <w:r w:rsidRPr="0072101A">
        <w:rPr>
          <w:rFonts w:ascii="Times New Roman" w:hAnsi="Times New Roman"/>
          <w:bCs/>
          <w:szCs w:val="22"/>
          <w:u w:val="single"/>
        </w:rPr>
        <w:t>pisy dlhodobého majetku</w:t>
      </w:r>
      <w:r w:rsidRPr="0072101A">
        <w:rPr>
          <w:rFonts w:ascii="Times New Roman" w:hAnsi="Times New Roman"/>
          <w:bCs/>
          <w:szCs w:val="22"/>
        </w:rPr>
        <w:t xml:space="preserve"> dosiahli </w:t>
      </w:r>
      <w:r w:rsidR="00221103">
        <w:rPr>
          <w:rFonts w:ascii="Times New Roman" w:hAnsi="Times New Roman"/>
          <w:bCs/>
          <w:szCs w:val="22"/>
        </w:rPr>
        <w:t xml:space="preserve">2 132 304 </w:t>
      </w:r>
      <w:r w:rsidRPr="0072101A">
        <w:rPr>
          <w:rFonts w:ascii="Times New Roman" w:hAnsi="Times New Roman"/>
          <w:bCs/>
          <w:szCs w:val="22"/>
        </w:rPr>
        <w:t>tis. eur a medziročne boli vyššie o</w:t>
      </w:r>
      <w:r w:rsidR="00221103">
        <w:rPr>
          <w:rFonts w:ascii="Times New Roman" w:hAnsi="Times New Roman"/>
          <w:bCs/>
          <w:szCs w:val="22"/>
        </w:rPr>
        <w:t> 124 438</w:t>
      </w:r>
      <w:r w:rsidRPr="0072101A" w:rsidR="000E1D9C">
        <w:rPr>
          <w:rFonts w:ascii="Times New Roman" w:hAnsi="Times New Roman"/>
          <w:bCs/>
          <w:szCs w:val="22"/>
        </w:rPr>
        <w:t xml:space="preserve"> </w:t>
      </w:r>
      <w:r w:rsidRPr="0072101A">
        <w:rPr>
          <w:rFonts w:ascii="Times New Roman" w:hAnsi="Times New Roman"/>
          <w:bCs/>
          <w:szCs w:val="22"/>
        </w:rPr>
        <w:t>tis. eur.</w:t>
      </w:r>
    </w:p>
    <w:p w:rsidR="002943E8" w:rsidRPr="0072101A" w:rsidP="002943E8">
      <w:pPr>
        <w:bidi w:val="0"/>
        <w:spacing w:after="120" w:line="336" w:lineRule="auto"/>
        <w:jc w:val="both"/>
        <w:rPr>
          <w:rFonts w:ascii="Times New Roman" w:hAnsi="Times New Roman"/>
          <w:bCs/>
          <w:szCs w:val="22"/>
        </w:rPr>
      </w:pPr>
      <w:r w:rsidRPr="0072101A">
        <w:rPr>
          <w:rFonts w:ascii="Times New Roman" w:hAnsi="Times New Roman"/>
          <w:bCs/>
          <w:szCs w:val="22"/>
        </w:rPr>
        <w:t xml:space="preserve">Z pohľadu subjektov a najvýznamnejších hodnôt vykazuje najvyššiu hodnotu </w:t>
      </w:r>
      <w:r w:rsidR="00221103">
        <w:rPr>
          <w:rFonts w:ascii="Times New Roman" w:hAnsi="Times New Roman"/>
          <w:bCs/>
          <w:szCs w:val="22"/>
        </w:rPr>
        <w:t xml:space="preserve">tvorby </w:t>
      </w:r>
      <w:r w:rsidRPr="0072101A" w:rsidR="009E2EF8">
        <w:rPr>
          <w:rFonts w:ascii="Times New Roman" w:hAnsi="Times New Roman"/>
          <w:bCs/>
          <w:szCs w:val="22"/>
        </w:rPr>
        <w:t xml:space="preserve">rezerv </w:t>
      </w:r>
      <w:r w:rsidRPr="0072101A">
        <w:rPr>
          <w:rFonts w:ascii="Times New Roman" w:hAnsi="Times New Roman"/>
          <w:bCs/>
          <w:szCs w:val="22"/>
        </w:rPr>
        <w:t xml:space="preserve">Všeobecná zdravotná poisťovňa, </w:t>
      </w:r>
      <w:r w:rsidRPr="0072101A" w:rsidR="00DC5090">
        <w:rPr>
          <w:rFonts w:ascii="Times New Roman" w:hAnsi="Times New Roman"/>
          <w:bCs/>
          <w:szCs w:val="22"/>
        </w:rPr>
        <w:t>a.s.</w:t>
      </w:r>
      <w:r w:rsidRPr="0072101A">
        <w:rPr>
          <w:rFonts w:ascii="Times New Roman" w:hAnsi="Times New Roman"/>
          <w:bCs/>
          <w:szCs w:val="22"/>
        </w:rPr>
        <w:t xml:space="preserve"> v</w:t>
      </w:r>
      <w:r w:rsidRPr="0072101A" w:rsidR="00482116">
        <w:rPr>
          <w:rFonts w:ascii="Times New Roman" w:hAnsi="Times New Roman"/>
          <w:bCs/>
          <w:szCs w:val="22"/>
        </w:rPr>
        <w:t> </w:t>
      </w:r>
      <w:r w:rsidRPr="0072101A">
        <w:rPr>
          <w:rFonts w:ascii="Times New Roman" w:hAnsi="Times New Roman"/>
          <w:bCs/>
          <w:szCs w:val="22"/>
        </w:rPr>
        <w:t>hodnote</w:t>
      </w:r>
      <w:r w:rsidRPr="0072101A" w:rsidR="00482116">
        <w:rPr>
          <w:rFonts w:ascii="Times New Roman" w:hAnsi="Times New Roman"/>
          <w:bCs/>
          <w:szCs w:val="22"/>
        </w:rPr>
        <w:t xml:space="preserve"> </w:t>
      </w:r>
      <w:r w:rsidR="00221103">
        <w:rPr>
          <w:rFonts w:ascii="Times New Roman" w:hAnsi="Times New Roman"/>
          <w:bCs/>
          <w:szCs w:val="22"/>
        </w:rPr>
        <w:t>2 492 216</w:t>
      </w:r>
      <w:r w:rsidRPr="0072101A">
        <w:rPr>
          <w:rFonts w:ascii="Times New Roman" w:hAnsi="Times New Roman"/>
          <w:bCs/>
          <w:szCs w:val="22"/>
        </w:rPr>
        <w:t xml:space="preserve"> tis. eur. Súvisí to s tvorbou technických rezerv na poistné a úhrady za poskytovanie zdravotnej starostlivosti. Z rozpočtových organizácií vykazuje najvyššiu tvorbu rezerv Ministerstvo </w:t>
      </w:r>
      <w:r w:rsidR="00221103">
        <w:rPr>
          <w:rFonts w:ascii="Times New Roman" w:hAnsi="Times New Roman"/>
          <w:bCs/>
          <w:szCs w:val="22"/>
        </w:rPr>
        <w:t>financií</w:t>
      </w:r>
      <w:r w:rsidRPr="0072101A">
        <w:rPr>
          <w:rFonts w:ascii="Times New Roman" w:hAnsi="Times New Roman"/>
          <w:bCs/>
          <w:szCs w:val="22"/>
        </w:rPr>
        <w:t xml:space="preserve"> SR </w:t>
      </w:r>
      <w:r w:rsidR="00221103">
        <w:rPr>
          <w:rFonts w:ascii="Times New Roman" w:hAnsi="Times New Roman"/>
          <w:bCs/>
          <w:szCs w:val="22"/>
        </w:rPr>
        <w:t>598 010</w:t>
      </w:r>
      <w:r w:rsidRPr="0072101A">
        <w:rPr>
          <w:rFonts w:ascii="Times New Roman" w:hAnsi="Times New Roman"/>
          <w:bCs/>
          <w:szCs w:val="22"/>
        </w:rPr>
        <w:t xml:space="preserve"> tis. eur na </w:t>
      </w:r>
      <w:r w:rsidRPr="0072101A" w:rsidR="00482116">
        <w:rPr>
          <w:rFonts w:ascii="Times New Roman" w:hAnsi="Times New Roman"/>
          <w:bCs/>
          <w:szCs w:val="22"/>
        </w:rPr>
        <w:t>zamestnanecké požitky</w:t>
      </w:r>
      <w:r w:rsidRPr="0072101A">
        <w:rPr>
          <w:rFonts w:ascii="Times New Roman" w:hAnsi="Times New Roman"/>
          <w:bCs/>
          <w:szCs w:val="22"/>
        </w:rPr>
        <w:t xml:space="preserve">. </w:t>
      </w:r>
    </w:p>
    <w:p w:rsidR="002943E8" w:rsidRPr="0072101A" w:rsidP="002943E8">
      <w:pPr>
        <w:bidi w:val="0"/>
        <w:spacing w:after="0" w:line="336" w:lineRule="auto"/>
        <w:jc w:val="both"/>
        <w:rPr>
          <w:rFonts w:ascii="Times New Roman" w:hAnsi="Times New Roman"/>
          <w:bCs/>
          <w:szCs w:val="22"/>
        </w:rPr>
      </w:pPr>
      <w:r w:rsidRPr="00B357EE">
        <w:rPr>
          <w:rFonts w:ascii="Times New Roman" w:hAnsi="Times New Roman"/>
          <w:bCs/>
          <w:szCs w:val="22"/>
          <w:u w:val="single"/>
        </w:rPr>
        <w:t>Náklady na tvorbu opravných položiek</w:t>
      </w:r>
      <w:r w:rsidRPr="0072101A">
        <w:rPr>
          <w:rFonts w:ascii="Times New Roman" w:hAnsi="Times New Roman"/>
          <w:bCs/>
          <w:szCs w:val="22"/>
        </w:rPr>
        <w:t xml:space="preserve"> sú najvýznamnejšie v kapitole Ministerstva financií SR v sume </w:t>
      </w:r>
      <w:r w:rsidR="00B357EE">
        <w:rPr>
          <w:rFonts w:ascii="Times New Roman" w:hAnsi="Times New Roman"/>
          <w:bCs/>
          <w:szCs w:val="22"/>
        </w:rPr>
        <w:t>1 772 601</w:t>
      </w:r>
      <w:r w:rsidRPr="0072101A">
        <w:rPr>
          <w:rFonts w:ascii="Times New Roman" w:hAnsi="Times New Roman"/>
          <w:bCs/>
          <w:szCs w:val="22"/>
        </w:rPr>
        <w:t> </w:t>
      </w:r>
      <w:r w:rsidRPr="0072101A" w:rsidR="00C53807">
        <w:rPr>
          <w:rFonts w:ascii="Times New Roman" w:hAnsi="Times New Roman"/>
          <w:bCs/>
          <w:szCs w:val="22"/>
        </w:rPr>
        <w:t>tis.</w:t>
      </w:r>
      <w:r w:rsidRPr="0072101A">
        <w:rPr>
          <w:rFonts w:ascii="Times New Roman" w:hAnsi="Times New Roman"/>
          <w:bCs/>
          <w:szCs w:val="22"/>
        </w:rPr>
        <w:t xml:space="preserve"> eur, ktoré boli tvorené k pohľadávkam po splatnosti</w:t>
      </w:r>
      <w:r w:rsidR="00B357EE">
        <w:rPr>
          <w:rFonts w:ascii="Times New Roman" w:hAnsi="Times New Roman"/>
          <w:bCs/>
          <w:szCs w:val="22"/>
        </w:rPr>
        <w:t xml:space="preserve">. </w:t>
      </w:r>
      <w:r w:rsidR="001D1D14">
        <w:rPr>
          <w:rFonts w:ascii="Times New Roman" w:hAnsi="Times New Roman"/>
          <w:bCs/>
          <w:szCs w:val="22"/>
        </w:rPr>
        <w:t>Medziročné zvýšenie o 1 027 299 </w:t>
      </w:r>
      <w:r w:rsidR="00B357EE">
        <w:rPr>
          <w:rFonts w:ascii="Times New Roman" w:hAnsi="Times New Roman"/>
          <w:bCs/>
          <w:szCs w:val="22"/>
        </w:rPr>
        <w:t xml:space="preserve">tis. eur súvisí s detailnejším posudzovaním </w:t>
      </w:r>
      <w:r w:rsidR="000C6837">
        <w:rPr>
          <w:rFonts w:ascii="Times New Roman" w:hAnsi="Times New Roman"/>
          <w:bCs/>
          <w:szCs w:val="22"/>
        </w:rPr>
        <w:t xml:space="preserve">daňových a colných </w:t>
      </w:r>
      <w:r w:rsidR="00B357EE">
        <w:rPr>
          <w:rFonts w:ascii="Times New Roman" w:hAnsi="Times New Roman"/>
          <w:bCs/>
          <w:szCs w:val="22"/>
        </w:rPr>
        <w:t>pohľadávok a</w:t>
      </w:r>
      <w:r w:rsidR="000C6837">
        <w:rPr>
          <w:rFonts w:ascii="Times New Roman" w:hAnsi="Times New Roman"/>
          <w:bCs/>
          <w:szCs w:val="22"/>
        </w:rPr>
        <w:t xml:space="preserve"> ich </w:t>
      </w:r>
      <w:r w:rsidR="00B357EE">
        <w:rPr>
          <w:rFonts w:ascii="Times New Roman" w:hAnsi="Times New Roman"/>
          <w:bCs/>
          <w:szCs w:val="22"/>
        </w:rPr>
        <w:t>dlžníkov, ktoré sa začalo uplatňovať v účtovnom období roka 2015.</w:t>
      </w:r>
      <w:r w:rsidRPr="0072101A">
        <w:rPr>
          <w:rFonts w:ascii="Times New Roman" w:hAnsi="Times New Roman"/>
          <w:bCs/>
          <w:szCs w:val="22"/>
        </w:rPr>
        <w:t xml:space="preserve"> </w:t>
      </w:r>
    </w:p>
    <w:p w:rsidR="00ED7096" w:rsidRPr="0072101A" w:rsidP="008F6F24">
      <w:pPr>
        <w:numPr>
          <w:numId w:val="24"/>
        </w:numPr>
        <w:bidi w:val="0"/>
        <w:spacing w:before="200" w:line="336" w:lineRule="auto"/>
        <w:ind w:left="426" w:hanging="426"/>
        <w:jc w:val="both"/>
        <w:rPr>
          <w:rFonts w:ascii="Times New Roman" w:hAnsi="Times New Roman"/>
          <w:b/>
          <w:bCs/>
          <w:sz w:val="24"/>
          <w:szCs w:val="24"/>
        </w:rPr>
      </w:pPr>
      <w:r w:rsidRPr="0072101A" w:rsidR="00CD7C4F">
        <w:rPr>
          <w:rFonts w:ascii="Times New Roman" w:hAnsi="Times New Roman"/>
          <w:b/>
          <w:bCs/>
          <w:sz w:val="24"/>
          <w:szCs w:val="24"/>
        </w:rPr>
        <w:t>Ostatné náklady na prevádzkovú činnosť</w:t>
      </w:r>
    </w:p>
    <w:p w:rsidR="002A4E25" w:rsidRPr="0072101A" w:rsidP="00142D17">
      <w:pPr>
        <w:bidi w:val="0"/>
        <w:spacing w:after="120" w:line="336" w:lineRule="auto"/>
        <w:jc w:val="both"/>
        <w:rPr>
          <w:rFonts w:ascii="Times New Roman" w:hAnsi="Times New Roman"/>
          <w:bCs/>
          <w:szCs w:val="22"/>
        </w:rPr>
      </w:pPr>
      <w:r w:rsidRPr="0072101A" w:rsidR="00CF1CF8">
        <w:rPr>
          <w:rFonts w:ascii="Times New Roman" w:hAnsi="Times New Roman"/>
          <w:bCs/>
          <w:szCs w:val="22"/>
        </w:rPr>
        <w:t>Ostatné náklady na prevádzkovú činnosť</w:t>
      </w:r>
      <w:r w:rsidRPr="0072101A" w:rsidR="00F35F13">
        <w:rPr>
          <w:rFonts w:ascii="Times New Roman" w:hAnsi="Times New Roman"/>
          <w:bCs/>
          <w:szCs w:val="22"/>
        </w:rPr>
        <w:t xml:space="preserve"> bol</w:t>
      </w:r>
      <w:r w:rsidRPr="0072101A" w:rsidR="005E2A22">
        <w:rPr>
          <w:rFonts w:ascii="Times New Roman" w:hAnsi="Times New Roman"/>
          <w:bCs/>
          <w:szCs w:val="22"/>
        </w:rPr>
        <w:t>i</w:t>
      </w:r>
      <w:r w:rsidRPr="0072101A" w:rsidR="00F35F13">
        <w:rPr>
          <w:rFonts w:ascii="Times New Roman" w:hAnsi="Times New Roman"/>
          <w:bCs/>
          <w:szCs w:val="22"/>
        </w:rPr>
        <w:t xml:space="preserve"> tvoren</w:t>
      </w:r>
      <w:r w:rsidRPr="0072101A" w:rsidR="005E2A22">
        <w:rPr>
          <w:rFonts w:ascii="Times New Roman" w:hAnsi="Times New Roman"/>
          <w:bCs/>
          <w:szCs w:val="22"/>
        </w:rPr>
        <w:t>é</w:t>
      </w:r>
      <w:r w:rsidRPr="0072101A" w:rsidR="00F35F13">
        <w:rPr>
          <w:rFonts w:ascii="Times New Roman" w:hAnsi="Times New Roman"/>
          <w:bCs/>
          <w:szCs w:val="22"/>
        </w:rPr>
        <w:t xml:space="preserve"> najmä </w:t>
      </w:r>
      <w:r w:rsidRPr="0072101A" w:rsidR="00436D58">
        <w:rPr>
          <w:rFonts w:ascii="Times New Roman" w:hAnsi="Times New Roman"/>
          <w:bCs/>
          <w:szCs w:val="22"/>
          <w:u w:val="single"/>
        </w:rPr>
        <w:t>odpisom pohľadávok</w:t>
      </w:r>
      <w:r w:rsidRPr="0072101A" w:rsidR="00436D58">
        <w:rPr>
          <w:rFonts w:ascii="Times New Roman" w:hAnsi="Times New Roman"/>
          <w:bCs/>
          <w:szCs w:val="22"/>
        </w:rPr>
        <w:t xml:space="preserve"> </w:t>
      </w:r>
      <w:r w:rsidRPr="0072101A" w:rsidR="007F7E1E">
        <w:rPr>
          <w:rFonts w:ascii="Times New Roman" w:hAnsi="Times New Roman"/>
          <w:bCs/>
          <w:szCs w:val="22"/>
        </w:rPr>
        <w:t xml:space="preserve">za </w:t>
      </w:r>
      <w:r w:rsidR="00F015E5">
        <w:rPr>
          <w:rFonts w:ascii="Times New Roman" w:hAnsi="Times New Roman"/>
          <w:bCs/>
          <w:szCs w:val="22"/>
        </w:rPr>
        <w:t>375 029</w:t>
      </w:r>
      <w:r w:rsidRPr="0072101A" w:rsidR="00436D58">
        <w:rPr>
          <w:rFonts w:ascii="Times New Roman" w:hAnsi="Times New Roman"/>
          <w:bCs/>
          <w:szCs w:val="22"/>
        </w:rPr>
        <w:t xml:space="preserve"> tis. eur,</w:t>
      </w:r>
      <w:r w:rsidRPr="0072101A" w:rsidR="00436D58">
        <w:rPr>
          <w:rFonts w:ascii="Times New Roman" w:hAnsi="Times New Roman"/>
          <w:bCs/>
          <w:szCs w:val="22"/>
          <w:u w:val="single"/>
        </w:rPr>
        <w:t xml:space="preserve"> </w:t>
      </w:r>
      <w:r w:rsidRPr="0072101A" w:rsidR="00F35F13">
        <w:rPr>
          <w:rFonts w:ascii="Times New Roman" w:hAnsi="Times New Roman"/>
          <w:bCs/>
          <w:szCs w:val="22"/>
          <w:u w:val="single"/>
        </w:rPr>
        <w:t>zostatkovou cenou predaného dlhodobého majetku</w:t>
      </w:r>
      <w:r w:rsidRPr="0072101A" w:rsidR="00F35F13">
        <w:rPr>
          <w:rFonts w:ascii="Times New Roman" w:hAnsi="Times New Roman"/>
          <w:bCs/>
          <w:szCs w:val="22"/>
        </w:rPr>
        <w:t xml:space="preserve"> </w:t>
      </w:r>
      <w:r w:rsidRPr="0072101A" w:rsidR="007F7E1E">
        <w:rPr>
          <w:rFonts w:ascii="Times New Roman" w:hAnsi="Times New Roman"/>
          <w:bCs/>
          <w:szCs w:val="22"/>
        </w:rPr>
        <w:t xml:space="preserve">za </w:t>
      </w:r>
      <w:r w:rsidR="00F015E5">
        <w:rPr>
          <w:rFonts w:ascii="Times New Roman" w:hAnsi="Times New Roman"/>
          <w:bCs/>
          <w:szCs w:val="22"/>
        </w:rPr>
        <w:t>22</w:t>
      </w:r>
      <w:r w:rsidRPr="0072101A" w:rsidR="005F2385">
        <w:rPr>
          <w:rFonts w:ascii="Times New Roman" w:hAnsi="Times New Roman"/>
          <w:bCs/>
          <w:szCs w:val="22"/>
        </w:rPr>
        <w:t>8 </w:t>
      </w:r>
      <w:r w:rsidR="00F015E5">
        <w:rPr>
          <w:rFonts w:ascii="Times New Roman" w:hAnsi="Times New Roman"/>
          <w:bCs/>
          <w:szCs w:val="22"/>
        </w:rPr>
        <w:t>880</w:t>
      </w:r>
      <w:r w:rsidRPr="0072101A" w:rsidR="005F2385">
        <w:rPr>
          <w:rFonts w:ascii="Times New Roman" w:hAnsi="Times New Roman"/>
          <w:bCs/>
          <w:szCs w:val="22"/>
        </w:rPr>
        <w:t xml:space="preserve"> t</w:t>
      </w:r>
      <w:r w:rsidRPr="0072101A" w:rsidR="00F35F13">
        <w:rPr>
          <w:rFonts w:ascii="Times New Roman" w:hAnsi="Times New Roman"/>
          <w:bCs/>
          <w:szCs w:val="22"/>
        </w:rPr>
        <w:t xml:space="preserve">is. eur, </w:t>
      </w:r>
      <w:r w:rsidRPr="0072101A">
        <w:rPr>
          <w:rFonts w:ascii="Times New Roman" w:hAnsi="Times New Roman"/>
          <w:bCs/>
          <w:szCs w:val="22"/>
        </w:rPr>
        <w:t xml:space="preserve">nákladmi na </w:t>
      </w:r>
      <w:r w:rsidRPr="0072101A">
        <w:rPr>
          <w:rFonts w:ascii="Times New Roman" w:hAnsi="Times New Roman"/>
          <w:bCs/>
          <w:szCs w:val="22"/>
          <w:u w:val="single"/>
        </w:rPr>
        <w:t>pokuty a penále</w:t>
      </w:r>
      <w:r w:rsidRPr="0072101A">
        <w:rPr>
          <w:rFonts w:ascii="Times New Roman" w:hAnsi="Times New Roman"/>
          <w:bCs/>
          <w:szCs w:val="22"/>
        </w:rPr>
        <w:t xml:space="preserve"> vo výške</w:t>
      </w:r>
      <w:r w:rsidRPr="0072101A" w:rsidR="005F2385">
        <w:rPr>
          <w:rFonts w:ascii="Times New Roman" w:hAnsi="Times New Roman"/>
          <w:bCs/>
          <w:szCs w:val="22"/>
        </w:rPr>
        <w:t xml:space="preserve"> </w:t>
      </w:r>
      <w:r w:rsidR="00F015E5">
        <w:rPr>
          <w:rFonts w:ascii="Times New Roman" w:hAnsi="Times New Roman"/>
          <w:bCs/>
          <w:szCs w:val="22"/>
        </w:rPr>
        <w:t>337 140</w:t>
      </w:r>
      <w:r w:rsidRPr="0072101A">
        <w:rPr>
          <w:rFonts w:ascii="Times New Roman" w:hAnsi="Times New Roman"/>
          <w:bCs/>
          <w:szCs w:val="22"/>
        </w:rPr>
        <w:t xml:space="preserve"> tis. eur</w:t>
      </w:r>
      <w:r w:rsidRPr="0072101A" w:rsidR="00F35F13">
        <w:rPr>
          <w:rFonts w:ascii="Times New Roman" w:hAnsi="Times New Roman"/>
          <w:bCs/>
          <w:szCs w:val="22"/>
        </w:rPr>
        <w:t xml:space="preserve"> a </w:t>
      </w:r>
      <w:r w:rsidRPr="0072101A" w:rsidR="00F35F13">
        <w:rPr>
          <w:rFonts w:ascii="Times New Roman" w:hAnsi="Times New Roman"/>
          <w:bCs/>
          <w:szCs w:val="22"/>
          <w:u w:val="single"/>
        </w:rPr>
        <w:t>ostatnými nákladmi</w:t>
      </w:r>
      <w:r w:rsidRPr="0072101A" w:rsidR="00F35F13">
        <w:rPr>
          <w:rFonts w:ascii="Times New Roman" w:hAnsi="Times New Roman"/>
          <w:bCs/>
          <w:szCs w:val="22"/>
        </w:rPr>
        <w:t xml:space="preserve"> </w:t>
      </w:r>
      <w:r w:rsidRPr="0072101A" w:rsidR="00436D58">
        <w:rPr>
          <w:rFonts w:ascii="Times New Roman" w:hAnsi="Times New Roman"/>
          <w:bCs/>
          <w:szCs w:val="22"/>
        </w:rPr>
        <w:t xml:space="preserve">spolu za </w:t>
      </w:r>
      <w:r w:rsidR="00F015E5">
        <w:rPr>
          <w:rFonts w:ascii="Times New Roman" w:hAnsi="Times New Roman"/>
          <w:bCs/>
          <w:szCs w:val="22"/>
        </w:rPr>
        <w:t>2 748 958</w:t>
      </w:r>
      <w:r w:rsidRPr="0072101A" w:rsidR="004E25CC">
        <w:rPr>
          <w:rFonts w:ascii="Times New Roman" w:hAnsi="Times New Roman"/>
          <w:bCs/>
          <w:szCs w:val="22"/>
        </w:rPr>
        <w:t xml:space="preserve"> </w:t>
      </w:r>
      <w:r w:rsidRPr="0072101A" w:rsidR="00F35F13">
        <w:rPr>
          <w:rFonts w:ascii="Times New Roman" w:hAnsi="Times New Roman"/>
          <w:bCs/>
          <w:szCs w:val="22"/>
        </w:rPr>
        <w:t>tis</w:t>
      </w:r>
      <w:r w:rsidRPr="0072101A" w:rsidR="004E25CC">
        <w:rPr>
          <w:rFonts w:ascii="Times New Roman" w:hAnsi="Times New Roman"/>
          <w:bCs/>
          <w:szCs w:val="22"/>
        </w:rPr>
        <w:t>.</w:t>
      </w:r>
      <w:r w:rsidRPr="0072101A" w:rsidR="00FA531B">
        <w:rPr>
          <w:rFonts w:ascii="Times New Roman" w:hAnsi="Times New Roman"/>
          <w:bCs/>
          <w:szCs w:val="22"/>
        </w:rPr>
        <w:t xml:space="preserve"> </w:t>
      </w:r>
      <w:r w:rsidRPr="0072101A">
        <w:rPr>
          <w:rFonts w:ascii="Times New Roman" w:hAnsi="Times New Roman"/>
          <w:bCs/>
          <w:szCs w:val="22"/>
        </w:rPr>
        <w:t xml:space="preserve">eur </w:t>
      </w:r>
      <w:r w:rsidRPr="0072101A" w:rsidR="00FA531B">
        <w:rPr>
          <w:rFonts w:ascii="Times New Roman" w:hAnsi="Times New Roman"/>
          <w:bCs/>
          <w:szCs w:val="22"/>
        </w:rPr>
        <w:t>(201</w:t>
      </w:r>
      <w:r w:rsidR="00F015E5">
        <w:rPr>
          <w:rFonts w:ascii="Times New Roman" w:hAnsi="Times New Roman"/>
          <w:bCs/>
          <w:szCs w:val="22"/>
        </w:rPr>
        <w:t>4</w:t>
      </w:r>
      <w:r w:rsidRPr="0072101A" w:rsidR="00FA531B">
        <w:rPr>
          <w:rFonts w:ascii="Times New Roman" w:hAnsi="Times New Roman"/>
          <w:bCs/>
          <w:szCs w:val="22"/>
        </w:rPr>
        <w:t>:</w:t>
      </w:r>
      <w:r w:rsidRPr="0072101A" w:rsidR="00AB28E4">
        <w:rPr>
          <w:rFonts w:ascii="Times New Roman" w:hAnsi="Times New Roman"/>
          <w:bCs/>
          <w:szCs w:val="22"/>
        </w:rPr>
        <w:t xml:space="preserve"> </w:t>
      </w:r>
      <w:r w:rsidRPr="0072101A" w:rsidR="00F015E5">
        <w:rPr>
          <w:rFonts w:ascii="Times New Roman" w:hAnsi="Times New Roman"/>
          <w:bCs/>
          <w:szCs w:val="22"/>
        </w:rPr>
        <w:t>2 886 598</w:t>
      </w:r>
      <w:r w:rsidRPr="0072101A" w:rsidR="00AB28E4">
        <w:rPr>
          <w:rFonts w:ascii="Times New Roman" w:hAnsi="Times New Roman"/>
          <w:bCs/>
          <w:szCs w:val="22"/>
        </w:rPr>
        <w:t xml:space="preserve"> tis. eur</w:t>
      </w:r>
      <w:r w:rsidRPr="0072101A" w:rsidR="00FA531B">
        <w:rPr>
          <w:rFonts w:ascii="Times New Roman" w:hAnsi="Times New Roman"/>
          <w:bCs/>
          <w:szCs w:val="22"/>
        </w:rPr>
        <w:t>)</w:t>
      </w:r>
      <w:r w:rsidRPr="0072101A">
        <w:rPr>
          <w:rFonts w:ascii="Times New Roman" w:hAnsi="Times New Roman"/>
          <w:bCs/>
          <w:szCs w:val="22"/>
        </w:rPr>
        <w:t>.</w:t>
      </w:r>
    </w:p>
    <w:p w:rsidR="005334C9" w:rsidRPr="0072101A" w:rsidP="00142D17">
      <w:pPr>
        <w:bidi w:val="0"/>
        <w:spacing w:after="120" w:line="336" w:lineRule="auto"/>
        <w:jc w:val="both"/>
        <w:rPr>
          <w:rFonts w:ascii="Times New Roman" w:hAnsi="Times New Roman"/>
          <w:bCs/>
          <w:szCs w:val="22"/>
        </w:rPr>
      </w:pPr>
      <w:r w:rsidRPr="0072101A">
        <w:rPr>
          <w:rFonts w:ascii="Times New Roman" w:hAnsi="Times New Roman"/>
          <w:bCs/>
          <w:szCs w:val="22"/>
        </w:rPr>
        <w:t xml:space="preserve">Celkovo ostatné náklady na prevádzkovú činnosť medziročne </w:t>
      </w:r>
      <w:r w:rsidR="00F015E5">
        <w:rPr>
          <w:rFonts w:ascii="Times New Roman" w:hAnsi="Times New Roman"/>
          <w:bCs/>
          <w:szCs w:val="22"/>
        </w:rPr>
        <w:t>vzrástli</w:t>
      </w:r>
      <w:r w:rsidRPr="0072101A">
        <w:rPr>
          <w:rFonts w:ascii="Times New Roman" w:hAnsi="Times New Roman"/>
          <w:bCs/>
          <w:szCs w:val="22"/>
        </w:rPr>
        <w:t xml:space="preserve"> o</w:t>
      </w:r>
      <w:r w:rsidR="00F015E5">
        <w:rPr>
          <w:rFonts w:ascii="Times New Roman" w:hAnsi="Times New Roman"/>
          <w:bCs/>
          <w:szCs w:val="22"/>
        </w:rPr>
        <w:t> 92 780</w:t>
      </w:r>
      <w:r w:rsidRPr="0072101A">
        <w:rPr>
          <w:rFonts w:ascii="Times New Roman" w:hAnsi="Times New Roman"/>
          <w:bCs/>
          <w:szCs w:val="22"/>
        </w:rPr>
        <w:t xml:space="preserve"> tis. eur</w:t>
      </w:r>
      <w:r w:rsidR="00F015E5">
        <w:rPr>
          <w:rFonts w:ascii="Times New Roman" w:hAnsi="Times New Roman"/>
          <w:bCs/>
          <w:szCs w:val="22"/>
        </w:rPr>
        <w:t>.</w:t>
      </w:r>
      <w:r w:rsidRPr="0072101A" w:rsidR="00927247">
        <w:rPr>
          <w:rFonts w:ascii="Times New Roman" w:hAnsi="Times New Roman"/>
          <w:bCs/>
          <w:szCs w:val="22"/>
        </w:rPr>
        <w:t xml:space="preserve"> </w:t>
      </w:r>
    </w:p>
    <w:p w:rsidR="00DE5596" w:rsidRPr="0072101A" w:rsidP="00DE5596">
      <w:pPr>
        <w:pStyle w:val="Pismenka"/>
        <w:tabs>
          <w:tab w:val="num" w:pos="0"/>
          <w:tab w:val="clear" w:pos="426"/>
        </w:tabs>
        <w:bidi w:val="0"/>
        <w:spacing w:after="120"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rPr>
        <w:t>Najvyššie náklady sa vykazujú v kapitole Ministerstva práce, sociálnych vecí a rodiny SR na posk</w:t>
      </w:r>
      <w:r w:rsidR="00F57F53">
        <w:rPr>
          <w:rFonts w:ascii="Times New Roman" w:hAnsi="Times New Roman"/>
          <w:b w:val="0"/>
          <w:bCs w:val="0"/>
          <w:sz w:val="22"/>
          <w:szCs w:val="22"/>
        </w:rPr>
        <w:t xml:space="preserve">ytovanie príspevkov a dotácií </w:t>
      </w:r>
      <w:r w:rsidRPr="0072101A">
        <w:rPr>
          <w:rFonts w:ascii="Times New Roman" w:hAnsi="Times New Roman"/>
          <w:b w:val="0"/>
          <w:bCs w:val="0"/>
          <w:sz w:val="22"/>
          <w:szCs w:val="22"/>
        </w:rPr>
        <w:t>(</w:t>
      </w:r>
      <w:r w:rsidRPr="0072101A" w:rsidR="00777A82">
        <w:rPr>
          <w:rFonts w:ascii="Times New Roman" w:hAnsi="Times New Roman"/>
          <w:b w:val="0"/>
          <w:bCs w:val="0"/>
          <w:sz w:val="22"/>
          <w:szCs w:val="22"/>
        </w:rPr>
        <w:t>1 </w:t>
      </w:r>
      <w:r w:rsidR="00F57F53">
        <w:rPr>
          <w:rFonts w:ascii="Times New Roman" w:hAnsi="Times New Roman"/>
          <w:b w:val="0"/>
          <w:bCs w:val="0"/>
          <w:sz w:val="22"/>
          <w:szCs w:val="22"/>
        </w:rPr>
        <w:t>190 024</w:t>
      </w:r>
      <w:r w:rsidRPr="0072101A">
        <w:rPr>
          <w:rFonts w:ascii="Times New Roman" w:hAnsi="Times New Roman"/>
          <w:b w:val="0"/>
          <w:bCs w:val="0"/>
          <w:sz w:val="22"/>
          <w:szCs w:val="22"/>
        </w:rPr>
        <w:t xml:space="preserve"> tis. eur). Tipos, </w:t>
      </w:r>
      <w:r w:rsidRPr="0072101A" w:rsidR="00DC5090">
        <w:rPr>
          <w:rFonts w:ascii="Times New Roman" w:hAnsi="Times New Roman"/>
          <w:b w:val="0"/>
          <w:bCs w:val="0"/>
          <w:sz w:val="22"/>
          <w:szCs w:val="22"/>
        </w:rPr>
        <w:t>a.s.</w:t>
      </w:r>
      <w:r w:rsidRPr="0072101A">
        <w:rPr>
          <w:rFonts w:ascii="Times New Roman" w:hAnsi="Times New Roman"/>
          <w:b w:val="0"/>
          <w:bCs w:val="0"/>
          <w:sz w:val="22"/>
          <w:szCs w:val="22"/>
        </w:rPr>
        <w:t xml:space="preserve"> vykazuje náklady na správne poplatky za udelené licencie na okamžité lotérie (</w:t>
      </w:r>
      <w:r w:rsidR="00F57F53">
        <w:rPr>
          <w:rFonts w:ascii="Times New Roman" w:hAnsi="Times New Roman"/>
          <w:b w:val="0"/>
          <w:bCs w:val="0"/>
          <w:sz w:val="22"/>
          <w:szCs w:val="22"/>
        </w:rPr>
        <w:t>322 907</w:t>
      </w:r>
      <w:r w:rsidRPr="0072101A">
        <w:rPr>
          <w:rFonts w:ascii="Times New Roman" w:hAnsi="Times New Roman"/>
          <w:b w:val="0"/>
          <w:bCs w:val="0"/>
          <w:sz w:val="22"/>
          <w:szCs w:val="22"/>
        </w:rPr>
        <w:t> tis. eur), Vojenský úrad sociálneho zabezpečenia pod kapitolou Ministerstva obrany SR vykazuj</w:t>
      </w:r>
      <w:r w:rsidRPr="0072101A" w:rsidR="00777A82">
        <w:rPr>
          <w:rFonts w:ascii="Times New Roman" w:hAnsi="Times New Roman"/>
          <w:b w:val="0"/>
          <w:bCs w:val="0"/>
          <w:sz w:val="22"/>
          <w:szCs w:val="22"/>
        </w:rPr>
        <w:t>e</w:t>
      </w:r>
      <w:r w:rsidRPr="0072101A">
        <w:rPr>
          <w:rFonts w:ascii="Times New Roman" w:hAnsi="Times New Roman"/>
          <w:b w:val="0"/>
          <w:bCs w:val="0"/>
          <w:sz w:val="22"/>
          <w:szCs w:val="22"/>
        </w:rPr>
        <w:t> náklady na úhradu dávok čerpaných z osobitného účtu sociálneho zabezpečenia</w:t>
      </w:r>
      <w:r w:rsidRPr="0072101A">
        <w:rPr>
          <w:rFonts w:ascii="Times New Roman" w:hAnsi="Times New Roman"/>
          <w:bCs w:val="0"/>
          <w:sz w:val="22"/>
          <w:szCs w:val="22"/>
        </w:rPr>
        <w:t xml:space="preserve"> </w:t>
      </w:r>
      <w:r w:rsidRPr="0072101A">
        <w:rPr>
          <w:rFonts w:ascii="Times New Roman" w:hAnsi="Times New Roman"/>
          <w:b w:val="0"/>
          <w:bCs w:val="0"/>
          <w:sz w:val="22"/>
          <w:szCs w:val="22"/>
        </w:rPr>
        <w:t>vojakov a policajtov (</w:t>
      </w:r>
      <w:r w:rsidRPr="0072101A" w:rsidR="00777A82">
        <w:rPr>
          <w:rFonts w:ascii="Times New Roman" w:hAnsi="Times New Roman"/>
          <w:b w:val="0"/>
          <w:bCs w:val="0"/>
          <w:sz w:val="22"/>
          <w:szCs w:val="22"/>
        </w:rPr>
        <w:t>1</w:t>
      </w:r>
      <w:r w:rsidR="00F57F53">
        <w:rPr>
          <w:rFonts w:ascii="Times New Roman" w:hAnsi="Times New Roman"/>
          <w:b w:val="0"/>
          <w:bCs w:val="0"/>
          <w:sz w:val="22"/>
          <w:szCs w:val="22"/>
        </w:rPr>
        <w:t>63 249</w:t>
      </w:r>
      <w:r w:rsidRPr="0072101A">
        <w:rPr>
          <w:rFonts w:ascii="Times New Roman" w:hAnsi="Times New Roman"/>
          <w:b w:val="0"/>
          <w:bCs w:val="0"/>
          <w:sz w:val="22"/>
          <w:szCs w:val="22"/>
        </w:rPr>
        <w:t> </w:t>
      </w:r>
      <w:r w:rsidRPr="0072101A" w:rsidR="00652746">
        <w:rPr>
          <w:rFonts w:ascii="Times New Roman" w:hAnsi="Times New Roman"/>
          <w:b w:val="0"/>
          <w:bCs w:val="0"/>
          <w:sz w:val="22"/>
          <w:szCs w:val="22"/>
        </w:rPr>
        <w:t>tis.</w:t>
      </w:r>
      <w:r w:rsidRPr="0072101A">
        <w:rPr>
          <w:rFonts w:ascii="Times New Roman" w:hAnsi="Times New Roman"/>
          <w:b w:val="0"/>
          <w:bCs w:val="0"/>
          <w:sz w:val="22"/>
          <w:szCs w:val="22"/>
        </w:rPr>
        <w:t xml:space="preserve"> eur). </w:t>
      </w:r>
    </w:p>
    <w:p w:rsidR="003A2461" w:rsidP="003A2461">
      <w:pPr>
        <w:pStyle w:val="Pismenka"/>
        <w:tabs>
          <w:tab w:val="num" w:pos="0"/>
          <w:tab w:val="clear" w:pos="426"/>
        </w:tabs>
        <w:bidi w:val="0"/>
        <w:spacing w:after="120" w:line="336" w:lineRule="auto"/>
        <w:ind w:left="0" w:firstLine="0"/>
        <w:rPr>
          <w:rFonts w:ascii="Times New Roman" w:hAnsi="Times New Roman"/>
          <w:b w:val="0"/>
          <w:bCs w:val="0"/>
          <w:sz w:val="22"/>
          <w:szCs w:val="22"/>
        </w:rPr>
      </w:pPr>
      <w:r w:rsidRPr="0072101A" w:rsidR="00C1471F">
        <w:rPr>
          <w:rFonts w:ascii="Times New Roman" w:hAnsi="Times New Roman"/>
          <w:b w:val="0"/>
          <w:bCs w:val="0"/>
          <w:sz w:val="22"/>
          <w:szCs w:val="22"/>
          <w:u w:val="single"/>
        </w:rPr>
        <w:t>Na nákladoch z odpisu pohľadávok</w:t>
      </w:r>
      <w:r w:rsidRPr="0072101A" w:rsidR="00C1471F">
        <w:rPr>
          <w:rFonts w:ascii="Times New Roman" w:hAnsi="Times New Roman"/>
          <w:b w:val="0"/>
          <w:bCs w:val="0"/>
          <w:sz w:val="22"/>
          <w:szCs w:val="22"/>
        </w:rPr>
        <w:t xml:space="preserve"> sa v rozhodujúcej miere podieľa Ministers</w:t>
      </w:r>
      <w:r w:rsidRPr="0072101A" w:rsidR="001B5FC5">
        <w:rPr>
          <w:rFonts w:ascii="Times New Roman" w:hAnsi="Times New Roman"/>
          <w:b w:val="0"/>
          <w:bCs w:val="0"/>
          <w:sz w:val="22"/>
          <w:szCs w:val="22"/>
        </w:rPr>
        <w:t xml:space="preserve">tvo financií SR hodnotou </w:t>
      </w:r>
      <w:r w:rsidR="0037315B">
        <w:rPr>
          <w:rFonts w:ascii="Times New Roman" w:hAnsi="Times New Roman"/>
          <w:b w:val="0"/>
          <w:bCs w:val="0"/>
          <w:sz w:val="22"/>
          <w:szCs w:val="22"/>
        </w:rPr>
        <w:t xml:space="preserve">217 285 </w:t>
      </w:r>
      <w:r w:rsidRPr="0072101A" w:rsidR="001B5FC5">
        <w:rPr>
          <w:rFonts w:ascii="Times New Roman" w:hAnsi="Times New Roman"/>
          <w:b w:val="0"/>
          <w:bCs w:val="0"/>
          <w:sz w:val="22"/>
          <w:szCs w:val="22"/>
        </w:rPr>
        <w:t>tis. eur</w:t>
      </w:r>
      <w:r w:rsidRPr="0072101A" w:rsidR="00C1471F">
        <w:rPr>
          <w:rFonts w:ascii="Times New Roman" w:hAnsi="Times New Roman"/>
          <w:b w:val="0"/>
          <w:bCs w:val="0"/>
          <w:sz w:val="22"/>
          <w:szCs w:val="22"/>
        </w:rPr>
        <w:t xml:space="preserve"> (201</w:t>
      </w:r>
      <w:r w:rsidR="000722CB">
        <w:rPr>
          <w:rFonts w:ascii="Times New Roman" w:hAnsi="Times New Roman"/>
          <w:b w:val="0"/>
          <w:bCs w:val="0"/>
          <w:sz w:val="22"/>
          <w:szCs w:val="22"/>
        </w:rPr>
        <w:t>4</w:t>
      </w:r>
      <w:r w:rsidRPr="0072101A" w:rsidR="00C1471F">
        <w:rPr>
          <w:rFonts w:ascii="Times New Roman" w:hAnsi="Times New Roman"/>
          <w:b w:val="0"/>
          <w:bCs w:val="0"/>
          <w:sz w:val="22"/>
          <w:szCs w:val="22"/>
        </w:rPr>
        <w:t xml:space="preserve">: </w:t>
      </w:r>
      <w:r w:rsidRPr="0072101A" w:rsidR="0037315B">
        <w:rPr>
          <w:rFonts w:ascii="Times New Roman" w:hAnsi="Times New Roman"/>
          <w:b w:val="0"/>
          <w:bCs w:val="0"/>
          <w:sz w:val="22"/>
          <w:szCs w:val="22"/>
        </w:rPr>
        <w:t>232</w:t>
      </w:r>
      <w:r w:rsidR="0037315B">
        <w:rPr>
          <w:rFonts w:ascii="Times New Roman" w:hAnsi="Times New Roman"/>
          <w:b w:val="0"/>
          <w:bCs w:val="0"/>
          <w:sz w:val="22"/>
          <w:szCs w:val="22"/>
        </w:rPr>
        <w:t> </w:t>
      </w:r>
      <w:r w:rsidRPr="0072101A" w:rsidR="0037315B">
        <w:rPr>
          <w:rFonts w:ascii="Times New Roman" w:hAnsi="Times New Roman"/>
          <w:b w:val="0"/>
          <w:bCs w:val="0"/>
          <w:sz w:val="22"/>
          <w:szCs w:val="22"/>
        </w:rPr>
        <w:t>575 </w:t>
      </w:r>
      <w:r w:rsidRPr="0072101A" w:rsidR="001B5FC5">
        <w:rPr>
          <w:rFonts w:ascii="Times New Roman" w:hAnsi="Times New Roman"/>
          <w:b w:val="0"/>
          <w:bCs w:val="0"/>
          <w:sz w:val="22"/>
          <w:szCs w:val="22"/>
        </w:rPr>
        <w:t>tis.</w:t>
      </w:r>
      <w:r w:rsidRPr="0072101A" w:rsidR="00C1471F">
        <w:rPr>
          <w:rFonts w:ascii="Times New Roman" w:hAnsi="Times New Roman"/>
          <w:b w:val="0"/>
          <w:bCs w:val="0"/>
          <w:sz w:val="22"/>
          <w:szCs w:val="22"/>
        </w:rPr>
        <w:t xml:space="preserve"> eur), pričom išlo o odpis nedobytných finančných výpomocí a daňových a colných pohľadávok.</w:t>
      </w:r>
      <w:r w:rsidRPr="0072101A">
        <w:rPr>
          <w:rFonts w:ascii="Times New Roman" w:hAnsi="Times New Roman"/>
          <w:b w:val="0"/>
          <w:bCs w:val="0"/>
          <w:sz w:val="22"/>
          <w:szCs w:val="22"/>
        </w:rPr>
        <w:t xml:space="preserve"> </w:t>
      </w:r>
    </w:p>
    <w:p w:rsidR="00DA580C" w:rsidRPr="0072101A" w:rsidP="003A2461">
      <w:pPr>
        <w:pStyle w:val="Pismenka"/>
        <w:tabs>
          <w:tab w:val="num" w:pos="0"/>
          <w:tab w:val="clear" w:pos="426"/>
        </w:tabs>
        <w:bidi w:val="0"/>
        <w:spacing w:after="120" w:line="336" w:lineRule="auto"/>
        <w:ind w:left="0" w:firstLine="0"/>
        <w:rPr>
          <w:rFonts w:ascii="Times New Roman" w:hAnsi="Times New Roman"/>
          <w:b w:val="0"/>
          <w:bCs w:val="0"/>
          <w:sz w:val="22"/>
          <w:szCs w:val="22"/>
        </w:rPr>
      </w:pPr>
      <w:r>
        <w:rPr>
          <w:rFonts w:ascii="Times New Roman" w:hAnsi="Times New Roman"/>
          <w:b w:val="0"/>
          <w:bCs w:val="0"/>
          <w:sz w:val="22"/>
          <w:szCs w:val="22"/>
        </w:rPr>
        <w:t>Náklady na pokuty a penále medziročne vzrástli o 250 065 tis. eur a to najmä v ústrednej správe z dôvodu nezrovnalostí pri nakladaní s prostriedkami EÚ, ktoré Certifikačný orgán</w:t>
      </w:r>
      <w:r w:rsidR="004819A4">
        <w:rPr>
          <w:rFonts w:ascii="Times New Roman" w:hAnsi="Times New Roman"/>
          <w:b w:val="0"/>
          <w:bCs w:val="0"/>
          <w:sz w:val="22"/>
          <w:szCs w:val="22"/>
        </w:rPr>
        <w:t xml:space="preserve"> v mene EÚ</w:t>
      </w:r>
      <w:r>
        <w:rPr>
          <w:rFonts w:ascii="Times New Roman" w:hAnsi="Times New Roman"/>
          <w:b w:val="0"/>
          <w:bCs w:val="0"/>
          <w:sz w:val="22"/>
          <w:szCs w:val="22"/>
        </w:rPr>
        <w:t xml:space="preserve"> žiada vrátiť od platobných jednotiek niektorých ústredných orgánov štát</w:t>
      </w:r>
      <w:r w:rsidR="004819A4">
        <w:rPr>
          <w:rFonts w:ascii="Times New Roman" w:hAnsi="Times New Roman"/>
          <w:b w:val="0"/>
          <w:bCs w:val="0"/>
          <w:sz w:val="22"/>
          <w:szCs w:val="22"/>
        </w:rPr>
        <w:t>nej správy</w:t>
      </w:r>
      <w:r>
        <w:rPr>
          <w:rFonts w:ascii="Times New Roman" w:hAnsi="Times New Roman"/>
          <w:b w:val="0"/>
          <w:bCs w:val="0"/>
          <w:sz w:val="22"/>
          <w:szCs w:val="22"/>
        </w:rPr>
        <w:t>.</w:t>
      </w:r>
      <w:r w:rsidR="004819A4">
        <w:rPr>
          <w:rFonts w:ascii="Times New Roman" w:hAnsi="Times New Roman"/>
          <w:b w:val="0"/>
          <w:bCs w:val="0"/>
          <w:sz w:val="22"/>
          <w:szCs w:val="22"/>
        </w:rPr>
        <w:t xml:space="preserve">  </w:t>
      </w:r>
      <w:r>
        <w:rPr>
          <w:rFonts w:ascii="Times New Roman" w:hAnsi="Times New Roman"/>
          <w:b w:val="0"/>
          <w:bCs w:val="0"/>
          <w:sz w:val="22"/>
          <w:szCs w:val="22"/>
        </w:rPr>
        <w:t xml:space="preserve"> </w:t>
      </w:r>
    </w:p>
    <w:p w:rsidR="00F81816">
      <w:pPr>
        <w:bidi w:val="0"/>
        <w:spacing w:after="0" w:line="240" w:lineRule="auto"/>
        <w:rPr>
          <w:rFonts w:ascii="Times New Roman" w:hAnsi="Times New Roman"/>
          <w:b/>
          <w:bCs/>
          <w:sz w:val="24"/>
          <w:szCs w:val="24"/>
        </w:rPr>
      </w:pPr>
      <w:r>
        <w:rPr>
          <w:rFonts w:ascii="Times New Roman" w:hAnsi="Times New Roman"/>
          <w:b/>
          <w:bCs/>
          <w:sz w:val="24"/>
          <w:szCs w:val="24"/>
        </w:rPr>
        <w:br w:type="page"/>
      </w:r>
    </w:p>
    <w:p w:rsidR="00CE3C4C" w:rsidRPr="0072101A" w:rsidP="008F6F24">
      <w:pPr>
        <w:numPr>
          <w:numId w:val="24"/>
        </w:numPr>
        <w:bidi w:val="0"/>
        <w:spacing w:before="200" w:line="336" w:lineRule="auto"/>
        <w:ind w:left="426" w:hanging="426"/>
        <w:jc w:val="both"/>
        <w:rPr>
          <w:rFonts w:ascii="Times New Roman" w:hAnsi="Times New Roman"/>
          <w:b/>
          <w:bCs/>
          <w:sz w:val="24"/>
          <w:szCs w:val="24"/>
        </w:rPr>
      </w:pPr>
      <w:r w:rsidRPr="0072101A">
        <w:rPr>
          <w:rFonts w:ascii="Times New Roman" w:hAnsi="Times New Roman"/>
          <w:b/>
          <w:bCs/>
          <w:sz w:val="24"/>
          <w:szCs w:val="24"/>
        </w:rPr>
        <w:t>Finančné náklady</w:t>
      </w:r>
    </w:p>
    <w:p w:rsidR="003E3B8E" w:rsidRPr="0072101A" w:rsidP="003E3B8E">
      <w:pPr>
        <w:bidi w:val="0"/>
        <w:spacing w:after="120" w:line="336" w:lineRule="auto"/>
        <w:jc w:val="both"/>
        <w:rPr>
          <w:rFonts w:ascii="Times New Roman" w:hAnsi="Times New Roman"/>
          <w:bCs/>
          <w:szCs w:val="22"/>
        </w:rPr>
      </w:pPr>
      <w:r w:rsidRPr="0072101A" w:rsidR="00D8455D">
        <w:rPr>
          <w:rFonts w:ascii="Times New Roman" w:hAnsi="Times New Roman"/>
          <w:bCs/>
          <w:szCs w:val="22"/>
        </w:rPr>
        <w:t>Finančné náklady k 31.12.201</w:t>
      </w:r>
      <w:r w:rsidR="00113589">
        <w:rPr>
          <w:rFonts w:ascii="Times New Roman" w:hAnsi="Times New Roman"/>
          <w:bCs/>
          <w:szCs w:val="22"/>
        </w:rPr>
        <w:t>5</w:t>
      </w:r>
      <w:r w:rsidRPr="0072101A" w:rsidR="0024355C">
        <w:rPr>
          <w:rFonts w:ascii="Times New Roman" w:hAnsi="Times New Roman"/>
          <w:bCs/>
          <w:szCs w:val="22"/>
        </w:rPr>
        <w:t xml:space="preserve"> dosiahli hodnotu </w:t>
      </w:r>
      <w:r w:rsidR="00113589">
        <w:rPr>
          <w:rFonts w:ascii="Times New Roman" w:hAnsi="Times New Roman"/>
          <w:bCs/>
          <w:szCs w:val="22"/>
        </w:rPr>
        <w:t xml:space="preserve">2 286 536 </w:t>
      </w:r>
      <w:r w:rsidRPr="0072101A" w:rsidR="0024355C">
        <w:rPr>
          <w:rFonts w:ascii="Times New Roman" w:hAnsi="Times New Roman"/>
          <w:bCs/>
          <w:szCs w:val="22"/>
        </w:rPr>
        <w:t>tis. eur</w:t>
      </w:r>
      <w:r w:rsidR="00113589">
        <w:rPr>
          <w:rFonts w:ascii="Times New Roman" w:hAnsi="Times New Roman"/>
          <w:bCs/>
          <w:szCs w:val="22"/>
        </w:rPr>
        <w:t xml:space="preserve"> a </w:t>
      </w:r>
      <w:r w:rsidR="001D1D14">
        <w:rPr>
          <w:rFonts w:ascii="Times New Roman" w:hAnsi="Times New Roman"/>
          <w:bCs/>
          <w:szCs w:val="22"/>
        </w:rPr>
        <w:t>medziročne sa zvýšili o 152 364 </w:t>
      </w:r>
      <w:r w:rsidR="00113589">
        <w:rPr>
          <w:rFonts w:ascii="Times New Roman" w:hAnsi="Times New Roman"/>
          <w:bCs/>
          <w:szCs w:val="22"/>
        </w:rPr>
        <w:t>tis. eur</w:t>
      </w:r>
      <w:r w:rsidRPr="0072101A" w:rsidR="0024355C">
        <w:rPr>
          <w:rFonts w:ascii="Times New Roman" w:hAnsi="Times New Roman"/>
          <w:bCs/>
          <w:szCs w:val="22"/>
        </w:rPr>
        <w:t xml:space="preserve">. Takmer celú hodnotu tvorili </w:t>
      </w:r>
      <w:r w:rsidRPr="0072101A" w:rsidR="0024355C">
        <w:rPr>
          <w:rFonts w:ascii="Times New Roman" w:hAnsi="Times New Roman"/>
          <w:bCs/>
          <w:szCs w:val="22"/>
          <w:u w:val="single"/>
        </w:rPr>
        <w:t>náklady na úroky</w:t>
      </w:r>
      <w:r w:rsidRPr="0072101A" w:rsidR="0024355C">
        <w:rPr>
          <w:rFonts w:ascii="Times New Roman" w:hAnsi="Times New Roman"/>
          <w:bCs/>
          <w:szCs w:val="22"/>
        </w:rPr>
        <w:t xml:space="preserve"> </w:t>
      </w:r>
      <w:r w:rsidR="002D6887">
        <w:rPr>
          <w:rFonts w:ascii="Times New Roman" w:hAnsi="Times New Roman"/>
          <w:bCs/>
          <w:szCs w:val="22"/>
        </w:rPr>
        <w:t xml:space="preserve">vo výške </w:t>
      </w:r>
      <w:r w:rsidRPr="0072101A" w:rsidR="00C93CEE">
        <w:rPr>
          <w:rFonts w:ascii="Times New Roman" w:hAnsi="Times New Roman"/>
          <w:bCs/>
          <w:szCs w:val="22"/>
        </w:rPr>
        <w:t>1</w:t>
      </w:r>
      <w:r w:rsidR="00113589">
        <w:rPr>
          <w:rFonts w:ascii="Times New Roman" w:hAnsi="Times New Roman"/>
          <w:bCs/>
          <w:szCs w:val="22"/>
        </w:rPr>
        <w:t> </w:t>
      </w:r>
      <w:r w:rsidRPr="0072101A" w:rsidR="00C93CEE">
        <w:rPr>
          <w:rFonts w:ascii="Times New Roman" w:hAnsi="Times New Roman"/>
          <w:bCs/>
          <w:szCs w:val="22"/>
        </w:rPr>
        <w:t>6</w:t>
      </w:r>
      <w:r w:rsidR="00113589">
        <w:rPr>
          <w:rFonts w:ascii="Times New Roman" w:hAnsi="Times New Roman"/>
          <w:bCs/>
          <w:szCs w:val="22"/>
        </w:rPr>
        <w:t>54 766</w:t>
      </w:r>
      <w:r w:rsidRPr="0072101A" w:rsidR="00C93CEE">
        <w:rPr>
          <w:rFonts w:ascii="Times New Roman" w:hAnsi="Times New Roman"/>
          <w:bCs/>
          <w:szCs w:val="22"/>
        </w:rPr>
        <w:t xml:space="preserve"> </w:t>
      </w:r>
      <w:r w:rsidRPr="0072101A" w:rsidR="0024355C">
        <w:rPr>
          <w:rFonts w:ascii="Times New Roman" w:hAnsi="Times New Roman"/>
          <w:bCs/>
          <w:szCs w:val="22"/>
        </w:rPr>
        <w:t>tis. eur</w:t>
      </w:r>
      <w:r w:rsidRPr="0072101A" w:rsidR="00C34857">
        <w:rPr>
          <w:rFonts w:ascii="Times New Roman" w:hAnsi="Times New Roman"/>
          <w:bCs/>
          <w:szCs w:val="22"/>
        </w:rPr>
        <w:t xml:space="preserve"> (201</w:t>
      </w:r>
      <w:r w:rsidR="00113589">
        <w:rPr>
          <w:rFonts w:ascii="Times New Roman" w:hAnsi="Times New Roman"/>
          <w:bCs/>
          <w:szCs w:val="22"/>
        </w:rPr>
        <w:t>4</w:t>
      </w:r>
      <w:r w:rsidRPr="0072101A" w:rsidR="00C34857">
        <w:rPr>
          <w:rFonts w:ascii="Times New Roman" w:hAnsi="Times New Roman"/>
          <w:bCs/>
          <w:szCs w:val="22"/>
        </w:rPr>
        <w:t>:</w:t>
      </w:r>
      <w:r w:rsidRPr="0072101A" w:rsidR="00925E91">
        <w:rPr>
          <w:rFonts w:ascii="Times New Roman" w:hAnsi="Times New Roman"/>
          <w:bCs/>
          <w:szCs w:val="22"/>
        </w:rPr>
        <w:t xml:space="preserve"> </w:t>
      </w:r>
      <w:r w:rsidRPr="0072101A" w:rsidR="00C93CEE">
        <w:rPr>
          <w:rFonts w:ascii="Times New Roman" w:hAnsi="Times New Roman"/>
          <w:bCs/>
          <w:szCs w:val="22"/>
        </w:rPr>
        <w:t>1</w:t>
      </w:r>
      <w:r w:rsidR="00113589">
        <w:rPr>
          <w:rFonts w:ascii="Times New Roman" w:hAnsi="Times New Roman"/>
          <w:bCs/>
          <w:szCs w:val="22"/>
        </w:rPr>
        <w:t> 601 652</w:t>
      </w:r>
      <w:r w:rsidRPr="0072101A" w:rsidR="00D8455D">
        <w:rPr>
          <w:rFonts w:ascii="Times New Roman" w:hAnsi="Times New Roman"/>
          <w:bCs/>
          <w:szCs w:val="22"/>
        </w:rPr>
        <w:t xml:space="preserve"> </w:t>
      </w:r>
      <w:r w:rsidRPr="0072101A" w:rsidR="00925E91">
        <w:rPr>
          <w:rFonts w:ascii="Times New Roman" w:hAnsi="Times New Roman"/>
          <w:bCs/>
          <w:szCs w:val="22"/>
        </w:rPr>
        <w:t>tis. eur</w:t>
      </w:r>
      <w:r w:rsidRPr="0072101A" w:rsidR="00C34857">
        <w:rPr>
          <w:rFonts w:ascii="Times New Roman" w:hAnsi="Times New Roman"/>
          <w:bCs/>
          <w:szCs w:val="22"/>
        </w:rPr>
        <w:t>)</w:t>
      </w:r>
      <w:r w:rsidRPr="0072101A">
        <w:rPr>
          <w:rFonts w:ascii="Times New Roman" w:hAnsi="Times New Roman"/>
          <w:bCs/>
          <w:szCs w:val="22"/>
        </w:rPr>
        <w:t xml:space="preserve">, a to </w:t>
      </w:r>
      <w:r w:rsidRPr="0072101A" w:rsidR="0024355C">
        <w:rPr>
          <w:rFonts w:ascii="Times New Roman" w:hAnsi="Times New Roman"/>
          <w:bCs/>
          <w:szCs w:val="22"/>
        </w:rPr>
        <w:t>najmä z emitovaných štátnych dlhových cenných papierov a čerpaných úverov Ministerstvom financií SR</w:t>
      </w:r>
      <w:r w:rsidR="009C0D4E">
        <w:rPr>
          <w:rFonts w:ascii="Times New Roman" w:hAnsi="Times New Roman"/>
          <w:bCs/>
          <w:szCs w:val="22"/>
        </w:rPr>
        <w:t xml:space="preserve"> </w:t>
      </w:r>
      <w:r w:rsidRPr="0072101A" w:rsidR="00D8455D">
        <w:rPr>
          <w:rFonts w:ascii="Times New Roman" w:hAnsi="Times New Roman"/>
          <w:bCs/>
          <w:szCs w:val="22"/>
        </w:rPr>
        <w:t>(</w:t>
      </w:r>
      <w:r w:rsidRPr="009C0D4E" w:rsidR="00D8455D">
        <w:rPr>
          <w:rFonts w:ascii="Times New Roman" w:hAnsi="Times New Roman"/>
          <w:bCs/>
          <w:szCs w:val="22"/>
        </w:rPr>
        <w:t xml:space="preserve">spolu </w:t>
      </w:r>
      <w:r w:rsidRPr="009C0D4E" w:rsidR="00C93CEE">
        <w:rPr>
          <w:rFonts w:ascii="Times New Roman" w:hAnsi="Times New Roman"/>
          <w:bCs/>
          <w:szCs w:val="22"/>
        </w:rPr>
        <w:t>1 </w:t>
      </w:r>
      <w:r w:rsidRPr="009C0D4E" w:rsidR="009C0D4E">
        <w:rPr>
          <w:rFonts w:ascii="Times New Roman" w:hAnsi="Times New Roman"/>
          <w:bCs/>
          <w:szCs w:val="22"/>
        </w:rPr>
        <w:t>312</w:t>
      </w:r>
      <w:r w:rsidR="00DD1602">
        <w:rPr>
          <w:rFonts w:ascii="Times New Roman" w:hAnsi="Times New Roman"/>
          <w:bCs/>
          <w:szCs w:val="22"/>
        </w:rPr>
        <w:t xml:space="preserve"> 000 </w:t>
      </w:r>
      <w:r w:rsidRPr="0072101A" w:rsidR="00D8455D">
        <w:rPr>
          <w:rFonts w:ascii="Times New Roman" w:hAnsi="Times New Roman"/>
          <w:bCs/>
          <w:szCs w:val="22"/>
        </w:rPr>
        <w:t>tis. eur).</w:t>
      </w:r>
    </w:p>
    <w:p w:rsidR="00C93CEE" w:rsidRPr="0072101A" w:rsidP="00A427D3">
      <w:pPr>
        <w:bidi w:val="0"/>
        <w:spacing w:after="0" w:line="336" w:lineRule="auto"/>
        <w:jc w:val="both"/>
        <w:rPr>
          <w:rFonts w:ascii="Times New Roman" w:hAnsi="Times New Roman"/>
          <w:bCs/>
          <w:szCs w:val="22"/>
        </w:rPr>
      </w:pPr>
      <w:r w:rsidRPr="0072101A" w:rsidR="0024355C">
        <w:rPr>
          <w:rFonts w:ascii="Times New Roman" w:hAnsi="Times New Roman"/>
          <w:bCs/>
          <w:szCs w:val="22"/>
          <w:u w:val="single"/>
        </w:rPr>
        <w:t xml:space="preserve">Kurzové </w:t>
      </w:r>
      <w:r w:rsidRPr="0072101A" w:rsidR="004E274F">
        <w:rPr>
          <w:rFonts w:ascii="Times New Roman" w:hAnsi="Times New Roman"/>
          <w:bCs/>
          <w:szCs w:val="22"/>
          <w:u w:val="single"/>
        </w:rPr>
        <w:t>náklady</w:t>
      </w:r>
      <w:r w:rsidRPr="0072101A" w:rsidR="0024355C">
        <w:rPr>
          <w:rFonts w:ascii="Times New Roman" w:hAnsi="Times New Roman"/>
          <w:bCs/>
          <w:szCs w:val="22"/>
        </w:rPr>
        <w:t xml:space="preserve"> dosiahli </w:t>
      </w:r>
      <w:r w:rsidR="009C0D4E">
        <w:rPr>
          <w:rFonts w:ascii="Times New Roman" w:hAnsi="Times New Roman"/>
          <w:bCs/>
          <w:szCs w:val="22"/>
        </w:rPr>
        <w:t>374 754</w:t>
      </w:r>
      <w:r w:rsidRPr="0072101A" w:rsidR="0024355C">
        <w:rPr>
          <w:rFonts w:ascii="Times New Roman" w:hAnsi="Times New Roman"/>
          <w:bCs/>
          <w:szCs w:val="22"/>
        </w:rPr>
        <w:t xml:space="preserve"> tis. eur</w:t>
      </w:r>
      <w:r w:rsidRPr="0072101A">
        <w:rPr>
          <w:rFonts w:ascii="Times New Roman" w:hAnsi="Times New Roman"/>
          <w:bCs/>
          <w:szCs w:val="22"/>
        </w:rPr>
        <w:t xml:space="preserve"> a medziročne boli vyššie o</w:t>
      </w:r>
      <w:r w:rsidR="009C0D4E">
        <w:rPr>
          <w:rFonts w:ascii="Times New Roman" w:hAnsi="Times New Roman"/>
          <w:bCs/>
          <w:szCs w:val="22"/>
        </w:rPr>
        <w:t> 18 543</w:t>
      </w:r>
      <w:r w:rsidRPr="0072101A">
        <w:rPr>
          <w:rFonts w:ascii="Times New Roman" w:hAnsi="Times New Roman"/>
          <w:bCs/>
          <w:szCs w:val="22"/>
        </w:rPr>
        <w:t xml:space="preserve"> tis. eur</w:t>
      </w:r>
      <w:r w:rsidR="009C0D4E">
        <w:rPr>
          <w:rFonts w:ascii="Times New Roman" w:hAnsi="Times New Roman"/>
          <w:bCs/>
          <w:szCs w:val="22"/>
        </w:rPr>
        <w:t>. Najvyššiu sumu vykazuje Ministerstvo financií SR 364 938 tis. eur a Štátna pokladnica 5 224 tis. eur.</w:t>
      </w:r>
    </w:p>
    <w:p w:rsidR="00C93CEE" w:rsidRPr="0072101A" w:rsidP="00C93CEE">
      <w:pPr>
        <w:bidi w:val="0"/>
        <w:spacing w:before="120" w:after="0" w:line="336" w:lineRule="auto"/>
        <w:jc w:val="both"/>
        <w:rPr>
          <w:rFonts w:ascii="Times New Roman" w:hAnsi="Times New Roman"/>
          <w:bCs/>
          <w:szCs w:val="22"/>
        </w:rPr>
      </w:pPr>
      <w:r w:rsidR="00F30DF5">
        <w:rPr>
          <w:rFonts w:ascii="Times New Roman" w:hAnsi="Times New Roman"/>
          <w:bCs/>
          <w:szCs w:val="22"/>
          <w:u w:val="single"/>
        </w:rPr>
        <w:t>N</w:t>
      </w:r>
      <w:r w:rsidRPr="0072101A" w:rsidR="000313A1">
        <w:rPr>
          <w:rFonts w:ascii="Times New Roman" w:hAnsi="Times New Roman"/>
          <w:bCs/>
          <w:szCs w:val="22"/>
          <w:u w:val="single"/>
        </w:rPr>
        <w:t xml:space="preserve">áklady na </w:t>
      </w:r>
      <w:r w:rsidRPr="0072101A" w:rsidR="00C925F8">
        <w:rPr>
          <w:rFonts w:ascii="Times New Roman" w:hAnsi="Times New Roman"/>
          <w:bCs/>
          <w:szCs w:val="22"/>
          <w:u w:val="single"/>
        </w:rPr>
        <w:t>derivátové operácie</w:t>
      </w:r>
      <w:r w:rsidRPr="0072101A" w:rsidR="00C925F8">
        <w:rPr>
          <w:rFonts w:ascii="Times New Roman" w:hAnsi="Times New Roman"/>
          <w:bCs/>
          <w:szCs w:val="22"/>
        </w:rPr>
        <w:t xml:space="preserve"> </w:t>
      </w:r>
      <w:r w:rsidR="00F30DF5">
        <w:rPr>
          <w:rFonts w:ascii="Times New Roman" w:hAnsi="Times New Roman"/>
          <w:bCs/>
          <w:szCs w:val="22"/>
        </w:rPr>
        <w:t>klesli o 26 615 tis. eur na celkových 76 039 tis.</w:t>
      </w:r>
      <w:r w:rsidRPr="0072101A">
        <w:rPr>
          <w:rFonts w:ascii="Times New Roman" w:hAnsi="Times New Roman"/>
          <w:bCs/>
          <w:szCs w:val="22"/>
        </w:rPr>
        <w:t xml:space="preserve"> eur</w:t>
      </w:r>
      <w:r w:rsidR="00FF2D84">
        <w:rPr>
          <w:rFonts w:ascii="Times New Roman" w:hAnsi="Times New Roman"/>
          <w:bCs/>
          <w:szCs w:val="22"/>
        </w:rPr>
        <w:t>,</w:t>
      </w:r>
      <w:r w:rsidRPr="0072101A">
        <w:rPr>
          <w:rFonts w:ascii="Times New Roman" w:hAnsi="Times New Roman"/>
          <w:bCs/>
          <w:szCs w:val="22"/>
        </w:rPr>
        <w:t xml:space="preserve"> z toho </w:t>
      </w:r>
      <w:r w:rsidR="00574851">
        <w:rPr>
          <w:rFonts w:ascii="Times New Roman" w:hAnsi="Times New Roman"/>
          <w:bCs/>
          <w:szCs w:val="22"/>
        </w:rPr>
        <w:t>vykazuje najviac</w:t>
      </w:r>
      <w:r w:rsidRPr="0072101A">
        <w:rPr>
          <w:rFonts w:ascii="Times New Roman" w:hAnsi="Times New Roman"/>
          <w:bCs/>
          <w:szCs w:val="22"/>
        </w:rPr>
        <w:t xml:space="preserve"> SPP, a.s. </w:t>
      </w:r>
      <w:r w:rsidR="00FF2D84">
        <w:rPr>
          <w:rFonts w:ascii="Times New Roman" w:hAnsi="Times New Roman"/>
          <w:bCs/>
          <w:szCs w:val="22"/>
        </w:rPr>
        <w:t>62 586</w:t>
      </w:r>
      <w:r w:rsidRPr="0072101A">
        <w:rPr>
          <w:rFonts w:ascii="Times New Roman" w:hAnsi="Times New Roman"/>
          <w:bCs/>
          <w:szCs w:val="22"/>
        </w:rPr>
        <w:t xml:space="preserve"> tis. eur.</w:t>
      </w:r>
    </w:p>
    <w:p w:rsidR="008431E8" w:rsidP="00A45FC6">
      <w:pPr>
        <w:bidi w:val="0"/>
        <w:spacing w:after="0" w:line="336" w:lineRule="auto"/>
        <w:jc w:val="both"/>
        <w:rPr>
          <w:rFonts w:ascii="Times New Roman" w:hAnsi="Times New Roman"/>
          <w:bCs/>
          <w:szCs w:val="22"/>
        </w:rPr>
      </w:pPr>
      <w:r w:rsidRPr="0072101A" w:rsidR="00A45FC6">
        <w:rPr>
          <w:rFonts w:ascii="Times New Roman" w:hAnsi="Times New Roman"/>
          <w:bCs/>
          <w:szCs w:val="22"/>
          <w:u w:val="single"/>
        </w:rPr>
        <w:t>O</w:t>
      </w:r>
      <w:r w:rsidRPr="0072101A" w:rsidR="00C925F8">
        <w:rPr>
          <w:rFonts w:ascii="Times New Roman" w:hAnsi="Times New Roman"/>
          <w:bCs/>
          <w:szCs w:val="22"/>
          <w:u w:val="single"/>
        </w:rPr>
        <w:t>statné finančné náklady</w:t>
      </w:r>
      <w:r w:rsidRPr="0072101A" w:rsidR="008308E0">
        <w:rPr>
          <w:rFonts w:ascii="Times New Roman" w:hAnsi="Times New Roman"/>
          <w:bCs/>
          <w:szCs w:val="22"/>
        </w:rPr>
        <w:t xml:space="preserve"> ako poistenie, bankové poplatky a podobne dosiahli </w:t>
      </w:r>
      <w:r w:rsidRPr="0072101A" w:rsidR="00A45FC6">
        <w:rPr>
          <w:rFonts w:ascii="Times New Roman" w:hAnsi="Times New Roman"/>
          <w:bCs/>
          <w:szCs w:val="22"/>
        </w:rPr>
        <w:t>7</w:t>
      </w:r>
      <w:r w:rsidR="00FF2D84">
        <w:rPr>
          <w:rFonts w:ascii="Times New Roman" w:hAnsi="Times New Roman"/>
          <w:bCs/>
          <w:szCs w:val="22"/>
        </w:rPr>
        <w:t>8</w:t>
      </w:r>
      <w:r w:rsidRPr="0072101A" w:rsidR="00A45FC6">
        <w:rPr>
          <w:rFonts w:ascii="Times New Roman" w:hAnsi="Times New Roman"/>
          <w:bCs/>
          <w:szCs w:val="22"/>
        </w:rPr>
        <w:t xml:space="preserve"> </w:t>
      </w:r>
      <w:r w:rsidR="00FF2D84">
        <w:rPr>
          <w:rFonts w:ascii="Times New Roman" w:hAnsi="Times New Roman"/>
          <w:bCs/>
          <w:szCs w:val="22"/>
        </w:rPr>
        <w:t>998</w:t>
      </w:r>
      <w:r w:rsidRPr="0072101A" w:rsidR="00C925F8">
        <w:rPr>
          <w:rFonts w:ascii="Times New Roman" w:hAnsi="Times New Roman"/>
          <w:bCs/>
          <w:szCs w:val="22"/>
        </w:rPr>
        <w:t xml:space="preserve"> tis. eur.</w:t>
      </w:r>
      <w:r w:rsidRPr="0072101A" w:rsidR="00E47513">
        <w:rPr>
          <w:rFonts w:ascii="Times New Roman" w:hAnsi="Times New Roman"/>
          <w:bCs/>
          <w:szCs w:val="22"/>
        </w:rPr>
        <w:t xml:space="preserve"> </w:t>
      </w:r>
    </w:p>
    <w:p w:rsidR="00095D8F" w:rsidP="00574851">
      <w:pPr>
        <w:bidi w:val="0"/>
        <w:spacing w:before="120" w:after="0" w:line="336" w:lineRule="auto"/>
        <w:jc w:val="both"/>
        <w:rPr>
          <w:rFonts w:ascii="Times New Roman" w:hAnsi="Times New Roman"/>
          <w:bCs/>
          <w:szCs w:val="22"/>
        </w:rPr>
      </w:pPr>
      <w:r>
        <w:rPr>
          <w:rFonts w:ascii="Times New Roman" w:hAnsi="Times New Roman"/>
          <w:bCs/>
          <w:szCs w:val="22"/>
        </w:rPr>
        <w:t xml:space="preserve">V porovnaní s rokom 2014 významne vzrástol podiel na nákladoch pridružených účtovných jednotiek, a to o 87 896 tis. eur. Dôvodom sú podiely vo vybraných energetických spoločnostiach, kde správu podielov štátu vykonáva Ministerstvo hospodárstva SR. Tieto sú konsolidované metódou vlastného imania, a teda ide o podiel štátu na nákladoch, ktoré sú </w:t>
      </w:r>
      <w:r w:rsidR="00CF2D38">
        <w:rPr>
          <w:rFonts w:ascii="Times New Roman" w:hAnsi="Times New Roman"/>
          <w:bCs/>
          <w:szCs w:val="22"/>
        </w:rPr>
        <w:t>dosiahnuté</w:t>
      </w:r>
      <w:r>
        <w:rPr>
          <w:rFonts w:ascii="Times New Roman" w:hAnsi="Times New Roman"/>
          <w:bCs/>
          <w:szCs w:val="22"/>
        </w:rPr>
        <w:t xml:space="preserve"> týmito obchodnými spoločnosťami. </w:t>
      </w:r>
    </w:p>
    <w:p w:rsidR="00CE3C4C" w:rsidRPr="0072101A" w:rsidP="00C630EC">
      <w:pPr>
        <w:bidi w:val="0"/>
        <w:spacing w:before="200" w:line="336" w:lineRule="auto"/>
        <w:jc w:val="both"/>
        <w:rPr>
          <w:rFonts w:ascii="Times New Roman" w:hAnsi="Times New Roman"/>
          <w:b/>
          <w:bCs/>
          <w:sz w:val="24"/>
          <w:szCs w:val="24"/>
        </w:rPr>
      </w:pPr>
      <w:r w:rsidR="00AD26FB">
        <w:rPr>
          <w:rFonts w:ascii="Times New Roman" w:hAnsi="Times New Roman"/>
          <w:b/>
          <w:bCs/>
          <w:sz w:val="24"/>
          <w:szCs w:val="24"/>
        </w:rPr>
        <w:t>VII</w:t>
      </w:r>
      <w:r w:rsidR="001D76ED">
        <w:rPr>
          <w:rFonts w:ascii="Times New Roman" w:hAnsi="Times New Roman"/>
          <w:b/>
          <w:bCs/>
          <w:sz w:val="24"/>
          <w:szCs w:val="24"/>
        </w:rPr>
        <w:t>.</w:t>
      </w:r>
      <w:r w:rsidR="00AD26FB">
        <w:rPr>
          <w:rFonts w:ascii="Times New Roman" w:hAnsi="Times New Roman"/>
          <w:b/>
          <w:bCs/>
          <w:sz w:val="24"/>
          <w:szCs w:val="24"/>
        </w:rPr>
        <w:t xml:space="preserve"> </w:t>
      </w:r>
      <w:r w:rsidRPr="0072101A">
        <w:rPr>
          <w:rFonts w:ascii="Times New Roman" w:hAnsi="Times New Roman"/>
          <w:b/>
          <w:bCs/>
          <w:sz w:val="24"/>
          <w:szCs w:val="24"/>
        </w:rPr>
        <w:t>Mimoriadne náklady</w:t>
      </w:r>
    </w:p>
    <w:p w:rsidR="0024355C" w:rsidRPr="008A02F8" w:rsidP="008A02F8">
      <w:pPr>
        <w:pStyle w:val="Pismenka"/>
        <w:tabs>
          <w:tab w:val="clear" w:pos="426"/>
        </w:tabs>
        <w:bidi w:val="0"/>
        <w:spacing w:line="336" w:lineRule="auto"/>
        <w:ind w:left="0" w:firstLine="0"/>
        <w:rPr>
          <w:rFonts w:ascii="Times New Roman" w:hAnsi="Times New Roman"/>
          <w:b w:val="0"/>
          <w:bCs w:val="0"/>
          <w:sz w:val="22"/>
          <w:szCs w:val="22"/>
        </w:rPr>
      </w:pPr>
      <w:r w:rsidRPr="008A02F8" w:rsidR="00354133">
        <w:rPr>
          <w:rFonts w:ascii="Times New Roman" w:hAnsi="Times New Roman"/>
          <w:b w:val="0"/>
          <w:bCs w:val="0"/>
          <w:sz w:val="22"/>
          <w:szCs w:val="22"/>
        </w:rPr>
        <w:t xml:space="preserve">Mimoriadne náklady z pohľadu </w:t>
      </w:r>
      <w:r w:rsidRPr="008A02F8" w:rsidR="00F04527">
        <w:rPr>
          <w:rFonts w:ascii="Times New Roman" w:hAnsi="Times New Roman"/>
          <w:b w:val="0"/>
          <w:bCs w:val="0"/>
          <w:sz w:val="22"/>
          <w:szCs w:val="22"/>
        </w:rPr>
        <w:t xml:space="preserve">celkovej </w:t>
      </w:r>
      <w:r w:rsidRPr="008A02F8" w:rsidR="00354133">
        <w:rPr>
          <w:rFonts w:ascii="Times New Roman" w:hAnsi="Times New Roman"/>
          <w:b w:val="0"/>
          <w:bCs w:val="0"/>
          <w:sz w:val="22"/>
          <w:szCs w:val="22"/>
        </w:rPr>
        <w:t xml:space="preserve">hodnoty </w:t>
      </w:r>
      <w:r w:rsidRPr="008A02F8" w:rsidR="00F04527">
        <w:rPr>
          <w:rFonts w:ascii="Times New Roman" w:hAnsi="Times New Roman"/>
          <w:b w:val="0"/>
          <w:bCs w:val="0"/>
          <w:sz w:val="22"/>
          <w:szCs w:val="22"/>
        </w:rPr>
        <w:t xml:space="preserve">nákladov </w:t>
      </w:r>
      <w:r w:rsidRPr="008A02F8" w:rsidR="00354133">
        <w:rPr>
          <w:rFonts w:ascii="Times New Roman" w:hAnsi="Times New Roman"/>
          <w:b w:val="0"/>
          <w:bCs w:val="0"/>
          <w:sz w:val="22"/>
          <w:szCs w:val="22"/>
        </w:rPr>
        <w:t>nie sú významnou položkou. K 31.12.201</w:t>
      </w:r>
      <w:r w:rsidR="008431E8">
        <w:rPr>
          <w:rFonts w:ascii="Times New Roman" w:hAnsi="Times New Roman"/>
          <w:b w:val="0"/>
          <w:bCs w:val="0"/>
          <w:sz w:val="22"/>
          <w:szCs w:val="22"/>
        </w:rPr>
        <w:t>5</w:t>
      </w:r>
      <w:r w:rsidRPr="008A02F8" w:rsidR="00354133">
        <w:rPr>
          <w:rFonts w:ascii="Times New Roman" w:hAnsi="Times New Roman"/>
          <w:b w:val="0"/>
          <w:bCs w:val="0"/>
          <w:sz w:val="22"/>
          <w:szCs w:val="22"/>
        </w:rPr>
        <w:t xml:space="preserve"> dosiahli hodnotu </w:t>
      </w:r>
      <w:r w:rsidR="008431E8">
        <w:rPr>
          <w:rFonts w:ascii="Times New Roman" w:hAnsi="Times New Roman"/>
          <w:b w:val="0"/>
          <w:bCs w:val="0"/>
          <w:sz w:val="22"/>
          <w:szCs w:val="22"/>
        </w:rPr>
        <w:t>1 248</w:t>
      </w:r>
      <w:r w:rsidRPr="008A02F8" w:rsidR="00354133">
        <w:rPr>
          <w:rFonts w:ascii="Times New Roman" w:hAnsi="Times New Roman"/>
          <w:b w:val="0"/>
          <w:bCs w:val="0"/>
          <w:sz w:val="22"/>
          <w:szCs w:val="22"/>
        </w:rPr>
        <w:t xml:space="preserve"> tis. eur a boli tvorené škodami </w:t>
      </w:r>
      <w:r w:rsidR="008431E8">
        <w:rPr>
          <w:rFonts w:ascii="Times New Roman" w:hAnsi="Times New Roman"/>
          <w:b w:val="0"/>
          <w:bCs w:val="0"/>
          <w:sz w:val="22"/>
          <w:szCs w:val="22"/>
        </w:rPr>
        <w:t xml:space="preserve">za 120 </w:t>
      </w:r>
      <w:r w:rsidRPr="008A02F8" w:rsidR="00354133">
        <w:rPr>
          <w:rFonts w:ascii="Times New Roman" w:hAnsi="Times New Roman"/>
          <w:b w:val="0"/>
          <w:bCs w:val="0"/>
          <w:sz w:val="22"/>
          <w:szCs w:val="22"/>
        </w:rPr>
        <w:t xml:space="preserve">tis. eur a ostatnými </w:t>
      </w:r>
      <w:r w:rsidRPr="008A02F8" w:rsidR="00F07FBE">
        <w:rPr>
          <w:rFonts w:ascii="Times New Roman" w:hAnsi="Times New Roman"/>
          <w:b w:val="0"/>
          <w:bCs w:val="0"/>
          <w:sz w:val="22"/>
          <w:szCs w:val="22"/>
        </w:rPr>
        <w:t xml:space="preserve">mimoriadnymi </w:t>
      </w:r>
      <w:r w:rsidRPr="008A02F8" w:rsidR="00354133">
        <w:rPr>
          <w:rFonts w:ascii="Times New Roman" w:hAnsi="Times New Roman"/>
          <w:b w:val="0"/>
          <w:bCs w:val="0"/>
          <w:sz w:val="22"/>
          <w:szCs w:val="22"/>
        </w:rPr>
        <w:t xml:space="preserve">nákladmi </w:t>
      </w:r>
      <w:r w:rsidR="008431E8">
        <w:rPr>
          <w:rFonts w:ascii="Times New Roman" w:hAnsi="Times New Roman"/>
          <w:b w:val="0"/>
          <w:bCs w:val="0"/>
          <w:sz w:val="22"/>
          <w:szCs w:val="22"/>
        </w:rPr>
        <w:t>1 071</w:t>
      </w:r>
      <w:r w:rsidRPr="008A02F8" w:rsidR="00354133">
        <w:rPr>
          <w:rFonts w:ascii="Times New Roman" w:hAnsi="Times New Roman"/>
          <w:b w:val="0"/>
          <w:bCs w:val="0"/>
          <w:sz w:val="22"/>
          <w:szCs w:val="22"/>
        </w:rPr>
        <w:t xml:space="preserve"> tis. eur.</w:t>
      </w:r>
    </w:p>
    <w:p w:rsidR="00CE3C4C" w:rsidRPr="00AD26FB" w:rsidP="00AD26FB">
      <w:pPr>
        <w:pStyle w:val="ListParagraph"/>
        <w:numPr>
          <w:numId w:val="31"/>
        </w:numPr>
        <w:bidi w:val="0"/>
        <w:spacing w:before="200" w:line="336" w:lineRule="auto"/>
        <w:ind w:left="567" w:hanging="567"/>
        <w:jc w:val="both"/>
        <w:rPr>
          <w:rFonts w:ascii="Times New Roman" w:hAnsi="Times New Roman"/>
          <w:b/>
          <w:bCs/>
          <w:sz w:val="24"/>
          <w:szCs w:val="24"/>
        </w:rPr>
      </w:pPr>
      <w:r w:rsidRPr="00AD26FB">
        <w:rPr>
          <w:rFonts w:ascii="Times New Roman" w:hAnsi="Times New Roman"/>
          <w:b/>
          <w:bCs/>
          <w:sz w:val="24"/>
          <w:szCs w:val="24"/>
        </w:rPr>
        <w:t xml:space="preserve">Náklady na transfery </w:t>
      </w:r>
    </w:p>
    <w:p w:rsidR="0027357D" w:rsidRPr="0072101A" w:rsidP="00A427D3">
      <w:pPr>
        <w:pStyle w:val="Pismenka"/>
        <w:tabs>
          <w:tab w:val="clear" w:pos="426"/>
        </w:tabs>
        <w:bidi w:val="0"/>
        <w:spacing w:line="336" w:lineRule="auto"/>
        <w:ind w:left="0" w:firstLine="0"/>
        <w:rPr>
          <w:rFonts w:ascii="Times New Roman" w:hAnsi="Times New Roman"/>
          <w:b w:val="0"/>
          <w:bCs w:val="0"/>
          <w:sz w:val="22"/>
          <w:szCs w:val="22"/>
        </w:rPr>
      </w:pPr>
      <w:r w:rsidRPr="0072101A" w:rsidR="00721EF2">
        <w:rPr>
          <w:rFonts w:ascii="Times New Roman" w:hAnsi="Times New Roman"/>
          <w:b w:val="0"/>
          <w:bCs w:val="0"/>
          <w:sz w:val="22"/>
          <w:szCs w:val="22"/>
        </w:rPr>
        <w:t xml:space="preserve">V rámci celkových nákladov tvoria </w:t>
      </w:r>
      <w:r w:rsidRPr="00AD26FB" w:rsidR="00721EF2">
        <w:rPr>
          <w:rFonts w:ascii="Times New Roman" w:hAnsi="Times New Roman"/>
          <w:b w:val="0"/>
          <w:bCs w:val="0"/>
          <w:sz w:val="22"/>
          <w:szCs w:val="22"/>
        </w:rPr>
        <w:t xml:space="preserve">hodnotu </w:t>
      </w:r>
      <w:r w:rsidR="00DC6A62">
        <w:rPr>
          <w:rFonts w:ascii="Times New Roman" w:hAnsi="Times New Roman"/>
          <w:b w:val="0"/>
          <w:bCs w:val="0"/>
          <w:sz w:val="22"/>
          <w:szCs w:val="22"/>
        </w:rPr>
        <w:t xml:space="preserve">25 230 269 </w:t>
      </w:r>
      <w:r w:rsidRPr="0072101A" w:rsidR="006B51FC">
        <w:rPr>
          <w:rFonts w:ascii="Times New Roman" w:hAnsi="Times New Roman"/>
          <w:b w:val="0"/>
          <w:bCs w:val="0"/>
          <w:sz w:val="22"/>
          <w:szCs w:val="22"/>
        </w:rPr>
        <w:t>tis. eur</w:t>
      </w:r>
      <w:r w:rsidRPr="0072101A" w:rsidR="00A70836">
        <w:rPr>
          <w:rFonts w:ascii="Times New Roman" w:hAnsi="Times New Roman"/>
          <w:b w:val="0"/>
          <w:bCs w:val="0"/>
          <w:sz w:val="22"/>
          <w:szCs w:val="22"/>
        </w:rPr>
        <w:t xml:space="preserve">, medziročne sa </w:t>
      </w:r>
      <w:r w:rsidRPr="0072101A" w:rsidR="00D218A0">
        <w:rPr>
          <w:rFonts w:ascii="Times New Roman" w:hAnsi="Times New Roman"/>
          <w:b w:val="0"/>
          <w:bCs w:val="0"/>
          <w:sz w:val="22"/>
          <w:szCs w:val="22"/>
        </w:rPr>
        <w:t>zvýšili</w:t>
      </w:r>
      <w:r w:rsidR="009952DE">
        <w:rPr>
          <w:rFonts w:ascii="Times New Roman" w:hAnsi="Times New Roman"/>
          <w:b w:val="0"/>
          <w:bCs w:val="0"/>
          <w:sz w:val="22"/>
          <w:szCs w:val="22"/>
        </w:rPr>
        <w:br/>
      </w:r>
      <w:r w:rsidRPr="0072101A" w:rsidR="00296E77">
        <w:rPr>
          <w:rFonts w:ascii="Times New Roman" w:hAnsi="Times New Roman"/>
          <w:b w:val="0"/>
          <w:bCs w:val="0"/>
          <w:sz w:val="22"/>
          <w:szCs w:val="22"/>
        </w:rPr>
        <w:t>o</w:t>
      </w:r>
      <w:r w:rsidRPr="0072101A" w:rsidR="00D218A0">
        <w:rPr>
          <w:rFonts w:ascii="Times New Roman" w:hAnsi="Times New Roman"/>
          <w:b w:val="0"/>
          <w:bCs w:val="0"/>
          <w:sz w:val="22"/>
          <w:szCs w:val="22"/>
        </w:rPr>
        <w:t> </w:t>
      </w:r>
      <w:r w:rsidR="00DC6A62">
        <w:rPr>
          <w:rFonts w:ascii="Times New Roman" w:hAnsi="Times New Roman"/>
          <w:b w:val="0"/>
          <w:bCs w:val="0"/>
          <w:sz w:val="22"/>
          <w:szCs w:val="22"/>
        </w:rPr>
        <w:t xml:space="preserve">1 114 121 tis. eur. V roku 2014 bol nárast o </w:t>
      </w:r>
      <w:r w:rsidRPr="0072101A" w:rsidR="00D218A0">
        <w:rPr>
          <w:rFonts w:ascii="Times New Roman" w:hAnsi="Times New Roman"/>
          <w:b w:val="0"/>
          <w:bCs w:val="0"/>
          <w:sz w:val="22"/>
          <w:szCs w:val="22"/>
        </w:rPr>
        <w:t>1 639 23</w:t>
      </w:r>
      <w:r w:rsidRPr="0072101A">
        <w:rPr>
          <w:rFonts w:ascii="Times New Roman" w:hAnsi="Times New Roman"/>
          <w:b w:val="0"/>
          <w:bCs w:val="0"/>
          <w:sz w:val="22"/>
          <w:szCs w:val="22"/>
        </w:rPr>
        <w:t>4</w:t>
      </w:r>
      <w:r w:rsidRPr="0072101A" w:rsidR="00D218A0">
        <w:rPr>
          <w:rFonts w:ascii="Times New Roman" w:hAnsi="Times New Roman"/>
          <w:b w:val="0"/>
          <w:bCs w:val="0"/>
          <w:sz w:val="22"/>
          <w:szCs w:val="22"/>
        </w:rPr>
        <w:t xml:space="preserve"> </w:t>
      </w:r>
      <w:r w:rsidRPr="0072101A" w:rsidR="005C1D1D">
        <w:rPr>
          <w:rFonts w:ascii="Times New Roman" w:hAnsi="Times New Roman"/>
          <w:b w:val="0"/>
          <w:bCs w:val="0"/>
          <w:sz w:val="22"/>
          <w:szCs w:val="22"/>
        </w:rPr>
        <w:t>tis. </w:t>
      </w:r>
      <w:r w:rsidRPr="0072101A" w:rsidR="00296E77">
        <w:rPr>
          <w:rFonts w:ascii="Times New Roman" w:hAnsi="Times New Roman"/>
          <w:b w:val="0"/>
          <w:bCs w:val="0"/>
          <w:sz w:val="22"/>
          <w:szCs w:val="22"/>
        </w:rPr>
        <w:t>eur.</w:t>
      </w:r>
      <w:r w:rsidRPr="0072101A" w:rsidR="007D10FD">
        <w:rPr>
          <w:rFonts w:ascii="Times New Roman" w:hAnsi="Times New Roman"/>
          <w:b w:val="0"/>
          <w:bCs w:val="0"/>
          <w:sz w:val="22"/>
          <w:szCs w:val="22"/>
        </w:rPr>
        <w:t xml:space="preserve"> </w:t>
      </w:r>
      <w:r w:rsidRPr="0072101A" w:rsidR="00721EF2">
        <w:rPr>
          <w:rFonts w:ascii="Times New Roman" w:hAnsi="Times New Roman"/>
          <w:b w:val="0"/>
          <w:bCs w:val="0"/>
          <w:sz w:val="22"/>
          <w:szCs w:val="22"/>
        </w:rPr>
        <w:t>Transfery sa poskytujú fyzickým osobám – obyvateľstvu, podnikateľským subjektom, zahraničným subjektom a podobne. V konsolidačných operáciách boli eliminované transfery v rámci ústrednej správy</w:t>
      </w:r>
      <w:r w:rsidRPr="0072101A" w:rsidR="00375816">
        <w:rPr>
          <w:rFonts w:ascii="Times New Roman" w:hAnsi="Times New Roman"/>
          <w:b w:val="0"/>
          <w:bCs w:val="0"/>
          <w:sz w:val="22"/>
          <w:szCs w:val="22"/>
        </w:rPr>
        <w:t>.</w:t>
      </w:r>
      <w:r w:rsidRPr="0072101A" w:rsidR="000814FA">
        <w:rPr>
          <w:rFonts w:ascii="Times New Roman" w:hAnsi="Times New Roman"/>
          <w:b w:val="0"/>
          <w:bCs w:val="0"/>
          <w:sz w:val="22"/>
          <w:szCs w:val="22"/>
        </w:rPr>
        <w:t xml:space="preserve"> </w:t>
      </w:r>
      <w:r w:rsidRPr="0072101A" w:rsidR="007D69B8">
        <w:rPr>
          <w:rFonts w:ascii="Times New Roman" w:hAnsi="Times New Roman"/>
          <w:b w:val="0"/>
          <w:bCs w:val="0"/>
          <w:sz w:val="22"/>
          <w:szCs w:val="22"/>
        </w:rPr>
        <w:t>Ako v roku 201</w:t>
      </w:r>
      <w:r w:rsidR="00204F52">
        <w:rPr>
          <w:rFonts w:ascii="Times New Roman" w:hAnsi="Times New Roman"/>
          <w:b w:val="0"/>
          <w:bCs w:val="0"/>
          <w:sz w:val="22"/>
          <w:szCs w:val="22"/>
        </w:rPr>
        <w:t>4</w:t>
      </w:r>
      <w:r w:rsidRPr="0072101A" w:rsidR="005C1D1D">
        <w:rPr>
          <w:rFonts w:ascii="Times New Roman" w:hAnsi="Times New Roman"/>
          <w:b w:val="0"/>
          <w:bCs w:val="0"/>
          <w:sz w:val="22"/>
          <w:szCs w:val="22"/>
        </w:rPr>
        <w:t>,</w:t>
      </w:r>
      <w:r w:rsidRPr="0072101A" w:rsidR="007D69B8">
        <w:rPr>
          <w:rFonts w:ascii="Times New Roman" w:hAnsi="Times New Roman"/>
          <w:b w:val="0"/>
          <w:bCs w:val="0"/>
          <w:sz w:val="22"/>
          <w:szCs w:val="22"/>
        </w:rPr>
        <w:t xml:space="preserve"> tak aj v roku 201</w:t>
      </w:r>
      <w:r w:rsidR="00204F52">
        <w:rPr>
          <w:rFonts w:ascii="Times New Roman" w:hAnsi="Times New Roman"/>
          <w:b w:val="0"/>
          <w:bCs w:val="0"/>
          <w:sz w:val="22"/>
          <w:szCs w:val="22"/>
        </w:rPr>
        <w:t>5</w:t>
      </w:r>
      <w:r w:rsidRPr="0072101A" w:rsidR="007D69B8">
        <w:rPr>
          <w:rFonts w:ascii="Times New Roman" w:hAnsi="Times New Roman"/>
          <w:b w:val="0"/>
          <w:bCs w:val="0"/>
          <w:sz w:val="22"/>
          <w:szCs w:val="22"/>
        </w:rPr>
        <w:t xml:space="preserve"> vykazuje n</w:t>
      </w:r>
      <w:r w:rsidRPr="0072101A" w:rsidR="006B51FC">
        <w:rPr>
          <w:rFonts w:ascii="Times New Roman" w:hAnsi="Times New Roman"/>
          <w:b w:val="0"/>
          <w:bCs w:val="0"/>
          <w:sz w:val="22"/>
          <w:szCs w:val="22"/>
        </w:rPr>
        <w:t xml:space="preserve">ajvyššiu hodnotu Sociálna poisťovňa </w:t>
      </w:r>
      <w:r w:rsidR="008E3DBD">
        <w:rPr>
          <w:rFonts w:ascii="Times New Roman" w:hAnsi="Times New Roman"/>
          <w:b w:val="0"/>
          <w:bCs w:val="0"/>
          <w:sz w:val="22"/>
          <w:szCs w:val="22"/>
        </w:rPr>
        <w:t xml:space="preserve">16 369 237 </w:t>
      </w:r>
      <w:r w:rsidRPr="0072101A" w:rsidR="006B51FC">
        <w:rPr>
          <w:rFonts w:ascii="Times New Roman" w:hAnsi="Times New Roman"/>
          <w:b w:val="0"/>
          <w:bCs w:val="0"/>
          <w:sz w:val="22"/>
          <w:szCs w:val="22"/>
        </w:rPr>
        <w:t>tis. eur</w:t>
      </w:r>
      <w:r w:rsidRPr="0072101A" w:rsidR="007D10FD">
        <w:rPr>
          <w:rFonts w:ascii="Times New Roman" w:hAnsi="Times New Roman"/>
          <w:b w:val="0"/>
          <w:bCs w:val="0"/>
          <w:sz w:val="22"/>
          <w:szCs w:val="22"/>
        </w:rPr>
        <w:t xml:space="preserve"> (201</w:t>
      </w:r>
      <w:r w:rsidR="008E3DBD">
        <w:rPr>
          <w:rFonts w:ascii="Times New Roman" w:hAnsi="Times New Roman"/>
          <w:b w:val="0"/>
          <w:bCs w:val="0"/>
          <w:sz w:val="22"/>
          <w:szCs w:val="22"/>
        </w:rPr>
        <w:t>4</w:t>
      </w:r>
      <w:r w:rsidRPr="0072101A" w:rsidR="007D10FD">
        <w:rPr>
          <w:rFonts w:ascii="Times New Roman" w:hAnsi="Times New Roman"/>
          <w:b w:val="0"/>
          <w:bCs w:val="0"/>
          <w:sz w:val="22"/>
          <w:szCs w:val="22"/>
        </w:rPr>
        <w:t>:</w:t>
      </w:r>
      <w:r w:rsidRPr="0072101A" w:rsidR="005C7356">
        <w:rPr>
          <w:rFonts w:ascii="Times New Roman" w:hAnsi="Times New Roman"/>
          <w:b w:val="0"/>
          <w:bCs w:val="0"/>
          <w:sz w:val="22"/>
          <w:szCs w:val="22"/>
        </w:rPr>
        <w:t xml:space="preserve"> </w:t>
      </w:r>
      <w:r w:rsidRPr="0072101A" w:rsidR="008E3DBD">
        <w:rPr>
          <w:rFonts w:ascii="Times New Roman" w:hAnsi="Times New Roman"/>
          <w:b w:val="0"/>
          <w:bCs w:val="0"/>
          <w:sz w:val="22"/>
          <w:szCs w:val="22"/>
        </w:rPr>
        <w:t>16 112</w:t>
      </w:r>
      <w:r w:rsidR="008E3DBD">
        <w:rPr>
          <w:rFonts w:ascii="Times New Roman" w:hAnsi="Times New Roman"/>
          <w:b w:val="0"/>
          <w:bCs w:val="0"/>
          <w:sz w:val="22"/>
          <w:szCs w:val="22"/>
        </w:rPr>
        <w:t> </w:t>
      </w:r>
      <w:r w:rsidRPr="0072101A" w:rsidR="008E3DBD">
        <w:rPr>
          <w:rFonts w:ascii="Times New Roman" w:hAnsi="Times New Roman"/>
          <w:b w:val="0"/>
          <w:bCs w:val="0"/>
          <w:sz w:val="22"/>
          <w:szCs w:val="22"/>
        </w:rPr>
        <w:t xml:space="preserve">510 </w:t>
      </w:r>
      <w:r w:rsidRPr="0072101A" w:rsidR="005C7356">
        <w:rPr>
          <w:rFonts w:ascii="Times New Roman" w:hAnsi="Times New Roman"/>
          <w:b w:val="0"/>
          <w:bCs w:val="0"/>
          <w:sz w:val="22"/>
          <w:szCs w:val="22"/>
        </w:rPr>
        <w:t>tis. eur</w:t>
      </w:r>
      <w:r w:rsidRPr="0072101A" w:rsidR="007D10FD">
        <w:rPr>
          <w:rFonts w:ascii="Times New Roman" w:hAnsi="Times New Roman"/>
          <w:b w:val="0"/>
          <w:bCs w:val="0"/>
          <w:sz w:val="22"/>
          <w:szCs w:val="22"/>
        </w:rPr>
        <w:t>)</w:t>
      </w:r>
      <w:r w:rsidRPr="0072101A" w:rsidR="006B51FC">
        <w:rPr>
          <w:rFonts w:ascii="Times New Roman" w:hAnsi="Times New Roman"/>
          <w:b w:val="0"/>
          <w:bCs w:val="0"/>
          <w:sz w:val="22"/>
          <w:szCs w:val="22"/>
        </w:rPr>
        <w:t xml:space="preserve">, </w:t>
      </w:r>
      <w:r w:rsidRPr="0072101A" w:rsidR="001110FC">
        <w:rPr>
          <w:rFonts w:ascii="Times New Roman" w:hAnsi="Times New Roman"/>
          <w:b w:val="0"/>
          <w:bCs w:val="0"/>
          <w:sz w:val="22"/>
          <w:szCs w:val="22"/>
        </w:rPr>
        <w:t xml:space="preserve">hlavne </w:t>
      </w:r>
      <w:r w:rsidRPr="0072101A" w:rsidR="006B51FC">
        <w:rPr>
          <w:rFonts w:ascii="Times New Roman" w:hAnsi="Times New Roman"/>
          <w:b w:val="0"/>
          <w:bCs w:val="0"/>
          <w:sz w:val="22"/>
          <w:szCs w:val="22"/>
        </w:rPr>
        <w:t>ako poskyt</w:t>
      </w:r>
      <w:r w:rsidRPr="0072101A" w:rsidR="001110FC">
        <w:rPr>
          <w:rFonts w:ascii="Times New Roman" w:hAnsi="Times New Roman"/>
          <w:b w:val="0"/>
          <w:bCs w:val="0"/>
          <w:sz w:val="22"/>
          <w:szCs w:val="22"/>
        </w:rPr>
        <w:t>nuté</w:t>
      </w:r>
      <w:r w:rsidR="00D36728">
        <w:rPr>
          <w:rFonts w:ascii="Times New Roman" w:hAnsi="Times New Roman"/>
          <w:b w:val="0"/>
          <w:bCs w:val="0"/>
          <w:sz w:val="22"/>
          <w:szCs w:val="22"/>
        </w:rPr>
        <w:t xml:space="preserve"> sociálne</w:t>
      </w:r>
      <w:r w:rsidRPr="0072101A" w:rsidR="001110FC">
        <w:rPr>
          <w:rFonts w:ascii="Times New Roman" w:hAnsi="Times New Roman"/>
          <w:b w:val="0"/>
          <w:bCs w:val="0"/>
          <w:sz w:val="22"/>
          <w:szCs w:val="22"/>
        </w:rPr>
        <w:t xml:space="preserve"> príspevky a dôchodky obyvateľstvu.</w:t>
      </w:r>
      <w:r w:rsidRPr="0072101A">
        <w:rPr>
          <w:rFonts w:ascii="Times New Roman" w:hAnsi="Times New Roman"/>
          <w:b w:val="0"/>
          <w:bCs w:val="0"/>
          <w:sz w:val="22"/>
          <w:szCs w:val="22"/>
        </w:rPr>
        <w:t xml:space="preserve"> Medziročná zmena v prípade transferov Sociálnej poisťovne znamenala prírastok o</w:t>
      </w:r>
      <w:r w:rsidR="008E3DBD">
        <w:rPr>
          <w:rFonts w:ascii="Times New Roman" w:hAnsi="Times New Roman"/>
          <w:b w:val="0"/>
          <w:bCs w:val="0"/>
          <w:sz w:val="22"/>
          <w:szCs w:val="22"/>
        </w:rPr>
        <w:t> 256 727</w:t>
      </w:r>
      <w:r w:rsidRPr="0072101A">
        <w:rPr>
          <w:rFonts w:ascii="Times New Roman" w:hAnsi="Times New Roman"/>
          <w:b w:val="0"/>
          <w:bCs w:val="0"/>
          <w:sz w:val="22"/>
          <w:szCs w:val="22"/>
        </w:rPr>
        <w:t xml:space="preserve"> tis. eur.</w:t>
      </w:r>
    </w:p>
    <w:p w:rsidR="008C11BF" w:rsidRPr="0072101A" w:rsidP="00A41721">
      <w:pPr>
        <w:pStyle w:val="Pismenka"/>
        <w:tabs>
          <w:tab w:val="clear" w:pos="426"/>
        </w:tabs>
        <w:bidi w:val="0"/>
        <w:spacing w:line="336" w:lineRule="auto"/>
        <w:ind w:left="0" w:firstLine="0"/>
        <w:rPr>
          <w:rFonts w:ascii="Times New Roman" w:hAnsi="Times New Roman"/>
          <w:b w:val="0"/>
          <w:bCs w:val="0"/>
          <w:sz w:val="22"/>
          <w:szCs w:val="22"/>
        </w:rPr>
      </w:pPr>
      <w:r w:rsidRPr="0072101A" w:rsidR="006B51FC">
        <w:rPr>
          <w:rFonts w:ascii="Times New Roman" w:hAnsi="Times New Roman"/>
          <w:b w:val="0"/>
          <w:bCs w:val="0"/>
          <w:sz w:val="22"/>
          <w:szCs w:val="22"/>
        </w:rPr>
        <w:t xml:space="preserve">Ministerstvo financií SR </w:t>
      </w:r>
      <w:r w:rsidRPr="0072101A" w:rsidR="001110FC">
        <w:rPr>
          <w:rFonts w:ascii="Times New Roman" w:hAnsi="Times New Roman"/>
          <w:b w:val="0"/>
          <w:bCs w:val="0"/>
          <w:sz w:val="22"/>
          <w:szCs w:val="22"/>
        </w:rPr>
        <w:t>vykazuje náklady na transfery v</w:t>
      </w:r>
      <w:r w:rsidRPr="0072101A" w:rsidR="00A41721">
        <w:rPr>
          <w:rFonts w:ascii="Times New Roman" w:hAnsi="Times New Roman"/>
          <w:b w:val="0"/>
          <w:bCs w:val="0"/>
          <w:sz w:val="22"/>
          <w:szCs w:val="22"/>
        </w:rPr>
        <w:t> </w:t>
      </w:r>
      <w:r w:rsidRPr="0072101A" w:rsidR="001110FC">
        <w:rPr>
          <w:rFonts w:ascii="Times New Roman" w:hAnsi="Times New Roman"/>
          <w:b w:val="0"/>
          <w:bCs w:val="0"/>
          <w:sz w:val="22"/>
          <w:szCs w:val="22"/>
        </w:rPr>
        <w:t>hodnote</w:t>
      </w:r>
      <w:r w:rsidRPr="0072101A" w:rsidR="00A41721">
        <w:rPr>
          <w:rFonts w:ascii="Times New Roman" w:hAnsi="Times New Roman"/>
          <w:b w:val="0"/>
          <w:bCs w:val="0"/>
          <w:sz w:val="22"/>
          <w:szCs w:val="22"/>
        </w:rPr>
        <w:t xml:space="preserve"> </w:t>
      </w:r>
      <w:r w:rsidR="00204F52">
        <w:rPr>
          <w:rFonts w:ascii="Times New Roman" w:hAnsi="Times New Roman"/>
          <w:b w:val="0"/>
          <w:bCs w:val="0"/>
          <w:sz w:val="22"/>
          <w:szCs w:val="22"/>
        </w:rPr>
        <w:t xml:space="preserve">8 448 991 </w:t>
      </w:r>
      <w:r w:rsidRPr="0072101A" w:rsidR="006B51FC">
        <w:rPr>
          <w:rFonts w:ascii="Times New Roman" w:hAnsi="Times New Roman"/>
          <w:b w:val="0"/>
          <w:bCs w:val="0"/>
          <w:sz w:val="22"/>
          <w:szCs w:val="22"/>
        </w:rPr>
        <w:t>tis. eur</w:t>
      </w:r>
      <w:r w:rsidR="009952DE">
        <w:rPr>
          <w:rFonts w:ascii="Times New Roman" w:hAnsi="Times New Roman"/>
          <w:b w:val="0"/>
          <w:bCs w:val="0"/>
          <w:sz w:val="22"/>
          <w:szCs w:val="22"/>
        </w:rPr>
        <w:br/>
      </w:r>
      <w:r w:rsidRPr="0072101A" w:rsidR="00623A5C">
        <w:rPr>
          <w:rFonts w:ascii="Times New Roman" w:hAnsi="Times New Roman"/>
          <w:b w:val="0"/>
          <w:bCs w:val="0"/>
          <w:sz w:val="22"/>
          <w:szCs w:val="22"/>
        </w:rPr>
        <w:t>(201</w:t>
      </w:r>
      <w:r w:rsidR="00204F52">
        <w:rPr>
          <w:rFonts w:ascii="Times New Roman" w:hAnsi="Times New Roman"/>
          <w:b w:val="0"/>
          <w:bCs w:val="0"/>
          <w:sz w:val="22"/>
          <w:szCs w:val="22"/>
        </w:rPr>
        <w:t>4</w:t>
      </w:r>
      <w:r w:rsidRPr="0072101A" w:rsidR="00623A5C">
        <w:rPr>
          <w:rFonts w:ascii="Times New Roman" w:hAnsi="Times New Roman"/>
          <w:b w:val="0"/>
          <w:bCs w:val="0"/>
          <w:sz w:val="22"/>
          <w:szCs w:val="22"/>
        </w:rPr>
        <w:t>:</w:t>
      </w:r>
      <w:r w:rsidRPr="0072101A" w:rsidR="004E007E">
        <w:rPr>
          <w:rFonts w:ascii="Times New Roman" w:hAnsi="Times New Roman"/>
          <w:b w:val="0"/>
          <w:bCs w:val="0"/>
          <w:sz w:val="22"/>
          <w:szCs w:val="22"/>
        </w:rPr>
        <w:t xml:space="preserve"> </w:t>
      </w:r>
      <w:r w:rsidRPr="0072101A" w:rsidR="00204F52">
        <w:rPr>
          <w:rFonts w:ascii="Times New Roman" w:hAnsi="Times New Roman"/>
          <w:b w:val="0"/>
          <w:bCs w:val="0"/>
          <w:sz w:val="22"/>
          <w:szCs w:val="22"/>
        </w:rPr>
        <w:t>6 986</w:t>
      </w:r>
      <w:r w:rsidR="00204F52">
        <w:rPr>
          <w:rFonts w:ascii="Times New Roman" w:hAnsi="Times New Roman"/>
          <w:b w:val="0"/>
          <w:bCs w:val="0"/>
          <w:sz w:val="22"/>
          <w:szCs w:val="22"/>
        </w:rPr>
        <w:t> </w:t>
      </w:r>
      <w:r w:rsidRPr="0072101A" w:rsidR="00204F52">
        <w:rPr>
          <w:rFonts w:ascii="Times New Roman" w:hAnsi="Times New Roman"/>
          <w:b w:val="0"/>
          <w:bCs w:val="0"/>
          <w:sz w:val="22"/>
          <w:szCs w:val="22"/>
        </w:rPr>
        <w:t xml:space="preserve">425 </w:t>
      </w:r>
      <w:r w:rsidRPr="0072101A" w:rsidR="004E007E">
        <w:rPr>
          <w:rFonts w:ascii="Times New Roman" w:hAnsi="Times New Roman"/>
          <w:b w:val="0"/>
          <w:bCs w:val="0"/>
          <w:sz w:val="22"/>
          <w:szCs w:val="22"/>
        </w:rPr>
        <w:t>tis. eur</w:t>
      </w:r>
      <w:r w:rsidRPr="0072101A" w:rsidR="00623A5C">
        <w:rPr>
          <w:rFonts w:ascii="Times New Roman" w:hAnsi="Times New Roman"/>
          <w:b w:val="0"/>
          <w:bCs w:val="0"/>
          <w:sz w:val="22"/>
          <w:szCs w:val="22"/>
        </w:rPr>
        <w:t>)</w:t>
      </w:r>
      <w:r w:rsidRPr="0072101A" w:rsidR="001110FC">
        <w:rPr>
          <w:rFonts w:ascii="Times New Roman" w:hAnsi="Times New Roman"/>
          <w:b w:val="0"/>
          <w:bCs w:val="0"/>
          <w:sz w:val="22"/>
          <w:szCs w:val="22"/>
        </w:rPr>
        <w:t>, ktoré boli poskytnuté zo štátneho rozpočtu ostatným subjektom, podnikateľským subjektom a obyvateľstvu.</w:t>
      </w:r>
      <w:r w:rsidRPr="0072101A" w:rsidR="00813802">
        <w:rPr>
          <w:rFonts w:ascii="Times New Roman" w:hAnsi="Times New Roman"/>
          <w:b w:val="0"/>
          <w:bCs w:val="0"/>
          <w:sz w:val="22"/>
          <w:szCs w:val="22"/>
        </w:rPr>
        <w:t xml:space="preserve"> Medziročné </w:t>
      </w:r>
      <w:r w:rsidRPr="0072101A" w:rsidR="0027357D">
        <w:rPr>
          <w:rFonts w:ascii="Times New Roman" w:hAnsi="Times New Roman"/>
          <w:b w:val="0"/>
          <w:bCs w:val="0"/>
          <w:sz w:val="22"/>
          <w:szCs w:val="22"/>
        </w:rPr>
        <w:t>zvýšenie</w:t>
      </w:r>
      <w:r w:rsidRPr="0072101A" w:rsidR="00813802">
        <w:rPr>
          <w:rFonts w:ascii="Times New Roman" w:hAnsi="Times New Roman"/>
          <w:b w:val="0"/>
          <w:bCs w:val="0"/>
          <w:sz w:val="22"/>
          <w:szCs w:val="22"/>
        </w:rPr>
        <w:t xml:space="preserve"> nákladov na transfery zo štátneho rozpočtu</w:t>
      </w:r>
      <w:r w:rsidRPr="0072101A" w:rsidR="000A2BEC">
        <w:rPr>
          <w:rFonts w:ascii="Times New Roman" w:hAnsi="Times New Roman"/>
          <w:b w:val="0"/>
          <w:bCs w:val="0"/>
          <w:sz w:val="22"/>
          <w:szCs w:val="22"/>
        </w:rPr>
        <w:t>,</w:t>
      </w:r>
      <w:r w:rsidRPr="0072101A" w:rsidR="00813802">
        <w:rPr>
          <w:rFonts w:ascii="Times New Roman" w:hAnsi="Times New Roman"/>
          <w:b w:val="0"/>
          <w:bCs w:val="0"/>
          <w:sz w:val="22"/>
          <w:szCs w:val="22"/>
        </w:rPr>
        <w:t xml:space="preserve"> o ktorých účtovalo Ministerstvo financií SR bolo vo výške </w:t>
      </w:r>
      <w:r w:rsidR="00204F52">
        <w:rPr>
          <w:rFonts w:ascii="Times New Roman" w:hAnsi="Times New Roman"/>
          <w:b w:val="0"/>
          <w:bCs w:val="0"/>
          <w:sz w:val="22"/>
          <w:szCs w:val="22"/>
        </w:rPr>
        <w:t>1 462 567 tis. eur.</w:t>
      </w:r>
      <w:r w:rsidR="00C0749D">
        <w:rPr>
          <w:rFonts w:ascii="Times New Roman" w:hAnsi="Times New Roman"/>
          <w:b w:val="0"/>
          <w:bCs w:val="0"/>
          <w:sz w:val="22"/>
          <w:szCs w:val="22"/>
        </w:rPr>
        <w:t xml:space="preserve"> Zvýšené náklady na poskytnuté transfery boli kompenzované vyššími výnosmi z transferov z EÚ prostriedkov. Tieto sa účtujú do výnosov v časovej a vecnej súvislosti s poskytnutím prostriedkov, a ide najmä o transfery územnej samospráve (mimo konsolidácie), podnikateľským subjektom na území SR a ostatným subjektom verejnej správy.</w:t>
      </w:r>
    </w:p>
    <w:p w:rsidR="00F81816">
      <w:pPr>
        <w:bidi w:val="0"/>
        <w:spacing w:after="0" w:line="240" w:lineRule="auto"/>
        <w:rPr>
          <w:rFonts w:ascii="Times New Roman" w:hAnsi="Times New Roman"/>
          <w:b/>
          <w:sz w:val="24"/>
          <w:szCs w:val="24"/>
          <w:lang w:eastAsia="sk-SK"/>
        </w:rPr>
      </w:pPr>
      <w:r>
        <w:rPr>
          <w:bCs/>
          <w:sz w:val="24"/>
          <w:szCs w:val="24"/>
        </w:rPr>
        <w:br w:type="page"/>
      </w:r>
    </w:p>
    <w:p w:rsidR="00156B30" w:rsidRPr="0072101A" w:rsidP="00C92548">
      <w:pPr>
        <w:pStyle w:val="Pismenka"/>
        <w:tabs>
          <w:tab w:val="clear" w:pos="426"/>
        </w:tabs>
        <w:bidi w:val="0"/>
        <w:spacing w:before="240" w:after="200" w:line="336" w:lineRule="auto"/>
        <w:ind w:left="0" w:firstLine="0"/>
        <w:rPr>
          <w:rFonts w:ascii="Times New Roman" w:hAnsi="Times New Roman"/>
          <w:bCs w:val="0"/>
          <w:sz w:val="24"/>
          <w:szCs w:val="24"/>
        </w:rPr>
      </w:pPr>
      <w:r w:rsidRPr="0072101A" w:rsidR="00EB4514">
        <w:rPr>
          <w:rFonts w:ascii="Times New Roman" w:hAnsi="Times New Roman"/>
          <w:bCs w:val="0"/>
          <w:sz w:val="24"/>
          <w:szCs w:val="24"/>
        </w:rPr>
        <w:t>VÝNOSY</w:t>
      </w:r>
    </w:p>
    <w:p w:rsidR="00EB4514" w:rsidRPr="0072101A" w:rsidP="00142D17">
      <w:pPr>
        <w:pStyle w:val="Pismenka"/>
        <w:tabs>
          <w:tab w:val="clear" w:pos="426"/>
        </w:tabs>
        <w:bidi w:val="0"/>
        <w:spacing w:after="120"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rPr>
        <w:t>Výnosy súhrnného celku dosiahli k 31.12.201</w:t>
      </w:r>
      <w:r w:rsidR="00A54632">
        <w:rPr>
          <w:rFonts w:ascii="Times New Roman" w:hAnsi="Times New Roman"/>
          <w:b w:val="0"/>
          <w:bCs w:val="0"/>
          <w:sz w:val="22"/>
          <w:szCs w:val="22"/>
        </w:rPr>
        <w:t>5</w:t>
      </w:r>
      <w:r w:rsidRPr="0072101A">
        <w:rPr>
          <w:rFonts w:ascii="Times New Roman" w:hAnsi="Times New Roman"/>
          <w:b w:val="0"/>
          <w:bCs w:val="0"/>
          <w:sz w:val="22"/>
          <w:szCs w:val="22"/>
        </w:rPr>
        <w:t xml:space="preserve"> hodnotu </w:t>
      </w:r>
      <w:r w:rsidR="00215A21">
        <w:rPr>
          <w:rFonts w:ascii="Times New Roman" w:hAnsi="Times New Roman"/>
          <w:b w:val="0"/>
          <w:bCs w:val="0"/>
          <w:sz w:val="22"/>
          <w:szCs w:val="22"/>
        </w:rPr>
        <w:t xml:space="preserve">54 230 962 </w:t>
      </w:r>
      <w:r w:rsidRPr="0072101A" w:rsidR="00192EAA">
        <w:rPr>
          <w:rFonts w:ascii="Times New Roman" w:hAnsi="Times New Roman"/>
          <w:b w:val="0"/>
          <w:bCs w:val="0"/>
          <w:sz w:val="22"/>
          <w:szCs w:val="22"/>
        </w:rPr>
        <w:t xml:space="preserve">tis. eur </w:t>
      </w:r>
      <w:r w:rsidRPr="0072101A" w:rsidR="0095154C">
        <w:rPr>
          <w:rFonts w:ascii="Times New Roman" w:hAnsi="Times New Roman"/>
          <w:b w:val="0"/>
          <w:bCs w:val="0"/>
          <w:sz w:val="22"/>
          <w:szCs w:val="22"/>
        </w:rPr>
        <w:t>a oproti minulému obdobiu boli vyššie o</w:t>
      </w:r>
      <w:r w:rsidR="00215A21">
        <w:rPr>
          <w:rFonts w:ascii="Times New Roman" w:hAnsi="Times New Roman"/>
          <w:b w:val="0"/>
          <w:bCs w:val="0"/>
          <w:sz w:val="22"/>
          <w:szCs w:val="22"/>
        </w:rPr>
        <w:t> 4 603 003</w:t>
      </w:r>
      <w:r w:rsidRPr="0072101A" w:rsidR="0095154C">
        <w:rPr>
          <w:rFonts w:ascii="Times New Roman" w:hAnsi="Times New Roman"/>
          <w:b w:val="0"/>
          <w:bCs w:val="0"/>
          <w:sz w:val="22"/>
          <w:szCs w:val="22"/>
        </w:rPr>
        <w:t xml:space="preserve"> tis. eur. Na tomto medziročnom raste výnosov sa podieľali najmä</w:t>
      </w:r>
      <w:r w:rsidR="00DC1BD4">
        <w:rPr>
          <w:rFonts w:ascii="Times New Roman" w:hAnsi="Times New Roman"/>
          <w:b w:val="0"/>
          <w:bCs w:val="0"/>
          <w:sz w:val="22"/>
          <w:szCs w:val="22"/>
        </w:rPr>
        <w:t xml:space="preserve"> vyššie výnosy z transferov o 2 157 856 tis. eur, vyššie tržby o 1 544 927 tis. eur, vyššie finančné výnosy o 791 891 tis. eur a </w:t>
      </w:r>
      <w:r w:rsidR="00BF6273">
        <w:rPr>
          <w:rFonts w:ascii="Times New Roman" w:hAnsi="Times New Roman"/>
          <w:b w:val="0"/>
          <w:bCs w:val="0"/>
          <w:sz w:val="22"/>
          <w:szCs w:val="22"/>
        </w:rPr>
        <w:t>daňové</w:t>
      </w:r>
      <w:r w:rsidR="00DC1BD4">
        <w:rPr>
          <w:rFonts w:ascii="Times New Roman" w:hAnsi="Times New Roman"/>
          <w:b w:val="0"/>
          <w:bCs w:val="0"/>
          <w:sz w:val="22"/>
          <w:szCs w:val="22"/>
        </w:rPr>
        <w:t xml:space="preserve"> výnosy o</w:t>
      </w:r>
      <w:r w:rsidR="00BF6273">
        <w:rPr>
          <w:rFonts w:ascii="Times New Roman" w:hAnsi="Times New Roman"/>
          <w:b w:val="0"/>
          <w:bCs w:val="0"/>
          <w:sz w:val="22"/>
          <w:szCs w:val="22"/>
        </w:rPr>
        <w:t> 368 468</w:t>
      </w:r>
      <w:r w:rsidR="00DC1BD4">
        <w:rPr>
          <w:rFonts w:ascii="Times New Roman" w:hAnsi="Times New Roman"/>
          <w:b w:val="0"/>
          <w:bCs w:val="0"/>
          <w:sz w:val="22"/>
          <w:szCs w:val="22"/>
        </w:rPr>
        <w:t xml:space="preserve"> tis. eur.</w:t>
      </w:r>
      <w:r w:rsidR="00BF6273">
        <w:rPr>
          <w:rFonts w:ascii="Times New Roman" w:hAnsi="Times New Roman"/>
          <w:b w:val="0"/>
          <w:bCs w:val="0"/>
          <w:sz w:val="22"/>
          <w:szCs w:val="22"/>
        </w:rPr>
        <w:t xml:space="preserve"> </w:t>
      </w:r>
    </w:p>
    <w:tbl>
      <w:tblPr>
        <w:tblStyle w:val="TableNormal"/>
        <w:tblW w:w="4578" w:type="pct"/>
        <w:jc w:val="center"/>
        <w:tblCellMar>
          <w:left w:w="70" w:type="dxa"/>
          <w:right w:w="70" w:type="dxa"/>
        </w:tblCellMar>
        <w:tblLook w:val="00A0"/>
      </w:tblPr>
      <w:tblGrid>
        <w:gridCol w:w="5599"/>
        <w:gridCol w:w="1435"/>
        <w:gridCol w:w="1400"/>
      </w:tblGrid>
      <w:tr>
        <w:tblPrEx>
          <w:tblW w:w="4578" w:type="pct"/>
          <w:jc w:val="center"/>
          <w:tblCellMar>
            <w:left w:w="70" w:type="dxa"/>
            <w:right w:w="70" w:type="dxa"/>
          </w:tblCellMar>
          <w:tblLook w:val="00A0"/>
        </w:tblPrEx>
        <w:trPr>
          <w:trHeight w:val="330"/>
          <w:jc w:val="center"/>
        </w:trPr>
        <w:tc>
          <w:tcPr>
            <w:tcW w:w="3319" w:type="pct"/>
            <w:tcBorders>
              <w:top w:val="single" w:sz="4" w:space="0" w:color="auto"/>
              <w:left w:val="nil"/>
              <w:bottom w:val="single" w:sz="4" w:space="0" w:color="auto"/>
              <w:right w:val="nil"/>
            </w:tcBorders>
            <w:shd w:val="clear" w:color="000000" w:fill="000000"/>
            <w:noWrap/>
            <w:textDirection w:val="lrTb"/>
            <w:vAlign w:val="center"/>
          </w:tcPr>
          <w:p w:rsidR="00156B30" w:rsidRPr="0072101A" w:rsidP="0024355C">
            <w:pPr>
              <w:bidi w:val="0"/>
              <w:spacing w:after="0" w:line="240" w:lineRule="auto"/>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Výnosy podľa druhu (v tis. eur)</w:t>
            </w:r>
          </w:p>
        </w:tc>
        <w:tc>
          <w:tcPr>
            <w:tcW w:w="851" w:type="pct"/>
            <w:tcBorders>
              <w:top w:val="single" w:sz="4" w:space="0" w:color="auto"/>
              <w:left w:val="nil"/>
              <w:bottom w:val="single" w:sz="4" w:space="0" w:color="auto"/>
              <w:right w:val="nil"/>
            </w:tcBorders>
            <w:shd w:val="clear" w:color="000000" w:fill="000000"/>
            <w:textDirection w:val="lrTb"/>
            <w:vAlign w:val="center"/>
          </w:tcPr>
          <w:p w:rsidR="00156B30" w:rsidRPr="0072101A" w:rsidP="0024355C">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c>
          <w:tcPr>
            <w:tcW w:w="830" w:type="pct"/>
            <w:tcBorders>
              <w:top w:val="single" w:sz="4" w:space="0" w:color="auto"/>
              <w:left w:val="nil"/>
              <w:bottom w:val="single" w:sz="4" w:space="0" w:color="auto"/>
              <w:right w:val="nil"/>
            </w:tcBorders>
            <w:shd w:val="clear" w:color="000000" w:fill="000000"/>
            <w:textDirection w:val="lrTb"/>
            <w:vAlign w:val="center"/>
          </w:tcPr>
          <w:p w:rsidR="00156B30" w:rsidRPr="0072101A" w:rsidP="0024355C">
            <w:pPr>
              <w:bidi w:val="0"/>
              <w:spacing w:after="0" w:line="240" w:lineRule="auto"/>
              <w:jc w:val="center"/>
              <w:rPr>
                <w:rFonts w:ascii="Times New Roman" w:hAnsi="Times New Roman"/>
                <w:b/>
                <w:bCs/>
                <w:color w:val="FFFFFF"/>
                <w:sz w:val="20"/>
                <w:szCs w:val="20"/>
                <w:lang w:eastAsia="sk-SK"/>
              </w:rPr>
            </w:pPr>
            <w:r w:rsidRPr="0072101A">
              <w:rPr>
                <w:rFonts w:ascii="Times New Roman" w:hAnsi="Times New Roman"/>
                <w:b/>
                <w:bCs/>
                <w:color w:val="FFFFFF"/>
                <w:sz w:val="20"/>
                <w:szCs w:val="20"/>
                <w:lang w:eastAsia="sk-SK"/>
              </w:rPr>
              <w:t> </w:t>
            </w:r>
          </w:p>
        </w:tc>
      </w:tr>
      <w:tr>
        <w:tblPrEx>
          <w:tblW w:w="4578" w:type="pct"/>
          <w:jc w:val="center"/>
          <w:tblCellMar>
            <w:left w:w="70" w:type="dxa"/>
            <w:right w:w="70" w:type="dxa"/>
          </w:tblCellMar>
          <w:tblLook w:val="00A0"/>
        </w:tblPrEx>
        <w:trPr>
          <w:trHeight w:val="330"/>
          <w:jc w:val="center"/>
        </w:trPr>
        <w:tc>
          <w:tcPr>
            <w:tcW w:w="3319" w:type="pct"/>
            <w:tcBorders>
              <w:top w:val="nil"/>
              <w:left w:val="nil"/>
              <w:bottom w:val="single" w:sz="4" w:space="0" w:color="auto"/>
              <w:right w:val="nil"/>
            </w:tcBorders>
            <w:shd w:val="clear" w:color="000000" w:fill="BFBFBF"/>
            <w:noWrap/>
            <w:textDirection w:val="lrTb"/>
            <w:vAlign w:val="bottom"/>
          </w:tcPr>
          <w:p w:rsidR="00156B30" w:rsidRPr="0072101A" w:rsidP="0024355C">
            <w:pPr>
              <w:bidi w:val="0"/>
              <w:spacing w:after="0" w:line="240" w:lineRule="auto"/>
              <w:rPr>
                <w:rFonts w:ascii="Times New Roman" w:hAnsi="Times New Roman"/>
                <w:b/>
                <w:bCs/>
                <w:sz w:val="20"/>
                <w:szCs w:val="20"/>
                <w:lang w:eastAsia="sk-SK"/>
              </w:rPr>
            </w:pPr>
          </w:p>
        </w:tc>
        <w:tc>
          <w:tcPr>
            <w:tcW w:w="851" w:type="pct"/>
            <w:tcBorders>
              <w:top w:val="nil"/>
              <w:left w:val="nil"/>
              <w:bottom w:val="single" w:sz="4" w:space="0" w:color="auto"/>
              <w:right w:val="nil"/>
            </w:tcBorders>
            <w:shd w:val="clear" w:color="000000" w:fill="BFBFBF"/>
            <w:noWrap/>
            <w:textDirection w:val="lrTb"/>
            <w:vAlign w:val="bottom"/>
          </w:tcPr>
          <w:p w:rsidR="00156B30" w:rsidRPr="0072101A" w:rsidP="00192EAA">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201</w:t>
            </w:r>
            <w:r w:rsidR="00BF6273">
              <w:rPr>
                <w:rFonts w:ascii="Times New Roman" w:hAnsi="Times New Roman"/>
                <w:b/>
                <w:bCs/>
                <w:sz w:val="20"/>
                <w:szCs w:val="20"/>
                <w:lang w:eastAsia="sk-SK"/>
              </w:rPr>
              <w:t>5</w:t>
            </w:r>
          </w:p>
        </w:tc>
        <w:tc>
          <w:tcPr>
            <w:tcW w:w="830" w:type="pct"/>
            <w:tcBorders>
              <w:top w:val="nil"/>
              <w:left w:val="nil"/>
              <w:bottom w:val="single" w:sz="4" w:space="0" w:color="auto"/>
              <w:right w:val="nil"/>
            </w:tcBorders>
            <w:shd w:val="clear" w:color="000000" w:fill="BFBFBF"/>
            <w:noWrap/>
            <w:textDirection w:val="lrTb"/>
            <w:vAlign w:val="bottom"/>
          </w:tcPr>
          <w:p w:rsidR="00156B30" w:rsidRPr="0072101A" w:rsidP="00BF6273">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201</w:t>
            </w:r>
            <w:r w:rsidR="00BF6273">
              <w:rPr>
                <w:rFonts w:ascii="Times New Roman" w:hAnsi="Times New Roman"/>
                <w:b/>
                <w:bCs/>
                <w:sz w:val="20"/>
                <w:szCs w:val="20"/>
                <w:lang w:eastAsia="sk-SK"/>
              </w:rPr>
              <w:t>4</w:t>
            </w:r>
          </w:p>
        </w:tc>
      </w:tr>
      <w:tr>
        <w:tblPrEx>
          <w:tblW w:w="4578" w:type="pct"/>
          <w:jc w:val="center"/>
          <w:tblCellMar>
            <w:left w:w="70" w:type="dxa"/>
            <w:right w:w="70" w:type="dxa"/>
          </w:tblCellMar>
          <w:tblLook w:val="00A0"/>
        </w:tblPrEx>
        <w:trPr>
          <w:trHeight w:val="330"/>
          <w:jc w:val="center"/>
        </w:trPr>
        <w:tc>
          <w:tcPr>
            <w:tcW w:w="3319" w:type="pct"/>
            <w:tcBorders>
              <w:top w:val="nil"/>
              <w:left w:val="nil"/>
              <w:bottom w:val="nil"/>
              <w:right w:val="nil"/>
            </w:tcBorders>
            <w:shd w:val="clear" w:color="000000" w:fill="FFFFFF"/>
            <w:textDirection w:val="lrTb"/>
            <w:vAlign w:val="center"/>
          </w:tcPr>
          <w:p w:rsidR="00BF6273" w:rsidRPr="0072101A" w:rsidP="0024355C">
            <w:pPr>
              <w:bidi w:val="0"/>
              <w:spacing w:after="0" w:line="240" w:lineRule="auto"/>
              <w:rPr>
                <w:rFonts w:ascii="Times New Roman" w:hAnsi="Times New Roman"/>
                <w:color w:val="000000"/>
                <w:sz w:val="20"/>
                <w:szCs w:val="20"/>
                <w:lang w:eastAsia="sk-SK"/>
              </w:rPr>
            </w:pPr>
            <w:r w:rsidRPr="0072101A">
              <w:rPr>
                <w:rFonts w:ascii="Times New Roman" w:hAnsi="Times New Roman"/>
                <w:bCs/>
                <w:color w:val="000000"/>
                <w:sz w:val="20"/>
                <w:szCs w:val="20"/>
                <w:lang w:eastAsia="sk-SK"/>
              </w:rPr>
              <w:t xml:space="preserve">Prevádzkové </w:t>
            </w:r>
          </w:p>
        </w:tc>
        <w:tc>
          <w:tcPr>
            <w:tcW w:w="851" w:type="pct"/>
            <w:tcBorders>
              <w:top w:val="nil"/>
              <w:left w:val="nil"/>
              <w:bottom w:val="nil"/>
              <w:right w:val="nil"/>
            </w:tcBorders>
            <w:shd w:val="clear" w:color="000000" w:fill="FFFFFF"/>
            <w:textDirection w:val="lrTb"/>
            <w:vAlign w:val="center"/>
          </w:tcPr>
          <w:p w:rsidR="00BF6273" w:rsidRPr="0072101A" w:rsidP="008153CD">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45 275 042</w:t>
            </w:r>
          </w:p>
        </w:tc>
        <w:tc>
          <w:tcPr>
            <w:tcW w:w="830" w:type="pct"/>
            <w:tcBorders>
              <w:top w:val="nil"/>
              <w:left w:val="nil"/>
              <w:bottom w:val="nil"/>
              <w:right w:val="nil"/>
            </w:tcBorders>
            <w:shd w:val="clear" w:color="000000" w:fill="FFFFFF"/>
            <w:textDirection w:val="lrTb"/>
            <w:vAlign w:val="center"/>
          </w:tcPr>
          <w:p w:rsidR="00BF6273" w:rsidRPr="0072101A" w:rsidP="00900489">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43 620 884</w:t>
            </w:r>
          </w:p>
        </w:tc>
      </w:tr>
      <w:tr>
        <w:tblPrEx>
          <w:tblW w:w="4578" w:type="pct"/>
          <w:jc w:val="center"/>
          <w:tblCellMar>
            <w:left w:w="70" w:type="dxa"/>
            <w:right w:w="70" w:type="dxa"/>
          </w:tblCellMar>
          <w:tblLook w:val="00A0"/>
        </w:tblPrEx>
        <w:trPr>
          <w:trHeight w:val="330"/>
          <w:jc w:val="center"/>
        </w:trPr>
        <w:tc>
          <w:tcPr>
            <w:tcW w:w="3319" w:type="pct"/>
            <w:tcBorders>
              <w:top w:val="nil"/>
              <w:left w:val="nil"/>
              <w:bottom w:val="nil"/>
              <w:right w:val="nil"/>
            </w:tcBorders>
            <w:shd w:val="clear" w:color="000000" w:fill="FFFFFF"/>
            <w:textDirection w:val="lrTb"/>
            <w:vAlign w:val="center"/>
          </w:tcPr>
          <w:p w:rsidR="00BF6273" w:rsidRPr="0072101A" w:rsidP="0024355C">
            <w:pPr>
              <w:bidi w:val="0"/>
              <w:spacing w:after="0" w:line="240" w:lineRule="auto"/>
              <w:rPr>
                <w:rFonts w:ascii="Times New Roman" w:hAnsi="Times New Roman"/>
                <w:color w:val="000000"/>
                <w:sz w:val="20"/>
                <w:szCs w:val="20"/>
                <w:lang w:eastAsia="sk-SK"/>
              </w:rPr>
            </w:pPr>
            <w:r w:rsidRPr="0072101A">
              <w:rPr>
                <w:rFonts w:ascii="Times New Roman" w:hAnsi="Times New Roman"/>
                <w:bCs/>
                <w:color w:val="000000"/>
                <w:sz w:val="20"/>
                <w:szCs w:val="20"/>
                <w:lang w:eastAsia="sk-SK"/>
              </w:rPr>
              <w:t xml:space="preserve">Finančné </w:t>
            </w:r>
          </w:p>
        </w:tc>
        <w:tc>
          <w:tcPr>
            <w:tcW w:w="851" w:type="pct"/>
            <w:tcBorders>
              <w:top w:val="nil"/>
              <w:left w:val="nil"/>
              <w:bottom w:val="nil"/>
              <w:right w:val="nil"/>
            </w:tcBorders>
            <w:shd w:val="clear" w:color="000000" w:fill="FFFFFF"/>
            <w:textDirection w:val="lrTb"/>
            <w:vAlign w:val="center"/>
          </w:tcPr>
          <w:p w:rsidR="00BF6273" w:rsidRPr="0072101A" w:rsidP="0024355C">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2 162 817</w:t>
            </w:r>
          </w:p>
        </w:tc>
        <w:tc>
          <w:tcPr>
            <w:tcW w:w="830" w:type="pct"/>
            <w:tcBorders>
              <w:top w:val="nil"/>
              <w:left w:val="nil"/>
              <w:bottom w:val="nil"/>
              <w:right w:val="nil"/>
            </w:tcBorders>
            <w:shd w:val="clear" w:color="000000" w:fill="FFFFFF"/>
            <w:textDirection w:val="lrTb"/>
            <w:vAlign w:val="center"/>
          </w:tcPr>
          <w:p w:rsidR="00BF6273" w:rsidRPr="0072101A" w:rsidP="00900489">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1 370 926</w:t>
            </w:r>
          </w:p>
        </w:tc>
      </w:tr>
      <w:tr>
        <w:tblPrEx>
          <w:tblW w:w="4578" w:type="pct"/>
          <w:jc w:val="center"/>
          <w:tblCellMar>
            <w:left w:w="70" w:type="dxa"/>
            <w:right w:w="70" w:type="dxa"/>
          </w:tblCellMar>
          <w:tblLook w:val="00A0"/>
        </w:tblPrEx>
        <w:trPr>
          <w:trHeight w:val="330"/>
          <w:jc w:val="center"/>
        </w:trPr>
        <w:tc>
          <w:tcPr>
            <w:tcW w:w="3319" w:type="pct"/>
            <w:tcBorders>
              <w:top w:val="nil"/>
              <w:left w:val="nil"/>
              <w:bottom w:val="nil"/>
              <w:right w:val="nil"/>
            </w:tcBorders>
            <w:shd w:val="clear" w:color="000000" w:fill="FFFFFF"/>
            <w:textDirection w:val="lrTb"/>
            <w:vAlign w:val="center"/>
          </w:tcPr>
          <w:p w:rsidR="00BF6273" w:rsidRPr="0072101A" w:rsidP="0024355C">
            <w:pPr>
              <w:bidi w:val="0"/>
              <w:spacing w:after="0" w:line="240" w:lineRule="auto"/>
              <w:rPr>
                <w:rFonts w:ascii="Times New Roman" w:hAnsi="Times New Roman"/>
                <w:color w:val="000000"/>
                <w:sz w:val="20"/>
                <w:szCs w:val="20"/>
                <w:lang w:eastAsia="sk-SK"/>
              </w:rPr>
            </w:pPr>
            <w:r w:rsidRPr="0072101A">
              <w:rPr>
                <w:rFonts w:ascii="Times New Roman" w:hAnsi="Times New Roman"/>
                <w:bCs/>
                <w:color w:val="000000"/>
                <w:sz w:val="20"/>
                <w:szCs w:val="20"/>
                <w:lang w:eastAsia="sk-SK"/>
              </w:rPr>
              <w:t xml:space="preserve">Mimoriadne </w:t>
            </w:r>
          </w:p>
        </w:tc>
        <w:tc>
          <w:tcPr>
            <w:tcW w:w="851" w:type="pct"/>
            <w:tcBorders>
              <w:top w:val="nil"/>
              <w:left w:val="nil"/>
              <w:bottom w:val="nil"/>
              <w:right w:val="nil"/>
            </w:tcBorders>
            <w:shd w:val="clear" w:color="000000" w:fill="FFFFFF"/>
            <w:textDirection w:val="lrTb"/>
            <w:vAlign w:val="center"/>
          </w:tcPr>
          <w:p w:rsidR="00BF6273" w:rsidRPr="0072101A" w:rsidP="0024355C">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5 317</w:t>
            </w:r>
          </w:p>
        </w:tc>
        <w:tc>
          <w:tcPr>
            <w:tcW w:w="830" w:type="pct"/>
            <w:tcBorders>
              <w:top w:val="nil"/>
              <w:left w:val="nil"/>
              <w:bottom w:val="nil"/>
              <w:right w:val="nil"/>
            </w:tcBorders>
            <w:shd w:val="clear" w:color="000000" w:fill="FFFFFF"/>
            <w:textDirection w:val="lrTb"/>
            <w:vAlign w:val="center"/>
          </w:tcPr>
          <w:p w:rsidR="00BF6273" w:rsidRPr="0072101A" w:rsidP="00900489">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6 220</w:t>
            </w:r>
          </w:p>
        </w:tc>
      </w:tr>
      <w:tr>
        <w:tblPrEx>
          <w:tblW w:w="4578" w:type="pct"/>
          <w:jc w:val="center"/>
          <w:tblCellMar>
            <w:left w:w="70" w:type="dxa"/>
            <w:right w:w="70" w:type="dxa"/>
          </w:tblCellMar>
          <w:tblLook w:val="00A0"/>
        </w:tblPrEx>
        <w:trPr>
          <w:trHeight w:val="330"/>
          <w:jc w:val="center"/>
        </w:trPr>
        <w:tc>
          <w:tcPr>
            <w:tcW w:w="3319" w:type="pct"/>
            <w:tcBorders>
              <w:top w:val="nil"/>
              <w:left w:val="nil"/>
              <w:bottom w:val="nil"/>
              <w:right w:val="nil"/>
            </w:tcBorders>
            <w:shd w:val="clear" w:color="000000" w:fill="FFFFFF"/>
            <w:textDirection w:val="lrTb"/>
            <w:vAlign w:val="center"/>
          </w:tcPr>
          <w:p w:rsidR="00BF6273" w:rsidRPr="0072101A" w:rsidP="00156B30">
            <w:pPr>
              <w:bidi w:val="0"/>
              <w:spacing w:after="0" w:line="240" w:lineRule="auto"/>
              <w:rPr>
                <w:rFonts w:ascii="Times New Roman" w:hAnsi="Times New Roman"/>
                <w:color w:val="000000"/>
                <w:sz w:val="20"/>
                <w:szCs w:val="20"/>
                <w:lang w:eastAsia="sk-SK"/>
              </w:rPr>
            </w:pPr>
            <w:r w:rsidRPr="0072101A">
              <w:rPr>
                <w:rFonts w:ascii="Times New Roman" w:hAnsi="Times New Roman"/>
                <w:bCs/>
                <w:color w:val="000000"/>
                <w:sz w:val="20"/>
                <w:szCs w:val="20"/>
                <w:lang w:eastAsia="sk-SK"/>
              </w:rPr>
              <w:t>Výnosy z transferov</w:t>
            </w:r>
          </w:p>
        </w:tc>
        <w:tc>
          <w:tcPr>
            <w:tcW w:w="851" w:type="pct"/>
            <w:tcBorders>
              <w:top w:val="nil"/>
              <w:left w:val="nil"/>
              <w:bottom w:val="nil"/>
              <w:right w:val="nil"/>
            </w:tcBorders>
            <w:shd w:val="clear" w:color="000000" w:fill="FFFFFF"/>
            <w:textDirection w:val="lrTb"/>
            <w:vAlign w:val="center"/>
          </w:tcPr>
          <w:p w:rsidR="00BF6273" w:rsidRPr="0072101A" w:rsidP="0024355C">
            <w:pPr>
              <w:bidi w:val="0"/>
              <w:spacing w:after="0" w:line="240" w:lineRule="auto"/>
              <w:jc w:val="right"/>
              <w:rPr>
                <w:rFonts w:ascii="Times New Roman" w:hAnsi="Times New Roman"/>
                <w:color w:val="000000"/>
                <w:sz w:val="20"/>
                <w:szCs w:val="20"/>
                <w:lang w:eastAsia="sk-SK"/>
              </w:rPr>
            </w:pPr>
            <w:r>
              <w:rPr>
                <w:rFonts w:ascii="Times New Roman" w:hAnsi="Times New Roman"/>
                <w:color w:val="000000"/>
                <w:sz w:val="20"/>
                <w:szCs w:val="20"/>
                <w:lang w:eastAsia="sk-SK"/>
              </w:rPr>
              <w:t>6 787 786</w:t>
            </w:r>
          </w:p>
        </w:tc>
        <w:tc>
          <w:tcPr>
            <w:tcW w:w="830" w:type="pct"/>
            <w:tcBorders>
              <w:top w:val="nil"/>
              <w:left w:val="nil"/>
              <w:bottom w:val="nil"/>
              <w:right w:val="nil"/>
            </w:tcBorders>
            <w:shd w:val="clear" w:color="000000" w:fill="FFFFFF"/>
            <w:textDirection w:val="lrTb"/>
            <w:vAlign w:val="center"/>
          </w:tcPr>
          <w:p w:rsidR="00BF6273" w:rsidRPr="0072101A" w:rsidP="00900489">
            <w:pPr>
              <w:bidi w:val="0"/>
              <w:spacing w:after="0" w:line="240" w:lineRule="auto"/>
              <w:jc w:val="right"/>
              <w:rPr>
                <w:rFonts w:ascii="Times New Roman" w:hAnsi="Times New Roman"/>
                <w:color w:val="000000"/>
                <w:sz w:val="20"/>
                <w:szCs w:val="20"/>
                <w:lang w:eastAsia="sk-SK"/>
              </w:rPr>
            </w:pPr>
            <w:r w:rsidRPr="0072101A">
              <w:rPr>
                <w:rFonts w:ascii="Times New Roman" w:hAnsi="Times New Roman"/>
                <w:color w:val="000000"/>
                <w:sz w:val="20"/>
                <w:szCs w:val="20"/>
                <w:lang w:eastAsia="sk-SK"/>
              </w:rPr>
              <w:t xml:space="preserve">4 629 929 </w:t>
            </w:r>
          </w:p>
        </w:tc>
      </w:tr>
      <w:tr>
        <w:tblPrEx>
          <w:tblW w:w="4578" w:type="pct"/>
          <w:jc w:val="center"/>
          <w:tblCellMar>
            <w:left w:w="70" w:type="dxa"/>
            <w:right w:w="70" w:type="dxa"/>
          </w:tblCellMar>
          <w:tblLook w:val="00A0"/>
        </w:tblPrEx>
        <w:trPr>
          <w:trHeight w:val="330"/>
          <w:jc w:val="center"/>
        </w:trPr>
        <w:tc>
          <w:tcPr>
            <w:tcW w:w="3319" w:type="pct"/>
            <w:tcBorders>
              <w:top w:val="nil"/>
              <w:left w:val="nil"/>
              <w:bottom w:val="single" w:sz="4" w:space="0" w:color="000000"/>
              <w:right w:val="nil"/>
            </w:tcBorders>
            <w:shd w:val="clear" w:color="000000" w:fill="FFFFFF"/>
            <w:textDirection w:val="lrTb"/>
            <w:vAlign w:val="center"/>
          </w:tcPr>
          <w:p w:rsidR="00BF6273" w:rsidRPr="0072101A" w:rsidP="0024355C">
            <w:pPr>
              <w:bidi w:val="0"/>
              <w:spacing w:after="0" w:line="240" w:lineRule="auto"/>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Spolu</w:t>
            </w:r>
          </w:p>
        </w:tc>
        <w:tc>
          <w:tcPr>
            <w:tcW w:w="851" w:type="pct"/>
            <w:tcBorders>
              <w:top w:val="nil"/>
              <w:left w:val="nil"/>
              <w:bottom w:val="single" w:sz="4" w:space="0" w:color="000000"/>
              <w:right w:val="nil"/>
            </w:tcBorders>
            <w:shd w:val="clear" w:color="000000" w:fill="FFFFFF"/>
            <w:textDirection w:val="lrTb"/>
            <w:vAlign w:val="center"/>
          </w:tcPr>
          <w:p w:rsidR="00BF6273" w:rsidRPr="0072101A" w:rsidP="0024355C">
            <w:pPr>
              <w:bidi w:val="0"/>
              <w:spacing w:after="0" w:line="240" w:lineRule="auto"/>
              <w:jc w:val="right"/>
              <w:rPr>
                <w:rFonts w:ascii="Times New Roman" w:hAnsi="Times New Roman"/>
                <w:b/>
                <w:bCs/>
                <w:color w:val="000000"/>
                <w:sz w:val="20"/>
                <w:szCs w:val="20"/>
                <w:lang w:eastAsia="sk-SK"/>
              </w:rPr>
            </w:pPr>
            <w:r>
              <w:rPr>
                <w:rFonts w:ascii="Times New Roman" w:hAnsi="Times New Roman"/>
                <w:b/>
                <w:bCs/>
                <w:color w:val="000000"/>
                <w:sz w:val="20"/>
                <w:szCs w:val="20"/>
                <w:lang w:eastAsia="sk-SK"/>
              </w:rPr>
              <w:t>54 230 962</w:t>
            </w:r>
          </w:p>
        </w:tc>
        <w:tc>
          <w:tcPr>
            <w:tcW w:w="830" w:type="pct"/>
            <w:tcBorders>
              <w:top w:val="nil"/>
              <w:left w:val="nil"/>
              <w:bottom w:val="single" w:sz="4" w:space="0" w:color="000000"/>
              <w:right w:val="nil"/>
            </w:tcBorders>
            <w:shd w:val="clear" w:color="000000" w:fill="FFFFFF"/>
            <w:textDirection w:val="lrTb"/>
            <w:vAlign w:val="center"/>
          </w:tcPr>
          <w:p w:rsidR="00BF6273" w:rsidRPr="0072101A" w:rsidP="00900489">
            <w:pPr>
              <w:bidi w:val="0"/>
              <w:spacing w:after="0" w:line="240" w:lineRule="auto"/>
              <w:jc w:val="right"/>
              <w:rPr>
                <w:rFonts w:ascii="Times New Roman" w:hAnsi="Times New Roman"/>
                <w:b/>
                <w:bCs/>
                <w:color w:val="000000"/>
                <w:sz w:val="20"/>
                <w:szCs w:val="20"/>
                <w:lang w:eastAsia="sk-SK"/>
              </w:rPr>
            </w:pPr>
            <w:r w:rsidRPr="0072101A">
              <w:rPr>
                <w:rFonts w:ascii="Times New Roman" w:hAnsi="Times New Roman"/>
                <w:b/>
                <w:bCs/>
                <w:color w:val="000000"/>
                <w:sz w:val="20"/>
                <w:szCs w:val="20"/>
                <w:lang w:eastAsia="sk-SK"/>
              </w:rPr>
              <w:t>49 627 959</w:t>
            </w:r>
          </w:p>
        </w:tc>
      </w:tr>
    </w:tbl>
    <w:p w:rsidR="00027B8B" w:rsidRPr="003B0463" w:rsidP="00027B8B">
      <w:pPr>
        <w:bidi w:val="0"/>
        <w:spacing w:before="120" w:after="120" w:line="360" w:lineRule="auto"/>
        <w:jc w:val="both"/>
        <w:rPr>
          <w:rFonts w:ascii="Times New Roman" w:hAnsi="Times New Roman"/>
          <w:b/>
          <w:bCs/>
          <w:szCs w:val="22"/>
        </w:rPr>
      </w:pPr>
      <w:r w:rsidRPr="003B0463">
        <w:rPr>
          <w:rFonts w:ascii="Times New Roman" w:hAnsi="Times New Roman"/>
          <w:b/>
          <w:bCs/>
          <w:szCs w:val="22"/>
        </w:rPr>
        <w:t>Ako prevádzkové výnosy sa vyk</w:t>
      </w:r>
      <w:r w:rsidRPr="003B0463" w:rsidR="00A74AA4">
        <w:rPr>
          <w:rFonts w:ascii="Times New Roman" w:hAnsi="Times New Roman"/>
          <w:b/>
          <w:bCs/>
          <w:szCs w:val="22"/>
        </w:rPr>
        <w:t xml:space="preserve">azujú tržby za vlastné výkony a </w:t>
      </w:r>
      <w:r w:rsidRPr="003B0463">
        <w:rPr>
          <w:rFonts w:ascii="Times New Roman" w:hAnsi="Times New Roman"/>
          <w:b/>
          <w:bCs/>
          <w:szCs w:val="22"/>
        </w:rPr>
        <w:t>tovar, daňové a</w:t>
      </w:r>
      <w:r w:rsidRPr="003B0463" w:rsidR="00A74AA4">
        <w:rPr>
          <w:rFonts w:ascii="Times New Roman" w:hAnsi="Times New Roman"/>
          <w:b/>
          <w:bCs/>
          <w:szCs w:val="22"/>
        </w:rPr>
        <w:t xml:space="preserve"> </w:t>
      </w:r>
      <w:r w:rsidRPr="003B0463">
        <w:rPr>
          <w:rFonts w:ascii="Times New Roman" w:hAnsi="Times New Roman"/>
          <w:b/>
          <w:bCs/>
          <w:szCs w:val="22"/>
        </w:rPr>
        <w:t xml:space="preserve">colné výnosy, výnosy z poplatkov, zúčtovanie rezerv a opravných položiek a ostatné prevádzkové výnosy uvedené v nasledovnom texte. </w:t>
      </w:r>
    </w:p>
    <w:p w:rsidR="00910B38" w:rsidRPr="0072101A" w:rsidP="00FA6C64">
      <w:pPr>
        <w:numPr>
          <w:numId w:val="25"/>
        </w:numPr>
        <w:bidi w:val="0"/>
        <w:spacing w:after="120" w:line="360" w:lineRule="auto"/>
        <w:ind w:left="425" w:hanging="425"/>
        <w:jc w:val="both"/>
        <w:rPr>
          <w:rFonts w:ascii="Times New Roman" w:hAnsi="Times New Roman"/>
          <w:b/>
          <w:bCs/>
          <w:sz w:val="24"/>
          <w:szCs w:val="24"/>
        </w:rPr>
      </w:pPr>
      <w:r w:rsidRPr="0072101A" w:rsidR="00FA68CA">
        <w:rPr>
          <w:rFonts w:ascii="Times New Roman" w:hAnsi="Times New Roman"/>
          <w:b/>
          <w:bCs/>
          <w:sz w:val="24"/>
          <w:szCs w:val="24"/>
        </w:rPr>
        <w:t>Tržby za vlastné výkony a</w:t>
      </w:r>
      <w:r w:rsidRPr="0072101A" w:rsidR="008E1C42">
        <w:rPr>
          <w:rFonts w:ascii="Times New Roman" w:hAnsi="Times New Roman"/>
          <w:b/>
          <w:bCs/>
          <w:sz w:val="24"/>
          <w:szCs w:val="24"/>
        </w:rPr>
        <w:t> </w:t>
      </w:r>
      <w:r w:rsidRPr="0072101A" w:rsidR="00FA68CA">
        <w:rPr>
          <w:rFonts w:ascii="Times New Roman" w:hAnsi="Times New Roman"/>
          <w:b/>
          <w:bCs/>
          <w:sz w:val="24"/>
          <w:szCs w:val="24"/>
        </w:rPr>
        <w:t>tovar</w:t>
      </w:r>
    </w:p>
    <w:p w:rsidR="007640CF" w:rsidP="005F7C66">
      <w:pPr>
        <w:pStyle w:val="Pismenka"/>
        <w:tabs>
          <w:tab w:val="clear" w:pos="426"/>
        </w:tabs>
        <w:bidi w:val="0"/>
        <w:spacing w:after="120" w:line="336" w:lineRule="auto"/>
        <w:ind w:left="0" w:firstLine="0"/>
        <w:rPr>
          <w:rFonts w:ascii="Times New Roman" w:hAnsi="Times New Roman"/>
          <w:b w:val="0"/>
          <w:bCs w:val="0"/>
          <w:sz w:val="22"/>
          <w:szCs w:val="22"/>
        </w:rPr>
      </w:pPr>
      <w:r w:rsidRPr="0072101A" w:rsidR="008E1C42">
        <w:rPr>
          <w:rFonts w:ascii="Times New Roman" w:hAnsi="Times New Roman"/>
          <w:b w:val="0"/>
          <w:bCs w:val="0"/>
          <w:sz w:val="22"/>
          <w:szCs w:val="22"/>
        </w:rPr>
        <w:t>V rámci tržieb za vlastné výkon</w:t>
      </w:r>
      <w:r w:rsidRPr="0072101A" w:rsidR="003635EA">
        <w:rPr>
          <w:rFonts w:ascii="Times New Roman" w:hAnsi="Times New Roman"/>
          <w:b w:val="0"/>
          <w:bCs w:val="0"/>
          <w:sz w:val="22"/>
          <w:szCs w:val="22"/>
        </w:rPr>
        <w:t>y</w:t>
      </w:r>
      <w:r w:rsidRPr="0072101A" w:rsidR="008E1C42">
        <w:rPr>
          <w:rFonts w:ascii="Times New Roman" w:hAnsi="Times New Roman"/>
          <w:b w:val="0"/>
          <w:bCs w:val="0"/>
          <w:sz w:val="22"/>
          <w:szCs w:val="22"/>
        </w:rPr>
        <w:t xml:space="preserve"> a</w:t>
      </w:r>
      <w:r w:rsidRPr="0072101A" w:rsidR="00A74AA4">
        <w:rPr>
          <w:rFonts w:ascii="Times New Roman" w:hAnsi="Times New Roman"/>
          <w:b w:val="0"/>
          <w:bCs w:val="0"/>
          <w:sz w:val="22"/>
          <w:szCs w:val="22"/>
        </w:rPr>
        <w:t xml:space="preserve"> </w:t>
      </w:r>
      <w:r w:rsidRPr="0072101A" w:rsidR="008E1C42">
        <w:rPr>
          <w:rFonts w:ascii="Times New Roman" w:hAnsi="Times New Roman"/>
          <w:b w:val="0"/>
          <w:bCs w:val="0"/>
          <w:sz w:val="22"/>
          <w:szCs w:val="22"/>
        </w:rPr>
        <w:t>tovar</w:t>
      </w:r>
      <w:r w:rsidRPr="0072101A" w:rsidR="005F7C66">
        <w:rPr>
          <w:rFonts w:ascii="Times New Roman" w:hAnsi="Times New Roman"/>
          <w:b w:val="0"/>
          <w:bCs w:val="0"/>
          <w:sz w:val="22"/>
          <w:szCs w:val="22"/>
        </w:rPr>
        <w:t xml:space="preserve"> </w:t>
      </w:r>
      <w:r w:rsidRPr="0072101A" w:rsidR="002D2C9D">
        <w:rPr>
          <w:rFonts w:ascii="Times New Roman" w:hAnsi="Times New Roman"/>
          <w:b w:val="0"/>
          <w:bCs w:val="0"/>
          <w:sz w:val="22"/>
          <w:szCs w:val="22"/>
        </w:rPr>
        <w:t xml:space="preserve">sú rozhodujúcou položkou </w:t>
      </w:r>
      <w:r w:rsidRPr="0072101A" w:rsidR="002D2C9D">
        <w:rPr>
          <w:rFonts w:ascii="Times New Roman" w:hAnsi="Times New Roman"/>
          <w:b w:val="0"/>
          <w:bCs w:val="0"/>
          <w:sz w:val="22"/>
          <w:szCs w:val="22"/>
          <w:u w:val="single"/>
        </w:rPr>
        <w:t>výnosy z poskytnutých služieb</w:t>
      </w:r>
      <w:r w:rsidRPr="0072101A" w:rsidR="002D2C9D">
        <w:rPr>
          <w:rFonts w:ascii="Times New Roman" w:hAnsi="Times New Roman"/>
          <w:b w:val="0"/>
          <w:bCs w:val="0"/>
          <w:sz w:val="22"/>
          <w:szCs w:val="22"/>
        </w:rPr>
        <w:t xml:space="preserve"> v hodnote </w:t>
      </w:r>
      <w:r>
        <w:rPr>
          <w:rFonts w:ascii="Times New Roman" w:hAnsi="Times New Roman"/>
          <w:b w:val="0"/>
          <w:bCs w:val="0"/>
          <w:sz w:val="22"/>
          <w:szCs w:val="22"/>
        </w:rPr>
        <w:t xml:space="preserve">23 260 788 </w:t>
      </w:r>
      <w:r w:rsidRPr="0072101A" w:rsidR="002D2C9D">
        <w:rPr>
          <w:rFonts w:ascii="Times New Roman" w:hAnsi="Times New Roman"/>
          <w:b w:val="0"/>
          <w:bCs w:val="0"/>
          <w:sz w:val="22"/>
          <w:szCs w:val="22"/>
        </w:rPr>
        <w:t xml:space="preserve">tis. eur. Tieto výnosy boli </w:t>
      </w:r>
      <w:r w:rsidRPr="0072101A" w:rsidR="00EF6C57">
        <w:rPr>
          <w:rFonts w:ascii="Times New Roman" w:hAnsi="Times New Roman"/>
          <w:b w:val="0"/>
          <w:bCs w:val="0"/>
          <w:sz w:val="22"/>
          <w:szCs w:val="22"/>
        </w:rPr>
        <w:t>vyššie</w:t>
      </w:r>
      <w:r w:rsidRPr="0072101A" w:rsidR="002D2C9D">
        <w:rPr>
          <w:rFonts w:ascii="Times New Roman" w:hAnsi="Times New Roman"/>
          <w:b w:val="0"/>
          <w:bCs w:val="0"/>
          <w:sz w:val="22"/>
          <w:szCs w:val="22"/>
        </w:rPr>
        <w:t xml:space="preserve"> oproti roku 201</w:t>
      </w:r>
      <w:r>
        <w:rPr>
          <w:rFonts w:ascii="Times New Roman" w:hAnsi="Times New Roman"/>
          <w:b w:val="0"/>
          <w:bCs w:val="0"/>
          <w:sz w:val="22"/>
          <w:szCs w:val="22"/>
        </w:rPr>
        <w:t>4</w:t>
      </w:r>
      <w:r w:rsidRPr="0072101A" w:rsidR="002D2C9D">
        <w:rPr>
          <w:rFonts w:ascii="Times New Roman" w:hAnsi="Times New Roman"/>
          <w:b w:val="0"/>
          <w:bCs w:val="0"/>
          <w:sz w:val="22"/>
          <w:szCs w:val="22"/>
        </w:rPr>
        <w:t xml:space="preserve"> o</w:t>
      </w:r>
      <w:r>
        <w:rPr>
          <w:rFonts w:ascii="Times New Roman" w:hAnsi="Times New Roman"/>
          <w:b w:val="0"/>
          <w:bCs w:val="0"/>
          <w:sz w:val="22"/>
          <w:szCs w:val="22"/>
        </w:rPr>
        <w:t> 665 440</w:t>
      </w:r>
      <w:r w:rsidRPr="0072101A" w:rsidR="00EF6C57">
        <w:rPr>
          <w:rFonts w:ascii="Times New Roman" w:hAnsi="Times New Roman"/>
          <w:b w:val="0"/>
          <w:bCs w:val="0"/>
          <w:sz w:val="22"/>
          <w:szCs w:val="22"/>
        </w:rPr>
        <w:t xml:space="preserve"> </w:t>
      </w:r>
      <w:r w:rsidRPr="0072101A" w:rsidR="002D2C9D">
        <w:rPr>
          <w:rFonts w:ascii="Times New Roman" w:hAnsi="Times New Roman"/>
          <w:b w:val="0"/>
          <w:bCs w:val="0"/>
          <w:sz w:val="22"/>
          <w:szCs w:val="22"/>
        </w:rPr>
        <w:t xml:space="preserve">tis. eur. </w:t>
      </w:r>
    </w:p>
    <w:p w:rsidR="007C132D" w:rsidRPr="0072101A" w:rsidP="007C132D">
      <w:pPr>
        <w:pStyle w:val="Pismenka"/>
        <w:tabs>
          <w:tab w:val="clear" w:pos="426"/>
        </w:tabs>
        <w:bidi w:val="0"/>
        <w:spacing w:after="120"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u w:val="single"/>
        </w:rPr>
        <w:t>Výnosy zo služieb v rámci celého súhrnného celku sú tvorené</w:t>
      </w:r>
      <w:r w:rsidR="00FE6D4C">
        <w:rPr>
          <w:rFonts w:ascii="Times New Roman" w:hAnsi="Times New Roman"/>
          <w:b w:val="0"/>
          <w:bCs w:val="0"/>
          <w:sz w:val="22"/>
          <w:szCs w:val="22"/>
        </w:rPr>
        <w:t xml:space="preserve"> najmä Sociálnou poisťovňou</w:t>
        <w:br/>
      </w:r>
      <w:r w:rsidRPr="0072101A">
        <w:rPr>
          <w:rFonts w:ascii="Times New Roman" w:hAnsi="Times New Roman"/>
          <w:b w:val="0"/>
          <w:bCs w:val="0"/>
          <w:sz w:val="22"/>
          <w:szCs w:val="22"/>
        </w:rPr>
        <w:t>(</w:t>
      </w:r>
      <w:r w:rsidRPr="0072101A" w:rsidR="00D562E5">
        <w:rPr>
          <w:rFonts w:ascii="Times New Roman" w:hAnsi="Times New Roman"/>
          <w:b w:val="0"/>
          <w:bCs w:val="0"/>
          <w:sz w:val="22"/>
          <w:szCs w:val="22"/>
        </w:rPr>
        <w:t>16</w:t>
      </w:r>
      <w:r w:rsidR="00900489">
        <w:rPr>
          <w:rFonts w:ascii="Times New Roman" w:hAnsi="Times New Roman"/>
          <w:b w:val="0"/>
          <w:bCs w:val="0"/>
          <w:sz w:val="22"/>
          <w:szCs w:val="22"/>
        </w:rPr>
        <w:t> 573 127</w:t>
      </w:r>
      <w:r w:rsidRPr="0072101A">
        <w:rPr>
          <w:rFonts w:ascii="Times New Roman" w:hAnsi="Times New Roman"/>
          <w:b w:val="0"/>
          <w:bCs w:val="0"/>
          <w:sz w:val="22"/>
          <w:szCs w:val="22"/>
        </w:rPr>
        <w:t xml:space="preserve"> tis. eur), Všeobecnou zdravotnou poisťovňou, a.s. (</w:t>
      </w:r>
      <w:r w:rsidRPr="0072101A" w:rsidR="00D562E5">
        <w:rPr>
          <w:rFonts w:ascii="Times New Roman" w:hAnsi="Times New Roman"/>
          <w:b w:val="0"/>
          <w:bCs w:val="0"/>
          <w:sz w:val="22"/>
          <w:szCs w:val="22"/>
        </w:rPr>
        <w:t>2</w:t>
      </w:r>
      <w:r w:rsidR="00900489">
        <w:rPr>
          <w:rFonts w:ascii="Times New Roman" w:hAnsi="Times New Roman"/>
          <w:b w:val="0"/>
          <w:bCs w:val="0"/>
          <w:sz w:val="22"/>
          <w:szCs w:val="22"/>
        </w:rPr>
        <w:t> 545 889 tis. eur).</w:t>
      </w:r>
      <w:r w:rsidRPr="0072101A">
        <w:rPr>
          <w:rFonts w:ascii="Times New Roman" w:hAnsi="Times New Roman"/>
          <w:b w:val="0"/>
          <w:bCs w:val="0"/>
          <w:sz w:val="22"/>
          <w:szCs w:val="22"/>
        </w:rPr>
        <w:t xml:space="preserve"> Vplyv na tieto výnosy majú prijaté úhrady zo zdravotných a sociálnych odvodov.</w:t>
      </w:r>
      <w:r w:rsidR="00900489">
        <w:rPr>
          <w:rFonts w:ascii="Times New Roman" w:hAnsi="Times New Roman"/>
          <w:b w:val="0"/>
          <w:bCs w:val="0"/>
          <w:sz w:val="22"/>
          <w:szCs w:val="22"/>
        </w:rPr>
        <w:t xml:space="preserve"> Š</w:t>
      </w:r>
      <w:r w:rsidRPr="0072101A" w:rsidR="00900489">
        <w:rPr>
          <w:rFonts w:ascii="Times New Roman" w:hAnsi="Times New Roman"/>
          <w:b w:val="0"/>
          <w:bCs w:val="0"/>
          <w:sz w:val="22"/>
          <w:szCs w:val="22"/>
        </w:rPr>
        <w:t>tátn</w:t>
      </w:r>
      <w:r w:rsidR="00900489">
        <w:rPr>
          <w:rFonts w:ascii="Times New Roman" w:hAnsi="Times New Roman"/>
          <w:b w:val="0"/>
          <w:bCs w:val="0"/>
          <w:sz w:val="22"/>
          <w:szCs w:val="22"/>
        </w:rPr>
        <w:t>e</w:t>
      </w:r>
      <w:r w:rsidRPr="0072101A" w:rsidR="00900489">
        <w:rPr>
          <w:rFonts w:ascii="Times New Roman" w:hAnsi="Times New Roman"/>
          <w:b w:val="0"/>
          <w:bCs w:val="0"/>
          <w:sz w:val="22"/>
          <w:szCs w:val="22"/>
        </w:rPr>
        <w:t xml:space="preserve"> obchodn</w:t>
      </w:r>
      <w:r w:rsidR="00900489">
        <w:rPr>
          <w:rFonts w:ascii="Times New Roman" w:hAnsi="Times New Roman"/>
          <w:b w:val="0"/>
          <w:bCs w:val="0"/>
          <w:sz w:val="22"/>
          <w:szCs w:val="22"/>
        </w:rPr>
        <w:t xml:space="preserve">é spoločnosti vykázali výnosy zo služieb v objeme </w:t>
      </w:r>
      <w:r w:rsidRPr="0072101A" w:rsidR="00900489">
        <w:rPr>
          <w:rFonts w:ascii="Times New Roman" w:hAnsi="Times New Roman"/>
          <w:b w:val="0"/>
          <w:bCs w:val="0"/>
          <w:sz w:val="22"/>
          <w:szCs w:val="22"/>
        </w:rPr>
        <w:t>2</w:t>
      </w:r>
      <w:r w:rsidR="00900489">
        <w:rPr>
          <w:rFonts w:ascii="Times New Roman" w:hAnsi="Times New Roman"/>
          <w:b w:val="0"/>
          <w:bCs w:val="0"/>
          <w:sz w:val="22"/>
          <w:szCs w:val="22"/>
        </w:rPr>
        <w:t> </w:t>
      </w:r>
      <w:r w:rsidRPr="0072101A" w:rsidR="00900489">
        <w:rPr>
          <w:rFonts w:ascii="Times New Roman" w:hAnsi="Times New Roman"/>
          <w:b w:val="0"/>
          <w:bCs w:val="0"/>
          <w:sz w:val="22"/>
          <w:szCs w:val="22"/>
        </w:rPr>
        <w:t>4</w:t>
      </w:r>
      <w:r w:rsidR="00900489">
        <w:rPr>
          <w:rFonts w:ascii="Times New Roman" w:hAnsi="Times New Roman"/>
          <w:b w:val="0"/>
          <w:bCs w:val="0"/>
          <w:sz w:val="22"/>
          <w:szCs w:val="22"/>
        </w:rPr>
        <w:t>88 843</w:t>
      </w:r>
      <w:r w:rsidRPr="0072101A" w:rsidR="00900489">
        <w:rPr>
          <w:rFonts w:ascii="Times New Roman" w:hAnsi="Times New Roman"/>
          <w:b w:val="0"/>
          <w:bCs w:val="0"/>
          <w:sz w:val="22"/>
          <w:szCs w:val="22"/>
        </w:rPr>
        <w:t xml:space="preserve"> tis. eur a štátn</w:t>
      </w:r>
      <w:r w:rsidR="00900489">
        <w:rPr>
          <w:rFonts w:ascii="Times New Roman" w:hAnsi="Times New Roman"/>
          <w:b w:val="0"/>
          <w:bCs w:val="0"/>
          <w:sz w:val="22"/>
          <w:szCs w:val="22"/>
        </w:rPr>
        <w:t>e</w:t>
      </w:r>
      <w:r w:rsidRPr="0072101A" w:rsidR="00900489">
        <w:rPr>
          <w:rFonts w:ascii="Times New Roman" w:hAnsi="Times New Roman"/>
          <w:b w:val="0"/>
          <w:bCs w:val="0"/>
          <w:sz w:val="22"/>
          <w:szCs w:val="22"/>
        </w:rPr>
        <w:t xml:space="preserve"> podnik</w:t>
      </w:r>
      <w:r w:rsidR="00900489">
        <w:rPr>
          <w:rFonts w:ascii="Times New Roman" w:hAnsi="Times New Roman"/>
          <w:b w:val="0"/>
          <w:bCs w:val="0"/>
          <w:sz w:val="22"/>
          <w:szCs w:val="22"/>
        </w:rPr>
        <w:t>y</w:t>
      </w:r>
      <w:r w:rsidRPr="0072101A" w:rsidR="00900489">
        <w:rPr>
          <w:rFonts w:ascii="Times New Roman" w:hAnsi="Times New Roman"/>
          <w:b w:val="0"/>
          <w:bCs w:val="0"/>
          <w:sz w:val="22"/>
          <w:szCs w:val="22"/>
        </w:rPr>
        <w:t xml:space="preserve"> 3</w:t>
      </w:r>
      <w:r w:rsidR="00900489">
        <w:rPr>
          <w:rFonts w:ascii="Times New Roman" w:hAnsi="Times New Roman"/>
          <w:b w:val="0"/>
          <w:bCs w:val="0"/>
          <w:sz w:val="22"/>
          <w:szCs w:val="22"/>
        </w:rPr>
        <w:t>15 500</w:t>
      </w:r>
      <w:r w:rsidRPr="0072101A" w:rsidR="00900489">
        <w:rPr>
          <w:rFonts w:ascii="Times New Roman" w:hAnsi="Times New Roman"/>
          <w:b w:val="0"/>
          <w:bCs w:val="0"/>
          <w:sz w:val="22"/>
          <w:szCs w:val="22"/>
        </w:rPr>
        <w:t xml:space="preserve"> tis. eur.</w:t>
      </w:r>
      <w:r w:rsidRPr="0072101A">
        <w:rPr>
          <w:rFonts w:ascii="Times New Roman" w:hAnsi="Times New Roman"/>
          <w:b w:val="0"/>
          <w:bCs w:val="0"/>
          <w:sz w:val="22"/>
          <w:szCs w:val="22"/>
        </w:rPr>
        <w:t xml:space="preserve"> </w:t>
      </w:r>
    </w:p>
    <w:p w:rsidR="00F0496C" w:rsidP="005F7C66">
      <w:pPr>
        <w:pStyle w:val="Pismenka"/>
        <w:tabs>
          <w:tab w:val="clear" w:pos="426"/>
        </w:tabs>
        <w:bidi w:val="0"/>
        <w:spacing w:after="120" w:line="336" w:lineRule="auto"/>
        <w:ind w:left="0" w:firstLine="0"/>
        <w:rPr>
          <w:rFonts w:ascii="Times New Roman" w:hAnsi="Times New Roman"/>
          <w:b w:val="0"/>
          <w:bCs w:val="0"/>
          <w:sz w:val="22"/>
          <w:szCs w:val="22"/>
        </w:rPr>
      </w:pPr>
      <w:r>
        <w:rPr>
          <w:rFonts w:ascii="Times New Roman" w:hAnsi="Times New Roman"/>
          <w:b w:val="0"/>
          <w:bCs w:val="0"/>
          <w:sz w:val="22"/>
          <w:szCs w:val="22"/>
        </w:rPr>
        <w:t>Na medziročnom prírastku sa podieľala najmä Sociálna poisťovňa, a to sumou 425 398 tis. eur, a Všeobecná zdravotná poisťovňa, a.s. 102 576 tis. eur.</w:t>
      </w:r>
    </w:p>
    <w:p w:rsidR="00E8208F" w:rsidP="00E8208F">
      <w:pPr>
        <w:pStyle w:val="Pismenka"/>
        <w:tabs>
          <w:tab w:val="clear" w:pos="426"/>
        </w:tabs>
        <w:bidi w:val="0"/>
        <w:spacing w:line="336" w:lineRule="auto"/>
        <w:ind w:left="0" w:firstLine="0"/>
        <w:rPr>
          <w:rFonts w:ascii="Times New Roman" w:hAnsi="Times New Roman"/>
          <w:b w:val="0"/>
          <w:bCs w:val="0"/>
          <w:sz w:val="22"/>
          <w:szCs w:val="22"/>
        </w:rPr>
      </w:pPr>
      <w:r w:rsidRPr="0072101A" w:rsidR="008776B5">
        <w:rPr>
          <w:rFonts w:ascii="Times New Roman" w:hAnsi="Times New Roman"/>
          <w:b w:val="0"/>
          <w:bCs w:val="0"/>
          <w:sz w:val="22"/>
          <w:szCs w:val="22"/>
          <w:u w:val="single"/>
        </w:rPr>
        <w:t>Tržby za vlastné výrobky</w:t>
      </w:r>
      <w:r w:rsidRPr="0072101A" w:rsidR="008776B5">
        <w:rPr>
          <w:rFonts w:ascii="Times New Roman" w:hAnsi="Times New Roman"/>
          <w:b w:val="0"/>
          <w:bCs w:val="0"/>
          <w:sz w:val="22"/>
          <w:szCs w:val="22"/>
        </w:rPr>
        <w:t xml:space="preserve"> dosiahli </w:t>
      </w:r>
      <w:r w:rsidRPr="0072101A" w:rsidR="00E0546E">
        <w:rPr>
          <w:rFonts w:ascii="Times New Roman" w:hAnsi="Times New Roman"/>
          <w:b w:val="0"/>
          <w:bCs w:val="0"/>
          <w:sz w:val="22"/>
          <w:szCs w:val="22"/>
        </w:rPr>
        <w:t>1</w:t>
      </w:r>
      <w:r>
        <w:rPr>
          <w:rFonts w:ascii="Times New Roman" w:hAnsi="Times New Roman"/>
          <w:b w:val="0"/>
          <w:bCs w:val="0"/>
          <w:sz w:val="22"/>
          <w:szCs w:val="22"/>
        </w:rPr>
        <w:t> 901 174</w:t>
      </w:r>
      <w:r w:rsidRPr="0072101A" w:rsidR="00F26ECC">
        <w:rPr>
          <w:rFonts w:ascii="Times New Roman" w:hAnsi="Times New Roman"/>
          <w:b w:val="0"/>
          <w:bCs w:val="0"/>
          <w:sz w:val="22"/>
          <w:szCs w:val="22"/>
        </w:rPr>
        <w:t xml:space="preserve"> tis. eur</w:t>
      </w:r>
      <w:r w:rsidRPr="0072101A" w:rsidR="003A3848">
        <w:rPr>
          <w:rFonts w:ascii="Times New Roman" w:hAnsi="Times New Roman"/>
          <w:b w:val="0"/>
          <w:bCs w:val="0"/>
          <w:sz w:val="22"/>
          <w:szCs w:val="22"/>
        </w:rPr>
        <w:t xml:space="preserve"> a</w:t>
      </w:r>
      <w:r w:rsidRPr="0072101A" w:rsidR="00F26ECC">
        <w:rPr>
          <w:rFonts w:ascii="Times New Roman" w:hAnsi="Times New Roman"/>
          <w:b w:val="0"/>
          <w:bCs w:val="0"/>
          <w:sz w:val="22"/>
          <w:szCs w:val="22"/>
        </w:rPr>
        <w:t xml:space="preserve"> medziročne boli </w:t>
      </w:r>
      <w:r w:rsidRPr="0072101A" w:rsidR="00E0546E">
        <w:rPr>
          <w:rFonts w:ascii="Times New Roman" w:hAnsi="Times New Roman"/>
          <w:b w:val="0"/>
          <w:bCs w:val="0"/>
          <w:sz w:val="22"/>
          <w:szCs w:val="22"/>
        </w:rPr>
        <w:t>vyššie</w:t>
      </w:r>
      <w:r w:rsidRPr="0072101A" w:rsidR="00F26ECC">
        <w:rPr>
          <w:rFonts w:ascii="Times New Roman" w:hAnsi="Times New Roman"/>
          <w:b w:val="0"/>
          <w:bCs w:val="0"/>
          <w:sz w:val="22"/>
          <w:szCs w:val="22"/>
        </w:rPr>
        <w:t xml:space="preserve"> o</w:t>
      </w:r>
      <w:r>
        <w:rPr>
          <w:rFonts w:ascii="Times New Roman" w:hAnsi="Times New Roman"/>
          <w:b w:val="0"/>
          <w:bCs w:val="0"/>
          <w:sz w:val="22"/>
          <w:szCs w:val="22"/>
        </w:rPr>
        <w:t> 564 894</w:t>
      </w:r>
      <w:r w:rsidRPr="0072101A" w:rsidR="00F26ECC">
        <w:rPr>
          <w:rFonts w:ascii="Times New Roman" w:hAnsi="Times New Roman"/>
          <w:b w:val="0"/>
          <w:bCs w:val="0"/>
          <w:sz w:val="22"/>
          <w:szCs w:val="22"/>
        </w:rPr>
        <w:t xml:space="preserve"> tis.</w:t>
      </w:r>
      <w:r w:rsidR="00D36728">
        <w:rPr>
          <w:rFonts w:ascii="Times New Roman" w:hAnsi="Times New Roman"/>
          <w:b w:val="0"/>
          <w:bCs w:val="0"/>
          <w:sz w:val="22"/>
          <w:szCs w:val="22"/>
        </w:rPr>
        <w:t xml:space="preserve"> eur.</w:t>
      </w:r>
      <w:r w:rsidRPr="0072101A" w:rsidR="00F26ECC">
        <w:rPr>
          <w:rFonts w:ascii="Times New Roman" w:hAnsi="Times New Roman"/>
          <w:b w:val="0"/>
          <w:bCs w:val="0"/>
          <w:sz w:val="22"/>
          <w:szCs w:val="22"/>
        </w:rPr>
        <w:t xml:space="preserve"> </w:t>
      </w:r>
      <w:r>
        <w:rPr>
          <w:rFonts w:ascii="Times New Roman" w:hAnsi="Times New Roman"/>
          <w:b w:val="0"/>
          <w:bCs w:val="0"/>
          <w:sz w:val="22"/>
          <w:szCs w:val="22"/>
        </w:rPr>
        <w:t xml:space="preserve">Významnú hodnotu týchto tržieb ako aj medziročného prírastku tvorí </w:t>
      </w:r>
      <w:r w:rsidR="001D1D14">
        <w:rPr>
          <w:rFonts w:ascii="Times New Roman" w:hAnsi="Times New Roman"/>
          <w:b w:val="0"/>
          <w:bCs w:val="0"/>
          <w:sz w:val="22"/>
          <w:szCs w:val="22"/>
        </w:rPr>
        <w:t>spoločnosť SPP, a.s. (1 313 008 </w:t>
      </w:r>
      <w:r>
        <w:rPr>
          <w:rFonts w:ascii="Times New Roman" w:hAnsi="Times New Roman"/>
          <w:b w:val="0"/>
          <w:bCs w:val="0"/>
          <w:sz w:val="22"/>
          <w:szCs w:val="22"/>
        </w:rPr>
        <w:t>tis. eur a prírastok 533 280 tis. eur). Dôvodom je agregácia nákladov SPP, a.s. za celých 12 mesiacov v porovnaní s rokom 2014.</w:t>
      </w:r>
    </w:p>
    <w:p w:rsidR="00E8208F" w:rsidRPr="0072101A" w:rsidP="00E8208F">
      <w:pPr>
        <w:pStyle w:val="Pismenka"/>
        <w:tabs>
          <w:tab w:val="clear" w:pos="426"/>
        </w:tabs>
        <w:bidi w:val="0"/>
        <w:spacing w:before="120" w:line="336" w:lineRule="auto"/>
        <w:ind w:left="0" w:firstLine="0"/>
        <w:rPr>
          <w:rFonts w:ascii="Times New Roman" w:hAnsi="Times New Roman"/>
          <w:b w:val="0"/>
          <w:bCs w:val="0"/>
          <w:sz w:val="22"/>
          <w:szCs w:val="22"/>
        </w:rPr>
      </w:pPr>
      <w:r>
        <w:rPr>
          <w:rFonts w:ascii="Times New Roman" w:hAnsi="Times New Roman"/>
          <w:b w:val="0"/>
          <w:bCs w:val="0"/>
          <w:sz w:val="22"/>
          <w:szCs w:val="22"/>
        </w:rPr>
        <w:t xml:space="preserve">Prírastok </w:t>
      </w:r>
      <w:r w:rsidRPr="007640CF">
        <w:rPr>
          <w:rFonts w:ascii="Times New Roman" w:hAnsi="Times New Roman"/>
          <w:b w:val="0"/>
          <w:bCs w:val="0"/>
          <w:sz w:val="22"/>
          <w:szCs w:val="22"/>
          <w:u w:val="single"/>
        </w:rPr>
        <w:t xml:space="preserve">výnosov </w:t>
      </w:r>
      <w:r>
        <w:rPr>
          <w:rFonts w:ascii="Times New Roman" w:hAnsi="Times New Roman"/>
          <w:b w:val="0"/>
          <w:bCs w:val="0"/>
          <w:sz w:val="22"/>
          <w:szCs w:val="22"/>
          <w:u w:val="single"/>
        </w:rPr>
        <w:t xml:space="preserve">z </w:t>
      </w:r>
      <w:r w:rsidRPr="007640CF">
        <w:rPr>
          <w:rFonts w:ascii="Times New Roman" w:hAnsi="Times New Roman"/>
          <w:b w:val="0"/>
          <w:bCs w:val="0"/>
          <w:sz w:val="22"/>
          <w:szCs w:val="22"/>
          <w:u w:val="single"/>
        </w:rPr>
        <w:t>tržieb z predaja tovaru</w:t>
      </w:r>
      <w:r>
        <w:rPr>
          <w:rFonts w:ascii="Times New Roman" w:hAnsi="Times New Roman"/>
          <w:b w:val="0"/>
          <w:bCs w:val="0"/>
          <w:sz w:val="22"/>
          <w:szCs w:val="22"/>
        </w:rPr>
        <w:t xml:space="preserve"> je </w:t>
      </w:r>
      <w:r w:rsidR="00610341">
        <w:rPr>
          <w:rFonts w:ascii="Times New Roman" w:hAnsi="Times New Roman"/>
          <w:b w:val="0"/>
          <w:bCs w:val="0"/>
          <w:sz w:val="22"/>
          <w:szCs w:val="22"/>
        </w:rPr>
        <w:t xml:space="preserve">takisto </w:t>
      </w:r>
      <w:r>
        <w:rPr>
          <w:rFonts w:ascii="Times New Roman" w:hAnsi="Times New Roman"/>
          <w:b w:val="0"/>
          <w:bCs w:val="0"/>
          <w:sz w:val="22"/>
          <w:szCs w:val="22"/>
        </w:rPr>
        <w:t xml:space="preserve">ovplyvnený výnosmi spoločnosti SPP, a.s., ktoré podobne ako náklady boli v roku 2014 agregované len za 7 mesiacov. </w:t>
      </w:r>
      <w:r w:rsidR="00610341">
        <w:rPr>
          <w:rFonts w:ascii="Times New Roman" w:hAnsi="Times New Roman"/>
          <w:b w:val="0"/>
          <w:bCs w:val="0"/>
          <w:sz w:val="22"/>
          <w:szCs w:val="22"/>
        </w:rPr>
        <w:t xml:space="preserve">Na celkovej hodnote výnosov z predaja tovaru vo výške 823 898 tis. eur sa SPP, a.s. podieľa 346 682 tis. eur. </w:t>
      </w:r>
      <w:r w:rsidR="0059631C">
        <w:rPr>
          <w:rFonts w:ascii="Times New Roman" w:hAnsi="Times New Roman"/>
          <w:b w:val="0"/>
          <w:bCs w:val="0"/>
          <w:sz w:val="22"/>
          <w:szCs w:val="22"/>
        </w:rPr>
        <w:t>Druh</w:t>
      </w:r>
      <w:r w:rsidR="00D36728">
        <w:rPr>
          <w:rFonts w:ascii="Times New Roman" w:hAnsi="Times New Roman"/>
          <w:b w:val="0"/>
          <w:bCs w:val="0"/>
          <w:sz w:val="22"/>
          <w:szCs w:val="22"/>
        </w:rPr>
        <w:t>ým</w:t>
      </w:r>
      <w:r w:rsidR="0059631C">
        <w:rPr>
          <w:rFonts w:ascii="Times New Roman" w:hAnsi="Times New Roman"/>
          <w:b w:val="0"/>
          <w:bCs w:val="0"/>
          <w:sz w:val="22"/>
          <w:szCs w:val="22"/>
        </w:rPr>
        <w:t xml:space="preserve"> najvýznamnejším subjektom v rámci tržieb z predaja tovaru je Slovenská elektrizačná prenosová </w:t>
      </w:r>
      <w:r w:rsidR="00D36728">
        <w:rPr>
          <w:rFonts w:ascii="Times New Roman" w:hAnsi="Times New Roman"/>
          <w:b w:val="0"/>
          <w:bCs w:val="0"/>
          <w:sz w:val="22"/>
          <w:szCs w:val="22"/>
        </w:rPr>
        <w:t>sústava</w:t>
      </w:r>
      <w:r w:rsidR="0059631C">
        <w:rPr>
          <w:rFonts w:ascii="Times New Roman" w:hAnsi="Times New Roman"/>
          <w:b w:val="0"/>
          <w:bCs w:val="0"/>
          <w:sz w:val="22"/>
          <w:szCs w:val="22"/>
        </w:rPr>
        <w:t xml:space="preserve">, a.s. ktorej konsolidované výnosy dosiahli 325 632 tis. eur. </w:t>
      </w:r>
    </w:p>
    <w:p w:rsidR="00F81816">
      <w:pPr>
        <w:bidi w:val="0"/>
        <w:spacing w:after="0" w:line="240" w:lineRule="auto"/>
        <w:rPr>
          <w:rFonts w:ascii="Times New Roman" w:hAnsi="Times New Roman"/>
          <w:b/>
          <w:bCs/>
          <w:sz w:val="24"/>
          <w:szCs w:val="24"/>
        </w:rPr>
      </w:pPr>
      <w:r>
        <w:rPr>
          <w:rFonts w:ascii="Times New Roman" w:hAnsi="Times New Roman"/>
          <w:b/>
          <w:bCs/>
          <w:sz w:val="24"/>
          <w:szCs w:val="24"/>
        </w:rPr>
        <w:br w:type="page"/>
      </w:r>
    </w:p>
    <w:p w:rsidR="00FA68CA" w:rsidRPr="0072101A" w:rsidP="00B81A6C">
      <w:pPr>
        <w:numPr>
          <w:numId w:val="25"/>
        </w:numPr>
        <w:bidi w:val="0"/>
        <w:spacing w:before="200" w:line="336" w:lineRule="auto"/>
        <w:ind w:left="426" w:hanging="426"/>
        <w:jc w:val="both"/>
        <w:rPr>
          <w:rFonts w:ascii="Times New Roman" w:hAnsi="Times New Roman"/>
          <w:b/>
          <w:bCs/>
          <w:sz w:val="24"/>
          <w:szCs w:val="24"/>
        </w:rPr>
      </w:pPr>
      <w:r w:rsidRPr="0072101A">
        <w:rPr>
          <w:rFonts w:ascii="Times New Roman" w:hAnsi="Times New Roman"/>
          <w:b/>
          <w:bCs/>
          <w:sz w:val="24"/>
          <w:szCs w:val="24"/>
        </w:rPr>
        <w:t>Daňové a colné výnosy a výnosy z</w:t>
      </w:r>
      <w:r w:rsidRPr="0072101A" w:rsidR="008E1C42">
        <w:rPr>
          <w:rFonts w:ascii="Times New Roman" w:hAnsi="Times New Roman"/>
          <w:b/>
          <w:bCs/>
          <w:sz w:val="24"/>
          <w:szCs w:val="24"/>
        </w:rPr>
        <w:t> </w:t>
      </w:r>
      <w:r w:rsidRPr="0072101A">
        <w:rPr>
          <w:rFonts w:ascii="Times New Roman" w:hAnsi="Times New Roman"/>
          <w:b/>
          <w:bCs/>
          <w:sz w:val="24"/>
          <w:szCs w:val="24"/>
        </w:rPr>
        <w:t>poplatkov</w:t>
      </w:r>
    </w:p>
    <w:p w:rsidR="00072EC0" w:rsidRPr="0072101A" w:rsidP="00CF758F">
      <w:pPr>
        <w:pStyle w:val="ListParagraph"/>
        <w:bidi w:val="0"/>
        <w:spacing w:after="120" w:line="336" w:lineRule="auto"/>
        <w:ind w:left="0"/>
        <w:contextualSpacing w:val="0"/>
        <w:jc w:val="both"/>
        <w:rPr>
          <w:rFonts w:ascii="Times New Roman" w:hAnsi="Times New Roman"/>
          <w:bCs/>
          <w:szCs w:val="22"/>
        </w:rPr>
      </w:pPr>
      <w:r w:rsidRPr="0072101A">
        <w:rPr>
          <w:rFonts w:ascii="Times New Roman" w:hAnsi="Times New Roman"/>
          <w:bCs/>
          <w:szCs w:val="22"/>
        </w:rPr>
        <w:t>Ako daňové a colné výnosy sa vykazujú výnosy z daní a cla, ktoré patria do štátneho rozpočtu</w:t>
      </w:r>
      <w:r w:rsidRPr="0072101A" w:rsidR="00F709BC">
        <w:rPr>
          <w:rFonts w:ascii="Times New Roman" w:hAnsi="Times New Roman"/>
          <w:bCs/>
          <w:szCs w:val="22"/>
        </w:rPr>
        <w:t>:</w:t>
      </w:r>
      <w:r w:rsidRPr="0072101A">
        <w:rPr>
          <w:rFonts w:ascii="Times New Roman" w:hAnsi="Times New Roman"/>
          <w:bCs/>
          <w:szCs w:val="22"/>
        </w:rPr>
        <w:t xml:space="preserve"> daň z príjmov fyzických osôb, daň z príjmov právnických osôb, daň z pridanej hodnoty, spotrebné dane, dovozné clo a ďalšie</w:t>
      </w:r>
      <w:r w:rsidRPr="0072101A" w:rsidR="00F709BC">
        <w:rPr>
          <w:rFonts w:ascii="Times New Roman" w:hAnsi="Times New Roman"/>
          <w:bCs/>
          <w:szCs w:val="22"/>
        </w:rPr>
        <w:t>.</w:t>
      </w:r>
      <w:r w:rsidRPr="0072101A">
        <w:rPr>
          <w:rFonts w:ascii="Times New Roman" w:hAnsi="Times New Roman"/>
          <w:bCs/>
          <w:szCs w:val="22"/>
        </w:rPr>
        <w:t xml:space="preserve"> </w:t>
      </w:r>
      <w:r w:rsidRPr="0072101A" w:rsidR="00F709BC">
        <w:rPr>
          <w:rFonts w:ascii="Times New Roman" w:hAnsi="Times New Roman"/>
          <w:bCs/>
          <w:szCs w:val="22"/>
        </w:rPr>
        <w:t>Do</w:t>
      </w:r>
      <w:r w:rsidRPr="0072101A">
        <w:rPr>
          <w:rFonts w:ascii="Times New Roman" w:hAnsi="Times New Roman"/>
          <w:bCs/>
          <w:szCs w:val="22"/>
        </w:rPr>
        <w:t xml:space="preserve"> rozpočtov obcí a vyšších územných celkov </w:t>
      </w:r>
      <w:r w:rsidRPr="0072101A" w:rsidR="00F709BC">
        <w:rPr>
          <w:rFonts w:ascii="Times New Roman" w:hAnsi="Times New Roman"/>
          <w:bCs/>
          <w:szCs w:val="22"/>
        </w:rPr>
        <w:t xml:space="preserve">patria </w:t>
      </w:r>
      <w:r w:rsidRPr="0072101A">
        <w:rPr>
          <w:rFonts w:ascii="Times New Roman" w:hAnsi="Times New Roman"/>
          <w:bCs/>
          <w:szCs w:val="22"/>
        </w:rPr>
        <w:t xml:space="preserve">miestne dane, podielová daň z príjmov fyzických osôb, daň z nehnuteľnosti, daň </w:t>
      </w:r>
      <w:r w:rsidRPr="0072101A" w:rsidR="009B24B2">
        <w:rPr>
          <w:rFonts w:ascii="Times New Roman" w:hAnsi="Times New Roman"/>
          <w:bCs/>
          <w:szCs w:val="22"/>
        </w:rPr>
        <w:t xml:space="preserve">z motorových vozidiel </w:t>
      </w:r>
      <w:r w:rsidRPr="0072101A">
        <w:rPr>
          <w:rFonts w:ascii="Times New Roman" w:hAnsi="Times New Roman"/>
          <w:bCs/>
          <w:szCs w:val="22"/>
        </w:rPr>
        <w:t>a podobne. Výnosy z poplatkov zahŕňajú súdne a správne poplatky,</w:t>
      </w:r>
      <w:r w:rsidR="00944E72">
        <w:rPr>
          <w:rFonts w:ascii="Times New Roman" w:hAnsi="Times New Roman"/>
          <w:bCs/>
          <w:szCs w:val="22"/>
        </w:rPr>
        <w:t xml:space="preserve"> e-</w:t>
      </w:r>
      <w:r w:rsidRPr="0072101A">
        <w:rPr>
          <w:rFonts w:ascii="Times New Roman" w:hAnsi="Times New Roman"/>
          <w:bCs/>
          <w:szCs w:val="22"/>
        </w:rPr>
        <w:t>kolky a kolkové známky, poplatky za znečisťovanie ovzdušia</w:t>
      </w:r>
      <w:r w:rsidRPr="0072101A" w:rsidR="00C36F1B">
        <w:rPr>
          <w:rFonts w:ascii="Times New Roman" w:hAnsi="Times New Roman"/>
          <w:bCs/>
          <w:szCs w:val="22"/>
        </w:rPr>
        <w:t xml:space="preserve"> a ostatné.</w:t>
      </w:r>
      <w:r w:rsidRPr="0072101A" w:rsidR="00211220">
        <w:rPr>
          <w:rFonts w:ascii="Times New Roman" w:hAnsi="Times New Roman"/>
          <w:bCs/>
          <w:szCs w:val="22"/>
        </w:rPr>
        <w:t xml:space="preserve"> </w:t>
      </w:r>
    </w:p>
    <w:p w:rsidR="00944E72" w:rsidRPr="00B06BD4" w:rsidP="00211220">
      <w:pPr>
        <w:pStyle w:val="ListParagraph"/>
        <w:bidi w:val="0"/>
        <w:spacing w:after="120" w:line="336" w:lineRule="auto"/>
        <w:ind w:left="0"/>
        <w:contextualSpacing w:val="0"/>
        <w:jc w:val="both"/>
        <w:rPr>
          <w:rFonts w:ascii="Times New Roman" w:hAnsi="Times New Roman"/>
          <w:bCs/>
          <w:szCs w:val="22"/>
        </w:rPr>
      </w:pPr>
      <w:r w:rsidRPr="00B06BD4" w:rsidR="00211220">
        <w:rPr>
          <w:rFonts w:ascii="Times New Roman" w:hAnsi="Times New Roman"/>
          <w:bCs/>
          <w:szCs w:val="22"/>
          <w:u w:val="single"/>
        </w:rPr>
        <w:t>O výnosoch z</w:t>
      </w:r>
      <w:r w:rsidRPr="00B06BD4">
        <w:rPr>
          <w:rFonts w:ascii="Times New Roman" w:hAnsi="Times New Roman"/>
          <w:bCs/>
          <w:szCs w:val="22"/>
          <w:u w:val="single"/>
        </w:rPr>
        <w:t> </w:t>
      </w:r>
      <w:r w:rsidRPr="00B06BD4" w:rsidR="00211220">
        <w:rPr>
          <w:rFonts w:ascii="Times New Roman" w:hAnsi="Times New Roman"/>
          <w:bCs/>
          <w:szCs w:val="22"/>
          <w:u w:val="single"/>
        </w:rPr>
        <w:t>daní</w:t>
      </w:r>
      <w:r w:rsidRPr="00B06BD4">
        <w:rPr>
          <w:rFonts w:ascii="Times New Roman" w:hAnsi="Times New Roman"/>
          <w:bCs/>
          <w:szCs w:val="22"/>
        </w:rPr>
        <w:t xml:space="preserve"> v súhrnnom celku môže účtovať subjekt, ktorý je prijímateľom daňových príjmov. V ústrednej správe je to Ministerstvo financií SR, pričom evidenciu daňových príjmov a pohľadávok z nich zabezpečuje Finančná správa. Ide o dane z príjmov, spotrebné dane, daň z pridanej hodnoty, daň vyberaná zrážkou, daň z motorových vozidiel a ostatné dane.</w:t>
      </w:r>
    </w:p>
    <w:p w:rsidR="00944E72" w:rsidRPr="00B06BD4" w:rsidP="00211220">
      <w:pPr>
        <w:pStyle w:val="ListParagraph"/>
        <w:bidi w:val="0"/>
        <w:spacing w:after="120" w:line="336" w:lineRule="auto"/>
        <w:ind w:left="0"/>
        <w:contextualSpacing w:val="0"/>
        <w:jc w:val="both"/>
        <w:rPr>
          <w:rFonts w:ascii="Times New Roman" w:hAnsi="Times New Roman"/>
          <w:bCs/>
          <w:szCs w:val="22"/>
        </w:rPr>
      </w:pPr>
      <w:r w:rsidRPr="00B06BD4">
        <w:rPr>
          <w:rFonts w:ascii="Times New Roman" w:hAnsi="Times New Roman"/>
          <w:bCs/>
          <w:szCs w:val="22"/>
        </w:rPr>
        <w:t>Ďalšie dane sú predmetom príjmov obcí a vyšších územných celkov. Ide o podiel na dani z príjmov, miestne dane za služby (za psa, za predajné automaty, za ubytovanie atď.), daň z nehnuteľností (pozemkov, stavieb, z bytov a nebytových priestorov) a ostatné dane.</w:t>
      </w:r>
    </w:p>
    <w:p w:rsidR="001D5739" w:rsidP="00211220">
      <w:pPr>
        <w:pStyle w:val="ListParagraph"/>
        <w:bidi w:val="0"/>
        <w:spacing w:after="120" w:line="336" w:lineRule="auto"/>
        <w:ind w:left="0"/>
        <w:contextualSpacing w:val="0"/>
        <w:jc w:val="both"/>
        <w:rPr>
          <w:rFonts w:ascii="Times New Roman" w:hAnsi="Times New Roman"/>
          <w:bCs/>
          <w:szCs w:val="22"/>
        </w:rPr>
      </w:pPr>
      <w:r w:rsidRPr="00B06BD4" w:rsidR="00944E72">
        <w:rPr>
          <w:rFonts w:ascii="Times New Roman" w:hAnsi="Times New Roman"/>
          <w:bCs/>
          <w:szCs w:val="22"/>
          <w:u w:val="single"/>
        </w:rPr>
        <w:t xml:space="preserve">Daňové </w:t>
      </w:r>
      <w:r w:rsidRPr="00B06BD4" w:rsidR="006107FD">
        <w:rPr>
          <w:rFonts w:ascii="Times New Roman" w:hAnsi="Times New Roman"/>
          <w:bCs/>
          <w:szCs w:val="22"/>
          <w:u w:val="single"/>
        </w:rPr>
        <w:t>výnosy štátu</w:t>
      </w:r>
      <w:r w:rsidRPr="00B06BD4" w:rsidR="006107FD">
        <w:rPr>
          <w:rFonts w:ascii="Times New Roman" w:hAnsi="Times New Roman"/>
          <w:bCs/>
          <w:szCs w:val="22"/>
        </w:rPr>
        <w:t xml:space="preserve"> dosiahli k 31.12.2015 hodnotu 10 191 490 tis. eur, čo je medziročne viac o</w:t>
      </w:r>
      <w:r w:rsidR="002032B9">
        <w:rPr>
          <w:rFonts w:ascii="Times New Roman" w:hAnsi="Times New Roman"/>
          <w:bCs/>
          <w:szCs w:val="22"/>
        </w:rPr>
        <w:t> 64 </w:t>
      </w:r>
      <w:r w:rsidRPr="00B06BD4" w:rsidR="000948CF">
        <w:rPr>
          <w:rFonts w:ascii="Times New Roman" w:hAnsi="Times New Roman"/>
          <w:bCs/>
          <w:szCs w:val="22"/>
        </w:rPr>
        <w:t>158</w:t>
      </w:r>
      <w:r w:rsidRPr="00B06BD4" w:rsidR="00211220">
        <w:rPr>
          <w:rFonts w:ascii="Times New Roman" w:hAnsi="Times New Roman"/>
          <w:bCs/>
          <w:szCs w:val="22"/>
        </w:rPr>
        <w:t xml:space="preserve"> tis. eur.</w:t>
      </w:r>
      <w:r w:rsidRPr="00B06BD4" w:rsidR="00B57376">
        <w:rPr>
          <w:rFonts w:ascii="Times New Roman" w:hAnsi="Times New Roman"/>
          <w:bCs/>
          <w:szCs w:val="22"/>
        </w:rPr>
        <w:t xml:space="preserve"> </w:t>
      </w:r>
      <w:r w:rsidRPr="00B06BD4" w:rsidR="006107FD">
        <w:rPr>
          <w:rFonts w:ascii="Times New Roman" w:hAnsi="Times New Roman"/>
          <w:bCs/>
          <w:szCs w:val="22"/>
        </w:rPr>
        <w:t xml:space="preserve">Najvyššiu hodnotu dosiahla daň z pridanej hodnoty (4 880 314 tis. eur), ďalej daň  z príjmov právnických osôb (2 710 571 tis. eur), spotrebné dane (2 114 098 tis. eur) a daň z motorových vozidiel (142 895 tis. eur). </w:t>
      </w:r>
      <w:r w:rsidRPr="00B06BD4" w:rsidR="00B57376">
        <w:rPr>
          <w:rFonts w:ascii="Times New Roman" w:hAnsi="Times New Roman"/>
          <w:bCs/>
          <w:szCs w:val="22"/>
        </w:rPr>
        <w:t>Na medziročnom náraste sa najviac podieľala daň z</w:t>
      </w:r>
      <w:r w:rsidRPr="00B06BD4" w:rsidR="006107FD">
        <w:rPr>
          <w:rFonts w:ascii="Times New Roman" w:hAnsi="Times New Roman"/>
          <w:bCs/>
          <w:szCs w:val="22"/>
        </w:rPr>
        <w:t> príjmov právnických</w:t>
      </w:r>
      <w:r w:rsidRPr="00B06BD4" w:rsidR="00426983">
        <w:rPr>
          <w:rFonts w:ascii="Times New Roman" w:hAnsi="Times New Roman"/>
          <w:bCs/>
          <w:szCs w:val="22"/>
        </w:rPr>
        <w:t xml:space="preserve"> os</w:t>
      </w:r>
      <w:r w:rsidRPr="00B06BD4" w:rsidR="006107FD">
        <w:rPr>
          <w:rFonts w:ascii="Times New Roman" w:hAnsi="Times New Roman"/>
          <w:bCs/>
          <w:szCs w:val="22"/>
        </w:rPr>
        <w:t>ôb</w:t>
      </w:r>
      <w:r w:rsidRPr="00B06BD4" w:rsidR="00426983">
        <w:rPr>
          <w:rFonts w:ascii="Times New Roman" w:hAnsi="Times New Roman"/>
          <w:bCs/>
          <w:szCs w:val="22"/>
        </w:rPr>
        <w:t xml:space="preserve"> o 720 231</w:t>
      </w:r>
      <w:r w:rsidRPr="00B06BD4" w:rsidR="00B57376">
        <w:rPr>
          <w:rFonts w:ascii="Times New Roman" w:hAnsi="Times New Roman"/>
          <w:bCs/>
          <w:szCs w:val="22"/>
        </w:rPr>
        <w:t xml:space="preserve"> tis. eur</w:t>
      </w:r>
      <w:r w:rsidRPr="00B06BD4" w:rsidR="000929F2">
        <w:rPr>
          <w:rFonts w:ascii="Times New Roman" w:hAnsi="Times New Roman"/>
          <w:bCs/>
          <w:szCs w:val="22"/>
        </w:rPr>
        <w:t>.</w:t>
      </w:r>
      <w:r w:rsidRPr="00B06BD4" w:rsidR="009225A9">
        <w:rPr>
          <w:rFonts w:ascii="Times New Roman" w:hAnsi="Times New Roman"/>
          <w:bCs/>
          <w:szCs w:val="22"/>
        </w:rPr>
        <w:t xml:space="preserve"> </w:t>
      </w:r>
      <w:r w:rsidRPr="00B06BD4" w:rsidR="000A0D54">
        <w:rPr>
          <w:rFonts w:ascii="Times New Roman" w:hAnsi="Times New Roman"/>
          <w:bCs/>
          <w:szCs w:val="22"/>
        </w:rPr>
        <w:t>Výnos dane</w:t>
      </w:r>
      <w:r w:rsidRPr="00B06BD4" w:rsidR="00B57376">
        <w:rPr>
          <w:rFonts w:ascii="Times New Roman" w:hAnsi="Times New Roman"/>
          <w:bCs/>
          <w:szCs w:val="22"/>
        </w:rPr>
        <w:t xml:space="preserve"> z príjmov </w:t>
      </w:r>
      <w:r w:rsidRPr="00B06BD4" w:rsidR="00426983">
        <w:rPr>
          <w:rFonts w:ascii="Times New Roman" w:hAnsi="Times New Roman"/>
          <w:bCs/>
          <w:szCs w:val="22"/>
        </w:rPr>
        <w:t xml:space="preserve">fyzickej osoby </w:t>
      </w:r>
      <w:r>
        <w:rPr>
          <w:rFonts w:ascii="Times New Roman" w:hAnsi="Times New Roman"/>
          <w:bCs/>
          <w:szCs w:val="22"/>
        </w:rPr>
        <w:t>poklesol</w:t>
      </w:r>
      <w:r w:rsidRPr="00B06BD4" w:rsidR="000A0D54">
        <w:rPr>
          <w:rFonts w:ascii="Times New Roman" w:hAnsi="Times New Roman"/>
          <w:bCs/>
          <w:szCs w:val="22"/>
        </w:rPr>
        <w:t xml:space="preserve"> o</w:t>
      </w:r>
      <w:r>
        <w:rPr>
          <w:rFonts w:ascii="Times New Roman" w:hAnsi="Times New Roman"/>
          <w:bCs/>
          <w:szCs w:val="22"/>
        </w:rPr>
        <w:t> 445 389</w:t>
      </w:r>
      <w:r w:rsidRPr="00B06BD4" w:rsidR="000A0D54">
        <w:rPr>
          <w:rFonts w:ascii="Times New Roman" w:hAnsi="Times New Roman"/>
          <w:bCs/>
          <w:szCs w:val="22"/>
        </w:rPr>
        <w:t xml:space="preserve"> </w:t>
      </w:r>
      <w:r w:rsidRPr="00B06BD4" w:rsidR="00B57376">
        <w:rPr>
          <w:rFonts w:ascii="Times New Roman" w:hAnsi="Times New Roman"/>
          <w:bCs/>
          <w:szCs w:val="22"/>
        </w:rPr>
        <w:t>tis. eur</w:t>
      </w:r>
      <w:r>
        <w:rPr>
          <w:rFonts w:ascii="Times New Roman" w:hAnsi="Times New Roman"/>
          <w:bCs/>
          <w:szCs w:val="22"/>
        </w:rPr>
        <w:t xml:space="preserve"> vplyvom vyššieho prerozdelenia v prospech územnej</w:t>
      </w:r>
      <w:r w:rsidR="00152C68">
        <w:rPr>
          <w:rFonts w:ascii="Times New Roman" w:hAnsi="Times New Roman"/>
          <w:bCs/>
          <w:szCs w:val="22"/>
        </w:rPr>
        <w:t xml:space="preserve"> samosprávy</w:t>
      </w:r>
      <w:r>
        <w:rPr>
          <w:rFonts w:ascii="Times New Roman" w:hAnsi="Times New Roman"/>
          <w:bCs/>
          <w:szCs w:val="22"/>
        </w:rPr>
        <w:t xml:space="preserve">. Výnosy z DPH medziročne poklesli o 395 805 tis. eur aj vplyvom zmeny účtovania daňových príjmov od 1.1.2015 (voľné platby a nadmerné odpočty DPH). </w:t>
      </w:r>
    </w:p>
    <w:p w:rsidR="001D5739" w:rsidRPr="006C7A76" w:rsidP="00211220">
      <w:pPr>
        <w:pStyle w:val="ListParagraph"/>
        <w:bidi w:val="0"/>
        <w:spacing w:after="120" w:line="336" w:lineRule="auto"/>
        <w:ind w:left="0"/>
        <w:contextualSpacing w:val="0"/>
        <w:jc w:val="both"/>
        <w:rPr>
          <w:rFonts w:ascii="Times New Roman" w:hAnsi="Times New Roman"/>
          <w:bCs/>
          <w:szCs w:val="22"/>
        </w:rPr>
      </w:pPr>
      <w:r w:rsidRPr="006C7A76" w:rsidR="005D6E98">
        <w:rPr>
          <w:rFonts w:ascii="Times New Roman" w:hAnsi="Times New Roman"/>
          <w:bCs/>
          <w:szCs w:val="22"/>
        </w:rPr>
        <w:t xml:space="preserve">Daň z príjmov fyzických osôb je podľa zákona č. 564/2004 Z. z. o rozpočtovom určení výnosu dane z príjmov územnej samospráve podielovo rozdeľovaná medzi štát, obce a vyššie územné celky. </w:t>
      </w:r>
      <w:r w:rsidRPr="006C7A76">
        <w:rPr>
          <w:rFonts w:ascii="Times New Roman" w:hAnsi="Times New Roman"/>
          <w:bCs/>
          <w:szCs w:val="22"/>
        </w:rPr>
        <w:t>Výnosy z tejto dane za rok 201</w:t>
      </w:r>
      <w:r w:rsidRPr="006C7A76" w:rsidR="00286BFC">
        <w:rPr>
          <w:rFonts w:ascii="Times New Roman" w:hAnsi="Times New Roman"/>
          <w:bCs/>
          <w:szCs w:val="22"/>
        </w:rPr>
        <w:t>5</w:t>
      </w:r>
      <w:r w:rsidRPr="006C7A76">
        <w:rPr>
          <w:rFonts w:ascii="Times New Roman" w:hAnsi="Times New Roman"/>
          <w:bCs/>
          <w:szCs w:val="22"/>
        </w:rPr>
        <w:t xml:space="preserve"> sa rozdeľovali pomerom </w:t>
      </w:r>
      <w:r w:rsidRPr="006C7A76" w:rsidR="00286BFC">
        <w:rPr>
          <w:rFonts w:ascii="Times New Roman" w:hAnsi="Times New Roman"/>
          <w:bCs/>
          <w:szCs w:val="22"/>
        </w:rPr>
        <w:t>68,5 %  v pr</w:t>
      </w:r>
      <w:r w:rsidR="001D1D14">
        <w:rPr>
          <w:rFonts w:ascii="Times New Roman" w:hAnsi="Times New Roman"/>
          <w:bCs/>
          <w:szCs w:val="22"/>
        </w:rPr>
        <w:t>ospech obcí (2014: 67 %) a 29,2 </w:t>
      </w:r>
      <w:r w:rsidRPr="006C7A76" w:rsidR="00286BFC">
        <w:rPr>
          <w:rFonts w:ascii="Times New Roman" w:hAnsi="Times New Roman"/>
          <w:bCs/>
          <w:szCs w:val="22"/>
        </w:rPr>
        <w:t>% v prospech vyšších územných celkov (2014: 21,9 %).</w:t>
      </w:r>
      <w:r w:rsidRPr="006C7A76" w:rsidR="00126CC9">
        <w:rPr>
          <w:rFonts w:ascii="Times New Roman" w:hAnsi="Times New Roman"/>
          <w:bCs/>
          <w:szCs w:val="22"/>
        </w:rPr>
        <w:t xml:space="preserve"> Podiel štátu na výnosoch tejto dane medziročnej klesol o 8,8 %.</w:t>
      </w:r>
    </w:p>
    <w:p w:rsidR="008E1C42" w:rsidP="00211220">
      <w:pPr>
        <w:pStyle w:val="ListParagraph"/>
        <w:bidi w:val="0"/>
        <w:spacing w:after="120" w:line="336" w:lineRule="auto"/>
        <w:ind w:left="0"/>
        <w:contextualSpacing w:val="0"/>
        <w:jc w:val="both"/>
        <w:rPr>
          <w:rFonts w:ascii="Times New Roman" w:hAnsi="Times New Roman"/>
          <w:bCs/>
          <w:szCs w:val="22"/>
        </w:rPr>
      </w:pPr>
      <w:r w:rsidRPr="006C7A76" w:rsidR="005D6E98">
        <w:rPr>
          <w:rFonts w:ascii="Times New Roman" w:hAnsi="Times New Roman"/>
          <w:bCs/>
          <w:szCs w:val="22"/>
        </w:rPr>
        <w:t>Rozdelenie vybratých daňových príjmov sa premietlo aj vo výnosoch štátu na daniach z príjmov fyzických osôb, pričom za rok 201</w:t>
      </w:r>
      <w:r w:rsidRPr="006C7A76" w:rsidR="000948CF">
        <w:rPr>
          <w:rFonts w:ascii="Times New Roman" w:hAnsi="Times New Roman"/>
          <w:bCs/>
          <w:szCs w:val="22"/>
        </w:rPr>
        <w:t>5</w:t>
      </w:r>
      <w:r w:rsidRPr="006C7A76" w:rsidR="005D6E98">
        <w:rPr>
          <w:rFonts w:ascii="Times New Roman" w:hAnsi="Times New Roman"/>
          <w:bCs/>
          <w:szCs w:val="22"/>
        </w:rPr>
        <w:t xml:space="preserve"> dosiahli výnosy </w:t>
      </w:r>
      <w:r w:rsidRPr="006C7A76" w:rsidR="00A70836">
        <w:rPr>
          <w:rFonts w:ascii="Times New Roman" w:hAnsi="Times New Roman"/>
          <w:bCs/>
          <w:szCs w:val="22"/>
        </w:rPr>
        <w:t>z tejto dane</w:t>
      </w:r>
      <w:r w:rsidRPr="006C7A76" w:rsidR="00FF750F">
        <w:rPr>
          <w:rFonts w:ascii="Times New Roman" w:hAnsi="Times New Roman"/>
          <w:bCs/>
          <w:szCs w:val="22"/>
        </w:rPr>
        <w:t xml:space="preserve"> </w:t>
      </w:r>
      <w:r w:rsidRPr="006C7A76" w:rsidR="00FA7246">
        <w:rPr>
          <w:rFonts w:ascii="Times New Roman" w:hAnsi="Times New Roman"/>
          <w:bCs/>
          <w:szCs w:val="22"/>
        </w:rPr>
        <w:t>2</w:t>
      </w:r>
      <w:r w:rsidRPr="006C7A76" w:rsidR="000948CF">
        <w:rPr>
          <w:rFonts w:ascii="Times New Roman" w:hAnsi="Times New Roman"/>
          <w:bCs/>
          <w:szCs w:val="22"/>
        </w:rPr>
        <w:t> 237 459</w:t>
      </w:r>
      <w:r w:rsidRPr="006C7A76" w:rsidR="00FA7246">
        <w:rPr>
          <w:rFonts w:ascii="Times New Roman" w:hAnsi="Times New Roman"/>
          <w:bCs/>
          <w:szCs w:val="22"/>
        </w:rPr>
        <w:t xml:space="preserve"> tis. eur a podiel štátu bol </w:t>
      </w:r>
      <w:r w:rsidRPr="006C7A76" w:rsidR="000948CF">
        <w:rPr>
          <w:rFonts w:ascii="Times New Roman" w:hAnsi="Times New Roman"/>
          <w:bCs/>
          <w:szCs w:val="22"/>
        </w:rPr>
        <w:t>153 916</w:t>
      </w:r>
      <w:r w:rsidRPr="006C7A76" w:rsidR="00FA7246">
        <w:rPr>
          <w:rFonts w:ascii="Times New Roman" w:hAnsi="Times New Roman"/>
          <w:bCs/>
          <w:szCs w:val="22"/>
        </w:rPr>
        <w:t xml:space="preserve"> tis. eur</w:t>
      </w:r>
      <w:r w:rsidRPr="006C7A76" w:rsidR="00535B56">
        <w:rPr>
          <w:rFonts w:ascii="Times New Roman" w:hAnsi="Times New Roman"/>
          <w:bCs/>
          <w:szCs w:val="22"/>
        </w:rPr>
        <w:t xml:space="preserve"> (2014: </w:t>
      </w:r>
      <w:r w:rsidR="006C7A76">
        <w:rPr>
          <w:rFonts w:ascii="Times New Roman" w:hAnsi="Times New Roman"/>
          <w:bCs/>
          <w:szCs w:val="22"/>
        </w:rPr>
        <w:t>255 097</w:t>
      </w:r>
      <w:r w:rsidRPr="006C7A76" w:rsidR="00535B56">
        <w:rPr>
          <w:rFonts w:ascii="Times New Roman" w:hAnsi="Times New Roman"/>
          <w:bCs/>
          <w:szCs w:val="22"/>
        </w:rPr>
        <w:t xml:space="preserve"> tis. eur)</w:t>
      </w:r>
      <w:r w:rsidRPr="006C7A76" w:rsidR="00FA7246">
        <w:rPr>
          <w:rFonts w:ascii="Times New Roman" w:hAnsi="Times New Roman"/>
          <w:bCs/>
          <w:szCs w:val="22"/>
        </w:rPr>
        <w:t>.</w:t>
      </w:r>
    </w:p>
    <w:p w:rsidR="001D5739" w:rsidRPr="001D5739" w:rsidP="00211220">
      <w:pPr>
        <w:pStyle w:val="ListParagraph"/>
        <w:bidi w:val="0"/>
        <w:spacing w:after="120" w:line="336" w:lineRule="auto"/>
        <w:ind w:left="0"/>
        <w:contextualSpacing w:val="0"/>
        <w:jc w:val="both"/>
        <w:rPr>
          <w:rFonts w:ascii="Times New Roman" w:hAnsi="Times New Roman"/>
          <w:bCs/>
          <w:szCs w:val="22"/>
        </w:rPr>
      </w:pPr>
      <w:r>
        <w:rPr>
          <w:rFonts w:ascii="Times New Roman" w:hAnsi="Times New Roman"/>
          <w:bCs/>
          <w:szCs w:val="22"/>
          <w:u w:val="single"/>
        </w:rPr>
        <w:t>Výnosy zo spotrebných daní</w:t>
      </w:r>
      <w:r>
        <w:rPr>
          <w:rFonts w:ascii="Times New Roman" w:hAnsi="Times New Roman"/>
          <w:bCs/>
          <w:szCs w:val="22"/>
        </w:rPr>
        <w:t xml:space="preserve"> sa medziročne zvýšili o 57 862 tis. eur, pričom najvyšší podiel tvorí spotrebná daň z minerálnych olejov (1 135 057 tis. eur a prírastok 62 278 tis. eur), spotrebná daň z tabaku a tabakových výrobkov (675 744 tis. eur a prírastok 23 593 tis. eur) a spotrebná daň z liehu (204 844 tis. eur a úbytok 29 746 tis. eur.)</w:t>
      </w:r>
    </w:p>
    <w:p w:rsidR="00F5462E" w:rsidRPr="0072101A" w:rsidP="00CF758F">
      <w:pPr>
        <w:pStyle w:val="ListParagraph"/>
        <w:bidi w:val="0"/>
        <w:spacing w:after="0" w:line="336" w:lineRule="auto"/>
        <w:ind w:left="0"/>
        <w:contextualSpacing w:val="0"/>
        <w:jc w:val="both"/>
        <w:rPr>
          <w:rFonts w:ascii="Times New Roman" w:hAnsi="Times New Roman"/>
          <w:bCs/>
          <w:szCs w:val="22"/>
        </w:rPr>
      </w:pPr>
      <w:r w:rsidRPr="0072101A" w:rsidR="00261A9B">
        <w:rPr>
          <w:rFonts w:ascii="Times New Roman" w:hAnsi="Times New Roman"/>
          <w:bCs/>
          <w:szCs w:val="22"/>
          <w:u w:val="single"/>
        </w:rPr>
        <w:t>Daňové výnosy územnej samosprávy</w:t>
      </w:r>
      <w:r w:rsidRPr="0072101A" w:rsidR="00261A9B">
        <w:rPr>
          <w:rFonts w:ascii="Times New Roman" w:hAnsi="Times New Roman"/>
          <w:bCs/>
          <w:szCs w:val="22"/>
        </w:rPr>
        <w:t xml:space="preserve"> dosiahli k 31.12.201</w:t>
      </w:r>
      <w:r w:rsidR="00C00A6A">
        <w:rPr>
          <w:rFonts w:ascii="Times New Roman" w:hAnsi="Times New Roman"/>
          <w:bCs/>
          <w:szCs w:val="22"/>
        </w:rPr>
        <w:t>5</w:t>
      </w:r>
      <w:r w:rsidRPr="0072101A" w:rsidR="00261A9B">
        <w:rPr>
          <w:rFonts w:ascii="Times New Roman" w:hAnsi="Times New Roman"/>
          <w:bCs/>
          <w:szCs w:val="22"/>
        </w:rPr>
        <w:t xml:space="preserve"> hodnotu </w:t>
      </w:r>
      <w:r w:rsidRPr="0072101A" w:rsidR="005E5023">
        <w:rPr>
          <w:rFonts w:ascii="Times New Roman" w:hAnsi="Times New Roman"/>
          <w:bCs/>
          <w:szCs w:val="22"/>
        </w:rPr>
        <w:t>2</w:t>
      </w:r>
      <w:r w:rsidR="00C00A6A">
        <w:rPr>
          <w:rFonts w:ascii="Times New Roman" w:hAnsi="Times New Roman"/>
          <w:bCs/>
          <w:szCs w:val="22"/>
        </w:rPr>
        <w:t> 439 214</w:t>
      </w:r>
      <w:r w:rsidRPr="0072101A" w:rsidR="005E5023">
        <w:rPr>
          <w:rFonts w:ascii="Times New Roman" w:hAnsi="Times New Roman"/>
          <w:bCs/>
          <w:szCs w:val="22"/>
        </w:rPr>
        <w:t xml:space="preserve"> </w:t>
      </w:r>
      <w:r w:rsidRPr="0072101A">
        <w:rPr>
          <w:rFonts w:ascii="Times New Roman" w:hAnsi="Times New Roman"/>
          <w:bCs/>
          <w:szCs w:val="22"/>
        </w:rPr>
        <w:t>tis. eur a medziročne sú vyššie o</w:t>
      </w:r>
      <w:r w:rsidR="00C00A6A">
        <w:rPr>
          <w:rFonts w:ascii="Times New Roman" w:hAnsi="Times New Roman"/>
          <w:bCs/>
          <w:szCs w:val="22"/>
        </w:rPr>
        <w:t> 238 002</w:t>
      </w:r>
      <w:r w:rsidRPr="0072101A">
        <w:rPr>
          <w:rFonts w:ascii="Times New Roman" w:hAnsi="Times New Roman"/>
          <w:bCs/>
          <w:szCs w:val="22"/>
        </w:rPr>
        <w:t xml:space="preserve"> tis. eur</w:t>
      </w:r>
      <w:r w:rsidR="00C00A6A">
        <w:rPr>
          <w:rFonts w:ascii="Times New Roman" w:hAnsi="Times New Roman"/>
          <w:bCs/>
          <w:szCs w:val="22"/>
        </w:rPr>
        <w:t>, čo bolo spôsobené aj vyšším prevodom podielu na dani z príjmov fyzických osôb</w:t>
      </w:r>
      <w:r w:rsidRPr="0072101A">
        <w:rPr>
          <w:rFonts w:ascii="Times New Roman" w:hAnsi="Times New Roman"/>
          <w:bCs/>
          <w:szCs w:val="22"/>
        </w:rPr>
        <w:t>.</w:t>
      </w:r>
      <w:r w:rsidRPr="0072101A" w:rsidR="00261A9B">
        <w:rPr>
          <w:rFonts w:ascii="Times New Roman" w:hAnsi="Times New Roman"/>
          <w:bCs/>
          <w:szCs w:val="22"/>
        </w:rPr>
        <w:t xml:space="preserve"> </w:t>
      </w:r>
      <w:r w:rsidRPr="0072101A">
        <w:rPr>
          <w:rFonts w:ascii="Times New Roman" w:hAnsi="Times New Roman"/>
          <w:bCs/>
          <w:szCs w:val="22"/>
        </w:rPr>
        <w:t>O</w:t>
      </w:r>
      <w:r w:rsidRPr="0072101A" w:rsidR="00261A9B">
        <w:rPr>
          <w:rFonts w:ascii="Times New Roman" w:hAnsi="Times New Roman"/>
          <w:bCs/>
          <w:szCs w:val="22"/>
        </w:rPr>
        <w:t>bce</w:t>
      </w:r>
      <w:r w:rsidRPr="0072101A" w:rsidR="007748BB">
        <w:rPr>
          <w:rFonts w:ascii="Times New Roman" w:hAnsi="Times New Roman"/>
          <w:bCs/>
          <w:szCs w:val="22"/>
        </w:rPr>
        <w:t xml:space="preserve"> vykázali</w:t>
      </w:r>
      <w:r w:rsidRPr="0072101A" w:rsidR="00261A9B">
        <w:rPr>
          <w:rFonts w:ascii="Times New Roman" w:hAnsi="Times New Roman"/>
          <w:bCs/>
          <w:szCs w:val="22"/>
        </w:rPr>
        <w:t xml:space="preserve"> </w:t>
      </w:r>
      <w:r w:rsidRPr="0072101A">
        <w:rPr>
          <w:rFonts w:ascii="Times New Roman" w:hAnsi="Times New Roman"/>
          <w:bCs/>
          <w:szCs w:val="22"/>
        </w:rPr>
        <w:t>hodnotu</w:t>
      </w:r>
      <w:r w:rsidRPr="0072101A" w:rsidR="00737647">
        <w:rPr>
          <w:rFonts w:ascii="Times New Roman" w:hAnsi="Times New Roman"/>
          <w:bCs/>
          <w:szCs w:val="22"/>
        </w:rPr>
        <w:t xml:space="preserve"> </w:t>
      </w:r>
      <w:r w:rsidR="00C00A6A">
        <w:rPr>
          <w:rFonts w:ascii="Times New Roman" w:hAnsi="Times New Roman"/>
          <w:bCs/>
          <w:szCs w:val="22"/>
        </w:rPr>
        <w:t xml:space="preserve">1 799 034 tis. eur (2014: </w:t>
      </w:r>
      <w:r w:rsidRPr="0072101A" w:rsidR="00737647">
        <w:rPr>
          <w:rFonts w:ascii="Times New Roman" w:hAnsi="Times New Roman"/>
          <w:bCs/>
          <w:szCs w:val="22"/>
        </w:rPr>
        <w:t>1 </w:t>
      </w:r>
      <w:r w:rsidRPr="0072101A" w:rsidR="00FF750F">
        <w:rPr>
          <w:rFonts w:ascii="Times New Roman" w:hAnsi="Times New Roman"/>
          <w:bCs/>
          <w:szCs w:val="22"/>
        </w:rPr>
        <w:t>62</w:t>
      </w:r>
      <w:r w:rsidRPr="0072101A" w:rsidR="00737647">
        <w:rPr>
          <w:rFonts w:ascii="Times New Roman" w:hAnsi="Times New Roman"/>
          <w:bCs/>
          <w:szCs w:val="22"/>
        </w:rPr>
        <w:t xml:space="preserve">1 </w:t>
      </w:r>
      <w:r w:rsidRPr="0072101A" w:rsidR="00FF750F">
        <w:rPr>
          <w:rFonts w:ascii="Times New Roman" w:hAnsi="Times New Roman"/>
          <w:bCs/>
          <w:szCs w:val="22"/>
        </w:rPr>
        <w:t>630</w:t>
      </w:r>
      <w:r w:rsidRPr="0072101A">
        <w:rPr>
          <w:rFonts w:ascii="Times New Roman" w:hAnsi="Times New Roman"/>
          <w:bCs/>
          <w:szCs w:val="22"/>
        </w:rPr>
        <w:t xml:space="preserve"> tis. eur</w:t>
      </w:r>
      <w:r w:rsidR="00C00A6A">
        <w:rPr>
          <w:rFonts w:ascii="Times New Roman" w:hAnsi="Times New Roman"/>
          <w:bCs/>
          <w:szCs w:val="22"/>
        </w:rPr>
        <w:t>)</w:t>
      </w:r>
      <w:r w:rsidRPr="0072101A" w:rsidR="00261A9B">
        <w:rPr>
          <w:rFonts w:ascii="Times New Roman" w:hAnsi="Times New Roman"/>
          <w:bCs/>
          <w:szCs w:val="22"/>
        </w:rPr>
        <w:t xml:space="preserve"> a vyššie územné</w:t>
      </w:r>
      <w:r w:rsidRPr="0072101A" w:rsidR="00A70836">
        <w:rPr>
          <w:rFonts w:ascii="Times New Roman" w:hAnsi="Times New Roman"/>
          <w:bCs/>
          <w:szCs w:val="22"/>
        </w:rPr>
        <w:t xml:space="preserve"> celky</w:t>
      </w:r>
      <w:r w:rsidR="00CA49F9">
        <w:rPr>
          <w:rFonts w:ascii="Times New Roman" w:hAnsi="Times New Roman"/>
          <w:bCs/>
          <w:szCs w:val="22"/>
        </w:rPr>
        <w:t xml:space="preserve"> </w:t>
      </w:r>
      <w:r w:rsidR="00C00A6A">
        <w:rPr>
          <w:rFonts w:ascii="Times New Roman" w:hAnsi="Times New Roman"/>
          <w:bCs/>
          <w:szCs w:val="22"/>
        </w:rPr>
        <w:t xml:space="preserve">640 179 tis. eur (2014: </w:t>
      </w:r>
      <w:r w:rsidRPr="0072101A" w:rsidR="00737647">
        <w:rPr>
          <w:rFonts w:ascii="Times New Roman" w:hAnsi="Times New Roman"/>
          <w:bCs/>
          <w:szCs w:val="22"/>
        </w:rPr>
        <w:t>579 58</w:t>
      </w:r>
      <w:r w:rsidRPr="0072101A" w:rsidR="00FF750F">
        <w:rPr>
          <w:rFonts w:ascii="Times New Roman" w:hAnsi="Times New Roman"/>
          <w:bCs/>
          <w:szCs w:val="22"/>
        </w:rPr>
        <w:t>2</w:t>
      </w:r>
      <w:r w:rsidRPr="0072101A" w:rsidR="00261A9B">
        <w:rPr>
          <w:rFonts w:ascii="Times New Roman" w:hAnsi="Times New Roman"/>
          <w:bCs/>
          <w:szCs w:val="22"/>
        </w:rPr>
        <w:t xml:space="preserve"> tis. eur</w:t>
      </w:r>
      <w:r w:rsidR="00C00A6A">
        <w:rPr>
          <w:rFonts w:ascii="Times New Roman" w:hAnsi="Times New Roman"/>
          <w:bCs/>
          <w:szCs w:val="22"/>
        </w:rPr>
        <w:t>)</w:t>
      </w:r>
      <w:r w:rsidRPr="0072101A" w:rsidR="00261A9B">
        <w:rPr>
          <w:rFonts w:ascii="Times New Roman" w:hAnsi="Times New Roman"/>
          <w:bCs/>
          <w:szCs w:val="22"/>
        </w:rPr>
        <w:t>.</w:t>
      </w:r>
    </w:p>
    <w:p w:rsidR="00A84810" w:rsidRPr="0072101A" w:rsidP="00CF758F">
      <w:pPr>
        <w:pStyle w:val="ListParagraph"/>
        <w:bidi w:val="0"/>
        <w:spacing w:before="120" w:after="0" w:line="336" w:lineRule="auto"/>
        <w:ind w:left="0"/>
        <w:contextualSpacing w:val="0"/>
        <w:jc w:val="both"/>
        <w:rPr>
          <w:rFonts w:ascii="Times New Roman" w:hAnsi="Times New Roman"/>
          <w:bCs/>
          <w:szCs w:val="22"/>
        </w:rPr>
      </w:pPr>
      <w:r w:rsidRPr="0072101A" w:rsidR="00270DA1">
        <w:rPr>
          <w:rFonts w:ascii="Times New Roman" w:hAnsi="Times New Roman"/>
          <w:bCs/>
          <w:szCs w:val="22"/>
          <w:u w:val="single"/>
        </w:rPr>
        <w:t>Výnosy z</w:t>
      </w:r>
      <w:r w:rsidRPr="0072101A" w:rsidR="009D3848">
        <w:rPr>
          <w:rFonts w:ascii="Times New Roman" w:hAnsi="Times New Roman"/>
          <w:bCs/>
          <w:szCs w:val="22"/>
          <w:u w:val="single"/>
        </w:rPr>
        <w:t> </w:t>
      </w:r>
      <w:r w:rsidRPr="0072101A" w:rsidR="00270DA1">
        <w:rPr>
          <w:rFonts w:ascii="Times New Roman" w:hAnsi="Times New Roman"/>
          <w:bCs/>
          <w:szCs w:val="22"/>
          <w:u w:val="single"/>
        </w:rPr>
        <w:t>poplat</w:t>
      </w:r>
      <w:r w:rsidRPr="0072101A" w:rsidR="00FA7FDC">
        <w:rPr>
          <w:rFonts w:ascii="Times New Roman" w:hAnsi="Times New Roman"/>
          <w:bCs/>
          <w:szCs w:val="22"/>
          <w:u w:val="single"/>
        </w:rPr>
        <w:t>kov</w:t>
      </w:r>
      <w:r w:rsidRPr="0072101A" w:rsidR="009D3848">
        <w:rPr>
          <w:rFonts w:ascii="Times New Roman" w:hAnsi="Times New Roman"/>
          <w:bCs/>
          <w:szCs w:val="22"/>
        </w:rPr>
        <w:t xml:space="preserve"> dosiahli </w:t>
      </w:r>
      <w:r w:rsidR="00CA49F9">
        <w:rPr>
          <w:rFonts w:ascii="Times New Roman" w:hAnsi="Times New Roman"/>
          <w:bCs/>
          <w:szCs w:val="22"/>
        </w:rPr>
        <w:t>768 930</w:t>
      </w:r>
      <w:r w:rsidRPr="0072101A" w:rsidR="00FF750F">
        <w:rPr>
          <w:rFonts w:ascii="Times New Roman" w:hAnsi="Times New Roman"/>
          <w:bCs/>
          <w:szCs w:val="22"/>
        </w:rPr>
        <w:t xml:space="preserve"> </w:t>
      </w:r>
      <w:r w:rsidRPr="0072101A">
        <w:rPr>
          <w:rFonts w:ascii="Times New Roman" w:hAnsi="Times New Roman"/>
          <w:bCs/>
          <w:szCs w:val="22"/>
        </w:rPr>
        <w:t>tis. eur, pričom v porov</w:t>
      </w:r>
      <w:r w:rsidRPr="0072101A" w:rsidR="00A70836">
        <w:rPr>
          <w:rFonts w:ascii="Times New Roman" w:hAnsi="Times New Roman"/>
          <w:bCs/>
          <w:szCs w:val="22"/>
        </w:rPr>
        <w:t>naní s rokom 201</w:t>
      </w:r>
      <w:r w:rsidR="00CA49F9">
        <w:rPr>
          <w:rFonts w:ascii="Times New Roman" w:hAnsi="Times New Roman"/>
          <w:bCs/>
          <w:szCs w:val="22"/>
        </w:rPr>
        <w:t>4</w:t>
      </w:r>
      <w:r w:rsidR="00131A07">
        <w:rPr>
          <w:rFonts w:ascii="Times New Roman" w:hAnsi="Times New Roman"/>
          <w:bCs/>
          <w:szCs w:val="22"/>
        </w:rPr>
        <w:t xml:space="preserve"> boli vyššie</w:t>
        <w:br/>
      </w:r>
      <w:r w:rsidRPr="0072101A" w:rsidR="00A70836">
        <w:rPr>
          <w:rFonts w:ascii="Times New Roman" w:hAnsi="Times New Roman"/>
          <w:bCs/>
          <w:szCs w:val="22"/>
        </w:rPr>
        <w:t>o</w:t>
      </w:r>
      <w:r w:rsidRPr="0072101A" w:rsidR="00FF750F">
        <w:rPr>
          <w:rFonts w:ascii="Times New Roman" w:hAnsi="Times New Roman"/>
          <w:bCs/>
          <w:szCs w:val="22"/>
        </w:rPr>
        <w:t> </w:t>
      </w:r>
      <w:r w:rsidR="00CA49F9">
        <w:rPr>
          <w:rFonts w:ascii="Times New Roman" w:hAnsi="Times New Roman"/>
          <w:bCs/>
          <w:szCs w:val="22"/>
        </w:rPr>
        <w:t>66 429</w:t>
      </w:r>
      <w:r w:rsidRPr="0072101A" w:rsidR="00FF750F">
        <w:rPr>
          <w:rFonts w:ascii="Times New Roman" w:hAnsi="Times New Roman"/>
          <w:bCs/>
          <w:szCs w:val="22"/>
        </w:rPr>
        <w:t xml:space="preserve"> </w:t>
      </w:r>
      <w:r w:rsidRPr="0072101A">
        <w:rPr>
          <w:rFonts w:ascii="Times New Roman" w:hAnsi="Times New Roman"/>
          <w:bCs/>
          <w:szCs w:val="22"/>
        </w:rPr>
        <w:t>tis. eur.</w:t>
      </w:r>
      <w:r w:rsidRPr="0072101A" w:rsidR="009D3848">
        <w:rPr>
          <w:rFonts w:ascii="Times New Roman" w:hAnsi="Times New Roman"/>
          <w:bCs/>
          <w:szCs w:val="22"/>
        </w:rPr>
        <w:t xml:space="preserve"> </w:t>
      </w:r>
      <w:r w:rsidR="00CA49F9">
        <w:rPr>
          <w:rFonts w:ascii="Times New Roman" w:hAnsi="Times New Roman"/>
          <w:bCs/>
          <w:szCs w:val="22"/>
        </w:rPr>
        <w:t>Najvyššiu hodnotu v súhrnnom celku vykazuje Ministerstvo financií SR 343 007 tis. eur</w:t>
      </w:r>
      <w:r w:rsidR="00830792">
        <w:rPr>
          <w:rFonts w:ascii="Times New Roman" w:hAnsi="Times New Roman"/>
          <w:bCs/>
          <w:szCs w:val="22"/>
        </w:rPr>
        <w:t xml:space="preserve"> z predaja elektronických kolkov, zo súdnych a správnych poplatkov a z poplatkov za hazardné hry.</w:t>
      </w:r>
      <w:r w:rsidR="001D1F28">
        <w:rPr>
          <w:rFonts w:ascii="Times New Roman" w:hAnsi="Times New Roman"/>
          <w:bCs/>
          <w:szCs w:val="22"/>
        </w:rPr>
        <w:t xml:space="preserve"> </w:t>
      </w:r>
      <w:r w:rsidR="00830792">
        <w:rPr>
          <w:rFonts w:ascii="Times New Roman" w:hAnsi="Times New Roman"/>
          <w:bCs/>
          <w:szCs w:val="22"/>
        </w:rPr>
        <w:t>O</w:t>
      </w:r>
      <w:r w:rsidR="001D1F28">
        <w:rPr>
          <w:rFonts w:ascii="Times New Roman" w:hAnsi="Times New Roman"/>
          <w:bCs/>
          <w:szCs w:val="22"/>
        </w:rPr>
        <w:t xml:space="preserve">bce </w:t>
      </w:r>
      <w:r w:rsidR="00830792">
        <w:rPr>
          <w:rFonts w:ascii="Times New Roman" w:hAnsi="Times New Roman"/>
          <w:bCs/>
          <w:szCs w:val="22"/>
        </w:rPr>
        <w:t xml:space="preserve">dosiahli </w:t>
      </w:r>
      <w:r w:rsidR="001D1F28">
        <w:rPr>
          <w:rFonts w:ascii="Times New Roman" w:hAnsi="Times New Roman"/>
          <w:bCs/>
          <w:szCs w:val="22"/>
        </w:rPr>
        <w:t>úhrnom 205 256 tis. eur</w:t>
      </w:r>
      <w:r w:rsidR="00F76AF4">
        <w:rPr>
          <w:rFonts w:ascii="Times New Roman" w:hAnsi="Times New Roman"/>
          <w:bCs/>
          <w:szCs w:val="22"/>
        </w:rPr>
        <w:t xml:space="preserve"> z úhrad za miestne poplatky</w:t>
      </w:r>
      <w:r w:rsidR="004F45C7">
        <w:rPr>
          <w:rFonts w:ascii="Times New Roman" w:hAnsi="Times New Roman"/>
          <w:bCs/>
          <w:szCs w:val="22"/>
        </w:rPr>
        <w:t>,</w:t>
      </w:r>
      <w:r w:rsidR="001D1F28">
        <w:rPr>
          <w:rFonts w:ascii="Times New Roman" w:hAnsi="Times New Roman"/>
          <w:bCs/>
          <w:szCs w:val="22"/>
        </w:rPr>
        <w:t xml:space="preserve"> </w:t>
      </w:r>
      <w:r w:rsidR="001D1D14">
        <w:rPr>
          <w:rFonts w:ascii="Times New Roman" w:hAnsi="Times New Roman"/>
          <w:bCs/>
          <w:szCs w:val="22"/>
        </w:rPr>
        <w:t>Environmentálny fond 116 103 </w:t>
      </w:r>
      <w:r w:rsidR="00CA49F9">
        <w:rPr>
          <w:rFonts w:ascii="Times New Roman" w:hAnsi="Times New Roman"/>
          <w:bCs/>
          <w:szCs w:val="22"/>
        </w:rPr>
        <w:t>tis. eur</w:t>
      </w:r>
      <w:r w:rsidR="00830792">
        <w:rPr>
          <w:rFonts w:ascii="Times New Roman" w:hAnsi="Times New Roman"/>
          <w:bCs/>
          <w:szCs w:val="22"/>
        </w:rPr>
        <w:t xml:space="preserve"> za poplatky zo znečisťovania ovzdušia, </w:t>
      </w:r>
      <w:r w:rsidR="004F45C7">
        <w:rPr>
          <w:rFonts w:ascii="Times New Roman" w:hAnsi="Times New Roman"/>
          <w:bCs/>
          <w:szCs w:val="22"/>
        </w:rPr>
        <w:t>a Rozhlas a televízia Slovenska 75 183 tis. eur</w:t>
      </w:r>
      <w:r w:rsidR="00830792">
        <w:rPr>
          <w:rFonts w:ascii="Times New Roman" w:hAnsi="Times New Roman"/>
          <w:bCs/>
          <w:szCs w:val="22"/>
        </w:rPr>
        <w:t xml:space="preserve"> z</w:t>
      </w:r>
      <w:r w:rsidR="00DA3C82">
        <w:rPr>
          <w:rFonts w:ascii="Times New Roman" w:hAnsi="Times New Roman"/>
          <w:bCs/>
          <w:szCs w:val="22"/>
        </w:rPr>
        <w:t> úhrad z</w:t>
      </w:r>
      <w:r w:rsidR="00830792">
        <w:rPr>
          <w:rFonts w:ascii="Times New Roman" w:hAnsi="Times New Roman"/>
          <w:bCs/>
          <w:szCs w:val="22"/>
        </w:rPr>
        <w:t>a poskytovanie služieb verejnosti</w:t>
      </w:r>
      <w:r w:rsidR="00CA49F9">
        <w:rPr>
          <w:rFonts w:ascii="Times New Roman" w:hAnsi="Times New Roman"/>
          <w:bCs/>
          <w:szCs w:val="22"/>
        </w:rPr>
        <w:t>.</w:t>
      </w:r>
    </w:p>
    <w:p w:rsidR="00FA68CA" w:rsidRPr="0072101A" w:rsidP="008F6F24">
      <w:pPr>
        <w:numPr>
          <w:numId w:val="25"/>
        </w:numPr>
        <w:bidi w:val="0"/>
        <w:spacing w:before="200" w:line="336" w:lineRule="auto"/>
        <w:ind w:left="426" w:hanging="426"/>
        <w:jc w:val="both"/>
        <w:rPr>
          <w:rFonts w:ascii="Times New Roman" w:hAnsi="Times New Roman"/>
          <w:b/>
          <w:bCs/>
          <w:sz w:val="24"/>
          <w:szCs w:val="24"/>
        </w:rPr>
      </w:pPr>
      <w:r w:rsidRPr="0072101A">
        <w:rPr>
          <w:rFonts w:ascii="Times New Roman" w:hAnsi="Times New Roman"/>
          <w:b/>
          <w:bCs/>
          <w:sz w:val="24"/>
          <w:szCs w:val="24"/>
        </w:rPr>
        <w:t>Zúčtovanie rezerv a opravných položiek</w:t>
      </w:r>
    </w:p>
    <w:p w:rsidR="00B80ED9" w:rsidRPr="0072101A" w:rsidP="00142D17">
      <w:pPr>
        <w:pStyle w:val="Pismenka"/>
        <w:tabs>
          <w:tab w:val="clear" w:pos="426"/>
        </w:tabs>
        <w:bidi w:val="0"/>
        <w:spacing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rPr>
        <w:t>Zúčtovanie rezerv</w:t>
      </w:r>
      <w:r w:rsidRPr="0072101A" w:rsidR="00A80F45">
        <w:rPr>
          <w:rFonts w:ascii="Times New Roman" w:hAnsi="Times New Roman"/>
          <w:b w:val="0"/>
          <w:bCs w:val="0"/>
          <w:sz w:val="22"/>
          <w:szCs w:val="22"/>
        </w:rPr>
        <w:t xml:space="preserve"> a opravných položiek vytvorených v predchádzajúcich obdobiach do nákladov, bolo k 31.12.201</w:t>
      </w:r>
      <w:r w:rsidR="00C03F0A">
        <w:rPr>
          <w:rFonts w:ascii="Times New Roman" w:hAnsi="Times New Roman"/>
          <w:b w:val="0"/>
          <w:bCs w:val="0"/>
          <w:sz w:val="22"/>
          <w:szCs w:val="22"/>
        </w:rPr>
        <w:t>5</w:t>
      </w:r>
      <w:r w:rsidRPr="0072101A" w:rsidR="00A80F45">
        <w:rPr>
          <w:rFonts w:ascii="Times New Roman" w:hAnsi="Times New Roman"/>
          <w:b w:val="0"/>
          <w:bCs w:val="0"/>
          <w:sz w:val="22"/>
          <w:szCs w:val="22"/>
        </w:rPr>
        <w:t xml:space="preserve"> v hodnote </w:t>
      </w:r>
      <w:r w:rsidR="002032B9">
        <w:rPr>
          <w:rFonts w:ascii="Times New Roman" w:hAnsi="Times New Roman"/>
          <w:b w:val="0"/>
          <w:bCs w:val="0"/>
          <w:sz w:val="22"/>
          <w:szCs w:val="22"/>
        </w:rPr>
        <w:t>3 367 684</w:t>
      </w:r>
      <w:r w:rsidRPr="0072101A" w:rsidR="005C0BC1">
        <w:rPr>
          <w:rFonts w:ascii="Times New Roman" w:hAnsi="Times New Roman"/>
          <w:b w:val="0"/>
          <w:bCs w:val="0"/>
          <w:sz w:val="22"/>
          <w:szCs w:val="22"/>
        </w:rPr>
        <w:t xml:space="preserve"> tis. eur</w:t>
      </w:r>
      <w:r w:rsidRPr="0072101A" w:rsidR="00A80F45">
        <w:rPr>
          <w:rFonts w:ascii="Times New Roman" w:hAnsi="Times New Roman"/>
          <w:b w:val="0"/>
          <w:bCs w:val="0"/>
          <w:sz w:val="22"/>
          <w:szCs w:val="22"/>
        </w:rPr>
        <w:t>. Medziročne sa</w:t>
      </w:r>
      <w:r w:rsidRPr="0072101A" w:rsidR="00A70836">
        <w:rPr>
          <w:rFonts w:ascii="Times New Roman" w:hAnsi="Times New Roman"/>
          <w:b w:val="0"/>
          <w:bCs w:val="0"/>
          <w:sz w:val="22"/>
          <w:szCs w:val="22"/>
        </w:rPr>
        <w:t xml:space="preserve"> </w:t>
      </w:r>
      <w:r w:rsidR="00C03F0A">
        <w:rPr>
          <w:rFonts w:ascii="Times New Roman" w:hAnsi="Times New Roman"/>
          <w:b w:val="0"/>
          <w:bCs w:val="0"/>
          <w:sz w:val="22"/>
          <w:szCs w:val="22"/>
        </w:rPr>
        <w:t>znížili</w:t>
      </w:r>
      <w:r w:rsidRPr="0072101A" w:rsidR="00A70836">
        <w:rPr>
          <w:rFonts w:ascii="Times New Roman" w:hAnsi="Times New Roman"/>
          <w:b w:val="0"/>
          <w:bCs w:val="0"/>
          <w:sz w:val="22"/>
          <w:szCs w:val="22"/>
        </w:rPr>
        <w:t xml:space="preserve"> tieto nepeňažné výnosy</w:t>
        <w:br/>
      </w:r>
      <w:r w:rsidRPr="0072101A" w:rsidR="00A80F45">
        <w:rPr>
          <w:rFonts w:ascii="Times New Roman" w:hAnsi="Times New Roman"/>
          <w:b w:val="0"/>
          <w:bCs w:val="0"/>
          <w:sz w:val="22"/>
          <w:szCs w:val="22"/>
        </w:rPr>
        <w:t>o</w:t>
      </w:r>
      <w:r w:rsidRPr="0072101A" w:rsidR="00A70836">
        <w:rPr>
          <w:rFonts w:ascii="Times New Roman" w:hAnsi="Times New Roman"/>
          <w:b w:val="0"/>
          <w:bCs w:val="0"/>
          <w:sz w:val="22"/>
          <w:szCs w:val="22"/>
        </w:rPr>
        <w:t xml:space="preserve"> </w:t>
      </w:r>
      <w:r w:rsidR="00C03F0A">
        <w:rPr>
          <w:rFonts w:ascii="Times New Roman" w:hAnsi="Times New Roman"/>
          <w:b w:val="0"/>
          <w:bCs w:val="0"/>
          <w:sz w:val="22"/>
          <w:szCs w:val="22"/>
        </w:rPr>
        <w:t>585 478</w:t>
      </w:r>
      <w:r w:rsidRPr="0072101A" w:rsidR="001A5256">
        <w:rPr>
          <w:rFonts w:ascii="Times New Roman" w:hAnsi="Times New Roman"/>
          <w:b w:val="0"/>
          <w:bCs w:val="0"/>
          <w:sz w:val="22"/>
          <w:szCs w:val="22"/>
        </w:rPr>
        <w:t xml:space="preserve"> </w:t>
      </w:r>
      <w:r w:rsidR="00C03F0A">
        <w:rPr>
          <w:rFonts w:ascii="Times New Roman" w:hAnsi="Times New Roman"/>
          <w:b w:val="0"/>
          <w:bCs w:val="0"/>
          <w:sz w:val="22"/>
          <w:szCs w:val="22"/>
        </w:rPr>
        <w:t xml:space="preserve">tis. eur najmä nižším zúčtovaním rezerv o 552 327 tis. eur. </w:t>
      </w:r>
    </w:p>
    <w:p w:rsidR="00D07267" w:rsidP="00B80ED9">
      <w:pPr>
        <w:pStyle w:val="Pismenka"/>
        <w:tabs>
          <w:tab w:val="clear" w:pos="426"/>
        </w:tabs>
        <w:bidi w:val="0"/>
        <w:spacing w:before="120" w:line="336" w:lineRule="auto"/>
        <w:ind w:left="0" w:firstLine="0"/>
        <w:rPr>
          <w:rFonts w:ascii="Times New Roman" w:hAnsi="Times New Roman"/>
          <w:b w:val="0"/>
          <w:bCs w:val="0"/>
          <w:sz w:val="22"/>
          <w:szCs w:val="22"/>
        </w:rPr>
      </w:pPr>
      <w:r w:rsidRPr="0072101A" w:rsidR="000A0C81">
        <w:rPr>
          <w:rFonts w:ascii="Times New Roman" w:hAnsi="Times New Roman"/>
          <w:b w:val="0"/>
          <w:bCs w:val="0"/>
          <w:sz w:val="22"/>
          <w:szCs w:val="22"/>
        </w:rPr>
        <w:t>Z hľadiska významnosti vykazuje najvyššie výnosy zo zúčtovania rezerv Všeobecná zdravotná poisťovňa, a.s.</w:t>
      </w:r>
      <w:r w:rsidRPr="0072101A" w:rsidR="009225A9">
        <w:rPr>
          <w:rFonts w:ascii="Times New Roman" w:hAnsi="Times New Roman"/>
          <w:b w:val="0"/>
          <w:bCs w:val="0"/>
          <w:sz w:val="22"/>
          <w:szCs w:val="22"/>
        </w:rPr>
        <w:t>,</w:t>
      </w:r>
      <w:r w:rsidRPr="0072101A" w:rsidR="000A0C81">
        <w:rPr>
          <w:rFonts w:ascii="Times New Roman" w:hAnsi="Times New Roman"/>
          <w:b w:val="0"/>
          <w:bCs w:val="0"/>
          <w:sz w:val="22"/>
          <w:szCs w:val="22"/>
        </w:rPr>
        <w:t xml:space="preserve"> a to </w:t>
      </w:r>
      <w:r w:rsidRPr="0072101A" w:rsidR="009D247E">
        <w:rPr>
          <w:rFonts w:ascii="Times New Roman" w:hAnsi="Times New Roman"/>
          <w:b w:val="0"/>
          <w:bCs w:val="0"/>
          <w:sz w:val="22"/>
          <w:szCs w:val="22"/>
        </w:rPr>
        <w:t>2</w:t>
      </w:r>
      <w:r w:rsidR="00C03F0A">
        <w:rPr>
          <w:rFonts w:ascii="Times New Roman" w:hAnsi="Times New Roman"/>
          <w:b w:val="0"/>
          <w:bCs w:val="0"/>
          <w:sz w:val="22"/>
          <w:szCs w:val="22"/>
        </w:rPr>
        <w:t> 541 185 tis. eur</w:t>
      </w:r>
      <w:r w:rsidRPr="0072101A" w:rsidR="000A0C81">
        <w:rPr>
          <w:rFonts w:ascii="Times New Roman" w:hAnsi="Times New Roman"/>
          <w:b w:val="0"/>
          <w:bCs w:val="0"/>
          <w:sz w:val="22"/>
          <w:szCs w:val="22"/>
        </w:rPr>
        <w:t xml:space="preserve">. Ide o zúčtovanie </w:t>
      </w:r>
      <w:r w:rsidR="00C03F0A">
        <w:rPr>
          <w:rFonts w:ascii="Times New Roman" w:hAnsi="Times New Roman"/>
          <w:b w:val="0"/>
          <w:bCs w:val="0"/>
          <w:sz w:val="22"/>
          <w:szCs w:val="22"/>
        </w:rPr>
        <w:t xml:space="preserve">technických </w:t>
      </w:r>
      <w:r w:rsidRPr="0072101A" w:rsidR="000A0C81">
        <w:rPr>
          <w:rFonts w:ascii="Times New Roman" w:hAnsi="Times New Roman"/>
          <w:b w:val="0"/>
          <w:bCs w:val="0"/>
          <w:sz w:val="22"/>
          <w:szCs w:val="22"/>
        </w:rPr>
        <w:t>rezerv</w:t>
      </w:r>
      <w:r w:rsidR="0062183A">
        <w:rPr>
          <w:rFonts w:ascii="Times New Roman" w:hAnsi="Times New Roman"/>
          <w:b w:val="0"/>
          <w:bCs w:val="0"/>
          <w:sz w:val="22"/>
          <w:szCs w:val="22"/>
        </w:rPr>
        <w:t xml:space="preserve"> na poistné, medziročne bolo nižšie o 147 723 tis. eur.</w:t>
      </w:r>
      <w:r>
        <w:rPr>
          <w:rFonts w:ascii="Times New Roman" w:hAnsi="Times New Roman"/>
          <w:b w:val="0"/>
          <w:bCs w:val="0"/>
          <w:sz w:val="22"/>
          <w:szCs w:val="22"/>
        </w:rPr>
        <w:t xml:space="preserve"> </w:t>
      </w:r>
    </w:p>
    <w:p w:rsidR="000A0C81" w:rsidRPr="0072101A" w:rsidP="00B80ED9">
      <w:pPr>
        <w:pStyle w:val="Pismenka"/>
        <w:tabs>
          <w:tab w:val="clear" w:pos="426"/>
        </w:tabs>
        <w:bidi w:val="0"/>
        <w:spacing w:before="120" w:line="336" w:lineRule="auto"/>
        <w:ind w:left="0" w:firstLine="0"/>
        <w:rPr>
          <w:rFonts w:ascii="Times New Roman" w:hAnsi="Times New Roman"/>
          <w:b w:val="0"/>
          <w:bCs w:val="0"/>
          <w:sz w:val="22"/>
          <w:szCs w:val="22"/>
        </w:rPr>
      </w:pPr>
      <w:r w:rsidR="00D07267">
        <w:rPr>
          <w:rFonts w:ascii="Times New Roman" w:hAnsi="Times New Roman"/>
          <w:b w:val="0"/>
          <w:bCs w:val="0"/>
          <w:sz w:val="22"/>
          <w:szCs w:val="22"/>
        </w:rPr>
        <w:t>Ďalší významný medziročný úbytok výnosov zo zúčtovania rezerv zaznamenalo Ministerstvo hospodárstva SR, a to o 162 233 tis. eur z dôvodu prehodnotenia výšky rezerva na súdne spory.</w:t>
      </w:r>
      <w:r w:rsidRPr="0072101A">
        <w:rPr>
          <w:rFonts w:ascii="Times New Roman" w:hAnsi="Times New Roman"/>
          <w:b w:val="0"/>
          <w:bCs w:val="0"/>
          <w:sz w:val="22"/>
          <w:szCs w:val="22"/>
        </w:rPr>
        <w:t xml:space="preserve"> </w:t>
      </w:r>
    </w:p>
    <w:p w:rsidR="002943E8" w:rsidRPr="0072101A" w:rsidP="008F6F24">
      <w:pPr>
        <w:numPr>
          <w:numId w:val="25"/>
        </w:numPr>
        <w:bidi w:val="0"/>
        <w:spacing w:before="200" w:line="336" w:lineRule="auto"/>
        <w:ind w:left="426" w:hanging="426"/>
        <w:jc w:val="both"/>
        <w:rPr>
          <w:rFonts w:ascii="Times New Roman" w:hAnsi="Times New Roman"/>
          <w:b/>
          <w:bCs/>
          <w:sz w:val="24"/>
          <w:szCs w:val="24"/>
        </w:rPr>
      </w:pPr>
      <w:r w:rsidRPr="0072101A">
        <w:rPr>
          <w:rFonts w:ascii="Times New Roman" w:hAnsi="Times New Roman"/>
          <w:b/>
          <w:bCs/>
          <w:sz w:val="24"/>
          <w:szCs w:val="24"/>
        </w:rPr>
        <w:t>Ostatné výnosy z prevádzkovej činnosti</w:t>
      </w:r>
    </w:p>
    <w:p w:rsidR="00746DAC" w:rsidP="00746DAC">
      <w:pPr>
        <w:pStyle w:val="Pismenka"/>
        <w:tabs>
          <w:tab w:val="clear" w:pos="426"/>
        </w:tabs>
        <w:bidi w:val="0"/>
        <w:spacing w:line="336" w:lineRule="auto"/>
        <w:ind w:left="0" w:firstLine="0"/>
        <w:rPr>
          <w:rFonts w:ascii="Times New Roman" w:hAnsi="Times New Roman"/>
          <w:b w:val="0"/>
          <w:bCs w:val="0"/>
          <w:sz w:val="22"/>
          <w:szCs w:val="22"/>
        </w:rPr>
      </w:pPr>
      <w:r w:rsidRPr="00D52AC2" w:rsidR="002943E8">
        <w:rPr>
          <w:rFonts w:ascii="Times New Roman" w:hAnsi="Times New Roman"/>
          <w:b w:val="0"/>
          <w:bCs w:val="0"/>
          <w:sz w:val="22"/>
          <w:szCs w:val="22"/>
        </w:rPr>
        <w:t>Ostatné výnosy z prevádzkovej činnosti dosiahli k 31.12.201</w:t>
      </w:r>
      <w:r w:rsidRPr="00D52AC2" w:rsidR="000E12CE">
        <w:rPr>
          <w:rFonts w:ascii="Times New Roman" w:hAnsi="Times New Roman"/>
          <w:b w:val="0"/>
          <w:bCs w:val="0"/>
          <w:sz w:val="22"/>
          <w:szCs w:val="22"/>
        </w:rPr>
        <w:t>5</w:t>
      </w:r>
      <w:r w:rsidRPr="00D52AC2" w:rsidR="002943E8">
        <w:rPr>
          <w:rFonts w:ascii="Times New Roman" w:hAnsi="Times New Roman"/>
          <w:b w:val="0"/>
          <w:bCs w:val="0"/>
          <w:sz w:val="22"/>
          <w:szCs w:val="22"/>
        </w:rPr>
        <w:t xml:space="preserve"> hodnotu </w:t>
      </w:r>
      <w:r w:rsidRPr="00D52AC2" w:rsidR="000E12CE">
        <w:rPr>
          <w:rFonts w:ascii="Times New Roman" w:hAnsi="Times New Roman"/>
          <w:b w:val="0"/>
          <w:bCs w:val="0"/>
          <w:sz w:val="22"/>
          <w:szCs w:val="22"/>
        </w:rPr>
        <w:t xml:space="preserve">2 521 839 tis. eur </w:t>
      </w:r>
      <w:r w:rsidRPr="00D52AC2" w:rsidR="002943E8">
        <w:rPr>
          <w:rFonts w:ascii="Times New Roman" w:hAnsi="Times New Roman"/>
          <w:b w:val="0"/>
          <w:bCs w:val="0"/>
          <w:sz w:val="22"/>
          <w:szCs w:val="22"/>
        </w:rPr>
        <w:t>a oproti roku 201</w:t>
      </w:r>
      <w:r w:rsidRPr="00D52AC2" w:rsidR="000E12CE">
        <w:rPr>
          <w:rFonts w:ascii="Times New Roman" w:hAnsi="Times New Roman"/>
          <w:b w:val="0"/>
          <w:bCs w:val="0"/>
          <w:sz w:val="22"/>
          <w:szCs w:val="22"/>
        </w:rPr>
        <w:t>4</w:t>
      </w:r>
      <w:r w:rsidRPr="00D52AC2" w:rsidR="002943E8">
        <w:rPr>
          <w:rFonts w:ascii="Times New Roman" w:hAnsi="Times New Roman"/>
          <w:b w:val="0"/>
          <w:bCs w:val="0"/>
          <w:sz w:val="22"/>
          <w:szCs w:val="22"/>
        </w:rPr>
        <w:t xml:space="preserve"> sú </w:t>
      </w:r>
      <w:r w:rsidRPr="00D52AC2" w:rsidR="000E12CE">
        <w:rPr>
          <w:rFonts w:ascii="Times New Roman" w:hAnsi="Times New Roman"/>
          <w:b w:val="0"/>
          <w:bCs w:val="0"/>
          <w:sz w:val="22"/>
          <w:szCs w:val="22"/>
        </w:rPr>
        <w:t>vyššie o 326 242</w:t>
      </w:r>
      <w:r w:rsidRPr="00D52AC2" w:rsidR="002943E8">
        <w:rPr>
          <w:rFonts w:ascii="Times New Roman" w:hAnsi="Times New Roman"/>
          <w:b w:val="0"/>
          <w:bCs w:val="0"/>
          <w:sz w:val="22"/>
          <w:szCs w:val="22"/>
        </w:rPr>
        <w:t xml:space="preserve"> tis. eur. V rámci týchto výnosov tvoria </w:t>
      </w:r>
      <w:r w:rsidRPr="00D52AC2" w:rsidR="002943E8">
        <w:rPr>
          <w:rFonts w:ascii="Times New Roman" w:hAnsi="Times New Roman"/>
          <w:b w:val="0"/>
          <w:bCs w:val="0"/>
          <w:sz w:val="22"/>
          <w:szCs w:val="22"/>
          <w:u w:val="single"/>
        </w:rPr>
        <w:t>tržby z predaja dlhodobého hmotného a nehmotného majetku</w:t>
      </w:r>
      <w:r w:rsidRPr="00D52AC2" w:rsidR="002943E8">
        <w:rPr>
          <w:rFonts w:ascii="Times New Roman" w:hAnsi="Times New Roman"/>
          <w:b w:val="0"/>
          <w:bCs w:val="0"/>
          <w:sz w:val="22"/>
          <w:szCs w:val="22"/>
        </w:rPr>
        <w:t xml:space="preserve"> sumu </w:t>
      </w:r>
      <w:r w:rsidRPr="00D52AC2" w:rsidR="00424158">
        <w:rPr>
          <w:rFonts w:ascii="Times New Roman" w:hAnsi="Times New Roman"/>
          <w:b w:val="0"/>
          <w:bCs w:val="0"/>
          <w:sz w:val="22"/>
          <w:szCs w:val="22"/>
        </w:rPr>
        <w:t>293 748</w:t>
      </w:r>
      <w:r w:rsidRPr="00D52AC2" w:rsidR="00AF0186">
        <w:rPr>
          <w:rFonts w:ascii="Times New Roman" w:hAnsi="Times New Roman"/>
          <w:b w:val="0"/>
          <w:bCs w:val="0"/>
          <w:sz w:val="22"/>
          <w:szCs w:val="22"/>
        </w:rPr>
        <w:t xml:space="preserve"> </w:t>
      </w:r>
      <w:r w:rsidRPr="00D52AC2" w:rsidR="002943E8">
        <w:rPr>
          <w:rFonts w:ascii="Times New Roman" w:hAnsi="Times New Roman"/>
          <w:b w:val="0"/>
          <w:bCs w:val="0"/>
          <w:sz w:val="22"/>
          <w:szCs w:val="22"/>
        </w:rPr>
        <w:t>tis. eur (201</w:t>
      </w:r>
      <w:r w:rsidRPr="00D52AC2" w:rsidR="00424158">
        <w:rPr>
          <w:rFonts w:ascii="Times New Roman" w:hAnsi="Times New Roman"/>
          <w:b w:val="0"/>
          <w:bCs w:val="0"/>
          <w:sz w:val="22"/>
          <w:szCs w:val="22"/>
        </w:rPr>
        <w:t>4</w:t>
      </w:r>
      <w:r w:rsidRPr="00D52AC2" w:rsidR="002943E8">
        <w:rPr>
          <w:rFonts w:ascii="Times New Roman" w:hAnsi="Times New Roman"/>
          <w:b w:val="0"/>
          <w:bCs w:val="0"/>
          <w:sz w:val="22"/>
          <w:szCs w:val="22"/>
        </w:rPr>
        <w:t xml:space="preserve">: </w:t>
      </w:r>
      <w:r w:rsidRPr="00D52AC2" w:rsidR="00424158">
        <w:rPr>
          <w:rFonts w:ascii="Times New Roman" w:hAnsi="Times New Roman"/>
          <w:b w:val="0"/>
          <w:bCs w:val="0"/>
          <w:sz w:val="22"/>
          <w:szCs w:val="22"/>
        </w:rPr>
        <w:t>142 933</w:t>
      </w:r>
      <w:r w:rsidRPr="00D52AC2" w:rsidR="00AF0186">
        <w:rPr>
          <w:rFonts w:ascii="Times New Roman" w:hAnsi="Times New Roman"/>
          <w:b w:val="0"/>
          <w:bCs w:val="0"/>
          <w:sz w:val="22"/>
          <w:szCs w:val="22"/>
        </w:rPr>
        <w:t xml:space="preserve"> </w:t>
      </w:r>
      <w:r w:rsidRPr="00D52AC2" w:rsidR="002943E8">
        <w:rPr>
          <w:rFonts w:ascii="Times New Roman" w:hAnsi="Times New Roman"/>
          <w:b w:val="0"/>
          <w:bCs w:val="0"/>
          <w:sz w:val="22"/>
          <w:szCs w:val="22"/>
        </w:rPr>
        <w:t xml:space="preserve">tis. eur), </w:t>
      </w:r>
      <w:r w:rsidRPr="00D52AC2" w:rsidR="002943E8">
        <w:rPr>
          <w:rFonts w:ascii="Times New Roman" w:hAnsi="Times New Roman"/>
          <w:b w:val="0"/>
          <w:bCs w:val="0"/>
          <w:sz w:val="22"/>
          <w:szCs w:val="22"/>
          <w:u w:val="single"/>
        </w:rPr>
        <w:t>zmluvné a ostatné pokuty a penále</w:t>
      </w:r>
      <w:r w:rsidRPr="00D52AC2" w:rsidR="002943E8">
        <w:rPr>
          <w:rFonts w:ascii="Times New Roman" w:hAnsi="Times New Roman"/>
          <w:b w:val="0"/>
          <w:bCs w:val="0"/>
          <w:sz w:val="22"/>
          <w:szCs w:val="22"/>
        </w:rPr>
        <w:t xml:space="preserve"> </w:t>
      </w:r>
      <w:r w:rsidRPr="00D52AC2" w:rsidR="00424158">
        <w:rPr>
          <w:rFonts w:ascii="Times New Roman" w:hAnsi="Times New Roman"/>
          <w:b w:val="0"/>
          <w:bCs w:val="0"/>
          <w:sz w:val="22"/>
          <w:szCs w:val="22"/>
        </w:rPr>
        <w:t>82 392</w:t>
      </w:r>
      <w:r w:rsidRPr="00D52AC2" w:rsidR="00AF0186">
        <w:rPr>
          <w:rFonts w:ascii="Times New Roman" w:hAnsi="Times New Roman"/>
          <w:b w:val="0"/>
          <w:bCs w:val="0"/>
          <w:sz w:val="22"/>
          <w:szCs w:val="22"/>
        </w:rPr>
        <w:t xml:space="preserve"> tis. eur (201</w:t>
      </w:r>
      <w:r w:rsidRPr="00D52AC2" w:rsidR="00424158">
        <w:rPr>
          <w:rFonts w:ascii="Times New Roman" w:hAnsi="Times New Roman"/>
          <w:b w:val="0"/>
          <w:bCs w:val="0"/>
          <w:sz w:val="22"/>
          <w:szCs w:val="22"/>
        </w:rPr>
        <w:t>4</w:t>
      </w:r>
      <w:r w:rsidRPr="00D52AC2" w:rsidR="00AF0186">
        <w:rPr>
          <w:rFonts w:ascii="Times New Roman" w:hAnsi="Times New Roman"/>
          <w:b w:val="0"/>
          <w:bCs w:val="0"/>
          <w:sz w:val="22"/>
          <w:szCs w:val="22"/>
        </w:rPr>
        <w:t xml:space="preserve">: </w:t>
      </w:r>
      <w:r w:rsidRPr="00D52AC2" w:rsidR="00424158">
        <w:rPr>
          <w:rFonts w:ascii="Times New Roman" w:hAnsi="Times New Roman"/>
          <w:b w:val="0"/>
          <w:bCs w:val="0"/>
          <w:sz w:val="22"/>
          <w:szCs w:val="22"/>
        </w:rPr>
        <w:t xml:space="preserve">84 807 </w:t>
      </w:r>
      <w:r w:rsidRPr="00D52AC2" w:rsidR="002943E8">
        <w:rPr>
          <w:rFonts w:ascii="Times New Roman" w:hAnsi="Times New Roman"/>
          <w:b w:val="0"/>
          <w:bCs w:val="0"/>
          <w:sz w:val="22"/>
          <w:szCs w:val="22"/>
        </w:rPr>
        <w:t>tis. eur</w:t>
      </w:r>
      <w:r w:rsidRPr="00D52AC2" w:rsidR="00AF0186">
        <w:rPr>
          <w:rFonts w:ascii="Times New Roman" w:hAnsi="Times New Roman"/>
          <w:b w:val="0"/>
          <w:bCs w:val="0"/>
          <w:sz w:val="22"/>
          <w:szCs w:val="22"/>
        </w:rPr>
        <w:t>)</w:t>
      </w:r>
      <w:r w:rsidRPr="00D52AC2" w:rsidR="002943E8">
        <w:rPr>
          <w:rFonts w:ascii="Times New Roman" w:hAnsi="Times New Roman"/>
          <w:b w:val="0"/>
          <w:bCs w:val="0"/>
          <w:sz w:val="22"/>
          <w:szCs w:val="22"/>
        </w:rPr>
        <w:t>, výnosy z odpísaných pohľadávok</w:t>
      </w:r>
      <w:r w:rsidRPr="00D52AC2" w:rsidR="00A40468">
        <w:rPr>
          <w:rFonts w:ascii="Times New Roman" w:hAnsi="Times New Roman"/>
          <w:b w:val="0"/>
          <w:bCs w:val="0"/>
          <w:sz w:val="22"/>
          <w:szCs w:val="22"/>
        </w:rPr>
        <w:br/>
      </w:r>
      <w:r w:rsidRPr="00D52AC2" w:rsidR="00424158">
        <w:rPr>
          <w:rFonts w:ascii="Times New Roman" w:hAnsi="Times New Roman"/>
          <w:b w:val="0"/>
          <w:bCs w:val="0"/>
          <w:sz w:val="22"/>
          <w:szCs w:val="22"/>
        </w:rPr>
        <w:t xml:space="preserve">57 370 </w:t>
      </w:r>
      <w:r w:rsidRPr="00D52AC2" w:rsidR="00AF0186">
        <w:rPr>
          <w:rFonts w:ascii="Times New Roman" w:hAnsi="Times New Roman"/>
          <w:b w:val="0"/>
          <w:bCs w:val="0"/>
          <w:sz w:val="22"/>
          <w:szCs w:val="22"/>
        </w:rPr>
        <w:t>tis. eur (201</w:t>
      </w:r>
      <w:r w:rsidRPr="00D52AC2" w:rsidR="00424158">
        <w:rPr>
          <w:rFonts w:ascii="Times New Roman" w:hAnsi="Times New Roman"/>
          <w:b w:val="0"/>
          <w:bCs w:val="0"/>
          <w:sz w:val="22"/>
          <w:szCs w:val="22"/>
        </w:rPr>
        <w:t>4</w:t>
      </w:r>
      <w:r w:rsidRPr="00D52AC2" w:rsidR="00AF0186">
        <w:rPr>
          <w:rFonts w:ascii="Times New Roman" w:hAnsi="Times New Roman"/>
          <w:b w:val="0"/>
          <w:bCs w:val="0"/>
          <w:sz w:val="22"/>
          <w:szCs w:val="22"/>
        </w:rPr>
        <w:t xml:space="preserve">: </w:t>
      </w:r>
      <w:r w:rsidRPr="00D52AC2" w:rsidR="00424158">
        <w:rPr>
          <w:rFonts w:ascii="Times New Roman" w:hAnsi="Times New Roman"/>
          <w:b w:val="0"/>
          <w:bCs w:val="0"/>
          <w:sz w:val="22"/>
          <w:szCs w:val="22"/>
        </w:rPr>
        <w:t xml:space="preserve">146 751 </w:t>
      </w:r>
      <w:r w:rsidRPr="00D52AC2" w:rsidR="002943E8">
        <w:rPr>
          <w:rFonts w:ascii="Times New Roman" w:hAnsi="Times New Roman"/>
          <w:b w:val="0"/>
          <w:bCs w:val="0"/>
          <w:sz w:val="22"/>
          <w:szCs w:val="22"/>
        </w:rPr>
        <w:t>tis. eur</w:t>
      </w:r>
      <w:r w:rsidRPr="00D52AC2" w:rsidR="00AF0186">
        <w:rPr>
          <w:rFonts w:ascii="Times New Roman" w:hAnsi="Times New Roman"/>
          <w:b w:val="0"/>
          <w:bCs w:val="0"/>
          <w:sz w:val="22"/>
          <w:szCs w:val="22"/>
        </w:rPr>
        <w:t>)</w:t>
      </w:r>
      <w:r w:rsidRPr="00D52AC2" w:rsidR="00190421">
        <w:rPr>
          <w:rFonts w:ascii="Times New Roman" w:hAnsi="Times New Roman"/>
          <w:b w:val="0"/>
          <w:bCs w:val="0"/>
          <w:sz w:val="22"/>
          <w:szCs w:val="22"/>
        </w:rPr>
        <w:t>.</w:t>
      </w:r>
      <w:r w:rsidRPr="00D52AC2" w:rsidR="002943E8">
        <w:rPr>
          <w:rFonts w:ascii="Times New Roman" w:hAnsi="Times New Roman"/>
          <w:b w:val="0"/>
          <w:bCs w:val="0"/>
          <w:sz w:val="22"/>
          <w:szCs w:val="22"/>
        </w:rPr>
        <w:t xml:space="preserve"> </w:t>
      </w:r>
      <w:r w:rsidRPr="00D52AC2" w:rsidR="00424158">
        <w:rPr>
          <w:rFonts w:ascii="Times New Roman" w:hAnsi="Times New Roman"/>
          <w:b w:val="0"/>
          <w:bCs w:val="0"/>
          <w:sz w:val="22"/>
          <w:szCs w:val="22"/>
          <w:u w:val="single"/>
        </w:rPr>
        <w:t xml:space="preserve">Ďalšie </w:t>
      </w:r>
      <w:r w:rsidRPr="00D52AC2" w:rsidR="002943E8">
        <w:rPr>
          <w:rFonts w:ascii="Times New Roman" w:hAnsi="Times New Roman"/>
          <w:b w:val="0"/>
          <w:bCs w:val="0"/>
          <w:sz w:val="22"/>
          <w:szCs w:val="22"/>
          <w:u w:val="single"/>
        </w:rPr>
        <w:t>výnosy</w:t>
      </w:r>
      <w:r w:rsidRPr="00D52AC2" w:rsidR="002943E8">
        <w:rPr>
          <w:rFonts w:ascii="Times New Roman" w:hAnsi="Times New Roman"/>
          <w:b w:val="0"/>
          <w:bCs w:val="0"/>
          <w:sz w:val="22"/>
          <w:szCs w:val="22"/>
        </w:rPr>
        <w:t xml:space="preserve"> v hodnote</w:t>
      </w:r>
      <w:r w:rsidRPr="0072101A" w:rsidR="002943E8">
        <w:rPr>
          <w:rFonts w:ascii="Times New Roman" w:hAnsi="Times New Roman"/>
          <w:b w:val="0"/>
          <w:bCs w:val="0"/>
          <w:sz w:val="22"/>
          <w:szCs w:val="22"/>
        </w:rPr>
        <w:t xml:space="preserve"> </w:t>
      </w:r>
      <w:r w:rsidR="00424158">
        <w:rPr>
          <w:rFonts w:ascii="Times New Roman" w:hAnsi="Times New Roman"/>
          <w:b w:val="0"/>
          <w:bCs w:val="0"/>
          <w:sz w:val="22"/>
          <w:szCs w:val="22"/>
        </w:rPr>
        <w:t xml:space="preserve">2 088 328 tis. eur </w:t>
      </w:r>
      <w:r w:rsidRPr="0072101A" w:rsidR="002943E8">
        <w:rPr>
          <w:rFonts w:ascii="Times New Roman" w:hAnsi="Times New Roman"/>
          <w:b w:val="0"/>
          <w:bCs w:val="0"/>
          <w:sz w:val="22"/>
          <w:szCs w:val="22"/>
        </w:rPr>
        <w:t>sú tvorené najmä výnosmi</w:t>
      </w:r>
      <w:r w:rsidRPr="0072101A" w:rsidR="00EF75EC">
        <w:rPr>
          <w:rFonts w:ascii="Times New Roman" w:hAnsi="Times New Roman"/>
          <w:b w:val="0"/>
          <w:bCs w:val="0"/>
          <w:sz w:val="22"/>
          <w:szCs w:val="22"/>
        </w:rPr>
        <w:t xml:space="preserve"> </w:t>
      </w:r>
      <w:r w:rsidRPr="0072101A" w:rsidR="00B01A31">
        <w:rPr>
          <w:rFonts w:ascii="Times New Roman" w:hAnsi="Times New Roman"/>
          <w:b w:val="0"/>
          <w:bCs w:val="0"/>
          <w:sz w:val="22"/>
          <w:szCs w:val="22"/>
        </w:rPr>
        <w:t>Všeobecn</w:t>
      </w:r>
      <w:r>
        <w:rPr>
          <w:rFonts w:ascii="Times New Roman" w:hAnsi="Times New Roman"/>
          <w:b w:val="0"/>
          <w:bCs w:val="0"/>
          <w:sz w:val="22"/>
          <w:szCs w:val="22"/>
        </w:rPr>
        <w:t>ej</w:t>
      </w:r>
      <w:r w:rsidRPr="0072101A" w:rsidR="00B01A31">
        <w:rPr>
          <w:rFonts w:ascii="Times New Roman" w:hAnsi="Times New Roman"/>
          <w:b w:val="0"/>
          <w:bCs w:val="0"/>
          <w:sz w:val="22"/>
          <w:szCs w:val="22"/>
        </w:rPr>
        <w:t xml:space="preserve"> zdravotn</w:t>
      </w:r>
      <w:r>
        <w:rPr>
          <w:rFonts w:ascii="Times New Roman" w:hAnsi="Times New Roman"/>
          <w:b w:val="0"/>
          <w:bCs w:val="0"/>
          <w:sz w:val="22"/>
          <w:szCs w:val="22"/>
        </w:rPr>
        <w:t>ej</w:t>
      </w:r>
      <w:r w:rsidRPr="0072101A" w:rsidR="00B01A31">
        <w:rPr>
          <w:rFonts w:ascii="Times New Roman" w:hAnsi="Times New Roman"/>
          <w:b w:val="0"/>
          <w:bCs w:val="0"/>
          <w:sz w:val="22"/>
          <w:szCs w:val="22"/>
        </w:rPr>
        <w:t xml:space="preserve"> poisťov</w:t>
      </w:r>
      <w:r>
        <w:rPr>
          <w:rFonts w:ascii="Times New Roman" w:hAnsi="Times New Roman"/>
          <w:b w:val="0"/>
          <w:bCs w:val="0"/>
          <w:sz w:val="22"/>
          <w:szCs w:val="22"/>
        </w:rPr>
        <w:t>ne</w:t>
      </w:r>
      <w:r w:rsidRPr="0072101A" w:rsidR="00B01A31">
        <w:rPr>
          <w:rFonts w:ascii="Times New Roman" w:hAnsi="Times New Roman"/>
          <w:b w:val="0"/>
          <w:bCs w:val="0"/>
          <w:sz w:val="22"/>
          <w:szCs w:val="22"/>
        </w:rPr>
        <w:t xml:space="preserve">, a.s. </w:t>
      </w:r>
      <w:r>
        <w:rPr>
          <w:rFonts w:ascii="Times New Roman" w:hAnsi="Times New Roman"/>
          <w:b w:val="0"/>
          <w:bCs w:val="0"/>
          <w:sz w:val="22"/>
          <w:szCs w:val="22"/>
        </w:rPr>
        <w:t>195 578</w:t>
      </w:r>
      <w:r w:rsidRPr="0072101A" w:rsidR="00B01A31">
        <w:rPr>
          <w:rFonts w:ascii="Times New Roman" w:hAnsi="Times New Roman"/>
          <w:b w:val="0"/>
          <w:bCs w:val="0"/>
          <w:sz w:val="22"/>
          <w:szCs w:val="22"/>
        </w:rPr>
        <w:t xml:space="preserve"> tis. eur</w:t>
      </w:r>
      <w:r>
        <w:rPr>
          <w:rFonts w:ascii="Times New Roman" w:hAnsi="Times New Roman"/>
          <w:b w:val="0"/>
          <w:bCs w:val="0"/>
          <w:sz w:val="22"/>
          <w:szCs w:val="22"/>
        </w:rPr>
        <w:t xml:space="preserve"> napríklad z poistného plnenia zo zahraničia</w:t>
      </w:r>
      <w:r w:rsidRPr="0072101A" w:rsidR="00B01A31">
        <w:rPr>
          <w:rFonts w:ascii="Times New Roman" w:hAnsi="Times New Roman"/>
          <w:b w:val="0"/>
          <w:bCs w:val="0"/>
          <w:sz w:val="22"/>
          <w:szCs w:val="22"/>
        </w:rPr>
        <w:t>,</w:t>
      </w:r>
      <w:r w:rsidRPr="0072101A">
        <w:rPr>
          <w:rFonts w:ascii="Times New Roman" w:hAnsi="Times New Roman"/>
          <w:b w:val="0"/>
          <w:bCs w:val="0"/>
          <w:sz w:val="22"/>
          <w:szCs w:val="22"/>
        </w:rPr>
        <w:t xml:space="preserve"> </w:t>
      </w:r>
      <w:r w:rsidRPr="0072101A" w:rsidR="00EF75EC">
        <w:rPr>
          <w:rFonts w:ascii="Times New Roman" w:hAnsi="Times New Roman"/>
          <w:b w:val="0"/>
          <w:bCs w:val="0"/>
          <w:sz w:val="22"/>
          <w:szCs w:val="22"/>
        </w:rPr>
        <w:t xml:space="preserve">Ministerstvo vnútra SR </w:t>
      </w:r>
      <w:r>
        <w:rPr>
          <w:rFonts w:ascii="Times New Roman" w:hAnsi="Times New Roman"/>
          <w:b w:val="0"/>
          <w:bCs w:val="0"/>
          <w:sz w:val="22"/>
          <w:szCs w:val="22"/>
        </w:rPr>
        <w:t xml:space="preserve">166 224 </w:t>
      </w:r>
      <w:r w:rsidRPr="0072101A" w:rsidR="00EF75EC">
        <w:rPr>
          <w:rFonts w:ascii="Times New Roman" w:hAnsi="Times New Roman"/>
          <w:b w:val="0"/>
          <w:bCs w:val="0"/>
          <w:sz w:val="22"/>
          <w:szCs w:val="22"/>
        </w:rPr>
        <w:t>tis. eur</w:t>
      </w:r>
      <w:r>
        <w:rPr>
          <w:rFonts w:ascii="Times New Roman" w:hAnsi="Times New Roman"/>
          <w:b w:val="0"/>
          <w:bCs w:val="0"/>
          <w:sz w:val="22"/>
          <w:szCs w:val="22"/>
        </w:rPr>
        <w:t xml:space="preserve"> z titulu prepadnutého majetku v prospech štátu a výnosy platobnej jednotky z prostriedkov EU, </w:t>
      </w:r>
      <w:r w:rsidRPr="0072101A">
        <w:rPr>
          <w:rFonts w:ascii="Times New Roman" w:hAnsi="Times New Roman"/>
          <w:b w:val="0"/>
          <w:bCs w:val="0"/>
          <w:sz w:val="22"/>
          <w:szCs w:val="22"/>
        </w:rPr>
        <w:t xml:space="preserve">Jadrová a vyraďovacia spoločnosť, a.s. </w:t>
      </w:r>
      <w:r>
        <w:rPr>
          <w:rFonts w:ascii="Times New Roman" w:hAnsi="Times New Roman"/>
          <w:b w:val="0"/>
          <w:bCs w:val="0"/>
          <w:sz w:val="22"/>
          <w:szCs w:val="22"/>
        </w:rPr>
        <w:t>151</w:t>
      </w:r>
      <w:r w:rsidR="00B81CA5">
        <w:rPr>
          <w:rFonts w:ascii="Times New Roman" w:hAnsi="Times New Roman"/>
          <w:b w:val="0"/>
          <w:bCs w:val="0"/>
          <w:sz w:val="22"/>
          <w:szCs w:val="22"/>
        </w:rPr>
        <w:t> </w:t>
      </w:r>
      <w:r>
        <w:rPr>
          <w:rFonts w:ascii="Times New Roman" w:hAnsi="Times New Roman"/>
          <w:b w:val="0"/>
          <w:bCs w:val="0"/>
          <w:sz w:val="22"/>
          <w:szCs w:val="22"/>
        </w:rPr>
        <w:t>324</w:t>
      </w:r>
      <w:r w:rsidR="00B81CA5">
        <w:rPr>
          <w:rFonts w:ascii="Times New Roman" w:hAnsi="Times New Roman"/>
          <w:b w:val="0"/>
          <w:bCs w:val="0"/>
          <w:sz w:val="22"/>
          <w:szCs w:val="22"/>
        </w:rPr>
        <w:t> tis. </w:t>
      </w:r>
      <w:r w:rsidRPr="0072101A">
        <w:rPr>
          <w:rFonts w:ascii="Times New Roman" w:hAnsi="Times New Roman"/>
          <w:b w:val="0"/>
          <w:bCs w:val="0"/>
          <w:sz w:val="22"/>
          <w:szCs w:val="22"/>
        </w:rPr>
        <w:t>eur</w:t>
      </w:r>
      <w:r>
        <w:rPr>
          <w:rFonts w:ascii="Times New Roman" w:hAnsi="Times New Roman"/>
          <w:b w:val="0"/>
          <w:bCs w:val="0"/>
          <w:sz w:val="22"/>
          <w:szCs w:val="22"/>
        </w:rPr>
        <w:t xml:space="preserve"> z prostriedkov na činnosť vyraďovania jadrových zariadení.</w:t>
      </w:r>
      <w:r w:rsidRPr="0072101A">
        <w:rPr>
          <w:rFonts w:ascii="Times New Roman" w:hAnsi="Times New Roman"/>
          <w:b w:val="0"/>
          <w:bCs w:val="0"/>
          <w:sz w:val="22"/>
          <w:szCs w:val="22"/>
        </w:rPr>
        <w:t xml:space="preserve"> </w:t>
      </w:r>
    </w:p>
    <w:p w:rsidR="00A10741" w:rsidP="00746DAC">
      <w:pPr>
        <w:pStyle w:val="Pismenka"/>
        <w:tabs>
          <w:tab w:val="clear" w:pos="426"/>
        </w:tabs>
        <w:bidi w:val="0"/>
        <w:spacing w:before="120" w:line="336" w:lineRule="auto"/>
        <w:ind w:left="0" w:firstLine="0"/>
        <w:rPr>
          <w:rFonts w:ascii="Times New Roman" w:hAnsi="Times New Roman"/>
          <w:b w:val="0"/>
          <w:bCs w:val="0"/>
          <w:sz w:val="22"/>
          <w:szCs w:val="22"/>
        </w:rPr>
      </w:pPr>
      <w:r w:rsidRPr="0072101A" w:rsidR="00AE495A">
        <w:rPr>
          <w:rFonts w:ascii="Times New Roman" w:hAnsi="Times New Roman"/>
          <w:b w:val="0"/>
          <w:bCs w:val="0"/>
          <w:sz w:val="22"/>
          <w:szCs w:val="22"/>
        </w:rPr>
        <w:t xml:space="preserve">Z ostatných subjektov ide najmä o Železnice </w:t>
      </w:r>
      <w:r w:rsidRPr="0072101A" w:rsidR="000A0476">
        <w:rPr>
          <w:rFonts w:ascii="Times New Roman" w:hAnsi="Times New Roman"/>
          <w:b w:val="0"/>
          <w:bCs w:val="0"/>
          <w:sz w:val="22"/>
          <w:szCs w:val="22"/>
        </w:rPr>
        <w:t>S</w:t>
      </w:r>
      <w:r w:rsidRPr="0072101A" w:rsidR="00AE495A">
        <w:rPr>
          <w:rFonts w:ascii="Times New Roman" w:hAnsi="Times New Roman"/>
          <w:b w:val="0"/>
          <w:bCs w:val="0"/>
          <w:sz w:val="22"/>
          <w:szCs w:val="22"/>
        </w:rPr>
        <w:t xml:space="preserve">lovenskej republiky </w:t>
      </w:r>
      <w:r w:rsidRPr="0072101A" w:rsidR="00B01A31">
        <w:rPr>
          <w:rFonts w:ascii="Times New Roman" w:hAnsi="Times New Roman"/>
          <w:b w:val="0"/>
          <w:bCs w:val="0"/>
          <w:sz w:val="22"/>
          <w:szCs w:val="22"/>
        </w:rPr>
        <w:t>s hodno</w:t>
      </w:r>
      <w:r w:rsidR="00143731">
        <w:rPr>
          <w:rFonts w:ascii="Times New Roman" w:hAnsi="Times New Roman"/>
          <w:b w:val="0"/>
          <w:bCs w:val="0"/>
          <w:sz w:val="22"/>
          <w:szCs w:val="22"/>
        </w:rPr>
        <w:t>to</w:t>
      </w:r>
      <w:r w:rsidRPr="0072101A" w:rsidR="00B01A31">
        <w:rPr>
          <w:rFonts w:ascii="Times New Roman" w:hAnsi="Times New Roman"/>
          <w:b w:val="0"/>
          <w:bCs w:val="0"/>
          <w:sz w:val="22"/>
          <w:szCs w:val="22"/>
        </w:rPr>
        <w:t>u 35</w:t>
      </w:r>
      <w:r w:rsidR="00EF7D52">
        <w:rPr>
          <w:rFonts w:ascii="Times New Roman" w:hAnsi="Times New Roman"/>
          <w:b w:val="0"/>
          <w:bCs w:val="0"/>
          <w:sz w:val="22"/>
          <w:szCs w:val="22"/>
        </w:rPr>
        <w:t>3</w:t>
      </w:r>
      <w:r w:rsidRPr="0072101A" w:rsidR="00B01A31">
        <w:rPr>
          <w:rFonts w:ascii="Times New Roman" w:hAnsi="Times New Roman"/>
          <w:b w:val="0"/>
          <w:bCs w:val="0"/>
          <w:sz w:val="22"/>
          <w:szCs w:val="22"/>
        </w:rPr>
        <w:t xml:space="preserve"> </w:t>
      </w:r>
      <w:r w:rsidR="00EF7D52">
        <w:rPr>
          <w:rFonts w:ascii="Times New Roman" w:hAnsi="Times New Roman"/>
          <w:b w:val="0"/>
          <w:bCs w:val="0"/>
          <w:sz w:val="22"/>
          <w:szCs w:val="22"/>
        </w:rPr>
        <w:t>741</w:t>
      </w:r>
      <w:r w:rsidRPr="0072101A" w:rsidR="00AE495A">
        <w:rPr>
          <w:rFonts w:ascii="Times New Roman" w:hAnsi="Times New Roman"/>
          <w:b w:val="0"/>
          <w:bCs w:val="0"/>
          <w:sz w:val="22"/>
          <w:szCs w:val="22"/>
        </w:rPr>
        <w:t xml:space="preserve"> tis. eur a Sociáln</w:t>
      </w:r>
      <w:r w:rsidRPr="0072101A" w:rsidR="00B01A31">
        <w:rPr>
          <w:rFonts w:ascii="Times New Roman" w:hAnsi="Times New Roman"/>
          <w:b w:val="0"/>
          <w:bCs w:val="0"/>
          <w:sz w:val="22"/>
          <w:szCs w:val="22"/>
        </w:rPr>
        <w:t>u poisťovňu</w:t>
      </w:r>
      <w:r w:rsidRPr="0072101A" w:rsidR="00AE495A">
        <w:rPr>
          <w:rFonts w:ascii="Times New Roman" w:hAnsi="Times New Roman"/>
          <w:b w:val="0"/>
          <w:bCs w:val="0"/>
          <w:sz w:val="22"/>
          <w:szCs w:val="22"/>
        </w:rPr>
        <w:t xml:space="preserve"> </w:t>
      </w:r>
      <w:r w:rsidRPr="0072101A" w:rsidR="00B01A31">
        <w:rPr>
          <w:rFonts w:ascii="Times New Roman" w:hAnsi="Times New Roman"/>
          <w:b w:val="0"/>
          <w:bCs w:val="0"/>
          <w:sz w:val="22"/>
          <w:szCs w:val="22"/>
        </w:rPr>
        <w:t>s</w:t>
      </w:r>
      <w:r w:rsidR="00EF7D52">
        <w:rPr>
          <w:rFonts w:ascii="Times New Roman" w:hAnsi="Times New Roman"/>
          <w:b w:val="0"/>
          <w:bCs w:val="0"/>
          <w:sz w:val="22"/>
          <w:szCs w:val="22"/>
        </w:rPr>
        <w:t> 282 538</w:t>
      </w:r>
      <w:r w:rsidRPr="0072101A" w:rsidR="00AE495A">
        <w:rPr>
          <w:rFonts w:ascii="Times New Roman" w:hAnsi="Times New Roman"/>
          <w:b w:val="0"/>
          <w:bCs w:val="0"/>
          <w:sz w:val="22"/>
          <w:szCs w:val="22"/>
        </w:rPr>
        <w:t xml:space="preserve"> tis. eur.</w:t>
      </w:r>
    </w:p>
    <w:p w:rsidR="00FA68CA" w:rsidRPr="0072101A" w:rsidP="00A54632">
      <w:pPr>
        <w:numPr>
          <w:numId w:val="25"/>
        </w:numPr>
        <w:bidi w:val="0"/>
        <w:spacing w:before="120" w:line="336" w:lineRule="auto"/>
        <w:ind w:left="425" w:hanging="425"/>
        <w:jc w:val="both"/>
        <w:rPr>
          <w:rFonts w:ascii="Times New Roman" w:hAnsi="Times New Roman"/>
          <w:b/>
          <w:bCs/>
          <w:sz w:val="24"/>
          <w:szCs w:val="24"/>
        </w:rPr>
      </w:pPr>
      <w:r w:rsidRPr="0072101A">
        <w:rPr>
          <w:rFonts w:ascii="Times New Roman" w:hAnsi="Times New Roman"/>
          <w:b/>
          <w:bCs/>
          <w:sz w:val="24"/>
          <w:szCs w:val="24"/>
        </w:rPr>
        <w:t>Finančné výnosy</w:t>
      </w:r>
    </w:p>
    <w:p w:rsidR="00F036FB" w:rsidP="00CF758F">
      <w:pPr>
        <w:pStyle w:val="Pismenka"/>
        <w:tabs>
          <w:tab w:val="clear" w:pos="426"/>
        </w:tabs>
        <w:bidi w:val="0"/>
        <w:spacing w:after="120" w:line="336" w:lineRule="auto"/>
        <w:ind w:left="0" w:firstLine="0"/>
        <w:rPr>
          <w:rFonts w:ascii="Times New Roman" w:hAnsi="Times New Roman"/>
          <w:b w:val="0"/>
          <w:bCs w:val="0"/>
          <w:sz w:val="22"/>
          <w:szCs w:val="22"/>
        </w:rPr>
      </w:pPr>
      <w:r w:rsidRPr="0072101A" w:rsidR="00801BA6">
        <w:rPr>
          <w:rFonts w:ascii="Times New Roman" w:hAnsi="Times New Roman"/>
          <w:b w:val="0"/>
          <w:bCs w:val="0"/>
          <w:sz w:val="22"/>
          <w:szCs w:val="22"/>
        </w:rPr>
        <w:t>Finančné výnosy dosiahli k 31.12.201</w:t>
      </w:r>
      <w:r>
        <w:rPr>
          <w:rFonts w:ascii="Times New Roman" w:hAnsi="Times New Roman"/>
          <w:b w:val="0"/>
          <w:bCs w:val="0"/>
          <w:sz w:val="22"/>
          <w:szCs w:val="22"/>
        </w:rPr>
        <w:t>5</w:t>
      </w:r>
      <w:r w:rsidRPr="0072101A" w:rsidR="00801BA6">
        <w:rPr>
          <w:rFonts w:ascii="Times New Roman" w:hAnsi="Times New Roman"/>
          <w:b w:val="0"/>
          <w:bCs w:val="0"/>
          <w:sz w:val="22"/>
          <w:szCs w:val="22"/>
        </w:rPr>
        <w:t xml:space="preserve"> hodnotu </w:t>
      </w:r>
      <w:r>
        <w:rPr>
          <w:rFonts w:ascii="Times New Roman" w:hAnsi="Times New Roman"/>
          <w:b w:val="0"/>
          <w:bCs w:val="0"/>
          <w:sz w:val="22"/>
          <w:szCs w:val="22"/>
        </w:rPr>
        <w:t>2 162 817 tis. eur</w:t>
      </w:r>
      <w:r w:rsidRPr="0072101A" w:rsidR="00617FFD">
        <w:rPr>
          <w:rFonts w:ascii="Times New Roman" w:hAnsi="Times New Roman"/>
          <w:b w:val="0"/>
          <w:bCs w:val="0"/>
          <w:sz w:val="22"/>
          <w:szCs w:val="22"/>
        </w:rPr>
        <w:t xml:space="preserve"> </w:t>
      </w:r>
      <w:r w:rsidRPr="0072101A" w:rsidR="00801BA6">
        <w:rPr>
          <w:rFonts w:ascii="Times New Roman" w:hAnsi="Times New Roman"/>
          <w:b w:val="0"/>
          <w:bCs w:val="0"/>
          <w:sz w:val="22"/>
          <w:szCs w:val="22"/>
        </w:rPr>
        <w:t>a v porovnaní s rokom 201</w:t>
      </w:r>
      <w:r>
        <w:rPr>
          <w:rFonts w:ascii="Times New Roman" w:hAnsi="Times New Roman"/>
          <w:b w:val="0"/>
          <w:bCs w:val="0"/>
          <w:sz w:val="22"/>
          <w:szCs w:val="22"/>
        </w:rPr>
        <w:t>4</w:t>
      </w:r>
      <w:r w:rsidRPr="0072101A" w:rsidR="00801BA6">
        <w:rPr>
          <w:rFonts w:ascii="Times New Roman" w:hAnsi="Times New Roman"/>
          <w:b w:val="0"/>
          <w:bCs w:val="0"/>
          <w:sz w:val="22"/>
          <w:szCs w:val="22"/>
        </w:rPr>
        <w:t xml:space="preserve"> sú </w:t>
      </w:r>
      <w:r>
        <w:rPr>
          <w:rFonts w:ascii="Times New Roman" w:hAnsi="Times New Roman"/>
          <w:b w:val="0"/>
          <w:bCs w:val="0"/>
          <w:sz w:val="22"/>
          <w:szCs w:val="22"/>
        </w:rPr>
        <w:t>úhrnnom vyššie</w:t>
      </w:r>
      <w:r w:rsidRPr="0072101A" w:rsidR="00617FFD">
        <w:rPr>
          <w:rFonts w:ascii="Times New Roman" w:hAnsi="Times New Roman"/>
          <w:b w:val="0"/>
          <w:bCs w:val="0"/>
          <w:sz w:val="22"/>
          <w:szCs w:val="22"/>
        </w:rPr>
        <w:t xml:space="preserve"> o</w:t>
      </w:r>
      <w:r>
        <w:rPr>
          <w:rFonts w:ascii="Times New Roman" w:hAnsi="Times New Roman"/>
          <w:b w:val="0"/>
          <w:bCs w:val="0"/>
          <w:sz w:val="22"/>
          <w:szCs w:val="22"/>
        </w:rPr>
        <w:t> 791 891</w:t>
      </w:r>
      <w:r w:rsidRPr="0072101A" w:rsidR="00801BA6">
        <w:rPr>
          <w:rFonts w:ascii="Times New Roman" w:hAnsi="Times New Roman"/>
          <w:b w:val="0"/>
          <w:bCs w:val="0"/>
          <w:sz w:val="22"/>
          <w:szCs w:val="22"/>
        </w:rPr>
        <w:t xml:space="preserve"> tis. eur</w:t>
      </w:r>
      <w:r>
        <w:rPr>
          <w:rFonts w:ascii="Times New Roman" w:hAnsi="Times New Roman"/>
          <w:b w:val="0"/>
          <w:bCs w:val="0"/>
          <w:sz w:val="22"/>
          <w:szCs w:val="22"/>
        </w:rPr>
        <w:t>. Tento prírastok je spôsobený najmä výnosmi štátu z predaja 49% podielu v spoločnosti Slovak Telekom, ktorý zabezpečoval Fond národného majetku</w:t>
      </w:r>
      <w:r w:rsidR="002032B9">
        <w:rPr>
          <w:rFonts w:ascii="Times New Roman" w:hAnsi="Times New Roman"/>
          <w:b w:val="0"/>
          <w:bCs w:val="0"/>
          <w:sz w:val="22"/>
          <w:szCs w:val="22"/>
        </w:rPr>
        <w:t xml:space="preserve"> SR</w:t>
      </w:r>
      <w:r>
        <w:rPr>
          <w:rFonts w:ascii="Times New Roman" w:hAnsi="Times New Roman"/>
          <w:b w:val="0"/>
          <w:bCs w:val="0"/>
          <w:sz w:val="22"/>
          <w:szCs w:val="22"/>
        </w:rPr>
        <w:t xml:space="preserve">. Minoritný podiel bol </w:t>
      </w:r>
      <w:r w:rsidR="00EC31BD">
        <w:rPr>
          <w:rFonts w:ascii="Times New Roman" w:hAnsi="Times New Roman"/>
          <w:b w:val="0"/>
          <w:bCs w:val="0"/>
          <w:sz w:val="22"/>
          <w:szCs w:val="22"/>
        </w:rPr>
        <w:t xml:space="preserve">v roku 2015 </w:t>
      </w:r>
      <w:r>
        <w:rPr>
          <w:rFonts w:ascii="Times New Roman" w:hAnsi="Times New Roman"/>
          <w:b w:val="0"/>
          <w:bCs w:val="0"/>
          <w:sz w:val="22"/>
          <w:szCs w:val="22"/>
        </w:rPr>
        <w:t xml:space="preserve">určený na privatizáciu, pričom kúpna cena 900 000 tis. eur bola rozdelená na dve časti. 800 000 tis. eur bolo uhradených na účet štátnych finančných aktív a vyplatenie zvyšných 100 000 tis. eur je podmienených výsledkom viacerých súdnych konaní kupujúceho na území SR. </w:t>
      </w:r>
    </w:p>
    <w:p w:rsidR="00232B08" w:rsidP="00CF758F">
      <w:pPr>
        <w:pStyle w:val="Pismenka"/>
        <w:tabs>
          <w:tab w:val="clear" w:pos="426"/>
        </w:tabs>
        <w:bidi w:val="0"/>
        <w:spacing w:after="120" w:line="336" w:lineRule="auto"/>
        <w:ind w:left="0" w:firstLine="0"/>
        <w:rPr>
          <w:rFonts w:ascii="Times New Roman" w:hAnsi="Times New Roman"/>
          <w:b w:val="0"/>
          <w:bCs w:val="0"/>
          <w:sz w:val="22"/>
          <w:szCs w:val="22"/>
        </w:rPr>
      </w:pPr>
      <w:r w:rsidRPr="00232B08">
        <w:rPr>
          <w:rFonts w:ascii="Times New Roman" w:hAnsi="Times New Roman"/>
          <w:b w:val="0"/>
          <w:bCs w:val="0"/>
          <w:sz w:val="22"/>
          <w:szCs w:val="22"/>
          <w:u w:val="single"/>
        </w:rPr>
        <w:t>Úroky</w:t>
      </w:r>
      <w:r>
        <w:rPr>
          <w:rFonts w:ascii="Times New Roman" w:hAnsi="Times New Roman"/>
          <w:b w:val="0"/>
          <w:bCs w:val="0"/>
          <w:sz w:val="22"/>
          <w:szCs w:val="22"/>
        </w:rPr>
        <w:t xml:space="preserve"> dosiahli hodnotu 275 072 tis. eur a medziročne sú vyššie o 33 887 tis. eur. Najvyššiu hodnotu vykazuje Ministerstvo financií SR, a to 245 897 tis. eur. Ide o úroky </w:t>
      </w:r>
      <w:r w:rsidR="00BD1BD9">
        <w:rPr>
          <w:rFonts w:ascii="Times New Roman" w:hAnsi="Times New Roman"/>
          <w:b w:val="0"/>
          <w:bCs w:val="0"/>
          <w:sz w:val="22"/>
          <w:szCs w:val="22"/>
        </w:rPr>
        <w:t xml:space="preserve">dosiahnuté </w:t>
      </w:r>
      <w:r>
        <w:rPr>
          <w:rFonts w:ascii="Times New Roman" w:hAnsi="Times New Roman"/>
          <w:b w:val="0"/>
          <w:bCs w:val="0"/>
          <w:sz w:val="22"/>
          <w:szCs w:val="22"/>
        </w:rPr>
        <w:t>na medzibankovom finančnom trhu z</w:t>
      </w:r>
      <w:r w:rsidR="00BD1BD9">
        <w:rPr>
          <w:rFonts w:ascii="Times New Roman" w:hAnsi="Times New Roman"/>
          <w:b w:val="0"/>
          <w:bCs w:val="0"/>
          <w:sz w:val="22"/>
          <w:szCs w:val="22"/>
        </w:rPr>
        <w:t> </w:t>
      </w:r>
      <w:r>
        <w:rPr>
          <w:rFonts w:ascii="Times New Roman" w:hAnsi="Times New Roman"/>
          <w:b w:val="0"/>
          <w:bCs w:val="0"/>
          <w:sz w:val="22"/>
          <w:szCs w:val="22"/>
        </w:rPr>
        <w:t>úložiek</w:t>
      </w:r>
      <w:r w:rsidR="00BD1BD9">
        <w:rPr>
          <w:rFonts w:ascii="Times New Roman" w:hAnsi="Times New Roman"/>
          <w:b w:val="0"/>
          <w:bCs w:val="0"/>
          <w:sz w:val="22"/>
          <w:szCs w:val="22"/>
        </w:rPr>
        <w:t>, ostatných finančných operácií</w:t>
      </w:r>
      <w:r>
        <w:rPr>
          <w:rFonts w:ascii="Times New Roman" w:hAnsi="Times New Roman"/>
          <w:b w:val="0"/>
          <w:bCs w:val="0"/>
          <w:sz w:val="22"/>
          <w:szCs w:val="22"/>
        </w:rPr>
        <w:t xml:space="preserve"> a návratných finančných výpomocí.</w:t>
      </w:r>
    </w:p>
    <w:p w:rsidR="009B699D" w:rsidRPr="009B699D" w:rsidP="00CF758F">
      <w:pPr>
        <w:pStyle w:val="Pismenka"/>
        <w:tabs>
          <w:tab w:val="clear" w:pos="426"/>
        </w:tabs>
        <w:bidi w:val="0"/>
        <w:spacing w:after="120" w:line="336" w:lineRule="auto"/>
        <w:ind w:left="0" w:firstLine="0"/>
        <w:rPr>
          <w:rFonts w:ascii="Times New Roman" w:hAnsi="Times New Roman"/>
          <w:b w:val="0"/>
          <w:bCs w:val="0"/>
          <w:sz w:val="22"/>
          <w:szCs w:val="22"/>
        </w:rPr>
      </w:pPr>
      <w:r>
        <w:rPr>
          <w:rFonts w:ascii="Times New Roman" w:hAnsi="Times New Roman"/>
          <w:b w:val="0"/>
          <w:bCs w:val="0"/>
          <w:sz w:val="22"/>
          <w:szCs w:val="22"/>
          <w:u w:val="single"/>
        </w:rPr>
        <w:t>Kurzové zisky</w:t>
      </w:r>
      <w:r>
        <w:rPr>
          <w:rFonts w:ascii="Times New Roman" w:hAnsi="Times New Roman"/>
          <w:b w:val="0"/>
          <w:bCs w:val="0"/>
          <w:sz w:val="22"/>
          <w:szCs w:val="22"/>
        </w:rPr>
        <w:t xml:space="preserve"> dosiahli hodnotu 391 279 tis. eur a medziročnej vzrástli o 203 580 tis. eur. Najvyššiu </w:t>
      </w:r>
      <w:r w:rsidR="00A70190">
        <w:rPr>
          <w:rFonts w:ascii="Times New Roman" w:hAnsi="Times New Roman"/>
          <w:b w:val="0"/>
          <w:bCs w:val="0"/>
          <w:sz w:val="22"/>
          <w:szCs w:val="22"/>
        </w:rPr>
        <w:t xml:space="preserve">celkovú </w:t>
      </w:r>
      <w:r>
        <w:rPr>
          <w:rFonts w:ascii="Times New Roman" w:hAnsi="Times New Roman"/>
          <w:b w:val="0"/>
          <w:bCs w:val="0"/>
          <w:sz w:val="22"/>
          <w:szCs w:val="22"/>
        </w:rPr>
        <w:t xml:space="preserve">sumu </w:t>
      </w:r>
      <w:r w:rsidR="00A70190">
        <w:rPr>
          <w:rFonts w:ascii="Times New Roman" w:hAnsi="Times New Roman"/>
          <w:b w:val="0"/>
          <w:bCs w:val="0"/>
          <w:sz w:val="22"/>
          <w:szCs w:val="22"/>
        </w:rPr>
        <w:t xml:space="preserve">ako aj medziročný prírastok </w:t>
      </w:r>
      <w:r>
        <w:rPr>
          <w:rFonts w:ascii="Times New Roman" w:hAnsi="Times New Roman"/>
          <w:b w:val="0"/>
          <w:bCs w:val="0"/>
          <w:sz w:val="22"/>
          <w:szCs w:val="22"/>
        </w:rPr>
        <w:t>opäť tvorí Ministerstvo financií SR 380 708 tis. eur z obchodov na finančnom trhu pri zabezpečovaní likvidity štátneho rozpočtu a riadení dlhu, ako aj z kurzových rozdielov po precenení vkladov v medzinárodných inštitúciách denominovaných v cudzej mene.</w:t>
      </w:r>
      <w:r w:rsidR="00A70190">
        <w:rPr>
          <w:rFonts w:ascii="Times New Roman" w:hAnsi="Times New Roman"/>
          <w:b w:val="0"/>
          <w:bCs w:val="0"/>
          <w:sz w:val="22"/>
          <w:szCs w:val="22"/>
        </w:rPr>
        <w:t xml:space="preserve"> </w:t>
      </w:r>
    </w:p>
    <w:p w:rsidR="00232B08" w:rsidRPr="000F7908" w:rsidP="00CF758F">
      <w:pPr>
        <w:pStyle w:val="Pismenka"/>
        <w:tabs>
          <w:tab w:val="clear" w:pos="426"/>
        </w:tabs>
        <w:bidi w:val="0"/>
        <w:spacing w:after="120" w:line="336" w:lineRule="auto"/>
        <w:ind w:left="0" w:firstLine="0"/>
        <w:rPr>
          <w:rFonts w:ascii="Times New Roman" w:hAnsi="Times New Roman"/>
          <w:b w:val="0"/>
          <w:bCs w:val="0"/>
          <w:sz w:val="22"/>
          <w:szCs w:val="22"/>
        </w:rPr>
      </w:pPr>
      <w:r w:rsidR="000F7908">
        <w:rPr>
          <w:rFonts w:ascii="Times New Roman" w:hAnsi="Times New Roman"/>
          <w:b w:val="0"/>
          <w:bCs w:val="0"/>
          <w:sz w:val="22"/>
          <w:szCs w:val="22"/>
          <w:u w:val="single"/>
        </w:rPr>
        <w:t>Ostatné finančné výnosy</w:t>
      </w:r>
      <w:r w:rsidR="000F7908">
        <w:rPr>
          <w:rFonts w:ascii="Times New Roman" w:hAnsi="Times New Roman"/>
          <w:b w:val="0"/>
          <w:bCs w:val="0"/>
          <w:sz w:val="22"/>
          <w:szCs w:val="22"/>
        </w:rPr>
        <w:t xml:space="preserve"> v celkovej výške 172 672 tis. eur tvoria </w:t>
      </w:r>
      <w:r w:rsidR="000E12CE">
        <w:rPr>
          <w:rFonts w:ascii="Times New Roman" w:hAnsi="Times New Roman"/>
          <w:b w:val="0"/>
          <w:bCs w:val="0"/>
          <w:sz w:val="22"/>
          <w:szCs w:val="22"/>
        </w:rPr>
        <w:t xml:space="preserve">najmä </w:t>
      </w:r>
      <w:r w:rsidR="000F7908">
        <w:rPr>
          <w:rFonts w:ascii="Times New Roman" w:hAnsi="Times New Roman"/>
          <w:b w:val="0"/>
          <w:bCs w:val="0"/>
          <w:sz w:val="22"/>
          <w:szCs w:val="22"/>
        </w:rPr>
        <w:t>odvody vybraných finančných inštitúcií, ktorých správcom je Ministerstvo financií SR (112 928 tis. eur).</w:t>
      </w:r>
    </w:p>
    <w:p w:rsidR="008E1C42" w:rsidRPr="0072101A" w:rsidP="00CF758F">
      <w:pPr>
        <w:pStyle w:val="Pismenka"/>
        <w:tabs>
          <w:tab w:val="clear" w:pos="426"/>
        </w:tabs>
        <w:bidi w:val="0"/>
        <w:spacing w:after="120" w:line="336" w:lineRule="auto"/>
        <w:ind w:left="0" w:firstLine="0"/>
        <w:rPr>
          <w:rFonts w:ascii="Times New Roman" w:hAnsi="Times New Roman"/>
          <w:b w:val="0"/>
          <w:bCs w:val="0"/>
          <w:sz w:val="22"/>
          <w:szCs w:val="22"/>
        </w:rPr>
      </w:pPr>
      <w:r w:rsidRPr="0072101A" w:rsidR="00801BA6">
        <w:rPr>
          <w:rFonts w:ascii="Times New Roman" w:hAnsi="Times New Roman"/>
          <w:b w:val="0"/>
          <w:bCs w:val="0"/>
          <w:sz w:val="22"/>
          <w:szCs w:val="22"/>
          <w:u w:val="single"/>
        </w:rPr>
        <w:t>Podiel na výsledku hospodárenia pridružených účtovných jednotiek</w:t>
      </w:r>
      <w:r w:rsidR="00143731">
        <w:rPr>
          <w:rFonts w:ascii="Times New Roman" w:hAnsi="Times New Roman"/>
          <w:b w:val="0"/>
          <w:bCs w:val="0"/>
          <w:sz w:val="22"/>
          <w:szCs w:val="22"/>
        </w:rPr>
        <w:t xml:space="preserve"> </w:t>
      </w:r>
      <w:r w:rsidR="00BC5330">
        <w:rPr>
          <w:rFonts w:ascii="Times New Roman" w:hAnsi="Times New Roman"/>
          <w:b w:val="0"/>
          <w:bCs w:val="0"/>
          <w:sz w:val="22"/>
          <w:szCs w:val="22"/>
        </w:rPr>
        <w:t>bol vykázaný v hodnote</w:t>
      </w:r>
      <w:r w:rsidR="00143731">
        <w:rPr>
          <w:rFonts w:ascii="Times New Roman" w:hAnsi="Times New Roman"/>
          <w:b w:val="0"/>
          <w:bCs w:val="0"/>
          <w:sz w:val="22"/>
          <w:szCs w:val="22"/>
        </w:rPr>
        <w:t xml:space="preserve"> </w:t>
      </w:r>
      <w:r w:rsidR="00232B08">
        <w:rPr>
          <w:rFonts w:ascii="Times New Roman" w:hAnsi="Times New Roman"/>
          <w:b w:val="0"/>
          <w:bCs w:val="0"/>
          <w:sz w:val="22"/>
          <w:szCs w:val="22"/>
        </w:rPr>
        <w:t>470</w:t>
      </w:r>
      <w:r w:rsidR="00B81CA5">
        <w:rPr>
          <w:rFonts w:ascii="Times New Roman" w:hAnsi="Times New Roman"/>
          <w:b w:val="0"/>
          <w:bCs w:val="0"/>
          <w:sz w:val="22"/>
          <w:szCs w:val="22"/>
        </w:rPr>
        <w:t> </w:t>
      </w:r>
      <w:r w:rsidR="00232B08">
        <w:rPr>
          <w:rFonts w:ascii="Times New Roman" w:hAnsi="Times New Roman"/>
          <w:b w:val="0"/>
          <w:bCs w:val="0"/>
          <w:sz w:val="22"/>
          <w:szCs w:val="22"/>
        </w:rPr>
        <w:t>854</w:t>
      </w:r>
      <w:r w:rsidR="00B81CA5">
        <w:rPr>
          <w:rFonts w:ascii="Times New Roman" w:hAnsi="Times New Roman"/>
          <w:b w:val="0"/>
          <w:bCs w:val="0"/>
          <w:sz w:val="22"/>
          <w:szCs w:val="22"/>
        </w:rPr>
        <w:t> </w:t>
      </w:r>
      <w:r w:rsidRPr="0072101A" w:rsidR="00801BA6">
        <w:rPr>
          <w:rFonts w:ascii="Times New Roman" w:hAnsi="Times New Roman"/>
          <w:b w:val="0"/>
          <w:bCs w:val="0"/>
          <w:sz w:val="22"/>
          <w:szCs w:val="22"/>
        </w:rPr>
        <w:t>tis. eur.</w:t>
      </w:r>
      <w:r w:rsidR="00873A54">
        <w:rPr>
          <w:rFonts w:ascii="Times New Roman" w:hAnsi="Times New Roman"/>
          <w:b w:val="0"/>
          <w:bCs w:val="0"/>
          <w:sz w:val="22"/>
          <w:szCs w:val="22"/>
        </w:rPr>
        <w:t xml:space="preserve"> V prípade </w:t>
      </w:r>
      <w:r w:rsidR="000E12CE">
        <w:rPr>
          <w:rFonts w:ascii="Times New Roman" w:hAnsi="Times New Roman"/>
          <w:b w:val="0"/>
          <w:bCs w:val="0"/>
          <w:sz w:val="22"/>
          <w:szCs w:val="22"/>
        </w:rPr>
        <w:t xml:space="preserve">týchto </w:t>
      </w:r>
      <w:r w:rsidR="00873A54">
        <w:rPr>
          <w:rFonts w:ascii="Times New Roman" w:hAnsi="Times New Roman"/>
          <w:b w:val="0"/>
          <w:bCs w:val="0"/>
          <w:sz w:val="22"/>
          <w:szCs w:val="22"/>
        </w:rPr>
        <w:t xml:space="preserve">výnosov ide o podiel SPP, a.s. na jeho konsolidovaných účtovných jednotkách vo výške 328 360 tis. eur a podiel Ministerstva hospodárstva SR na </w:t>
      </w:r>
      <w:r w:rsidR="001A17C5">
        <w:rPr>
          <w:rFonts w:ascii="Times New Roman" w:hAnsi="Times New Roman"/>
          <w:b w:val="0"/>
          <w:bCs w:val="0"/>
          <w:sz w:val="22"/>
          <w:szCs w:val="22"/>
        </w:rPr>
        <w:t xml:space="preserve">jeho </w:t>
      </w:r>
      <w:r w:rsidR="00873A54">
        <w:rPr>
          <w:rFonts w:ascii="Times New Roman" w:hAnsi="Times New Roman"/>
          <w:b w:val="0"/>
          <w:bCs w:val="0"/>
          <w:sz w:val="22"/>
          <w:szCs w:val="22"/>
        </w:rPr>
        <w:t>pridružených jednotkách 138 774 tis. eur.</w:t>
      </w:r>
      <w:r w:rsidRPr="0072101A" w:rsidR="00801BA6">
        <w:rPr>
          <w:rFonts w:ascii="Times New Roman" w:hAnsi="Times New Roman"/>
          <w:b w:val="0"/>
          <w:bCs w:val="0"/>
          <w:sz w:val="22"/>
          <w:szCs w:val="22"/>
        </w:rPr>
        <w:t xml:space="preserve"> </w:t>
      </w:r>
    </w:p>
    <w:p w:rsidR="00FA68CA" w:rsidRPr="0072101A" w:rsidP="00B81A6C">
      <w:pPr>
        <w:numPr>
          <w:numId w:val="25"/>
        </w:numPr>
        <w:bidi w:val="0"/>
        <w:spacing w:before="200" w:line="336" w:lineRule="auto"/>
        <w:ind w:left="426" w:hanging="426"/>
        <w:jc w:val="both"/>
        <w:rPr>
          <w:rFonts w:ascii="Times New Roman" w:hAnsi="Times New Roman"/>
          <w:b/>
          <w:bCs/>
          <w:sz w:val="24"/>
          <w:szCs w:val="24"/>
        </w:rPr>
      </w:pPr>
      <w:r w:rsidRPr="0072101A">
        <w:rPr>
          <w:rFonts w:ascii="Times New Roman" w:hAnsi="Times New Roman"/>
          <w:b/>
          <w:bCs/>
          <w:sz w:val="24"/>
          <w:szCs w:val="24"/>
        </w:rPr>
        <w:t>Mimoriadne výnosy</w:t>
      </w:r>
    </w:p>
    <w:p w:rsidR="008E1C42" w:rsidRPr="0072101A" w:rsidP="00142D17">
      <w:pPr>
        <w:pStyle w:val="Pismenka"/>
        <w:tabs>
          <w:tab w:val="clear" w:pos="426"/>
        </w:tabs>
        <w:bidi w:val="0"/>
        <w:spacing w:line="336" w:lineRule="auto"/>
        <w:ind w:left="0" w:firstLine="0"/>
        <w:rPr>
          <w:rFonts w:ascii="Times New Roman" w:hAnsi="Times New Roman"/>
          <w:b w:val="0"/>
          <w:bCs w:val="0"/>
          <w:sz w:val="22"/>
          <w:szCs w:val="22"/>
        </w:rPr>
      </w:pPr>
      <w:r w:rsidRPr="0072101A" w:rsidR="00624F05">
        <w:rPr>
          <w:rFonts w:ascii="Times New Roman" w:hAnsi="Times New Roman"/>
          <w:b w:val="0"/>
          <w:bCs w:val="0"/>
          <w:sz w:val="22"/>
          <w:szCs w:val="22"/>
        </w:rPr>
        <w:t>Mimoriadne výnosy dosiahli k 31.12.201</w:t>
      </w:r>
      <w:r w:rsidR="00F036FB">
        <w:rPr>
          <w:rFonts w:ascii="Times New Roman" w:hAnsi="Times New Roman"/>
          <w:b w:val="0"/>
          <w:bCs w:val="0"/>
          <w:sz w:val="22"/>
          <w:szCs w:val="22"/>
        </w:rPr>
        <w:t>5</w:t>
      </w:r>
      <w:r w:rsidRPr="0072101A" w:rsidR="00624F05">
        <w:rPr>
          <w:rFonts w:ascii="Times New Roman" w:hAnsi="Times New Roman"/>
          <w:b w:val="0"/>
          <w:bCs w:val="0"/>
          <w:sz w:val="22"/>
          <w:szCs w:val="22"/>
        </w:rPr>
        <w:t xml:space="preserve"> hodnotu </w:t>
      </w:r>
      <w:r w:rsidR="00F036FB">
        <w:rPr>
          <w:rFonts w:ascii="Times New Roman" w:hAnsi="Times New Roman"/>
          <w:b w:val="0"/>
          <w:bCs w:val="0"/>
          <w:sz w:val="22"/>
          <w:szCs w:val="22"/>
        </w:rPr>
        <w:t>5 317</w:t>
      </w:r>
      <w:r w:rsidRPr="0072101A" w:rsidR="000E52E5">
        <w:rPr>
          <w:rFonts w:ascii="Times New Roman" w:hAnsi="Times New Roman"/>
          <w:b w:val="0"/>
          <w:bCs w:val="0"/>
          <w:sz w:val="22"/>
          <w:szCs w:val="22"/>
        </w:rPr>
        <w:t xml:space="preserve"> tis. eur </w:t>
      </w:r>
      <w:r w:rsidRPr="0072101A" w:rsidR="00624F05">
        <w:rPr>
          <w:rFonts w:ascii="Times New Roman" w:hAnsi="Times New Roman"/>
          <w:b w:val="0"/>
          <w:bCs w:val="0"/>
          <w:sz w:val="22"/>
          <w:szCs w:val="22"/>
        </w:rPr>
        <w:t>a v porovnaní s rokom 201</w:t>
      </w:r>
      <w:r w:rsidR="00F036FB">
        <w:rPr>
          <w:rFonts w:ascii="Times New Roman" w:hAnsi="Times New Roman"/>
          <w:b w:val="0"/>
          <w:bCs w:val="0"/>
          <w:sz w:val="22"/>
          <w:szCs w:val="22"/>
        </w:rPr>
        <w:t>4</w:t>
      </w:r>
      <w:r w:rsidRPr="0072101A" w:rsidR="00375816">
        <w:rPr>
          <w:rFonts w:ascii="Times New Roman" w:hAnsi="Times New Roman"/>
          <w:b w:val="0"/>
          <w:bCs w:val="0"/>
          <w:sz w:val="22"/>
          <w:szCs w:val="22"/>
        </w:rPr>
        <w:br/>
      </w:r>
      <w:r w:rsidRPr="0072101A" w:rsidR="00624F05">
        <w:rPr>
          <w:rFonts w:ascii="Times New Roman" w:hAnsi="Times New Roman"/>
          <w:b w:val="0"/>
          <w:bCs w:val="0"/>
          <w:sz w:val="22"/>
          <w:szCs w:val="22"/>
        </w:rPr>
        <w:t>sú nižšie o</w:t>
      </w:r>
      <w:r w:rsidRPr="0072101A" w:rsidR="000E52E5">
        <w:rPr>
          <w:rFonts w:ascii="Times New Roman" w:hAnsi="Times New Roman"/>
          <w:b w:val="0"/>
          <w:bCs w:val="0"/>
          <w:sz w:val="22"/>
          <w:szCs w:val="22"/>
        </w:rPr>
        <w:t> </w:t>
      </w:r>
      <w:r w:rsidR="00F036FB">
        <w:rPr>
          <w:rFonts w:ascii="Times New Roman" w:hAnsi="Times New Roman"/>
          <w:b w:val="0"/>
          <w:bCs w:val="0"/>
          <w:sz w:val="22"/>
          <w:szCs w:val="22"/>
        </w:rPr>
        <w:t>903</w:t>
      </w:r>
      <w:r w:rsidRPr="0072101A" w:rsidR="000E52E5">
        <w:rPr>
          <w:rFonts w:ascii="Times New Roman" w:hAnsi="Times New Roman"/>
          <w:b w:val="0"/>
          <w:bCs w:val="0"/>
          <w:sz w:val="22"/>
          <w:szCs w:val="22"/>
        </w:rPr>
        <w:t xml:space="preserve"> </w:t>
      </w:r>
      <w:r w:rsidRPr="0072101A" w:rsidR="00624F05">
        <w:rPr>
          <w:rFonts w:ascii="Times New Roman" w:hAnsi="Times New Roman"/>
          <w:b w:val="0"/>
          <w:bCs w:val="0"/>
          <w:sz w:val="22"/>
          <w:szCs w:val="22"/>
        </w:rPr>
        <w:t>tis. eur. Sú tvorené najmä náhradami škôd</w:t>
      </w:r>
      <w:r w:rsidRPr="0072101A" w:rsidR="00EB5874">
        <w:rPr>
          <w:rFonts w:ascii="Times New Roman" w:hAnsi="Times New Roman"/>
          <w:b w:val="0"/>
          <w:bCs w:val="0"/>
          <w:sz w:val="22"/>
          <w:szCs w:val="22"/>
        </w:rPr>
        <w:t xml:space="preserve"> od poisťovní</w:t>
      </w:r>
      <w:r w:rsidRPr="0072101A" w:rsidR="00624F05">
        <w:rPr>
          <w:rFonts w:ascii="Times New Roman" w:hAnsi="Times New Roman"/>
          <w:b w:val="0"/>
          <w:bCs w:val="0"/>
          <w:sz w:val="22"/>
          <w:szCs w:val="22"/>
        </w:rPr>
        <w:t xml:space="preserve">, zúčtovaním mimoriadnych rezerv do výnosov, zúčtovaním mimoriadnych opravných položiek do výnosov a ostatnými </w:t>
      </w:r>
      <w:r w:rsidRPr="0072101A" w:rsidR="00EB5874">
        <w:rPr>
          <w:rFonts w:ascii="Times New Roman" w:hAnsi="Times New Roman"/>
          <w:b w:val="0"/>
          <w:bCs w:val="0"/>
          <w:sz w:val="22"/>
          <w:szCs w:val="22"/>
        </w:rPr>
        <w:t xml:space="preserve">mimoriadnymi </w:t>
      </w:r>
      <w:r w:rsidRPr="0072101A" w:rsidR="00624F05">
        <w:rPr>
          <w:rFonts w:ascii="Times New Roman" w:hAnsi="Times New Roman"/>
          <w:b w:val="0"/>
          <w:bCs w:val="0"/>
          <w:sz w:val="22"/>
          <w:szCs w:val="22"/>
        </w:rPr>
        <w:t>výnosmi.</w:t>
      </w:r>
    </w:p>
    <w:p w:rsidR="00FA68CA" w:rsidRPr="0072101A" w:rsidP="00B81A6C">
      <w:pPr>
        <w:numPr>
          <w:numId w:val="25"/>
        </w:numPr>
        <w:bidi w:val="0"/>
        <w:spacing w:before="200" w:line="336" w:lineRule="auto"/>
        <w:ind w:left="567" w:hanging="567"/>
        <w:jc w:val="both"/>
        <w:rPr>
          <w:rFonts w:ascii="Times New Roman" w:hAnsi="Times New Roman"/>
          <w:b/>
          <w:bCs/>
          <w:sz w:val="24"/>
          <w:szCs w:val="24"/>
        </w:rPr>
      </w:pPr>
      <w:r w:rsidRPr="0072101A">
        <w:rPr>
          <w:rFonts w:ascii="Times New Roman" w:hAnsi="Times New Roman"/>
          <w:b/>
          <w:bCs/>
          <w:sz w:val="24"/>
          <w:szCs w:val="24"/>
        </w:rPr>
        <w:t>Výnosy z transferov</w:t>
      </w:r>
    </w:p>
    <w:p w:rsidR="00CF758F" w:rsidRPr="0072101A" w:rsidP="00CF758F">
      <w:pPr>
        <w:pStyle w:val="Pismenka"/>
        <w:tabs>
          <w:tab w:val="clear" w:pos="426"/>
        </w:tabs>
        <w:bidi w:val="0"/>
        <w:spacing w:after="120" w:line="336" w:lineRule="auto"/>
        <w:ind w:left="0" w:firstLine="0"/>
        <w:rPr>
          <w:rFonts w:ascii="Times New Roman" w:hAnsi="Times New Roman"/>
          <w:b w:val="0"/>
          <w:bCs w:val="0"/>
          <w:sz w:val="22"/>
          <w:szCs w:val="22"/>
        </w:rPr>
      </w:pPr>
      <w:r w:rsidRPr="0072101A" w:rsidR="0076242D">
        <w:rPr>
          <w:rFonts w:ascii="Times New Roman" w:hAnsi="Times New Roman"/>
          <w:b w:val="0"/>
          <w:bCs w:val="0"/>
          <w:sz w:val="22"/>
          <w:szCs w:val="22"/>
        </w:rPr>
        <w:t xml:space="preserve">Výnosy </w:t>
      </w:r>
      <w:r w:rsidRPr="0072101A" w:rsidR="00624F05">
        <w:rPr>
          <w:rFonts w:ascii="Times New Roman" w:hAnsi="Times New Roman"/>
          <w:b w:val="0"/>
          <w:bCs w:val="0"/>
          <w:sz w:val="22"/>
          <w:szCs w:val="22"/>
        </w:rPr>
        <w:t xml:space="preserve">z transferov </w:t>
      </w:r>
      <w:r w:rsidRPr="0072101A" w:rsidR="0076242D">
        <w:rPr>
          <w:rFonts w:ascii="Times New Roman" w:hAnsi="Times New Roman"/>
          <w:b w:val="0"/>
          <w:bCs w:val="0"/>
          <w:sz w:val="22"/>
          <w:szCs w:val="22"/>
        </w:rPr>
        <w:t>dosiahli k 31.12.201</w:t>
      </w:r>
      <w:r w:rsidR="002F036E">
        <w:rPr>
          <w:rFonts w:ascii="Times New Roman" w:hAnsi="Times New Roman"/>
          <w:b w:val="0"/>
          <w:bCs w:val="0"/>
          <w:sz w:val="22"/>
          <w:szCs w:val="22"/>
        </w:rPr>
        <w:t>5</w:t>
      </w:r>
      <w:r w:rsidRPr="0072101A" w:rsidR="0076242D">
        <w:rPr>
          <w:rFonts w:ascii="Times New Roman" w:hAnsi="Times New Roman"/>
          <w:b w:val="0"/>
          <w:bCs w:val="0"/>
          <w:sz w:val="22"/>
          <w:szCs w:val="22"/>
        </w:rPr>
        <w:t xml:space="preserve"> hodnotu </w:t>
      </w:r>
      <w:r w:rsidR="002F036E">
        <w:rPr>
          <w:rFonts w:ascii="Times New Roman" w:hAnsi="Times New Roman"/>
          <w:b w:val="0"/>
          <w:bCs w:val="0"/>
          <w:sz w:val="22"/>
          <w:szCs w:val="22"/>
        </w:rPr>
        <w:t xml:space="preserve">6 787 786 </w:t>
      </w:r>
      <w:r w:rsidRPr="0072101A" w:rsidR="003A2940">
        <w:rPr>
          <w:rFonts w:ascii="Times New Roman" w:hAnsi="Times New Roman"/>
          <w:b w:val="0"/>
          <w:bCs w:val="0"/>
          <w:sz w:val="22"/>
          <w:szCs w:val="22"/>
        </w:rPr>
        <w:t>tis. eur</w:t>
      </w:r>
      <w:r w:rsidRPr="0072101A" w:rsidR="00C11CD3">
        <w:rPr>
          <w:rFonts w:ascii="Times New Roman" w:hAnsi="Times New Roman"/>
          <w:b w:val="0"/>
          <w:bCs w:val="0"/>
          <w:sz w:val="22"/>
          <w:szCs w:val="22"/>
        </w:rPr>
        <w:t>, medziročne sa zvýšili</w:t>
      </w:r>
      <w:r w:rsidRPr="0072101A" w:rsidR="00375816">
        <w:rPr>
          <w:rFonts w:ascii="Times New Roman" w:hAnsi="Times New Roman"/>
          <w:b w:val="0"/>
          <w:bCs w:val="0"/>
          <w:sz w:val="22"/>
          <w:szCs w:val="22"/>
        </w:rPr>
        <w:br/>
      </w:r>
      <w:r w:rsidRPr="0072101A" w:rsidR="00C11CD3">
        <w:rPr>
          <w:rFonts w:ascii="Times New Roman" w:hAnsi="Times New Roman"/>
          <w:b w:val="0"/>
          <w:bCs w:val="0"/>
          <w:sz w:val="22"/>
          <w:szCs w:val="22"/>
        </w:rPr>
        <w:t>o</w:t>
      </w:r>
      <w:r w:rsidRPr="0072101A" w:rsidR="00375816">
        <w:rPr>
          <w:rFonts w:ascii="Times New Roman" w:hAnsi="Times New Roman"/>
          <w:b w:val="0"/>
          <w:bCs w:val="0"/>
          <w:sz w:val="22"/>
          <w:szCs w:val="22"/>
        </w:rPr>
        <w:t xml:space="preserve"> </w:t>
      </w:r>
      <w:r w:rsidR="002F036E">
        <w:rPr>
          <w:rFonts w:ascii="Times New Roman" w:hAnsi="Times New Roman"/>
          <w:b w:val="0"/>
          <w:bCs w:val="0"/>
          <w:sz w:val="22"/>
          <w:szCs w:val="22"/>
        </w:rPr>
        <w:t>2 157 857</w:t>
      </w:r>
      <w:r w:rsidRPr="0072101A" w:rsidR="00624F05">
        <w:rPr>
          <w:rFonts w:ascii="Times New Roman" w:hAnsi="Times New Roman"/>
          <w:b w:val="0"/>
          <w:bCs w:val="0"/>
          <w:sz w:val="22"/>
          <w:szCs w:val="22"/>
        </w:rPr>
        <w:t xml:space="preserve"> tis. eur. Najväčšou mierou sa na týchto výnosoch podieľa ústredná správa</w:t>
      </w:r>
      <w:r w:rsidRPr="0072101A" w:rsidR="00EB5874">
        <w:rPr>
          <w:rFonts w:ascii="Times New Roman" w:hAnsi="Times New Roman"/>
          <w:b w:val="0"/>
          <w:bCs w:val="0"/>
          <w:sz w:val="22"/>
          <w:szCs w:val="22"/>
        </w:rPr>
        <w:t xml:space="preserve"> v</w:t>
      </w:r>
      <w:r w:rsidRPr="0072101A" w:rsidR="00A45216">
        <w:rPr>
          <w:rFonts w:ascii="Times New Roman" w:hAnsi="Times New Roman"/>
          <w:b w:val="0"/>
          <w:bCs w:val="0"/>
          <w:sz w:val="22"/>
          <w:szCs w:val="22"/>
        </w:rPr>
        <w:t> </w:t>
      </w:r>
      <w:r w:rsidRPr="0072101A" w:rsidR="00EB5874">
        <w:rPr>
          <w:rFonts w:ascii="Times New Roman" w:hAnsi="Times New Roman"/>
          <w:b w:val="0"/>
          <w:bCs w:val="0"/>
          <w:sz w:val="22"/>
          <w:szCs w:val="22"/>
        </w:rPr>
        <w:t>sume</w:t>
      </w:r>
      <w:r w:rsidRPr="0072101A" w:rsidR="00A45216">
        <w:rPr>
          <w:rFonts w:ascii="Times New Roman" w:hAnsi="Times New Roman"/>
          <w:b w:val="0"/>
          <w:bCs w:val="0"/>
          <w:sz w:val="22"/>
          <w:szCs w:val="22"/>
        </w:rPr>
        <w:br/>
      </w:r>
      <w:r w:rsidR="002F036E">
        <w:rPr>
          <w:rFonts w:ascii="Times New Roman" w:hAnsi="Times New Roman"/>
          <w:b w:val="0"/>
          <w:bCs w:val="0"/>
          <w:sz w:val="22"/>
          <w:szCs w:val="22"/>
        </w:rPr>
        <w:t>4 303 899</w:t>
      </w:r>
      <w:r w:rsidRPr="0072101A" w:rsidR="00624F05">
        <w:rPr>
          <w:rFonts w:ascii="Times New Roman" w:hAnsi="Times New Roman"/>
          <w:b w:val="0"/>
          <w:bCs w:val="0"/>
          <w:sz w:val="22"/>
          <w:szCs w:val="22"/>
        </w:rPr>
        <w:t xml:space="preserve"> tis. eur, územná samospráva </w:t>
      </w:r>
      <w:r w:rsidR="002F036E">
        <w:rPr>
          <w:rFonts w:ascii="Times New Roman" w:hAnsi="Times New Roman"/>
          <w:b w:val="0"/>
          <w:bCs w:val="0"/>
          <w:sz w:val="22"/>
          <w:szCs w:val="22"/>
        </w:rPr>
        <w:t xml:space="preserve">1 625 305 </w:t>
      </w:r>
      <w:r w:rsidRPr="0072101A" w:rsidR="00624F05">
        <w:rPr>
          <w:rFonts w:ascii="Times New Roman" w:hAnsi="Times New Roman"/>
          <w:b w:val="0"/>
          <w:bCs w:val="0"/>
          <w:sz w:val="22"/>
          <w:szCs w:val="22"/>
        </w:rPr>
        <w:t xml:space="preserve">tis. eur a ostatné subjekty </w:t>
      </w:r>
      <w:r w:rsidR="002F036E">
        <w:rPr>
          <w:rFonts w:ascii="Times New Roman" w:hAnsi="Times New Roman"/>
          <w:b w:val="0"/>
          <w:bCs w:val="0"/>
          <w:sz w:val="22"/>
          <w:szCs w:val="22"/>
        </w:rPr>
        <w:t>858 582</w:t>
      </w:r>
      <w:r w:rsidRPr="0072101A" w:rsidR="00860381">
        <w:rPr>
          <w:rFonts w:ascii="Times New Roman" w:hAnsi="Times New Roman"/>
          <w:b w:val="0"/>
          <w:bCs w:val="0"/>
          <w:sz w:val="22"/>
          <w:szCs w:val="22"/>
        </w:rPr>
        <w:t xml:space="preserve"> tis. eur</w:t>
      </w:r>
      <w:r w:rsidRPr="0072101A" w:rsidR="00A45216">
        <w:rPr>
          <w:rFonts w:ascii="Times New Roman" w:hAnsi="Times New Roman"/>
          <w:b w:val="0"/>
          <w:bCs w:val="0"/>
          <w:sz w:val="22"/>
          <w:szCs w:val="22"/>
        </w:rPr>
        <w:t>.</w:t>
        <w:br/>
      </w:r>
      <w:r w:rsidRPr="0072101A">
        <w:rPr>
          <w:rFonts w:ascii="Times New Roman" w:hAnsi="Times New Roman"/>
          <w:b w:val="0"/>
          <w:bCs w:val="0"/>
          <w:sz w:val="22"/>
          <w:szCs w:val="22"/>
        </w:rPr>
        <w:t>Medzi výnosy z transferov patria aj výnosy od subjektov mimo verejnej správy, fyzických osôb, podnikateľských subjektov mimo súhrnného celku ako aj zahraničných právnických osôb.</w:t>
      </w:r>
    </w:p>
    <w:p w:rsidR="00624F05" w:rsidP="00CF758F">
      <w:pPr>
        <w:pStyle w:val="Pismenka"/>
        <w:tabs>
          <w:tab w:val="clear" w:pos="426"/>
        </w:tabs>
        <w:bidi w:val="0"/>
        <w:spacing w:after="120" w:line="336" w:lineRule="auto"/>
        <w:ind w:left="0" w:firstLine="0"/>
        <w:rPr>
          <w:rFonts w:ascii="Times New Roman" w:hAnsi="Times New Roman"/>
          <w:b w:val="0"/>
          <w:bCs w:val="0"/>
          <w:sz w:val="22"/>
          <w:szCs w:val="22"/>
        </w:rPr>
      </w:pPr>
      <w:r w:rsidRPr="0072101A">
        <w:rPr>
          <w:rFonts w:ascii="Times New Roman" w:hAnsi="Times New Roman"/>
          <w:b w:val="0"/>
          <w:bCs w:val="0"/>
          <w:sz w:val="22"/>
          <w:szCs w:val="22"/>
          <w:u w:val="single"/>
        </w:rPr>
        <w:t>V prípade ústrednej správy</w:t>
      </w:r>
      <w:r w:rsidRPr="0072101A">
        <w:rPr>
          <w:rFonts w:ascii="Times New Roman" w:hAnsi="Times New Roman"/>
          <w:b w:val="0"/>
          <w:bCs w:val="0"/>
          <w:sz w:val="22"/>
          <w:szCs w:val="22"/>
        </w:rPr>
        <w:t xml:space="preserve"> ide </w:t>
      </w:r>
      <w:r w:rsidRPr="0072101A" w:rsidR="000E12CE">
        <w:rPr>
          <w:rFonts w:ascii="Times New Roman" w:hAnsi="Times New Roman"/>
          <w:b w:val="0"/>
          <w:bCs w:val="0"/>
          <w:sz w:val="22"/>
          <w:szCs w:val="22"/>
        </w:rPr>
        <w:t xml:space="preserve">najmä </w:t>
      </w:r>
      <w:r w:rsidRPr="0072101A">
        <w:rPr>
          <w:rFonts w:ascii="Times New Roman" w:hAnsi="Times New Roman"/>
          <w:b w:val="0"/>
          <w:bCs w:val="0"/>
          <w:sz w:val="22"/>
          <w:szCs w:val="22"/>
        </w:rPr>
        <w:t>o výnosy z prostriedkov rozpočtu EÚ</w:t>
      </w:r>
      <w:r w:rsidRPr="0072101A" w:rsidR="00173A53">
        <w:rPr>
          <w:rFonts w:ascii="Times New Roman" w:hAnsi="Times New Roman"/>
          <w:b w:val="0"/>
          <w:bCs w:val="0"/>
          <w:sz w:val="22"/>
          <w:szCs w:val="22"/>
        </w:rPr>
        <w:t xml:space="preserve"> a</w:t>
      </w:r>
      <w:r w:rsidRPr="0072101A">
        <w:rPr>
          <w:rFonts w:ascii="Times New Roman" w:hAnsi="Times New Roman"/>
          <w:b w:val="0"/>
          <w:bCs w:val="0"/>
          <w:sz w:val="22"/>
          <w:szCs w:val="22"/>
        </w:rPr>
        <w:t xml:space="preserve"> zahraničných finančných nástrojov, ktoré sú zaraďované do štátneho rozpočtu alebo čerpané cez mimorozpočtové účty podľa povahy programu a účelu fondu.</w:t>
      </w:r>
      <w:r w:rsidRPr="0072101A" w:rsidR="0031184E">
        <w:rPr>
          <w:rFonts w:ascii="Times New Roman" w:hAnsi="Times New Roman"/>
          <w:b w:val="0"/>
          <w:bCs w:val="0"/>
          <w:sz w:val="22"/>
          <w:szCs w:val="22"/>
        </w:rPr>
        <w:t xml:space="preserve"> Výnosy dosiahli hodnotu </w:t>
      </w:r>
      <w:r w:rsidR="00EF3A8E">
        <w:rPr>
          <w:rFonts w:ascii="Times New Roman" w:hAnsi="Times New Roman"/>
          <w:b w:val="0"/>
          <w:bCs w:val="0"/>
          <w:sz w:val="22"/>
          <w:szCs w:val="22"/>
        </w:rPr>
        <w:t xml:space="preserve">4 081 880 </w:t>
      </w:r>
      <w:r w:rsidRPr="0072101A" w:rsidR="00F3191E">
        <w:rPr>
          <w:rFonts w:ascii="Times New Roman" w:hAnsi="Times New Roman"/>
          <w:b w:val="0"/>
          <w:bCs w:val="0"/>
          <w:sz w:val="22"/>
          <w:szCs w:val="22"/>
        </w:rPr>
        <w:t>tis. eur (201</w:t>
      </w:r>
      <w:r w:rsidR="00B779FE">
        <w:rPr>
          <w:rFonts w:ascii="Times New Roman" w:hAnsi="Times New Roman"/>
          <w:b w:val="0"/>
          <w:bCs w:val="0"/>
          <w:sz w:val="22"/>
          <w:szCs w:val="22"/>
        </w:rPr>
        <w:t>4</w:t>
      </w:r>
      <w:r w:rsidRPr="0072101A" w:rsidR="00F3191E">
        <w:rPr>
          <w:rFonts w:ascii="Times New Roman" w:hAnsi="Times New Roman"/>
          <w:b w:val="0"/>
          <w:bCs w:val="0"/>
          <w:sz w:val="22"/>
          <w:szCs w:val="22"/>
        </w:rPr>
        <w:t xml:space="preserve">: </w:t>
      </w:r>
      <w:r w:rsidRPr="0072101A" w:rsidR="00B779FE">
        <w:rPr>
          <w:rFonts w:ascii="Times New Roman" w:hAnsi="Times New Roman"/>
          <w:b w:val="0"/>
          <w:bCs w:val="0"/>
          <w:sz w:val="22"/>
          <w:szCs w:val="22"/>
        </w:rPr>
        <w:t>2 018</w:t>
      </w:r>
      <w:r w:rsidR="00B779FE">
        <w:rPr>
          <w:rFonts w:ascii="Times New Roman" w:hAnsi="Times New Roman"/>
          <w:b w:val="0"/>
          <w:bCs w:val="0"/>
          <w:sz w:val="22"/>
          <w:szCs w:val="22"/>
        </w:rPr>
        <w:t> </w:t>
      </w:r>
      <w:r w:rsidRPr="0072101A" w:rsidR="00B779FE">
        <w:rPr>
          <w:rFonts w:ascii="Times New Roman" w:hAnsi="Times New Roman"/>
          <w:b w:val="0"/>
          <w:bCs w:val="0"/>
          <w:sz w:val="22"/>
          <w:szCs w:val="22"/>
        </w:rPr>
        <w:t xml:space="preserve">566 </w:t>
      </w:r>
      <w:r w:rsidRPr="0072101A" w:rsidR="0031184E">
        <w:rPr>
          <w:rFonts w:ascii="Times New Roman" w:hAnsi="Times New Roman"/>
          <w:b w:val="0"/>
          <w:bCs w:val="0"/>
          <w:sz w:val="22"/>
          <w:szCs w:val="22"/>
        </w:rPr>
        <w:t>tis. eur</w:t>
      </w:r>
      <w:r w:rsidRPr="0072101A" w:rsidR="00F3191E">
        <w:rPr>
          <w:rFonts w:ascii="Times New Roman" w:hAnsi="Times New Roman"/>
          <w:b w:val="0"/>
          <w:bCs w:val="0"/>
          <w:sz w:val="22"/>
          <w:szCs w:val="22"/>
        </w:rPr>
        <w:t>)</w:t>
      </w:r>
      <w:r w:rsidRPr="0072101A" w:rsidR="000A0476">
        <w:rPr>
          <w:rFonts w:ascii="Times New Roman" w:hAnsi="Times New Roman"/>
          <w:b w:val="0"/>
          <w:bCs w:val="0"/>
          <w:sz w:val="22"/>
          <w:szCs w:val="22"/>
        </w:rPr>
        <w:t>.</w:t>
      </w:r>
    </w:p>
    <w:p w:rsidR="00EF3A8E" w:rsidRPr="0072101A" w:rsidP="00CF758F">
      <w:pPr>
        <w:pStyle w:val="Pismenka"/>
        <w:tabs>
          <w:tab w:val="clear" w:pos="426"/>
        </w:tabs>
        <w:bidi w:val="0"/>
        <w:spacing w:after="120" w:line="336" w:lineRule="auto"/>
        <w:ind w:left="0" w:firstLine="0"/>
        <w:rPr>
          <w:rFonts w:ascii="Times New Roman" w:hAnsi="Times New Roman"/>
          <w:b w:val="0"/>
          <w:bCs w:val="0"/>
          <w:sz w:val="22"/>
          <w:szCs w:val="22"/>
        </w:rPr>
      </w:pPr>
      <w:r>
        <w:rPr>
          <w:rFonts w:ascii="Times New Roman" w:hAnsi="Times New Roman"/>
          <w:b w:val="0"/>
          <w:bCs w:val="0"/>
          <w:sz w:val="22"/>
          <w:szCs w:val="22"/>
        </w:rPr>
        <w:t>Medziročný prírastok celkových výnosov z transferov spôsobilo hlavne vyššie čerpanie prostriedkov z EÚ fondov v roku 2015, uvoľnenie viacerých operačných programov a postupné ukončovanie projektov v rámci druhého programového obdobia na strane konečných prijímateľov. Najvýznamnejšiu hodnotu v rámci ústrednej správy dosiahlo Ministerstvo dopravy, výstavby a regionálneho rozvoja SR (1 303 134 tis. eur a medziročný prírastok 778 996 tis. eur) a Pôdohospodárska platobná jednotka (616 206 tis. eur a medziročný prírastok 111 085 tis. eur).</w:t>
      </w:r>
    </w:p>
    <w:p w:rsidR="00601B45" w:rsidRPr="0072101A" w:rsidP="00142D17">
      <w:pPr>
        <w:pStyle w:val="Pismenka"/>
        <w:tabs>
          <w:tab w:val="clear" w:pos="426"/>
        </w:tabs>
        <w:bidi w:val="0"/>
        <w:spacing w:line="336" w:lineRule="auto"/>
        <w:ind w:left="0" w:firstLine="0"/>
        <w:rPr>
          <w:rFonts w:ascii="Times New Roman" w:hAnsi="Times New Roman"/>
          <w:b w:val="0"/>
          <w:bCs w:val="0"/>
          <w:sz w:val="22"/>
          <w:szCs w:val="22"/>
        </w:rPr>
      </w:pPr>
      <w:r w:rsidRPr="0072101A" w:rsidR="00624F05">
        <w:rPr>
          <w:rFonts w:ascii="Times New Roman" w:hAnsi="Times New Roman"/>
          <w:b w:val="0"/>
          <w:bCs w:val="0"/>
          <w:sz w:val="22"/>
          <w:szCs w:val="22"/>
          <w:u w:val="single"/>
        </w:rPr>
        <w:t>Územná samospráva</w:t>
      </w:r>
      <w:r w:rsidR="00DA6065">
        <w:rPr>
          <w:rFonts w:ascii="Times New Roman" w:hAnsi="Times New Roman"/>
          <w:b w:val="0"/>
          <w:bCs w:val="0"/>
          <w:sz w:val="22"/>
          <w:szCs w:val="22"/>
        </w:rPr>
        <w:t xml:space="preserve"> vykazuje hlavne výnosy z prostriedkov</w:t>
      </w:r>
      <w:r w:rsidRPr="0072101A" w:rsidR="00624F05">
        <w:rPr>
          <w:rFonts w:ascii="Times New Roman" w:hAnsi="Times New Roman"/>
          <w:b w:val="0"/>
          <w:bCs w:val="0"/>
          <w:sz w:val="22"/>
          <w:szCs w:val="22"/>
        </w:rPr>
        <w:t xml:space="preserve"> štátneho rozpočtu, ktoré predstavujú bežné a kapitálové transfery pre obce, vyššie územné celky a ich rozpočtové a príspevkové organizácie. Tieto výnosy neboli predmetom úplnej eliminácie z dôvodu náročnej identifikácie výnosov týchto subjektov a nákladov na strane ústrednej správy.</w:t>
      </w:r>
      <w:r w:rsidRPr="0072101A" w:rsidR="004F1127">
        <w:rPr>
          <w:rFonts w:ascii="Times New Roman" w:hAnsi="Times New Roman"/>
          <w:b w:val="0"/>
          <w:bCs w:val="0"/>
          <w:sz w:val="22"/>
          <w:szCs w:val="22"/>
        </w:rPr>
        <w:t xml:space="preserve"> Výnosy zo štátneho rozpočtu a od ostatných subjektov verejnej správy dosiahli hodnotu </w:t>
      </w:r>
      <w:r w:rsidR="00DA6065">
        <w:rPr>
          <w:rFonts w:ascii="Times New Roman" w:hAnsi="Times New Roman"/>
          <w:b w:val="0"/>
          <w:bCs w:val="0"/>
          <w:sz w:val="22"/>
          <w:szCs w:val="22"/>
        </w:rPr>
        <w:t>1 62</w:t>
      </w:r>
      <w:r w:rsidR="00721CF9">
        <w:rPr>
          <w:rFonts w:ascii="Times New Roman" w:hAnsi="Times New Roman"/>
          <w:b w:val="0"/>
          <w:bCs w:val="0"/>
          <w:sz w:val="22"/>
          <w:szCs w:val="22"/>
        </w:rPr>
        <w:t>5</w:t>
      </w:r>
      <w:r w:rsidR="00DA6065">
        <w:rPr>
          <w:rFonts w:ascii="Times New Roman" w:hAnsi="Times New Roman"/>
          <w:b w:val="0"/>
          <w:bCs w:val="0"/>
          <w:sz w:val="22"/>
          <w:szCs w:val="22"/>
        </w:rPr>
        <w:t> </w:t>
      </w:r>
      <w:r w:rsidR="00721CF9">
        <w:rPr>
          <w:rFonts w:ascii="Times New Roman" w:hAnsi="Times New Roman"/>
          <w:b w:val="0"/>
          <w:bCs w:val="0"/>
          <w:sz w:val="22"/>
          <w:szCs w:val="22"/>
        </w:rPr>
        <w:t>305</w:t>
      </w:r>
      <w:r w:rsidR="00DA6065">
        <w:rPr>
          <w:rFonts w:ascii="Times New Roman" w:hAnsi="Times New Roman"/>
          <w:b w:val="0"/>
          <w:bCs w:val="0"/>
          <w:sz w:val="22"/>
          <w:szCs w:val="22"/>
        </w:rPr>
        <w:t xml:space="preserve"> tis. eur (2014: </w:t>
      </w:r>
      <w:r w:rsidRPr="0072101A" w:rsidR="004F1127">
        <w:rPr>
          <w:rFonts w:ascii="Times New Roman" w:hAnsi="Times New Roman"/>
          <w:b w:val="0"/>
          <w:bCs w:val="0"/>
          <w:sz w:val="22"/>
          <w:szCs w:val="22"/>
        </w:rPr>
        <w:t>1</w:t>
      </w:r>
      <w:r w:rsidRPr="0072101A" w:rsidR="003E7F1C">
        <w:rPr>
          <w:rFonts w:ascii="Times New Roman" w:hAnsi="Times New Roman"/>
          <w:b w:val="0"/>
          <w:bCs w:val="0"/>
          <w:sz w:val="22"/>
          <w:szCs w:val="22"/>
        </w:rPr>
        <w:t> 470 076</w:t>
      </w:r>
      <w:r w:rsidRPr="0072101A" w:rsidR="004F1127">
        <w:rPr>
          <w:rFonts w:ascii="Times New Roman" w:hAnsi="Times New Roman"/>
          <w:b w:val="0"/>
          <w:bCs w:val="0"/>
          <w:sz w:val="22"/>
          <w:szCs w:val="22"/>
        </w:rPr>
        <w:t xml:space="preserve"> tis. eur</w:t>
      </w:r>
      <w:r w:rsidR="00DA6065">
        <w:rPr>
          <w:rFonts w:ascii="Times New Roman" w:hAnsi="Times New Roman"/>
          <w:b w:val="0"/>
          <w:bCs w:val="0"/>
          <w:sz w:val="22"/>
          <w:szCs w:val="22"/>
        </w:rPr>
        <w:t>)</w:t>
      </w:r>
      <w:r w:rsidRPr="0072101A" w:rsidR="004F1127">
        <w:rPr>
          <w:rFonts w:ascii="Times New Roman" w:hAnsi="Times New Roman"/>
          <w:b w:val="0"/>
          <w:bCs w:val="0"/>
          <w:sz w:val="22"/>
          <w:szCs w:val="22"/>
        </w:rPr>
        <w:t>.</w:t>
      </w:r>
      <w:r w:rsidRPr="0072101A" w:rsidR="00624F05">
        <w:rPr>
          <w:rFonts w:ascii="Times New Roman" w:hAnsi="Times New Roman"/>
          <w:b w:val="0"/>
          <w:bCs w:val="0"/>
          <w:sz w:val="22"/>
          <w:szCs w:val="22"/>
        </w:rPr>
        <w:t xml:space="preserve"> </w:t>
      </w:r>
    </w:p>
    <w:p w:rsidR="00BC5330">
      <w:pPr>
        <w:bidi w:val="0"/>
        <w:spacing w:after="0" w:line="240" w:lineRule="auto"/>
        <w:rPr>
          <w:rFonts w:ascii="Times New Roman" w:hAnsi="Times New Roman"/>
          <w:b/>
          <w:bCs/>
          <w:sz w:val="24"/>
          <w:szCs w:val="24"/>
        </w:rPr>
      </w:pPr>
    </w:p>
    <w:p w:rsidR="00684111" w:rsidRPr="003462F9" w:rsidP="00E96648">
      <w:pPr>
        <w:bidi w:val="0"/>
        <w:spacing w:before="240" w:line="336" w:lineRule="auto"/>
        <w:jc w:val="center"/>
        <w:rPr>
          <w:rFonts w:ascii="Times New Roman" w:hAnsi="Times New Roman"/>
          <w:b/>
          <w:bCs/>
          <w:sz w:val="24"/>
          <w:szCs w:val="24"/>
        </w:rPr>
      </w:pPr>
      <w:r w:rsidRPr="003462F9">
        <w:rPr>
          <w:rFonts w:ascii="Times New Roman" w:hAnsi="Times New Roman"/>
          <w:b/>
          <w:bCs/>
          <w:sz w:val="24"/>
          <w:szCs w:val="24"/>
        </w:rPr>
        <w:t xml:space="preserve">III. </w:t>
      </w:r>
      <w:r w:rsidRPr="003462F9">
        <w:rPr>
          <w:rFonts w:ascii="Times New Roman" w:hAnsi="Times New Roman"/>
          <w:b/>
          <w:bCs/>
          <w:caps/>
          <w:sz w:val="24"/>
          <w:szCs w:val="24"/>
        </w:rPr>
        <w:t>Informácie o</w:t>
      </w:r>
      <w:r w:rsidRPr="003462F9" w:rsidR="00E96648">
        <w:rPr>
          <w:rFonts w:ascii="Times New Roman" w:hAnsi="Times New Roman"/>
          <w:b/>
          <w:bCs/>
          <w:caps/>
          <w:sz w:val="24"/>
          <w:szCs w:val="24"/>
        </w:rPr>
        <w:t> InÝCH akTÍVACH a INÝCH PASÍVACH</w:t>
      </w:r>
    </w:p>
    <w:p w:rsidR="003462F9" w:rsidP="00A45216">
      <w:pPr>
        <w:bidi w:val="0"/>
        <w:spacing w:before="120" w:after="0" w:line="336" w:lineRule="auto"/>
        <w:jc w:val="both"/>
        <w:rPr>
          <w:rFonts w:ascii="Times New Roman" w:hAnsi="Times New Roman"/>
          <w:szCs w:val="22"/>
        </w:rPr>
      </w:pPr>
      <w:r w:rsidRPr="000936C5" w:rsidR="00E96648">
        <w:rPr>
          <w:rFonts w:ascii="Times New Roman" w:hAnsi="Times New Roman"/>
          <w:szCs w:val="22"/>
          <w:u w:val="single"/>
        </w:rPr>
        <w:t>Iné aktíva</w:t>
      </w:r>
      <w:r w:rsidRPr="003462F9" w:rsidR="00E96648">
        <w:rPr>
          <w:rFonts w:ascii="Times New Roman" w:hAnsi="Times New Roman"/>
          <w:szCs w:val="22"/>
        </w:rPr>
        <w:t xml:space="preserve"> predstavujú najmä </w:t>
      </w:r>
      <w:r w:rsidRPr="003462F9">
        <w:rPr>
          <w:rFonts w:ascii="Times New Roman" w:hAnsi="Times New Roman"/>
          <w:szCs w:val="22"/>
        </w:rPr>
        <w:t xml:space="preserve">možné príjmy zo súdnych sporov, finančné nároky zo zmlúv, </w:t>
      </w:r>
      <w:r w:rsidRPr="003462F9" w:rsidR="00E96648">
        <w:rPr>
          <w:rFonts w:ascii="Times New Roman" w:hAnsi="Times New Roman"/>
          <w:szCs w:val="22"/>
        </w:rPr>
        <w:t>prírodné bohatstvo, historické a kultúrne pamiatky, ktorých hodnota sa však ťažko vyčísluje. Ako iné aktíva sa vykazuje aj hodnota aktív, ktorými sa rozumie možný majetok, ktorý vznikol v dôsledku minulých udalostí</w:t>
      </w:r>
      <w:r w:rsidRPr="003462F9" w:rsidR="000A0476">
        <w:rPr>
          <w:rFonts w:ascii="Times New Roman" w:hAnsi="Times New Roman"/>
          <w:szCs w:val="22"/>
        </w:rPr>
        <w:t>,</w:t>
      </w:r>
      <w:r w:rsidRPr="003462F9" w:rsidR="00E96648">
        <w:rPr>
          <w:rFonts w:ascii="Times New Roman" w:hAnsi="Times New Roman"/>
          <w:szCs w:val="22"/>
        </w:rPr>
        <w:t xml:space="preserve"> a ktorého existencia alebo vlastníctvo závisí od toho, či nastane alebo nenastane jedna alebo viac neistých udalostí v budúcnosti. Vznik týchto udalostí pritom nezávisí od účtovnej jednotky</w:t>
      </w:r>
      <w:r w:rsidRPr="003462F9">
        <w:rPr>
          <w:rFonts w:ascii="Times New Roman" w:hAnsi="Times New Roman"/>
          <w:szCs w:val="22"/>
        </w:rPr>
        <w:t>.</w:t>
      </w:r>
    </w:p>
    <w:p w:rsidR="000936C5" w:rsidP="00A45216">
      <w:pPr>
        <w:bidi w:val="0"/>
        <w:spacing w:before="120" w:after="0" w:line="336" w:lineRule="auto"/>
        <w:jc w:val="both"/>
        <w:rPr>
          <w:rFonts w:ascii="Times New Roman" w:hAnsi="Times New Roman"/>
          <w:szCs w:val="22"/>
          <w:lang w:eastAsia="sk-SK"/>
        </w:rPr>
      </w:pPr>
      <w:r w:rsidRPr="0072101A" w:rsidR="00E96648">
        <w:rPr>
          <w:rFonts w:ascii="Times New Roman" w:hAnsi="Times New Roman"/>
          <w:szCs w:val="22"/>
        </w:rPr>
        <w:t>K 31.12.201</w:t>
      </w:r>
      <w:r w:rsidR="003462F9">
        <w:rPr>
          <w:rFonts w:ascii="Times New Roman" w:hAnsi="Times New Roman"/>
          <w:szCs w:val="22"/>
        </w:rPr>
        <w:t>5</w:t>
      </w:r>
      <w:r w:rsidRPr="0072101A" w:rsidR="00E96648">
        <w:rPr>
          <w:rFonts w:ascii="Times New Roman" w:hAnsi="Times New Roman"/>
          <w:szCs w:val="22"/>
        </w:rPr>
        <w:t xml:space="preserve"> vykázali subjekty súhrnného celku verejnej správy iné aktíva v hodnote </w:t>
      </w:r>
      <w:r>
        <w:rPr>
          <w:rFonts w:ascii="Times New Roman" w:hAnsi="Times New Roman"/>
          <w:szCs w:val="22"/>
        </w:rPr>
        <w:t>1 392</w:t>
      </w:r>
      <w:r w:rsidR="00B81CA5">
        <w:rPr>
          <w:rFonts w:ascii="Times New Roman" w:hAnsi="Times New Roman"/>
          <w:szCs w:val="22"/>
        </w:rPr>
        <w:t> </w:t>
      </w:r>
      <w:r>
        <w:rPr>
          <w:rFonts w:ascii="Times New Roman" w:hAnsi="Times New Roman"/>
          <w:szCs w:val="22"/>
        </w:rPr>
        <w:t>204</w:t>
      </w:r>
      <w:r w:rsidR="00B81CA5">
        <w:rPr>
          <w:rFonts w:ascii="Times New Roman" w:hAnsi="Times New Roman"/>
          <w:szCs w:val="22"/>
        </w:rPr>
        <w:t> tis. </w:t>
      </w:r>
      <w:r w:rsidRPr="0072101A" w:rsidR="00E96648">
        <w:rPr>
          <w:rFonts w:ascii="Times New Roman" w:hAnsi="Times New Roman"/>
          <w:szCs w:val="22"/>
        </w:rPr>
        <w:t>eur, pričom ide najmä o</w:t>
      </w:r>
      <w:r w:rsidRPr="0072101A" w:rsidR="00B3686D">
        <w:rPr>
          <w:rFonts w:ascii="Times New Roman" w:hAnsi="Times New Roman"/>
          <w:szCs w:val="22"/>
        </w:rPr>
        <w:t xml:space="preserve"> aktívne súdne spory a </w:t>
      </w:r>
      <w:r w:rsidRPr="0072101A" w:rsidR="00E96648">
        <w:rPr>
          <w:rFonts w:ascii="Times New Roman" w:hAnsi="Times New Roman"/>
          <w:szCs w:val="22"/>
        </w:rPr>
        <w:t>budúce práva zo zmlúv.</w:t>
      </w:r>
      <w:r w:rsidRPr="0072101A" w:rsidR="00A45216">
        <w:rPr>
          <w:rFonts w:ascii="Times New Roman" w:hAnsi="Times New Roman"/>
          <w:szCs w:val="22"/>
        </w:rPr>
        <w:t xml:space="preserve"> </w:t>
      </w:r>
      <w:r>
        <w:rPr>
          <w:rFonts w:ascii="Times New Roman" w:hAnsi="Times New Roman"/>
          <w:szCs w:val="22"/>
        </w:rPr>
        <w:t>N</w:t>
      </w:r>
      <w:r w:rsidRPr="0072101A" w:rsidR="00A45216">
        <w:rPr>
          <w:rFonts w:ascii="Times New Roman" w:hAnsi="Times New Roman"/>
          <w:szCs w:val="22"/>
          <w:lang w:eastAsia="sk-SK"/>
        </w:rPr>
        <w:t xml:space="preserve">ajvýznamnejšie </w:t>
      </w:r>
      <w:r>
        <w:rPr>
          <w:rFonts w:ascii="Times New Roman" w:hAnsi="Times New Roman"/>
          <w:szCs w:val="22"/>
          <w:lang w:eastAsia="sk-SK"/>
        </w:rPr>
        <w:t xml:space="preserve">sú </w:t>
      </w:r>
      <w:r w:rsidRPr="0072101A" w:rsidR="00A45216">
        <w:rPr>
          <w:rFonts w:ascii="Times New Roman" w:hAnsi="Times New Roman"/>
          <w:szCs w:val="22"/>
          <w:lang w:eastAsia="sk-SK"/>
        </w:rPr>
        <w:t xml:space="preserve">aktívne súdne spory </w:t>
      </w:r>
      <w:r w:rsidRPr="0072101A" w:rsidR="00303282">
        <w:rPr>
          <w:rFonts w:ascii="Times New Roman" w:hAnsi="Times New Roman"/>
          <w:szCs w:val="22"/>
          <w:lang w:eastAsia="sk-SK"/>
        </w:rPr>
        <w:t xml:space="preserve">a konkurzné konania Ministerstva financií SR v hodnote </w:t>
      </w:r>
      <w:r>
        <w:rPr>
          <w:rFonts w:ascii="Times New Roman" w:hAnsi="Times New Roman"/>
          <w:szCs w:val="22"/>
          <w:lang w:eastAsia="sk-SK"/>
        </w:rPr>
        <w:t>394 105</w:t>
      </w:r>
      <w:r w:rsidRPr="0072101A" w:rsidR="00303282">
        <w:rPr>
          <w:rFonts w:ascii="Times New Roman" w:hAnsi="Times New Roman"/>
          <w:szCs w:val="22"/>
          <w:lang w:eastAsia="sk-SK"/>
        </w:rPr>
        <w:t xml:space="preserve"> tis. eur a súdne spory </w:t>
      </w:r>
      <w:r w:rsidRPr="0072101A" w:rsidR="00A45216">
        <w:rPr>
          <w:rFonts w:ascii="Times New Roman" w:hAnsi="Times New Roman"/>
          <w:szCs w:val="22"/>
          <w:lang w:eastAsia="sk-SK"/>
        </w:rPr>
        <w:t xml:space="preserve">štátneho podniku Vodohospodárska výstavba, š.p. najmä voči Slovenským elektrárňam, a.s. Hodnotu aktívnych súdnych sporov odhadol </w:t>
      </w:r>
      <w:r>
        <w:rPr>
          <w:rFonts w:ascii="Times New Roman" w:hAnsi="Times New Roman"/>
          <w:szCs w:val="22"/>
          <w:lang w:eastAsia="sk-SK"/>
        </w:rPr>
        <w:t xml:space="preserve">tento </w:t>
      </w:r>
      <w:r w:rsidRPr="0072101A" w:rsidR="00A45216">
        <w:rPr>
          <w:rFonts w:ascii="Times New Roman" w:hAnsi="Times New Roman"/>
          <w:szCs w:val="22"/>
          <w:lang w:eastAsia="sk-SK"/>
        </w:rPr>
        <w:t xml:space="preserve">štátny podnik na </w:t>
      </w:r>
      <w:r>
        <w:rPr>
          <w:rFonts w:ascii="Times New Roman" w:hAnsi="Times New Roman"/>
          <w:szCs w:val="22"/>
          <w:lang w:eastAsia="sk-SK"/>
        </w:rPr>
        <w:t>411 020</w:t>
      </w:r>
      <w:r w:rsidRPr="0072101A" w:rsidR="00A45216">
        <w:rPr>
          <w:rFonts w:ascii="Times New Roman" w:hAnsi="Times New Roman"/>
          <w:szCs w:val="22"/>
          <w:lang w:eastAsia="sk-SK"/>
        </w:rPr>
        <w:t xml:space="preserve"> tis. eur.</w:t>
      </w:r>
    </w:p>
    <w:p w:rsidR="00A45216" w:rsidP="00A45216">
      <w:pPr>
        <w:bidi w:val="0"/>
        <w:spacing w:before="120" w:after="0" w:line="336" w:lineRule="auto"/>
        <w:jc w:val="both"/>
        <w:rPr>
          <w:rFonts w:ascii="Times New Roman" w:hAnsi="Times New Roman"/>
          <w:szCs w:val="22"/>
          <w:lang w:eastAsia="sk-SK"/>
        </w:rPr>
      </w:pPr>
      <w:r w:rsidR="000936C5">
        <w:rPr>
          <w:rFonts w:ascii="Times New Roman" w:hAnsi="Times New Roman"/>
          <w:szCs w:val="22"/>
          <w:lang w:eastAsia="sk-SK"/>
        </w:rPr>
        <w:t xml:space="preserve">Medziročný prírastok v hodnotovom vyjadrení iných aktív dosiahol 133 964 tis. eur, a to najmä vplyvom vyššieho odhadu aktívnych súdnych sporov </w:t>
      </w:r>
      <w:r w:rsidRPr="0072101A" w:rsidR="000936C5">
        <w:rPr>
          <w:rFonts w:ascii="Times New Roman" w:hAnsi="Times New Roman"/>
          <w:szCs w:val="22"/>
          <w:lang w:eastAsia="sk-SK"/>
        </w:rPr>
        <w:t>Vodohospodársk</w:t>
      </w:r>
      <w:r w:rsidR="000936C5">
        <w:rPr>
          <w:rFonts w:ascii="Times New Roman" w:hAnsi="Times New Roman"/>
          <w:szCs w:val="22"/>
          <w:lang w:eastAsia="sk-SK"/>
        </w:rPr>
        <w:t>ej</w:t>
      </w:r>
      <w:r w:rsidRPr="0072101A" w:rsidR="000936C5">
        <w:rPr>
          <w:rFonts w:ascii="Times New Roman" w:hAnsi="Times New Roman"/>
          <w:szCs w:val="22"/>
          <w:lang w:eastAsia="sk-SK"/>
        </w:rPr>
        <w:t xml:space="preserve"> výstavb</w:t>
      </w:r>
      <w:r w:rsidR="000936C5">
        <w:rPr>
          <w:rFonts w:ascii="Times New Roman" w:hAnsi="Times New Roman"/>
          <w:szCs w:val="22"/>
          <w:lang w:eastAsia="sk-SK"/>
        </w:rPr>
        <w:t>y</w:t>
      </w:r>
      <w:r w:rsidRPr="0072101A" w:rsidR="000936C5">
        <w:rPr>
          <w:rFonts w:ascii="Times New Roman" w:hAnsi="Times New Roman"/>
          <w:szCs w:val="22"/>
          <w:lang w:eastAsia="sk-SK"/>
        </w:rPr>
        <w:t>, š.p.</w:t>
      </w:r>
      <w:r w:rsidR="00B81CA5">
        <w:rPr>
          <w:rFonts w:ascii="Times New Roman" w:hAnsi="Times New Roman"/>
          <w:szCs w:val="22"/>
          <w:lang w:eastAsia="sk-SK"/>
        </w:rPr>
        <w:t xml:space="preserve"> o 86 486 tis. </w:t>
      </w:r>
      <w:r w:rsidR="000936C5">
        <w:rPr>
          <w:rFonts w:ascii="Times New Roman" w:hAnsi="Times New Roman"/>
          <w:szCs w:val="22"/>
          <w:lang w:eastAsia="sk-SK"/>
        </w:rPr>
        <w:t xml:space="preserve">eur, a vyššími podmienenými aktívami SPP, a.s. o 107 120 eur z dôvodu bankových záruk jeho klientov. </w:t>
      </w:r>
    </w:p>
    <w:p w:rsidR="000936C5" w:rsidRPr="0072101A" w:rsidP="00A45216">
      <w:pPr>
        <w:bidi w:val="0"/>
        <w:spacing w:before="120" w:after="0" w:line="336" w:lineRule="auto"/>
        <w:jc w:val="both"/>
        <w:rPr>
          <w:rFonts w:ascii="Times New Roman" w:hAnsi="Times New Roman"/>
          <w:szCs w:val="22"/>
          <w:lang w:eastAsia="sk-SK"/>
        </w:rPr>
      </w:pPr>
      <w:r>
        <w:rPr>
          <w:rFonts w:ascii="Times New Roman" w:hAnsi="Times New Roman"/>
          <w:szCs w:val="22"/>
          <w:lang w:eastAsia="sk-SK"/>
        </w:rPr>
        <w:t>Zníženie podmienených aktív zaznamenala napríklad Exportno-importná banka, a.s. o 38 198 tis. eur.</w:t>
      </w:r>
    </w:p>
    <w:p w:rsidR="00993DF3" w:rsidP="00684111">
      <w:pPr>
        <w:bidi w:val="0"/>
        <w:spacing w:before="120" w:after="120" w:line="336" w:lineRule="auto"/>
        <w:jc w:val="both"/>
        <w:rPr>
          <w:rFonts w:ascii="Times New Roman" w:hAnsi="Times New Roman"/>
          <w:szCs w:val="22"/>
        </w:rPr>
      </w:pPr>
      <w:r w:rsidRPr="000936C5" w:rsidR="00E96648">
        <w:rPr>
          <w:rFonts w:ascii="Times New Roman" w:hAnsi="Times New Roman"/>
          <w:szCs w:val="22"/>
          <w:u w:val="single"/>
        </w:rPr>
        <w:t>Iné pasíva</w:t>
      </w:r>
      <w:r w:rsidRPr="0072101A" w:rsidR="00E96648">
        <w:rPr>
          <w:rFonts w:ascii="Times New Roman" w:hAnsi="Times New Roman"/>
          <w:szCs w:val="22"/>
        </w:rPr>
        <w:t xml:space="preserve"> vo</w:t>
      </w:r>
      <w:r w:rsidRPr="0072101A" w:rsidR="00684111">
        <w:rPr>
          <w:rFonts w:ascii="Times New Roman" w:hAnsi="Times New Roman"/>
          <w:szCs w:val="22"/>
        </w:rPr>
        <w:t xml:space="preserve"> verejnej správe </w:t>
      </w:r>
      <w:r w:rsidRPr="0072101A" w:rsidR="00E96648">
        <w:rPr>
          <w:rFonts w:ascii="Times New Roman" w:hAnsi="Times New Roman"/>
          <w:szCs w:val="22"/>
        </w:rPr>
        <w:t>predstavujú</w:t>
      </w:r>
      <w:r w:rsidRPr="0072101A" w:rsidR="00684111">
        <w:rPr>
          <w:rFonts w:ascii="Times New Roman" w:hAnsi="Times New Roman"/>
          <w:szCs w:val="22"/>
        </w:rPr>
        <w:t xml:space="preserve"> podmienené záväzky </w:t>
      </w:r>
      <w:r w:rsidRPr="0072101A" w:rsidR="00E96648">
        <w:rPr>
          <w:rFonts w:ascii="Times New Roman" w:hAnsi="Times New Roman"/>
          <w:szCs w:val="22"/>
        </w:rPr>
        <w:t>z</w:t>
      </w:r>
      <w:r w:rsidRPr="0072101A" w:rsidR="00684111">
        <w:rPr>
          <w:rFonts w:ascii="Times New Roman" w:hAnsi="Times New Roman"/>
          <w:szCs w:val="22"/>
        </w:rPr>
        <w:t xml:space="preserve"> poskytnut</w:t>
      </w:r>
      <w:r w:rsidRPr="0072101A" w:rsidR="00E96648">
        <w:rPr>
          <w:rFonts w:ascii="Times New Roman" w:hAnsi="Times New Roman"/>
          <w:szCs w:val="22"/>
        </w:rPr>
        <w:t>ých</w:t>
      </w:r>
      <w:r w:rsidRPr="0072101A" w:rsidR="00684111">
        <w:rPr>
          <w:rFonts w:ascii="Times New Roman" w:hAnsi="Times New Roman"/>
          <w:szCs w:val="22"/>
        </w:rPr>
        <w:t xml:space="preserve"> záruk, hroziac</w:t>
      </w:r>
      <w:r w:rsidRPr="0072101A" w:rsidR="00E96648">
        <w:rPr>
          <w:rFonts w:ascii="Times New Roman" w:hAnsi="Times New Roman"/>
          <w:szCs w:val="22"/>
        </w:rPr>
        <w:t>ich</w:t>
      </w:r>
      <w:r w:rsidRPr="0072101A" w:rsidR="00684111">
        <w:rPr>
          <w:rFonts w:ascii="Times New Roman" w:hAnsi="Times New Roman"/>
          <w:szCs w:val="22"/>
        </w:rPr>
        <w:t xml:space="preserve"> a</w:t>
      </w:r>
      <w:r>
        <w:rPr>
          <w:rFonts w:ascii="Times New Roman" w:hAnsi="Times New Roman"/>
          <w:szCs w:val="22"/>
        </w:rPr>
        <w:t>lebo</w:t>
      </w:r>
      <w:r w:rsidRPr="0072101A" w:rsidR="00684111">
        <w:rPr>
          <w:rFonts w:ascii="Times New Roman" w:hAnsi="Times New Roman"/>
          <w:szCs w:val="22"/>
        </w:rPr>
        <w:t xml:space="preserve"> </w:t>
      </w:r>
      <w:r>
        <w:rPr>
          <w:rFonts w:ascii="Times New Roman" w:hAnsi="Times New Roman"/>
          <w:szCs w:val="22"/>
        </w:rPr>
        <w:t>už prebiehajúcich</w:t>
      </w:r>
      <w:r w:rsidRPr="0072101A" w:rsidR="00684111">
        <w:rPr>
          <w:rFonts w:ascii="Times New Roman" w:hAnsi="Times New Roman"/>
          <w:szCs w:val="22"/>
        </w:rPr>
        <w:t xml:space="preserve"> súdn</w:t>
      </w:r>
      <w:r w:rsidRPr="0072101A" w:rsidR="00E96648">
        <w:rPr>
          <w:rFonts w:ascii="Times New Roman" w:hAnsi="Times New Roman"/>
          <w:szCs w:val="22"/>
        </w:rPr>
        <w:t>ych</w:t>
      </w:r>
      <w:r w:rsidRPr="0072101A" w:rsidR="00684111">
        <w:rPr>
          <w:rFonts w:ascii="Times New Roman" w:hAnsi="Times New Roman"/>
          <w:szCs w:val="22"/>
        </w:rPr>
        <w:t xml:space="preserve"> spor</w:t>
      </w:r>
      <w:r w:rsidRPr="0072101A" w:rsidR="00E96648">
        <w:rPr>
          <w:rFonts w:ascii="Times New Roman" w:hAnsi="Times New Roman"/>
          <w:szCs w:val="22"/>
        </w:rPr>
        <w:t>ov</w:t>
      </w:r>
      <w:r w:rsidRPr="0072101A" w:rsidR="00684111">
        <w:rPr>
          <w:rFonts w:ascii="Times New Roman" w:hAnsi="Times New Roman"/>
          <w:szCs w:val="22"/>
        </w:rPr>
        <w:t>, záväzky zo všeobecne platných právnych predpisov a podobne.</w:t>
      </w:r>
    </w:p>
    <w:p w:rsidR="00F81816" w:rsidP="00684111">
      <w:pPr>
        <w:bidi w:val="0"/>
        <w:spacing w:before="120" w:after="120" w:line="336" w:lineRule="auto"/>
        <w:jc w:val="both"/>
        <w:rPr>
          <w:rFonts w:ascii="Times New Roman" w:hAnsi="Times New Roman"/>
          <w:szCs w:val="22"/>
        </w:rPr>
      </w:pPr>
      <w:r w:rsidR="00993DF3">
        <w:rPr>
          <w:rFonts w:ascii="Times New Roman" w:hAnsi="Times New Roman"/>
          <w:szCs w:val="22"/>
        </w:rPr>
        <w:t>Hodnota týchto pasív k 31.12.2015 dosiahla 13 271 434 tis. eur a medzi</w:t>
      </w:r>
      <w:r w:rsidR="00B81CA5">
        <w:rPr>
          <w:rFonts w:ascii="Times New Roman" w:hAnsi="Times New Roman"/>
          <w:szCs w:val="22"/>
        </w:rPr>
        <w:t>ročne sa znížila o 129 716 tis. </w:t>
      </w:r>
      <w:r w:rsidR="00993DF3">
        <w:rPr>
          <w:rFonts w:ascii="Times New Roman" w:hAnsi="Times New Roman"/>
          <w:szCs w:val="22"/>
        </w:rPr>
        <w:t xml:space="preserve">eur. Išlo najmä o zníženie pasív v ústrednej správe o 849 813 tis. eur. Konkrétne u SPP, a.s. bol zaznamenaný pokles záväzkov z devízových obchodov o 827 456 tis. eur, u Ministerstva financií SR pokles záruk v Európskom nástroji finančnej stability o 135 180 tis. eur, u Kancelárie Národnej rady SR o 131 750 tis. eur z dôvodu zrušenia žaloby voči štátu. Prírastky zaznamenala napríklad spoločnosť MH Invest, s.r.o. z dôvodu zmluvných povinností o 342 000 tis. eur.  </w:t>
      </w:r>
      <w:r w:rsidRPr="0072101A" w:rsidR="00684111">
        <w:rPr>
          <w:rFonts w:ascii="Times New Roman" w:hAnsi="Times New Roman"/>
          <w:szCs w:val="22"/>
        </w:rPr>
        <w:t xml:space="preserve"> </w:t>
      </w:r>
    </w:p>
    <w:p w:rsidR="00F81816">
      <w:pPr>
        <w:bidi w:val="0"/>
        <w:spacing w:after="0" w:line="240" w:lineRule="auto"/>
        <w:rPr>
          <w:rFonts w:ascii="Times New Roman" w:hAnsi="Times New Roman"/>
          <w:szCs w:val="22"/>
        </w:rPr>
      </w:pPr>
      <w:r>
        <w:rPr>
          <w:rFonts w:ascii="Times New Roman" w:hAnsi="Times New Roman"/>
          <w:szCs w:val="22"/>
        </w:rPr>
        <w:br w:type="page"/>
      </w:r>
    </w:p>
    <w:tbl>
      <w:tblPr>
        <w:tblStyle w:val="TableNormal"/>
        <w:tblW w:w="4963" w:type="pct"/>
        <w:tblCellMar>
          <w:left w:w="70" w:type="dxa"/>
          <w:right w:w="70" w:type="dxa"/>
        </w:tblCellMar>
        <w:tblLook w:val="00A0"/>
      </w:tblPr>
      <w:tblGrid>
        <w:gridCol w:w="5175"/>
        <w:gridCol w:w="1132"/>
        <w:gridCol w:w="512"/>
        <w:gridCol w:w="898"/>
        <w:gridCol w:w="512"/>
        <w:gridCol w:w="914"/>
      </w:tblGrid>
      <w:tr>
        <w:tblPrEx>
          <w:tblW w:w="4963" w:type="pct"/>
          <w:tblCellMar>
            <w:left w:w="70" w:type="dxa"/>
            <w:right w:w="70" w:type="dxa"/>
          </w:tblCellMar>
          <w:tblLook w:val="00A0"/>
        </w:tblPrEx>
        <w:trPr>
          <w:trHeight w:hRule="exact" w:val="301"/>
        </w:trPr>
        <w:tc>
          <w:tcPr>
            <w:tcW w:w="5000" w:type="pct"/>
            <w:gridSpan w:val="6"/>
            <w:tcBorders>
              <w:top w:val="nil"/>
              <w:left w:val="nil"/>
              <w:bottom w:val="nil"/>
              <w:right w:val="nil"/>
            </w:tcBorders>
            <w:shd w:val="clear" w:color="000000" w:fill="000000"/>
            <w:textDirection w:val="lrTb"/>
            <w:vAlign w:val="top"/>
          </w:tcPr>
          <w:p w:rsidR="00ED773D" w:rsidRPr="0072101A" w:rsidP="00ED773D">
            <w:pPr>
              <w:bidi w:val="0"/>
              <w:jc w:val="both"/>
              <w:rPr>
                <w:rFonts w:ascii="Times New Roman" w:hAnsi="Times New Roman"/>
                <w:b/>
                <w:bCs/>
                <w:color w:val="FFFFFF"/>
                <w:sz w:val="20"/>
                <w:szCs w:val="20"/>
              </w:rPr>
            </w:pPr>
            <w:r w:rsidRPr="0072101A">
              <w:rPr>
                <w:rFonts w:ascii="Times New Roman" w:hAnsi="Times New Roman"/>
                <w:b/>
                <w:bCs/>
                <w:color w:val="FFFFFF"/>
                <w:sz w:val="20"/>
                <w:szCs w:val="20"/>
              </w:rPr>
              <w:t>Podmienené záväzky podľa jednotlivých zložiek súhrnného celku (tis. eur)</w:t>
            </w:r>
          </w:p>
        </w:tc>
      </w:tr>
      <w:tr>
        <w:tblPrEx>
          <w:tblW w:w="4963" w:type="pct"/>
          <w:tblCellMar>
            <w:left w:w="70" w:type="dxa"/>
            <w:right w:w="70" w:type="dxa"/>
          </w:tblCellMar>
          <w:tblLook w:val="00A0"/>
        </w:tblPrEx>
        <w:trPr>
          <w:trHeight w:val="330"/>
        </w:trPr>
        <w:tc>
          <w:tcPr>
            <w:tcW w:w="2830" w:type="pct"/>
            <w:tcBorders>
              <w:top w:val="nil"/>
              <w:left w:val="nil"/>
              <w:bottom w:val="single" w:sz="4" w:space="0" w:color="auto"/>
              <w:right w:val="nil"/>
            </w:tcBorders>
            <w:shd w:val="clear" w:color="000000" w:fill="BFBFBF"/>
            <w:noWrap/>
            <w:textDirection w:val="lrTb"/>
            <w:vAlign w:val="bottom"/>
          </w:tcPr>
          <w:p w:rsidR="00C663D0" w:rsidRPr="0072101A" w:rsidP="007B3AD5">
            <w:pPr>
              <w:bidi w:val="0"/>
              <w:spacing w:after="0" w:line="240" w:lineRule="auto"/>
              <w:rPr>
                <w:rFonts w:ascii="Times New Roman" w:hAnsi="Times New Roman"/>
                <w:b/>
                <w:bCs/>
                <w:sz w:val="20"/>
                <w:szCs w:val="20"/>
                <w:lang w:eastAsia="sk-SK"/>
              </w:rPr>
            </w:pPr>
          </w:p>
        </w:tc>
        <w:tc>
          <w:tcPr>
            <w:tcW w:w="899" w:type="pct"/>
            <w:gridSpan w:val="2"/>
            <w:tcBorders>
              <w:top w:val="nil"/>
              <w:left w:val="nil"/>
              <w:bottom w:val="single" w:sz="4" w:space="0" w:color="auto"/>
              <w:right w:val="nil"/>
            </w:tcBorders>
            <w:shd w:val="clear" w:color="000000" w:fill="BFBFBF"/>
            <w:noWrap/>
            <w:textDirection w:val="lrTb"/>
            <w:vAlign w:val="bottom"/>
          </w:tcPr>
          <w:p w:rsidR="00C663D0" w:rsidRPr="0072101A" w:rsidP="007B3AD5">
            <w:pPr>
              <w:bidi w:val="0"/>
              <w:spacing w:after="0" w:line="240" w:lineRule="auto"/>
              <w:jc w:val="center"/>
              <w:rPr>
                <w:rFonts w:ascii="Times New Roman" w:hAnsi="Times New Roman"/>
                <w:b/>
                <w:bCs/>
                <w:sz w:val="20"/>
                <w:szCs w:val="20"/>
                <w:lang w:eastAsia="sk-SK"/>
              </w:rPr>
            </w:pPr>
          </w:p>
        </w:tc>
        <w:tc>
          <w:tcPr>
            <w:tcW w:w="771" w:type="pct"/>
            <w:gridSpan w:val="2"/>
            <w:tcBorders>
              <w:top w:val="nil"/>
              <w:left w:val="nil"/>
              <w:bottom w:val="single" w:sz="4" w:space="0" w:color="auto"/>
              <w:right w:val="nil"/>
            </w:tcBorders>
            <w:shd w:val="clear" w:color="000000" w:fill="BFBFBF"/>
            <w:textDirection w:val="lrTb"/>
            <w:vAlign w:val="bottom"/>
          </w:tcPr>
          <w:p w:rsidR="00C663D0" w:rsidRPr="0072101A" w:rsidP="00FA6C64">
            <w:pPr>
              <w:bidi w:val="0"/>
              <w:spacing w:after="0" w:line="240" w:lineRule="auto"/>
              <w:rPr>
                <w:rFonts w:ascii="Times New Roman" w:hAnsi="Times New Roman"/>
                <w:b/>
                <w:bCs/>
                <w:sz w:val="20"/>
                <w:szCs w:val="20"/>
                <w:lang w:eastAsia="sk-SK"/>
              </w:rPr>
            </w:pPr>
            <w:r w:rsidRPr="0072101A" w:rsidR="00FA6C64">
              <w:rPr>
                <w:rFonts w:ascii="Times New Roman" w:hAnsi="Times New Roman"/>
                <w:b/>
                <w:bCs/>
                <w:sz w:val="20"/>
                <w:szCs w:val="20"/>
                <w:lang w:eastAsia="sk-SK"/>
              </w:rPr>
              <w:t xml:space="preserve">   </w:t>
            </w:r>
            <w:r w:rsidR="003462F9">
              <w:rPr>
                <w:rFonts w:ascii="Times New Roman" w:hAnsi="Times New Roman"/>
                <w:b/>
                <w:bCs/>
                <w:sz w:val="20"/>
                <w:szCs w:val="20"/>
                <w:lang w:eastAsia="sk-SK"/>
              </w:rPr>
              <w:t>2015</w:t>
            </w:r>
          </w:p>
        </w:tc>
        <w:tc>
          <w:tcPr>
            <w:tcW w:w="500" w:type="pct"/>
            <w:tcBorders>
              <w:top w:val="nil"/>
              <w:left w:val="nil"/>
              <w:bottom w:val="single" w:sz="4" w:space="0" w:color="auto"/>
              <w:right w:val="nil"/>
            </w:tcBorders>
            <w:shd w:val="clear" w:color="000000" w:fill="BFBFBF"/>
            <w:noWrap/>
            <w:textDirection w:val="lrTb"/>
            <w:vAlign w:val="bottom"/>
          </w:tcPr>
          <w:p w:rsidR="00C663D0" w:rsidRPr="0072101A" w:rsidP="00C663D0">
            <w:pPr>
              <w:bidi w:val="0"/>
              <w:spacing w:after="0" w:line="240" w:lineRule="auto"/>
              <w:jc w:val="center"/>
              <w:rPr>
                <w:rFonts w:ascii="Times New Roman" w:hAnsi="Times New Roman"/>
                <w:b/>
                <w:bCs/>
                <w:sz w:val="20"/>
                <w:szCs w:val="20"/>
                <w:lang w:eastAsia="sk-SK"/>
              </w:rPr>
            </w:pPr>
            <w:r w:rsidRPr="0072101A">
              <w:rPr>
                <w:rFonts w:ascii="Times New Roman" w:hAnsi="Times New Roman"/>
                <w:b/>
                <w:bCs/>
                <w:sz w:val="20"/>
                <w:szCs w:val="20"/>
                <w:lang w:eastAsia="sk-SK"/>
              </w:rPr>
              <w:t xml:space="preserve">    </w:t>
            </w:r>
            <w:r w:rsidR="003462F9">
              <w:rPr>
                <w:rFonts w:ascii="Times New Roman" w:hAnsi="Times New Roman"/>
                <w:b/>
                <w:bCs/>
                <w:sz w:val="20"/>
                <w:szCs w:val="20"/>
                <w:lang w:eastAsia="sk-SK"/>
              </w:rPr>
              <w:t>2014</w:t>
            </w:r>
          </w:p>
        </w:tc>
      </w:tr>
      <w:tr>
        <w:tblPrEx>
          <w:tblW w:w="4963" w:type="pct"/>
          <w:tblCellMar>
            <w:left w:w="70" w:type="dxa"/>
            <w:right w:w="70" w:type="dxa"/>
          </w:tblCellMar>
          <w:tblLook w:val="00A0"/>
        </w:tblPrEx>
        <w:trPr>
          <w:trHeight w:hRule="exact" w:val="301"/>
        </w:trPr>
        <w:tc>
          <w:tcPr>
            <w:tcW w:w="3449" w:type="pct"/>
            <w:gridSpan w:val="2"/>
            <w:tcBorders>
              <w:top w:val="single" w:sz="4" w:space="0" w:color="auto"/>
              <w:left w:val="nil"/>
              <w:bottom w:val="nil"/>
              <w:right w:val="nil"/>
            </w:tcBorders>
            <w:textDirection w:val="lrTb"/>
            <w:vAlign w:val="center"/>
          </w:tcPr>
          <w:p w:rsidR="003462F9" w:rsidRPr="0072101A" w:rsidP="004E53E5">
            <w:pPr>
              <w:bidi w:val="0"/>
              <w:spacing w:line="240" w:lineRule="auto"/>
              <w:rPr>
                <w:rFonts w:ascii="Times New Roman" w:hAnsi="Times New Roman"/>
                <w:color w:val="000000"/>
                <w:sz w:val="20"/>
                <w:szCs w:val="20"/>
              </w:rPr>
            </w:pPr>
            <w:r w:rsidRPr="0072101A">
              <w:rPr>
                <w:rFonts w:ascii="Times New Roman" w:hAnsi="Times New Roman"/>
                <w:color w:val="000000"/>
                <w:sz w:val="20"/>
                <w:szCs w:val="20"/>
              </w:rPr>
              <w:t>Ústredná správa</w:t>
            </w:r>
          </w:p>
        </w:tc>
        <w:tc>
          <w:tcPr>
            <w:tcW w:w="771" w:type="pct"/>
            <w:gridSpan w:val="2"/>
            <w:tcBorders>
              <w:top w:val="single" w:sz="4" w:space="0" w:color="auto"/>
              <w:left w:val="nil"/>
              <w:bottom w:val="nil"/>
              <w:right w:val="nil"/>
            </w:tcBorders>
            <w:textDirection w:val="lrTb"/>
            <w:vAlign w:val="top"/>
          </w:tcPr>
          <w:p w:rsidR="003462F9" w:rsidRPr="0072101A" w:rsidP="00C663D0">
            <w:pPr>
              <w:bidi w:val="0"/>
              <w:spacing w:line="240" w:lineRule="auto"/>
              <w:jc w:val="right"/>
              <w:rPr>
                <w:rFonts w:ascii="Times New Roman" w:hAnsi="Times New Roman"/>
                <w:color w:val="000000"/>
                <w:sz w:val="20"/>
                <w:szCs w:val="20"/>
              </w:rPr>
            </w:pPr>
            <w:r w:rsidR="00A63E18">
              <w:rPr>
                <w:rFonts w:ascii="Times New Roman" w:hAnsi="Times New Roman"/>
                <w:color w:val="000000"/>
                <w:sz w:val="20"/>
                <w:szCs w:val="20"/>
              </w:rPr>
              <w:t>10 894 090</w:t>
            </w:r>
          </w:p>
        </w:tc>
        <w:tc>
          <w:tcPr>
            <w:tcW w:w="780" w:type="pct"/>
            <w:gridSpan w:val="2"/>
            <w:tcBorders>
              <w:top w:val="single" w:sz="4" w:space="0" w:color="auto"/>
              <w:left w:val="nil"/>
              <w:bottom w:val="nil"/>
              <w:right w:val="nil"/>
            </w:tcBorders>
            <w:noWrap/>
            <w:textDirection w:val="lrTb"/>
            <w:vAlign w:val="top"/>
          </w:tcPr>
          <w:p w:rsidR="003462F9" w:rsidRPr="0072101A" w:rsidP="006161D2">
            <w:pPr>
              <w:bidi w:val="0"/>
              <w:spacing w:line="240" w:lineRule="auto"/>
              <w:jc w:val="right"/>
              <w:rPr>
                <w:rFonts w:ascii="Times New Roman" w:hAnsi="Times New Roman"/>
                <w:color w:val="000000"/>
                <w:sz w:val="20"/>
                <w:szCs w:val="20"/>
              </w:rPr>
            </w:pPr>
            <w:r w:rsidRPr="0072101A">
              <w:rPr>
                <w:rFonts w:ascii="Times New Roman" w:hAnsi="Times New Roman"/>
                <w:color w:val="000000"/>
                <w:sz w:val="20"/>
                <w:szCs w:val="20"/>
              </w:rPr>
              <w:t>11 743 903</w:t>
            </w:r>
          </w:p>
        </w:tc>
      </w:tr>
      <w:tr>
        <w:tblPrEx>
          <w:tblW w:w="4963" w:type="pct"/>
          <w:tblCellMar>
            <w:left w:w="70" w:type="dxa"/>
            <w:right w:w="70" w:type="dxa"/>
          </w:tblCellMar>
          <w:tblLook w:val="00A0"/>
        </w:tblPrEx>
        <w:trPr>
          <w:trHeight w:hRule="exact" w:val="476"/>
        </w:trPr>
        <w:tc>
          <w:tcPr>
            <w:tcW w:w="3449" w:type="pct"/>
            <w:gridSpan w:val="2"/>
            <w:tcBorders>
              <w:top w:val="nil"/>
              <w:left w:val="nil"/>
              <w:bottom w:val="nil"/>
              <w:right w:val="nil"/>
            </w:tcBorders>
            <w:textDirection w:val="lrTb"/>
            <w:vAlign w:val="center"/>
          </w:tcPr>
          <w:p w:rsidR="003462F9" w:rsidRPr="0072101A" w:rsidP="004E53E5">
            <w:pPr>
              <w:bidi w:val="0"/>
              <w:spacing w:line="240" w:lineRule="auto"/>
              <w:rPr>
                <w:rFonts w:ascii="Times New Roman" w:hAnsi="Times New Roman"/>
                <w:color w:val="000000"/>
                <w:sz w:val="20"/>
                <w:szCs w:val="20"/>
              </w:rPr>
            </w:pPr>
            <w:r w:rsidRPr="0072101A">
              <w:rPr>
                <w:rFonts w:ascii="Times New Roman" w:hAnsi="Times New Roman"/>
                <w:color w:val="000000"/>
                <w:sz w:val="20"/>
                <w:szCs w:val="20"/>
              </w:rPr>
              <w:t>Vyššie územné celky a ich rozpočtové, príspevkové organizácie a obchodné        spoločnosti</w:t>
            </w:r>
          </w:p>
        </w:tc>
        <w:tc>
          <w:tcPr>
            <w:tcW w:w="771" w:type="pct"/>
            <w:gridSpan w:val="2"/>
            <w:tcBorders>
              <w:top w:val="nil"/>
              <w:left w:val="nil"/>
              <w:bottom w:val="nil"/>
              <w:right w:val="nil"/>
            </w:tcBorders>
            <w:textDirection w:val="lrTb"/>
            <w:vAlign w:val="top"/>
          </w:tcPr>
          <w:p w:rsidR="003462F9" w:rsidRPr="0072101A" w:rsidP="004E53E5">
            <w:pPr>
              <w:bidi w:val="0"/>
              <w:spacing w:line="240" w:lineRule="auto"/>
              <w:jc w:val="right"/>
              <w:rPr>
                <w:rFonts w:ascii="Times New Roman" w:hAnsi="Times New Roman"/>
                <w:color w:val="000000"/>
                <w:sz w:val="20"/>
                <w:szCs w:val="20"/>
              </w:rPr>
            </w:pPr>
            <w:r w:rsidR="00A63E18">
              <w:rPr>
                <w:rFonts w:ascii="Times New Roman" w:hAnsi="Times New Roman"/>
                <w:color w:val="000000"/>
                <w:sz w:val="20"/>
                <w:szCs w:val="20"/>
              </w:rPr>
              <w:t>2 615</w:t>
            </w:r>
          </w:p>
        </w:tc>
        <w:tc>
          <w:tcPr>
            <w:tcW w:w="780" w:type="pct"/>
            <w:gridSpan w:val="2"/>
            <w:tcBorders>
              <w:top w:val="nil"/>
              <w:left w:val="nil"/>
              <w:bottom w:val="nil"/>
              <w:right w:val="nil"/>
            </w:tcBorders>
            <w:noWrap/>
            <w:textDirection w:val="lrTb"/>
            <w:vAlign w:val="top"/>
          </w:tcPr>
          <w:p w:rsidR="003462F9" w:rsidRPr="0072101A" w:rsidP="006161D2">
            <w:pPr>
              <w:bidi w:val="0"/>
              <w:spacing w:line="240" w:lineRule="auto"/>
              <w:jc w:val="right"/>
              <w:rPr>
                <w:rFonts w:ascii="Times New Roman" w:hAnsi="Times New Roman"/>
                <w:color w:val="000000"/>
                <w:sz w:val="20"/>
                <w:szCs w:val="20"/>
              </w:rPr>
            </w:pPr>
            <w:r w:rsidRPr="0072101A">
              <w:rPr>
                <w:rFonts w:ascii="Times New Roman" w:hAnsi="Times New Roman"/>
                <w:color w:val="000000"/>
                <w:sz w:val="20"/>
                <w:szCs w:val="20"/>
              </w:rPr>
              <w:t>5 832</w:t>
            </w:r>
          </w:p>
        </w:tc>
      </w:tr>
      <w:tr>
        <w:tblPrEx>
          <w:tblW w:w="4963" w:type="pct"/>
          <w:tblCellMar>
            <w:left w:w="70" w:type="dxa"/>
            <w:right w:w="70" w:type="dxa"/>
          </w:tblCellMar>
          <w:tblLook w:val="00A0"/>
        </w:tblPrEx>
        <w:trPr>
          <w:trHeight w:hRule="exact" w:val="301"/>
        </w:trPr>
        <w:tc>
          <w:tcPr>
            <w:tcW w:w="3449" w:type="pct"/>
            <w:gridSpan w:val="2"/>
            <w:tcBorders>
              <w:top w:val="nil"/>
              <w:left w:val="nil"/>
              <w:bottom w:val="nil"/>
              <w:right w:val="nil"/>
            </w:tcBorders>
            <w:textDirection w:val="lrTb"/>
            <w:vAlign w:val="center"/>
          </w:tcPr>
          <w:p w:rsidR="003462F9" w:rsidRPr="0072101A" w:rsidP="004E53E5">
            <w:pPr>
              <w:bidi w:val="0"/>
              <w:spacing w:line="240" w:lineRule="auto"/>
              <w:rPr>
                <w:rFonts w:ascii="Times New Roman" w:hAnsi="Times New Roman"/>
                <w:color w:val="000000"/>
                <w:sz w:val="20"/>
                <w:szCs w:val="20"/>
              </w:rPr>
            </w:pPr>
            <w:r w:rsidRPr="0072101A">
              <w:rPr>
                <w:rFonts w:ascii="Times New Roman" w:hAnsi="Times New Roman"/>
                <w:color w:val="000000"/>
                <w:sz w:val="20"/>
                <w:szCs w:val="20"/>
              </w:rPr>
              <w:t>Obce a ich rozpočtové, príspevkové organizácie a obchodné spoločnosti</w:t>
            </w:r>
          </w:p>
        </w:tc>
        <w:tc>
          <w:tcPr>
            <w:tcW w:w="771" w:type="pct"/>
            <w:gridSpan w:val="2"/>
            <w:tcBorders>
              <w:top w:val="nil"/>
              <w:left w:val="nil"/>
              <w:bottom w:val="nil"/>
              <w:right w:val="nil"/>
            </w:tcBorders>
            <w:textDirection w:val="lrTb"/>
            <w:vAlign w:val="top"/>
          </w:tcPr>
          <w:p w:rsidR="003462F9" w:rsidRPr="0072101A" w:rsidP="00003724">
            <w:pPr>
              <w:bidi w:val="0"/>
              <w:spacing w:line="240" w:lineRule="auto"/>
              <w:jc w:val="right"/>
              <w:rPr>
                <w:rFonts w:ascii="Times New Roman" w:hAnsi="Times New Roman"/>
                <w:color w:val="000000"/>
                <w:sz w:val="20"/>
                <w:szCs w:val="20"/>
              </w:rPr>
            </w:pPr>
            <w:r w:rsidR="00A63E18">
              <w:rPr>
                <w:rFonts w:ascii="Times New Roman" w:hAnsi="Times New Roman"/>
                <w:color w:val="000000"/>
                <w:sz w:val="20"/>
                <w:szCs w:val="20"/>
              </w:rPr>
              <w:t>40 508</w:t>
            </w:r>
          </w:p>
        </w:tc>
        <w:tc>
          <w:tcPr>
            <w:tcW w:w="780" w:type="pct"/>
            <w:gridSpan w:val="2"/>
            <w:tcBorders>
              <w:top w:val="nil"/>
              <w:left w:val="nil"/>
              <w:bottom w:val="nil"/>
              <w:right w:val="nil"/>
            </w:tcBorders>
            <w:noWrap/>
            <w:textDirection w:val="lrTb"/>
            <w:vAlign w:val="top"/>
          </w:tcPr>
          <w:p w:rsidR="003462F9" w:rsidRPr="0072101A" w:rsidP="006161D2">
            <w:pPr>
              <w:bidi w:val="0"/>
              <w:spacing w:line="240" w:lineRule="auto"/>
              <w:jc w:val="right"/>
              <w:rPr>
                <w:rFonts w:ascii="Times New Roman" w:hAnsi="Times New Roman"/>
                <w:color w:val="000000"/>
                <w:sz w:val="20"/>
                <w:szCs w:val="20"/>
              </w:rPr>
            </w:pPr>
            <w:r w:rsidRPr="0072101A">
              <w:rPr>
                <w:rFonts w:ascii="Times New Roman" w:hAnsi="Times New Roman"/>
                <w:color w:val="000000"/>
                <w:sz w:val="20"/>
                <w:szCs w:val="20"/>
              </w:rPr>
              <w:t>85 612</w:t>
            </w:r>
          </w:p>
        </w:tc>
      </w:tr>
      <w:tr>
        <w:tblPrEx>
          <w:tblW w:w="4963" w:type="pct"/>
          <w:tblCellMar>
            <w:left w:w="70" w:type="dxa"/>
            <w:right w:w="70" w:type="dxa"/>
          </w:tblCellMar>
          <w:tblLook w:val="00A0"/>
        </w:tblPrEx>
        <w:trPr>
          <w:trHeight w:hRule="exact" w:val="301"/>
        </w:trPr>
        <w:tc>
          <w:tcPr>
            <w:tcW w:w="3449" w:type="pct"/>
            <w:gridSpan w:val="2"/>
            <w:tcBorders>
              <w:top w:val="nil"/>
              <w:left w:val="nil"/>
              <w:bottom w:val="none" w:sz="0" w:space="0" w:color="auto"/>
              <w:right w:val="nil"/>
            </w:tcBorders>
            <w:textDirection w:val="lrTb"/>
            <w:vAlign w:val="center"/>
          </w:tcPr>
          <w:p w:rsidR="003462F9" w:rsidRPr="0072101A" w:rsidP="004E53E5">
            <w:pPr>
              <w:bidi w:val="0"/>
              <w:spacing w:line="240" w:lineRule="auto"/>
              <w:rPr>
                <w:rFonts w:ascii="Times New Roman" w:hAnsi="Times New Roman"/>
                <w:color w:val="000000"/>
                <w:sz w:val="20"/>
                <w:szCs w:val="20"/>
              </w:rPr>
            </w:pPr>
            <w:r w:rsidRPr="0072101A">
              <w:rPr>
                <w:rFonts w:ascii="Times New Roman" w:hAnsi="Times New Roman"/>
                <w:color w:val="000000"/>
                <w:sz w:val="20"/>
                <w:szCs w:val="20"/>
              </w:rPr>
              <w:t>Ostatné subjekty</w:t>
            </w:r>
          </w:p>
        </w:tc>
        <w:tc>
          <w:tcPr>
            <w:tcW w:w="771" w:type="pct"/>
            <w:gridSpan w:val="2"/>
            <w:tcBorders>
              <w:top w:val="nil"/>
              <w:left w:val="nil"/>
              <w:bottom w:val="none" w:sz="0" w:space="0" w:color="auto"/>
              <w:right w:val="nil"/>
            </w:tcBorders>
            <w:textDirection w:val="lrTb"/>
            <w:vAlign w:val="top"/>
          </w:tcPr>
          <w:p w:rsidR="003462F9" w:rsidRPr="0072101A" w:rsidP="009F2FFC">
            <w:pPr>
              <w:bidi w:val="0"/>
              <w:spacing w:line="240" w:lineRule="auto"/>
              <w:jc w:val="right"/>
              <w:rPr>
                <w:rFonts w:ascii="Times New Roman" w:hAnsi="Times New Roman"/>
                <w:color w:val="000000"/>
                <w:sz w:val="20"/>
                <w:szCs w:val="20"/>
              </w:rPr>
            </w:pPr>
            <w:r w:rsidR="00A63E18">
              <w:rPr>
                <w:rFonts w:ascii="Times New Roman" w:hAnsi="Times New Roman"/>
                <w:color w:val="000000"/>
                <w:sz w:val="20"/>
                <w:szCs w:val="20"/>
              </w:rPr>
              <w:t>2 334 130</w:t>
            </w:r>
          </w:p>
        </w:tc>
        <w:tc>
          <w:tcPr>
            <w:tcW w:w="780" w:type="pct"/>
            <w:gridSpan w:val="2"/>
            <w:tcBorders>
              <w:top w:val="nil"/>
              <w:left w:val="nil"/>
              <w:bottom w:val="none" w:sz="0" w:space="0" w:color="auto"/>
              <w:right w:val="nil"/>
            </w:tcBorders>
            <w:noWrap/>
            <w:textDirection w:val="lrTb"/>
            <w:vAlign w:val="top"/>
          </w:tcPr>
          <w:p w:rsidR="003462F9" w:rsidRPr="0072101A" w:rsidP="006161D2">
            <w:pPr>
              <w:bidi w:val="0"/>
              <w:spacing w:line="240" w:lineRule="auto"/>
              <w:jc w:val="right"/>
              <w:rPr>
                <w:rFonts w:ascii="Times New Roman" w:hAnsi="Times New Roman"/>
                <w:color w:val="000000"/>
                <w:sz w:val="20"/>
                <w:szCs w:val="20"/>
              </w:rPr>
            </w:pPr>
            <w:r w:rsidRPr="0072101A">
              <w:rPr>
                <w:rFonts w:ascii="Times New Roman" w:hAnsi="Times New Roman"/>
                <w:color w:val="000000"/>
                <w:sz w:val="20"/>
                <w:szCs w:val="20"/>
              </w:rPr>
              <w:t>1 565 712</w:t>
            </w:r>
          </w:p>
        </w:tc>
      </w:tr>
      <w:tr>
        <w:tblPrEx>
          <w:tblW w:w="4963" w:type="pct"/>
          <w:tblCellMar>
            <w:left w:w="70" w:type="dxa"/>
            <w:right w:w="70" w:type="dxa"/>
          </w:tblCellMar>
          <w:tblLook w:val="00A0"/>
        </w:tblPrEx>
        <w:trPr>
          <w:trHeight w:hRule="exact" w:val="301"/>
        </w:trPr>
        <w:tc>
          <w:tcPr>
            <w:tcW w:w="3449" w:type="pct"/>
            <w:gridSpan w:val="2"/>
            <w:tcBorders>
              <w:top w:val="none" w:sz="0" w:space="0" w:color="auto"/>
              <w:left w:val="nil"/>
              <w:bottom w:val="single" w:sz="4" w:space="0" w:color="auto"/>
              <w:right w:val="nil"/>
            </w:tcBorders>
            <w:shd w:val="clear" w:color="000000" w:fill="auto"/>
            <w:noWrap/>
            <w:textDirection w:val="lrTb"/>
            <w:vAlign w:val="center"/>
          </w:tcPr>
          <w:p w:rsidR="003462F9" w:rsidRPr="0072101A" w:rsidP="00FE5820">
            <w:pPr>
              <w:bidi w:val="0"/>
              <w:rPr>
                <w:rFonts w:ascii="Times New Roman" w:hAnsi="Times New Roman"/>
                <w:b/>
                <w:bCs/>
                <w:color w:val="000000"/>
                <w:sz w:val="20"/>
                <w:szCs w:val="20"/>
              </w:rPr>
            </w:pPr>
            <w:r w:rsidRPr="0072101A">
              <w:rPr>
                <w:rFonts w:ascii="Times New Roman" w:hAnsi="Times New Roman"/>
                <w:b/>
                <w:bCs/>
                <w:color w:val="000000"/>
                <w:sz w:val="20"/>
                <w:szCs w:val="20"/>
              </w:rPr>
              <w:t>Spolu</w:t>
            </w:r>
          </w:p>
        </w:tc>
        <w:tc>
          <w:tcPr>
            <w:tcW w:w="771" w:type="pct"/>
            <w:gridSpan w:val="2"/>
            <w:tcBorders>
              <w:top w:val="none" w:sz="0" w:space="0" w:color="auto"/>
              <w:left w:val="nil"/>
              <w:bottom w:val="single" w:sz="4" w:space="0" w:color="auto"/>
              <w:right w:val="nil"/>
            </w:tcBorders>
            <w:shd w:val="clear" w:color="000000" w:fill="auto"/>
            <w:textDirection w:val="lrTb"/>
            <w:vAlign w:val="top"/>
          </w:tcPr>
          <w:p w:rsidR="003462F9" w:rsidRPr="0072101A" w:rsidP="00124066">
            <w:pPr>
              <w:bidi w:val="0"/>
              <w:jc w:val="right"/>
              <w:rPr>
                <w:rFonts w:ascii="Times New Roman" w:hAnsi="Times New Roman"/>
                <w:b/>
                <w:bCs/>
                <w:color w:val="000000"/>
                <w:sz w:val="20"/>
                <w:szCs w:val="20"/>
              </w:rPr>
            </w:pPr>
            <w:r w:rsidR="006528D7">
              <w:rPr>
                <w:rFonts w:ascii="Times New Roman" w:hAnsi="Times New Roman"/>
                <w:b/>
                <w:bCs/>
                <w:color w:val="000000"/>
                <w:sz w:val="20"/>
                <w:szCs w:val="20"/>
              </w:rPr>
              <w:t>13 271 343</w:t>
            </w:r>
          </w:p>
        </w:tc>
        <w:tc>
          <w:tcPr>
            <w:tcW w:w="780" w:type="pct"/>
            <w:gridSpan w:val="2"/>
            <w:tcBorders>
              <w:top w:val="none" w:sz="0" w:space="0" w:color="auto"/>
              <w:left w:val="nil"/>
              <w:bottom w:val="single" w:sz="4" w:space="0" w:color="auto"/>
              <w:right w:val="nil"/>
            </w:tcBorders>
            <w:shd w:val="clear" w:color="000000" w:fill="auto"/>
            <w:noWrap/>
            <w:textDirection w:val="lrTb"/>
            <w:vAlign w:val="top"/>
          </w:tcPr>
          <w:p w:rsidR="003462F9" w:rsidRPr="0072101A" w:rsidP="006161D2">
            <w:pPr>
              <w:bidi w:val="0"/>
              <w:jc w:val="right"/>
              <w:rPr>
                <w:rFonts w:ascii="Times New Roman" w:hAnsi="Times New Roman"/>
                <w:b/>
                <w:bCs/>
                <w:color w:val="000000"/>
                <w:sz w:val="20"/>
                <w:szCs w:val="20"/>
              </w:rPr>
            </w:pPr>
            <w:r w:rsidRPr="0072101A">
              <w:rPr>
                <w:rFonts w:ascii="Times New Roman" w:hAnsi="Times New Roman"/>
                <w:b/>
                <w:bCs/>
                <w:color w:val="000000"/>
                <w:sz w:val="20"/>
                <w:szCs w:val="20"/>
              </w:rPr>
              <w:t>13 401 059</w:t>
            </w:r>
          </w:p>
        </w:tc>
      </w:tr>
    </w:tbl>
    <w:p w:rsidR="005F3AEB" w:rsidRPr="0072101A" w:rsidP="005F3AEB">
      <w:pPr>
        <w:bidi w:val="0"/>
        <w:spacing w:before="120" w:after="0" w:line="336" w:lineRule="auto"/>
        <w:jc w:val="both"/>
        <w:rPr>
          <w:rFonts w:ascii="Times New Roman" w:hAnsi="Times New Roman"/>
          <w:szCs w:val="22"/>
        </w:rPr>
      </w:pPr>
      <w:r w:rsidRPr="0072101A" w:rsidR="00191D37">
        <w:rPr>
          <w:rFonts w:ascii="Times New Roman" w:hAnsi="Times New Roman"/>
          <w:szCs w:val="22"/>
        </w:rPr>
        <w:t>Okrem uvedených podmienených záväzkov evidujú viaceré kapitoly štátneho rozpočtu právne spory, ktorých výška nebola ku dňu zostavenia účtovnej závierky vyčíslená.</w:t>
      </w:r>
      <w:r w:rsidRPr="0072101A" w:rsidR="00191D37">
        <w:rPr>
          <w:rFonts w:ascii="Times New Roman" w:hAnsi="Times New Roman"/>
          <w:sz w:val="16"/>
          <w:szCs w:val="20"/>
        </w:rPr>
        <w:t xml:space="preserve"> </w:t>
      </w:r>
      <w:r w:rsidRPr="0072101A" w:rsidR="00E96648">
        <w:rPr>
          <w:rFonts w:ascii="Times New Roman" w:hAnsi="Times New Roman"/>
          <w:szCs w:val="22"/>
          <w:lang w:eastAsia="sk-SK"/>
        </w:rPr>
        <w:t xml:space="preserve">V rámci štátnej správy sú najvýznamnejšie podmienené záväzky </w:t>
      </w:r>
      <w:r w:rsidRPr="0072101A" w:rsidR="009225A9">
        <w:rPr>
          <w:rFonts w:ascii="Times New Roman" w:hAnsi="Times New Roman"/>
          <w:szCs w:val="22"/>
          <w:lang w:eastAsia="sk-SK"/>
        </w:rPr>
        <w:t xml:space="preserve">(kapitálová účasť splatná na vyzvanie) </w:t>
      </w:r>
      <w:r w:rsidRPr="0072101A" w:rsidR="00E96648">
        <w:rPr>
          <w:rFonts w:ascii="Times New Roman" w:hAnsi="Times New Roman"/>
          <w:szCs w:val="22"/>
          <w:lang w:eastAsia="sk-SK"/>
        </w:rPr>
        <w:t>vyplývajúce z členstva v medzinárodných inštitúciách</w:t>
      </w:r>
      <w:r w:rsidRPr="0072101A" w:rsidR="00EE14AB">
        <w:rPr>
          <w:rFonts w:ascii="Times New Roman" w:hAnsi="Times New Roman"/>
          <w:szCs w:val="22"/>
          <w:lang w:eastAsia="sk-SK"/>
        </w:rPr>
        <w:t xml:space="preserve"> </w:t>
      </w:r>
      <w:r w:rsidRPr="0072101A" w:rsidR="00151BD1">
        <w:rPr>
          <w:rFonts w:ascii="Times New Roman" w:hAnsi="Times New Roman"/>
          <w:szCs w:val="22"/>
          <w:lang w:eastAsia="sk-SK"/>
        </w:rPr>
        <w:t>a v E</w:t>
      </w:r>
      <w:r w:rsidRPr="0072101A" w:rsidR="00EE14AB">
        <w:rPr>
          <w:rFonts w:ascii="Times New Roman" w:hAnsi="Times New Roman"/>
          <w:szCs w:val="22"/>
          <w:lang w:eastAsia="sk-SK"/>
        </w:rPr>
        <w:t>S</w:t>
      </w:r>
      <w:r w:rsidRPr="0072101A" w:rsidR="00151BD1">
        <w:rPr>
          <w:rFonts w:ascii="Times New Roman" w:hAnsi="Times New Roman"/>
          <w:szCs w:val="22"/>
          <w:lang w:eastAsia="sk-SK"/>
        </w:rPr>
        <w:t>M</w:t>
      </w:r>
      <w:r w:rsidRPr="0072101A" w:rsidR="00EE14AB">
        <w:rPr>
          <w:rFonts w:ascii="Times New Roman" w:hAnsi="Times New Roman"/>
          <w:szCs w:val="22"/>
          <w:lang w:eastAsia="sk-SK"/>
        </w:rPr>
        <w:t xml:space="preserve">, spolu vo výške </w:t>
      </w:r>
      <w:r w:rsidRPr="0072101A" w:rsidR="00151BD1">
        <w:rPr>
          <w:rFonts w:ascii="Times New Roman" w:hAnsi="Times New Roman"/>
          <w:szCs w:val="22"/>
          <w:lang w:eastAsia="sk-SK"/>
        </w:rPr>
        <w:t>7</w:t>
      </w:r>
      <w:r w:rsidR="009E04B3">
        <w:rPr>
          <w:rFonts w:ascii="Times New Roman" w:hAnsi="Times New Roman"/>
          <w:szCs w:val="22"/>
          <w:lang w:eastAsia="sk-SK"/>
        </w:rPr>
        <w:t> 291 949</w:t>
      </w:r>
      <w:r w:rsidRPr="0072101A" w:rsidR="00EE14AB">
        <w:rPr>
          <w:rFonts w:ascii="Times New Roman" w:hAnsi="Times New Roman"/>
          <w:szCs w:val="22"/>
          <w:lang w:eastAsia="sk-SK"/>
        </w:rPr>
        <w:t xml:space="preserve"> tis. eur.</w:t>
      </w:r>
      <w:r w:rsidRPr="0072101A" w:rsidR="00BA03F5">
        <w:rPr>
          <w:rFonts w:ascii="Times New Roman" w:hAnsi="Times New Roman"/>
          <w:szCs w:val="22"/>
          <w:lang w:eastAsia="sk-SK"/>
        </w:rPr>
        <w:t xml:space="preserve"> </w:t>
      </w:r>
      <w:r w:rsidRPr="0072101A">
        <w:rPr>
          <w:rFonts w:ascii="Times New Roman" w:hAnsi="Times New Roman"/>
          <w:szCs w:val="22"/>
        </w:rPr>
        <w:t xml:space="preserve">Ďalej ide o medzinárodné investičné arbitráže, ktoré vznikajú domnelým porušením bilaterálnych investičných dohôd uzatváraných medzi suverénnymi štátmi na podporu a ochranu investícií.  </w:t>
      </w:r>
    </w:p>
    <w:p w:rsidR="00ED13B9" w:rsidRPr="0072101A" w:rsidP="009E04B3">
      <w:pPr>
        <w:bidi w:val="0"/>
        <w:spacing w:before="120" w:after="0" w:line="336" w:lineRule="auto"/>
        <w:jc w:val="both"/>
        <w:rPr>
          <w:rFonts w:ascii="Times New Roman" w:hAnsi="Times New Roman"/>
          <w:szCs w:val="22"/>
        </w:rPr>
      </w:pPr>
      <w:r w:rsidRPr="0072101A">
        <w:rPr>
          <w:rFonts w:ascii="Times New Roman" w:hAnsi="Times New Roman"/>
          <w:szCs w:val="22"/>
        </w:rPr>
        <w:t xml:space="preserve">V rámci verejnej správy vykazuje najvyššie podmienené záväzky Ministerstvo financií SR z poskytnutých záruk EFSF a upísanej kapitálovej účasti splatnej na vyzvanie v EMS. Ďalej ide o medzinárodné investičné arbitráže, ktoré vznikajú domnelým porušením bilaterálnych investičných dohôd uzatváraných medzi suverénnymi štátmi na podporu a ochranu </w:t>
      </w:r>
      <w:r w:rsidR="009E04B3">
        <w:rPr>
          <w:rFonts w:ascii="Times New Roman" w:hAnsi="Times New Roman"/>
          <w:szCs w:val="22"/>
        </w:rPr>
        <w:t xml:space="preserve">investícií. </w:t>
      </w:r>
      <w:r w:rsidRPr="0072101A">
        <w:rPr>
          <w:rFonts w:ascii="Times New Roman" w:hAnsi="Times New Roman"/>
          <w:szCs w:val="22"/>
        </w:rPr>
        <w:t>Arbitrážne konania, ktoré neboli ukončené v roku 2014 a pokrač</w:t>
      </w:r>
      <w:r w:rsidR="002032B9">
        <w:rPr>
          <w:rFonts w:ascii="Times New Roman" w:hAnsi="Times New Roman"/>
          <w:szCs w:val="22"/>
        </w:rPr>
        <w:t>ovali</w:t>
      </w:r>
      <w:r w:rsidRPr="0072101A">
        <w:rPr>
          <w:rFonts w:ascii="Times New Roman" w:hAnsi="Times New Roman"/>
          <w:szCs w:val="22"/>
        </w:rPr>
        <w:t xml:space="preserve"> aj v roku 2015</w:t>
      </w:r>
      <w:r w:rsidR="009E04B3">
        <w:rPr>
          <w:rFonts w:ascii="Times New Roman" w:hAnsi="Times New Roman"/>
          <w:szCs w:val="22"/>
        </w:rPr>
        <w:t>:</w:t>
      </w:r>
    </w:p>
    <w:p w:rsidR="00A547E9" w:rsidP="00A547E9">
      <w:pPr>
        <w:pStyle w:val="ListParagraph"/>
        <w:numPr>
          <w:numId w:val="35"/>
        </w:numPr>
        <w:bidi w:val="0"/>
        <w:spacing w:before="120" w:after="0" w:line="336" w:lineRule="auto"/>
        <w:ind w:left="426" w:hanging="284"/>
        <w:jc w:val="both"/>
        <w:rPr>
          <w:rFonts w:ascii="Times New Roman" w:hAnsi="Times New Roman"/>
          <w:szCs w:val="22"/>
        </w:rPr>
      </w:pPr>
      <w:r w:rsidRPr="00A547E9">
        <w:rPr>
          <w:rFonts w:ascii="Times New Roman" w:hAnsi="Times New Roman"/>
          <w:szCs w:val="22"/>
        </w:rPr>
        <w:t>Achmea vs. SR – spor z dôvodu zákazu zisku zdravotných poisťovní v roku 2007. V tejto arbitráži, vedenej podľa bilaterálnej investičnej dohody medzi SR a Holandským kráľovstvom, bol v decembri 2012 vydaný rozsudok, ktorým arbitrážny tribunál nariadil SR zaplatiť žalobcovi – holandskej spoločnosti Achmea B.V. – odškodnenie vo výške cca 25 mil. eur plus úroky. V súčasnosti prebiehajú konania o zrušení tohto rozsudku ako aj jurisdikčného rozhodnutia v tomto spore na nemeckých súdoch, pred ktorými SR napadla tieto rozhodnutia. Achmea taktiež požiadala Luxemburský súd o výkon rozhodnutia arbitrážneho tribunálu z decembra 2012 a zablokovanie majetku SR. Súd spoločnosti Achmea vyhovel a nariadil zablokovani</w:t>
      </w:r>
      <w:r>
        <w:rPr>
          <w:rFonts w:ascii="Times New Roman" w:hAnsi="Times New Roman"/>
          <w:szCs w:val="22"/>
        </w:rPr>
        <w:t xml:space="preserve">e slovenského majetku v hodnote </w:t>
      </w:r>
      <w:r w:rsidRPr="00A547E9">
        <w:rPr>
          <w:rFonts w:ascii="Times New Roman" w:hAnsi="Times New Roman"/>
          <w:szCs w:val="22"/>
        </w:rPr>
        <w:t>29,5 mil. eur, voči čomu sa SR odvolala.</w:t>
      </w:r>
    </w:p>
    <w:p w:rsidR="00A547E9" w:rsidRPr="00A547E9" w:rsidP="00A547E9">
      <w:pPr>
        <w:pStyle w:val="ListParagraph"/>
        <w:numPr>
          <w:numId w:val="35"/>
        </w:numPr>
        <w:bidi w:val="0"/>
        <w:spacing w:before="120" w:after="0" w:line="336" w:lineRule="auto"/>
        <w:ind w:left="426" w:hanging="284"/>
        <w:jc w:val="both"/>
        <w:rPr>
          <w:rFonts w:ascii="Times New Roman" w:hAnsi="Times New Roman"/>
          <w:szCs w:val="22"/>
        </w:rPr>
      </w:pPr>
      <w:r w:rsidRPr="00A547E9">
        <w:rPr>
          <w:rFonts w:ascii="Times New Roman" w:hAnsi="Times New Roman"/>
          <w:szCs w:val="22"/>
        </w:rPr>
        <w:t>Eurogas a Belmont vs. SR – spor z dôvodu údajného protiprávneho odobratia povolenia na ťažbu mastenca. Arbitráž je vedená podľa bilaterálnej investičnej dohody medzi SR a USA a bilaterálnej investičnej dohody medzi SR a Kanadou. Žalovaná suma nebola oficiálne žalobcami špecifikovaná, avšak expertný posudok, ktorý si dali vypracovať žalobcovia, odhaduje údajnú škodu na 234 mil. eur plus úroky. V súčasnosti prebieha jurisdikčná a meritórna fáza arbitráže.</w:t>
      </w:r>
    </w:p>
    <w:p w:rsidR="003D19AF" w:rsidRPr="003D19AF" w:rsidP="003D19AF">
      <w:pPr>
        <w:bidi w:val="0"/>
        <w:spacing w:before="120" w:after="0" w:line="336" w:lineRule="auto"/>
        <w:ind w:left="142"/>
        <w:jc w:val="both"/>
        <w:rPr>
          <w:rFonts w:ascii="Times New Roman" w:hAnsi="Times New Roman"/>
          <w:szCs w:val="22"/>
        </w:rPr>
      </w:pPr>
      <w:r w:rsidRPr="003D19AF">
        <w:rPr>
          <w:rFonts w:ascii="Times New Roman" w:hAnsi="Times New Roman"/>
          <w:szCs w:val="22"/>
        </w:rPr>
        <w:t xml:space="preserve">Ministerstvu ďalej hrozia arbitráže, to znamená, že žaloba formálne ešte nebola podaná, no Slovenskej republike bola oznámená predžalobná výzva v týchto prípadoch: </w:t>
      </w:r>
    </w:p>
    <w:p w:rsidR="003D19AF" w:rsidRPr="003D19AF" w:rsidP="003D19AF">
      <w:pPr>
        <w:pStyle w:val="ListParagraph"/>
        <w:numPr>
          <w:numId w:val="35"/>
        </w:numPr>
        <w:bidi w:val="0"/>
        <w:spacing w:before="120" w:after="0" w:line="336" w:lineRule="auto"/>
        <w:ind w:left="426" w:hanging="284"/>
        <w:jc w:val="both"/>
        <w:rPr>
          <w:rFonts w:ascii="Times New Roman" w:hAnsi="Times New Roman"/>
          <w:szCs w:val="22"/>
        </w:rPr>
      </w:pPr>
      <w:r w:rsidRPr="003D19AF">
        <w:rPr>
          <w:rFonts w:ascii="Times New Roman" w:hAnsi="Times New Roman"/>
          <w:szCs w:val="22"/>
        </w:rPr>
        <w:t xml:space="preserve">Adams &amp; Co, Inc. vs. SR – americká spoločnosť Adams &amp; Co, Inc. sa od roku 2014 domáha údajného porušenia bilaterálnej investičnej dohody medzi USA a SR z dôvodu údajného odopretia spravodlivosti tejto spoločnosti slovenskými súdmi v obchodnoprávnom spore s bývalou spoločnosťou VSŽ Košice. Adams &amp; Co, Inc. odhaduje spôsobenú škodu vo výške cca 40 mil. USD. Rokovania o zmierlivom urovnaní v roku 2014 sporu neboli úspešné, avšak žaloba nebola do dnešného dňa podaná. SR navyše uplatnila voči Adams &amp; Co, Inc. tzv. vyhlásenie od odopretí výhod (denial of benefits) podľa bilaterálnej investičnej dohody. </w:t>
      </w:r>
    </w:p>
    <w:p w:rsidR="003D19AF" w:rsidP="003D19AF">
      <w:pPr>
        <w:pStyle w:val="ListParagraph"/>
        <w:numPr>
          <w:numId w:val="35"/>
        </w:numPr>
        <w:bidi w:val="0"/>
        <w:spacing w:before="120" w:after="0" w:line="336" w:lineRule="auto"/>
        <w:ind w:left="426" w:hanging="284"/>
        <w:jc w:val="both"/>
        <w:rPr>
          <w:rFonts w:ascii="Times New Roman" w:hAnsi="Times New Roman"/>
          <w:szCs w:val="22"/>
        </w:rPr>
      </w:pPr>
      <w:r w:rsidRPr="003D19AF">
        <w:rPr>
          <w:rFonts w:ascii="Times New Roman" w:hAnsi="Times New Roman"/>
          <w:szCs w:val="22"/>
        </w:rPr>
        <w:t>Spóldzielnia Pracy Muszynianka vs. SR - poľská spoločnosť v novembri 2015 oznámila spor z údajného porušenia bilaterálnej investičnej dohody medzi Poľskom a SR z dôvodu ústavného zákazu vývozu vody z územia SR, čím mala byť tejto spolo</w:t>
      </w:r>
      <w:r w:rsidR="002032B9">
        <w:rPr>
          <w:rFonts w:ascii="Times New Roman" w:hAnsi="Times New Roman"/>
          <w:szCs w:val="22"/>
        </w:rPr>
        <w:t>čnosti spôsobená škoda vo výške 75,9 </w:t>
      </w:r>
      <w:r w:rsidRPr="003D19AF">
        <w:rPr>
          <w:rFonts w:ascii="Times New Roman" w:hAnsi="Times New Roman"/>
          <w:szCs w:val="22"/>
        </w:rPr>
        <w:t>mil. eur.</w:t>
      </w:r>
    </w:p>
    <w:p w:rsidR="00ED13B9" w:rsidRPr="003D19AF" w:rsidP="003D19AF">
      <w:pPr>
        <w:bidi w:val="0"/>
        <w:spacing w:before="120" w:after="0" w:line="336" w:lineRule="auto"/>
        <w:jc w:val="both"/>
        <w:rPr>
          <w:rFonts w:ascii="Times New Roman" w:hAnsi="Times New Roman"/>
          <w:szCs w:val="22"/>
        </w:rPr>
      </w:pPr>
      <w:r w:rsidRPr="003D19AF">
        <w:rPr>
          <w:rFonts w:ascii="Times New Roman" w:hAnsi="Times New Roman"/>
          <w:szCs w:val="22"/>
        </w:rPr>
        <w:t>Kancelária národnej rady SR eviduje podmienené záväzky z existujúcich alebo hroziacich súdnych sporov</w:t>
      </w:r>
      <w:r w:rsidRPr="003D19AF" w:rsidR="00C74694">
        <w:rPr>
          <w:rFonts w:ascii="Times New Roman" w:hAnsi="Times New Roman"/>
          <w:szCs w:val="22"/>
        </w:rPr>
        <w:t xml:space="preserve"> (</w:t>
      </w:r>
      <w:r w:rsidRPr="003D19AF" w:rsidR="00F80302">
        <w:rPr>
          <w:rFonts w:ascii="Times New Roman" w:hAnsi="Times New Roman"/>
          <w:szCs w:val="22"/>
        </w:rPr>
        <w:t>596 323</w:t>
      </w:r>
      <w:r w:rsidRPr="003D19AF" w:rsidR="00C74694">
        <w:rPr>
          <w:rFonts w:ascii="Times New Roman" w:hAnsi="Times New Roman"/>
          <w:szCs w:val="22"/>
        </w:rPr>
        <w:t xml:space="preserve"> tis. eur)</w:t>
      </w:r>
      <w:r w:rsidRPr="003D19AF">
        <w:rPr>
          <w:rFonts w:ascii="Times New Roman" w:hAnsi="Times New Roman"/>
          <w:szCs w:val="22"/>
        </w:rPr>
        <w:t>, a to najmä zo žalôb o náhradu škody spôso</w:t>
      </w:r>
      <w:r w:rsidR="002032B9">
        <w:rPr>
          <w:rFonts w:ascii="Times New Roman" w:hAnsi="Times New Roman"/>
          <w:szCs w:val="22"/>
        </w:rPr>
        <w:t>benú legislatívnou činnosťou NR </w:t>
      </w:r>
      <w:r w:rsidRPr="003D19AF">
        <w:rPr>
          <w:rFonts w:ascii="Times New Roman" w:hAnsi="Times New Roman"/>
          <w:szCs w:val="22"/>
        </w:rPr>
        <w:t>SR (vrátane 3 súdnych sporov o zákaz zisku), antidiskriminačných žalôb sudcov a ostatné pasíva.</w:t>
      </w:r>
    </w:p>
    <w:p w:rsidR="00F73BFD" w:rsidP="00F73BFD">
      <w:pPr>
        <w:bidi w:val="0"/>
        <w:spacing w:before="120" w:after="0" w:line="336" w:lineRule="auto"/>
        <w:jc w:val="both"/>
        <w:rPr>
          <w:rFonts w:ascii="Times New Roman" w:hAnsi="Times New Roman"/>
          <w:szCs w:val="22"/>
        </w:rPr>
      </w:pPr>
      <w:r w:rsidRPr="0072101A" w:rsidR="00ED13B9">
        <w:rPr>
          <w:rFonts w:ascii="Times New Roman" w:hAnsi="Times New Roman"/>
          <w:szCs w:val="22"/>
        </w:rPr>
        <w:t>Z podnikov štátu vykazuje významnú sumu Slovenský plynárenský priemysel, a.s. z dôvodu obchodov s plynom a zabezpečovacími derivátmi</w:t>
      </w:r>
      <w:r w:rsidRPr="0072101A" w:rsidR="00C74694">
        <w:rPr>
          <w:rFonts w:ascii="Times New Roman" w:hAnsi="Times New Roman"/>
          <w:szCs w:val="22"/>
        </w:rPr>
        <w:t xml:space="preserve"> (</w:t>
      </w:r>
      <w:r>
        <w:rPr>
          <w:rFonts w:ascii="Times New Roman" w:hAnsi="Times New Roman"/>
          <w:szCs w:val="22"/>
        </w:rPr>
        <w:t>284 125</w:t>
      </w:r>
      <w:r w:rsidRPr="0072101A" w:rsidR="00C74694">
        <w:rPr>
          <w:rFonts w:ascii="Times New Roman" w:hAnsi="Times New Roman"/>
          <w:szCs w:val="22"/>
        </w:rPr>
        <w:t xml:space="preserve"> tis. eur)</w:t>
      </w:r>
      <w:r w:rsidRPr="0072101A" w:rsidR="00ED13B9">
        <w:rPr>
          <w:rFonts w:ascii="Times New Roman" w:hAnsi="Times New Roman"/>
          <w:szCs w:val="22"/>
        </w:rPr>
        <w:t xml:space="preserve">. </w:t>
      </w:r>
    </w:p>
    <w:p w:rsidR="00F73BFD" w:rsidRPr="0072101A" w:rsidP="00F73BFD">
      <w:pPr>
        <w:bidi w:val="0"/>
        <w:spacing w:before="120" w:after="0" w:line="336" w:lineRule="auto"/>
        <w:jc w:val="both"/>
        <w:rPr>
          <w:rFonts w:ascii="Times New Roman" w:hAnsi="Times New Roman"/>
          <w:szCs w:val="22"/>
        </w:rPr>
      </w:pPr>
      <w:r w:rsidRPr="0072101A">
        <w:rPr>
          <w:rFonts w:ascii="Times New Roman" w:hAnsi="Times New Roman"/>
          <w:szCs w:val="22"/>
        </w:rPr>
        <w:t xml:space="preserve">Podmienené záväzky Exportno-importnej banky Slovenska tvoria najmä poskytnuté záruky v hodnote </w:t>
      </w:r>
      <w:r>
        <w:rPr>
          <w:rFonts w:ascii="Times New Roman" w:hAnsi="Times New Roman"/>
          <w:szCs w:val="22"/>
        </w:rPr>
        <w:t>169 172</w:t>
      </w:r>
      <w:r w:rsidRPr="0072101A">
        <w:rPr>
          <w:rFonts w:ascii="Times New Roman" w:hAnsi="Times New Roman"/>
          <w:szCs w:val="22"/>
        </w:rPr>
        <w:t xml:space="preserve"> tis. eur.   </w:t>
      </w:r>
    </w:p>
    <w:p w:rsidR="00345C20" w:rsidP="00345C20">
      <w:pPr>
        <w:bidi w:val="0"/>
        <w:spacing w:after="0" w:line="240" w:lineRule="auto"/>
        <w:rPr>
          <w:rFonts w:ascii="Times New Roman" w:hAnsi="Times New Roman"/>
          <w:b/>
          <w:bCs/>
          <w:caps/>
          <w:sz w:val="24"/>
          <w:szCs w:val="24"/>
        </w:rPr>
      </w:pPr>
    </w:p>
    <w:p w:rsidR="00735003" w:rsidRPr="0072101A" w:rsidP="00345C20">
      <w:pPr>
        <w:bidi w:val="0"/>
        <w:spacing w:after="0" w:line="240" w:lineRule="auto"/>
        <w:jc w:val="center"/>
        <w:rPr>
          <w:rFonts w:ascii="Times New Roman" w:hAnsi="Times New Roman"/>
          <w:b/>
          <w:bCs/>
          <w:caps/>
          <w:sz w:val="24"/>
          <w:szCs w:val="24"/>
        </w:rPr>
      </w:pPr>
      <w:r w:rsidRPr="0072101A">
        <w:rPr>
          <w:rFonts w:ascii="Times New Roman" w:hAnsi="Times New Roman"/>
          <w:b/>
          <w:bCs/>
          <w:caps/>
          <w:sz w:val="24"/>
          <w:szCs w:val="24"/>
        </w:rPr>
        <w:t>IV. SKUTOČNOSTI, KTORÉ NASTALI PO DNI, KU KTORÉMU SA ZOSTAVUJE ÚČTOVNÁ ZÁVIERKA, DO DŇA JEJ ZOSTAVENIA</w:t>
      </w:r>
    </w:p>
    <w:p w:rsidR="00000899" w:rsidP="003B1020">
      <w:pPr>
        <w:bidi w:val="0"/>
        <w:spacing w:after="0" w:line="336" w:lineRule="auto"/>
        <w:jc w:val="both"/>
        <w:rPr>
          <w:rFonts w:ascii="Times New Roman" w:hAnsi="Times New Roman"/>
          <w:szCs w:val="22"/>
          <w:lang w:eastAsia="sk-SK"/>
        </w:rPr>
      </w:pPr>
    </w:p>
    <w:p w:rsidR="00501D2D" w:rsidP="003B1020">
      <w:pPr>
        <w:bidi w:val="0"/>
        <w:spacing w:after="0" w:line="336" w:lineRule="auto"/>
        <w:jc w:val="both"/>
        <w:rPr>
          <w:rFonts w:ascii="Times New Roman" w:hAnsi="Times New Roman"/>
          <w:szCs w:val="22"/>
          <w:lang w:eastAsia="sk-SK"/>
        </w:rPr>
      </w:pPr>
      <w:r>
        <w:rPr>
          <w:rFonts w:ascii="Times New Roman" w:hAnsi="Times New Roman"/>
          <w:szCs w:val="22"/>
          <w:lang w:eastAsia="sk-SK"/>
        </w:rPr>
        <w:t>Po dni, ku ktorému sa zostavuje súhrnná účtovná závierka nenastali žiadne skutočnosti, ktoré by si vyžadovali ich zverejnenie.</w:t>
      </w:r>
    </w:p>
    <w:p w:rsidR="00501D2D">
      <w:pPr>
        <w:bidi w:val="0"/>
        <w:spacing w:after="0" w:line="240" w:lineRule="auto"/>
        <w:rPr>
          <w:rFonts w:ascii="Times New Roman" w:hAnsi="Times New Roman"/>
          <w:szCs w:val="22"/>
          <w:lang w:eastAsia="sk-SK"/>
        </w:rPr>
      </w:pPr>
      <w:r>
        <w:rPr>
          <w:rFonts w:ascii="Times New Roman" w:hAnsi="Times New Roman"/>
          <w:szCs w:val="22"/>
          <w:lang w:eastAsia="sk-SK"/>
        </w:rPr>
        <w:br w:type="page"/>
      </w:r>
    </w:p>
    <w:p w:rsidR="00601B45" w:rsidRPr="0072101A" w:rsidP="003B1020">
      <w:pPr>
        <w:bidi w:val="0"/>
        <w:spacing w:after="0" w:line="336" w:lineRule="auto"/>
        <w:jc w:val="both"/>
        <w:rPr>
          <w:rFonts w:ascii="Times New Roman" w:hAnsi="Times New Roman"/>
          <w:color w:val="000000"/>
          <w:szCs w:val="22"/>
        </w:rPr>
      </w:pPr>
      <w:r w:rsidRPr="0072101A" w:rsidR="003B1020">
        <w:rPr>
          <w:rFonts w:ascii="Times New Roman" w:hAnsi="Times New Roman"/>
          <w:szCs w:val="22"/>
          <w:lang w:eastAsia="sk-SK"/>
        </w:rPr>
        <w:t xml:space="preserve"> </w:t>
      </w:r>
      <w:r w:rsidRPr="0072101A">
        <w:rPr>
          <w:rFonts w:ascii="Times New Roman" w:hAnsi="Times New Roman"/>
          <w:color w:val="000000"/>
          <w:szCs w:val="22"/>
        </w:rPr>
        <w:t>Príloha č. 1</w:t>
      </w:r>
      <w:r w:rsidRPr="0072101A" w:rsidR="00B85616">
        <w:rPr>
          <w:rFonts w:ascii="Times New Roman" w:hAnsi="Times New Roman"/>
          <w:color w:val="000000"/>
          <w:szCs w:val="22"/>
        </w:rPr>
        <w:t>:</w:t>
      </w:r>
      <w:r w:rsidRPr="0072101A">
        <w:rPr>
          <w:rFonts w:ascii="Times New Roman" w:hAnsi="Times New Roman"/>
          <w:color w:val="000000"/>
          <w:szCs w:val="22"/>
        </w:rPr>
        <w:t xml:space="preserve"> Prehľad o subjektoch </w:t>
      </w:r>
      <w:r w:rsidRPr="0072101A" w:rsidR="00B85616">
        <w:rPr>
          <w:rFonts w:ascii="Times New Roman" w:hAnsi="Times New Roman"/>
          <w:color w:val="000000"/>
          <w:szCs w:val="22"/>
        </w:rPr>
        <w:t xml:space="preserve">zaradených do </w:t>
      </w:r>
      <w:r w:rsidRPr="0072101A">
        <w:rPr>
          <w:rFonts w:ascii="Times New Roman" w:hAnsi="Times New Roman"/>
          <w:color w:val="000000"/>
          <w:szCs w:val="22"/>
        </w:rPr>
        <w:t xml:space="preserve">súhrnného celku </w:t>
      </w:r>
      <w:r w:rsidRPr="0072101A" w:rsidR="00B85616">
        <w:rPr>
          <w:rFonts w:ascii="Times New Roman" w:hAnsi="Times New Roman"/>
          <w:color w:val="000000"/>
          <w:szCs w:val="22"/>
        </w:rPr>
        <w:t>za rok 201</w:t>
      </w:r>
      <w:r w:rsidR="00CB14ED">
        <w:rPr>
          <w:rFonts w:ascii="Times New Roman" w:hAnsi="Times New Roman"/>
          <w:color w:val="000000"/>
          <w:szCs w:val="22"/>
        </w:rPr>
        <w:t>5</w:t>
      </w:r>
    </w:p>
    <w:tbl>
      <w:tblPr>
        <w:tblStyle w:val="TableNormal"/>
        <w:tblW w:w="8940" w:type="dxa"/>
        <w:tblInd w:w="60" w:type="dxa"/>
        <w:tblCellMar>
          <w:left w:w="70" w:type="dxa"/>
          <w:right w:w="70" w:type="dxa"/>
        </w:tblCellMar>
        <w:tblLook w:val="04A0"/>
      </w:tblPr>
      <w:tblGrid>
        <w:gridCol w:w="4980"/>
        <w:gridCol w:w="1200"/>
        <w:gridCol w:w="840"/>
        <w:gridCol w:w="960"/>
        <w:gridCol w:w="960"/>
      </w:tblGrid>
      <w:tr>
        <w:tblPrEx>
          <w:tblW w:w="8940" w:type="dxa"/>
          <w:tblInd w:w="60" w:type="dxa"/>
          <w:tblCellMar>
            <w:left w:w="70" w:type="dxa"/>
            <w:right w:w="70" w:type="dxa"/>
          </w:tblCellMar>
          <w:tblLook w:val="04A0"/>
        </w:tblPrEx>
        <w:trPr>
          <w:trHeight w:val="345"/>
        </w:trPr>
        <w:tc>
          <w:tcPr>
            <w:tcW w:w="4980" w:type="dxa"/>
            <w:vMerge w:val="restart"/>
            <w:tcBorders>
              <w:top w:val="single" w:sz="8" w:space="0" w:color="auto"/>
              <w:left w:val="single" w:sz="8" w:space="0" w:color="auto"/>
              <w:bottom w:val="single" w:sz="8" w:space="0" w:color="FFFFFF"/>
              <w:right w:val="single" w:sz="8" w:space="0" w:color="FFFFFF"/>
            </w:tcBorders>
            <w:shd w:val="clear" w:color="000000" w:fill="000000"/>
            <w:textDirection w:val="lrTb"/>
            <w:vAlign w:val="center"/>
            <w:hideMark/>
          </w:tcPr>
          <w:p w:rsidR="005463DC" w:rsidRPr="0072101A" w:rsidP="005463DC">
            <w:pPr>
              <w:bidi w:val="0"/>
              <w:spacing w:after="0" w:line="240" w:lineRule="auto"/>
              <w:jc w:val="center"/>
              <w:rPr>
                <w:rFonts w:ascii="Times New Roman" w:hAnsi="Times New Roman"/>
                <w:b/>
                <w:bCs/>
                <w:color w:val="FFFFFF"/>
                <w:sz w:val="18"/>
                <w:szCs w:val="18"/>
                <w:lang w:eastAsia="sk-SK"/>
              </w:rPr>
            </w:pPr>
            <w:r w:rsidRPr="0072101A">
              <w:rPr>
                <w:rFonts w:ascii="Times New Roman" w:hAnsi="Times New Roman"/>
                <w:b/>
                <w:bCs/>
                <w:color w:val="FFFFFF"/>
                <w:sz w:val="18"/>
                <w:szCs w:val="18"/>
                <w:lang w:eastAsia="sk-SK"/>
              </w:rPr>
              <w:t>Názov subjektu</w:t>
            </w:r>
          </w:p>
        </w:tc>
        <w:tc>
          <w:tcPr>
            <w:tcW w:w="1200" w:type="dxa"/>
            <w:vMerge w:val="restart"/>
            <w:tcBorders>
              <w:top w:val="single" w:sz="8" w:space="0" w:color="auto"/>
              <w:left w:val="single" w:sz="8" w:space="0" w:color="FFFFFF"/>
              <w:bottom w:val="single" w:sz="8" w:space="0" w:color="FFFFFF"/>
              <w:right w:val="single" w:sz="8" w:space="0" w:color="FFFFFF"/>
            </w:tcBorders>
            <w:shd w:val="clear" w:color="000000" w:fill="000000"/>
            <w:textDirection w:val="lrTb"/>
            <w:vAlign w:val="center"/>
            <w:hideMark/>
          </w:tcPr>
          <w:p w:rsidR="005463DC" w:rsidRPr="0072101A" w:rsidP="005463DC">
            <w:pPr>
              <w:bidi w:val="0"/>
              <w:spacing w:after="0" w:line="240" w:lineRule="auto"/>
              <w:jc w:val="center"/>
              <w:rPr>
                <w:rFonts w:ascii="Times New Roman" w:hAnsi="Times New Roman"/>
                <w:b/>
                <w:bCs/>
                <w:color w:val="FFFFFF"/>
                <w:sz w:val="18"/>
                <w:szCs w:val="18"/>
                <w:lang w:eastAsia="sk-SK"/>
              </w:rPr>
            </w:pPr>
            <w:r w:rsidRPr="0072101A">
              <w:rPr>
                <w:rFonts w:ascii="Times New Roman" w:hAnsi="Times New Roman"/>
                <w:b/>
                <w:bCs/>
                <w:color w:val="FFFFFF"/>
                <w:sz w:val="18"/>
                <w:szCs w:val="18"/>
                <w:lang w:eastAsia="sk-SK"/>
              </w:rPr>
              <w:t>Počet ÚJ spolu</w:t>
            </w:r>
          </w:p>
        </w:tc>
        <w:tc>
          <w:tcPr>
            <w:tcW w:w="2760" w:type="dxa"/>
            <w:gridSpan w:val="3"/>
            <w:tcBorders>
              <w:top w:val="single" w:sz="8" w:space="0" w:color="auto"/>
              <w:left w:val="nil"/>
              <w:bottom w:val="single" w:sz="8" w:space="0" w:color="FFFFFF"/>
              <w:right w:val="nil"/>
            </w:tcBorders>
            <w:shd w:val="clear" w:color="000000" w:fill="000000"/>
            <w:textDirection w:val="lrTb"/>
            <w:vAlign w:val="center"/>
            <w:hideMark/>
          </w:tcPr>
          <w:p w:rsidR="005463DC" w:rsidRPr="0072101A" w:rsidP="005463DC">
            <w:pPr>
              <w:bidi w:val="0"/>
              <w:spacing w:after="0" w:line="240" w:lineRule="auto"/>
              <w:jc w:val="center"/>
              <w:rPr>
                <w:rFonts w:ascii="Times New Roman" w:hAnsi="Times New Roman"/>
                <w:b/>
                <w:bCs/>
                <w:color w:val="FFFFFF"/>
                <w:sz w:val="18"/>
                <w:szCs w:val="18"/>
                <w:lang w:eastAsia="sk-SK"/>
              </w:rPr>
            </w:pPr>
            <w:r w:rsidRPr="0072101A">
              <w:rPr>
                <w:rFonts w:ascii="Times New Roman" w:hAnsi="Times New Roman"/>
                <w:b/>
                <w:bCs/>
                <w:color w:val="FFFFFF"/>
                <w:sz w:val="18"/>
                <w:szCs w:val="18"/>
                <w:lang w:eastAsia="sk-SK"/>
              </w:rPr>
              <w:t>z toho</w:t>
            </w:r>
          </w:p>
        </w:tc>
      </w:tr>
      <w:tr>
        <w:tblPrEx>
          <w:tblW w:w="8940" w:type="dxa"/>
          <w:tblInd w:w="60" w:type="dxa"/>
          <w:tblCellMar>
            <w:left w:w="70" w:type="dxa"/>
            <w:right w:w="70" w:type="dxa"/>
          </w:tblCellMar>
          <w:tblLook w:val="04A0"/>
        </w:tblPrEx>
        <w:trPr>
          <w:trHeight w:val="330"/>
        </w:trPr>
        <w:tc>
          <w:tcPr>
            <w:tcW w:w="4980" w:type="dxa"/>
            <w:vMerge/>
            <w:tcBorders>
              <w:top w:val="single" w:sz="8" w:space="0" w:color="auto"/>
              <w:left w:val="single" w:sz="8" w:space="0" w:color="auto"/>
              <w:bottom w:val="single" w:sz="8" w:space="0" w:color="FFFFFF"/>
              <w:right w:val="single" w:sz="8" w:space="0" w:color="FFFFFF"/>
            </w:tcBorders>
            <w:textDirection w:val="lrTb"/>
            <w:vAlign w:val="center"/>
            <w:hideMark/>
          </w:tcPr>
          <w:p w:rsidR="005463DC" w:rsidRPr="0072101A" w:rsidP="005463DC">
            <w:pPr>
              <w:bidi w:val="0"/>
              <w:spacing w:after="0" w:line="240" w:lineRule="auto"/>
              <w:rPr>
                <w:rFonts w:ascii="Times New Roman" w:hAnsi="Times New Roman"/>
                <w:b/>
                <w:bCs/>
                <w:color w:val="FFFFFF"/>
                <w:sz w:val="18"/>
                <w:szCs w:val="18"/>
                <w:lang w:eastAsia="sk-SK"/>
              </w:rPr>
            </w:pPr>
          </w:p>
        </w:tc>
        <w:tc>
          <w:tcPr>
            <w:tcW w:w="1200" w:type="dxa"/>
            <w:vMerge/>
            <w:tcBorders>
              <w:top w:val="single" w:sz="8" w:space="0" w:color="auto"/>
              <w:left w:val="single" w:sz="8" w:space="0" w:color="FFFFFF"/>
              <w:bottom w:val="single" w:sz="8" w:space="0" w:color="FFFFFF"/>
              <w:right w:val="single" w:sz="8" w:space="0" w:color="FFFFFF"/>
            </w:tcBorders>
            <w:textDirection w:val="lrTb"/>
            <w:vAlign w:val="center"/>
            <w:hideMark/>
          </w:tcPr>
          <w:p w:rsidR="005463DC" w:rsidRPr="0072101A" w:rsidP="005463DC">
            <w:pPr>
              <w:bidi w:val="0"/>
              <w:spacing w:after="0" w:line="240" w:lineRule="auto"/>
              <w:rPr>
                <w:rFonts w:ascii="Times New Roman" w:hAnsi="Times New Roman"/>
                <w:b/>
                <w:bCs/>
                <w:color w:val="FFFFFF"/>
                <w:sz w:val="18"/>
                <w:szCs w:val="18"/>
                <w:lang w:eastAsia="sk-SK"/>
              </w:rPr>
            </w:pPr>
          </w:p>
        </w:tc>
        <w:tc>
          <w:tcPr>
            <w:tcW w:w="840" w:type="dxa"/>
            <w:vMerge w:val="restart"/>
            <w:tcBorders>
              <w:top w:val="nil"/>
              <w:left w:val="single" w:sz="8" w:space="0" w:color="FFFFFF"/>
              <w:bottom w:val="single" w:sz="8" w:space="0" w:color="FFFFFF"/>
              <w:right w:val="single" w:sz="8" w:space="0" w:color="FFFFFF"/>
            </w:tcBorders>
            <w:shd w:val="clear" w:color="000000" w:fill="000000"/>
            <w:textDirection w:val="lrTb"/>
            <w:vAlign w:val="center"/>
            <w:hideMark/>
          </w:tcPr>
          <w:p w:rsidR="005463DC" w:rsidRPr="0072101A" w:rsidP="005463DC">
            <w:pPr>
              <w:bidi w:val="0"/>
              <w:spacing w:after="0" w:line="240" w:lineRule="auto"/>
              <w:jc w:val="center"/>
              <w:rPr>
                <w:rFonts w:ascii="Times New Roman" w:hAnsi="Times New Roman"/>
                <w:b/>
                <w:bCs/>
                <w:color w:val="FFFFFF"/>
                <w:sz w:val="18"/>
                <w:szCs w:val="18"/>
                <w:lang w:eastAsia="sk-SK"/>
              </w:rPr>
            </w:pPr>
            <w:r w:rsidRPr="0072101A">
              <w:rPr>
                <w:rFonts w:ascii="Times New Roman" w:hAnsi="Times New Roman"/>
                <w:b/>
                <w:bCs/>
                <w:color w:val="FFFFFF"/>
                <w:sz w:val="18"/>
                <w:szCs w:val="18"/>
                <w:lang w:eastAsia="sk-SK"/>
              </w:rPr>
              <w:t>Počet RO</w:t>
            </w:r>
          </w:p>
        </w:tc>
        <w:tc>
          <w:tcPr>
            <w:tcW w:w="960" w:type="dxa"/>
            <w:vMerge w:val="restart"/>
            <w:tcBorders>
              <w:top w:val="nil"/>
              <w:left w:val="single" w:sz="8" w:space="0" w:color="FFFFFF"/>
              <w:bottom w:val="single" w:sz="8" w:space="0" w:color="FFFFFF"/>
              <w:right w:val="single" w:sz="8" w:space="0" w:color="FFFFFF"/>
            </w:tcBorders>
            <w:shd w:val="clear" w:color="000000" w:fill="000000"/>
            <w:textDirection w:val="lrTb"/>
            <w:vAlign w:val="center"/>
            <w:hideMark/>
          </w:tcPr>
          <w:p w:rsidR="005463DC" w:rsidRPr="0072101A" w:rsidP="005463DC">
            <w:pPr>
              <w:bidi w:val="0"/>
              <w:spacing w:after="0" w:line="240" w:lineRule="auto"/>
              <w:jc w:val="center"/>
              <w:rPr>
                <w:rFonts w:ascii="Times New Roman" w:hAnsi="Times New Roman"/>
                <w:b/>
                <w:bCs/>
                <w:color w:val="FFFFFF"/>
                <w:sz w:val="18"/>
                <w:szCs w:val="18"/>
                <w:lang w:eastAsia="sk-SK"/>
              </w:rPr>
            </w:pPr>
            <w:r w:rsidRPr="0072101A">
              <w:rPr>
                <w:rFonts w:ascii="Times New Roman" w:hAnsi="Times New Roman"/>
                <w:b/>
                <w:bCs/>
                <w:color w:val="FFFFFF"/>
                <w:sz w:val="18"/>
                <w:szCs w:val="18"/>
                <w:lang w:eastAsia="sk-SK"/>
              </w:rPr>
              <w:t>Počet PO</w:t>
            </w:r>
          </w:p>
        </w:tc>
        <w:tc>
          <w:tcPr>
            <w:tcW w:w="960" w:type="dxa"/>
            <w:tcBorders>
              <w:top w:val="nil"/>
              <w:left w:val="nil"/>
              <w:bottom w:val="nil"/>
              <w:right w:val="nil"/>
            </w:tcBorders>
            <w:shd w:val="clear" w:color="000000" w:fill="000000"/>
            <w:textDirection w:val="lrTb"/>
            <w:vAlign w:val="center"/>
            <w:hideMark/>
          </w:tcPr>
          <w:p w:rsidR="005463DC" w:rsidRPr="0072101A" w:rsidP="005463DC">
            <w:pPr>
              <w:bidi w:val="0"/>
              <w:spacing w:after="0" w:line="240" w:lineRule="auto"/>
              <w:jc w:val="center"/>
              <w:rPr>
                <w:rFonts w:ascii="Times New Roman" w:hAnsi="Times New Roman"/>
                <w:b/>
                <w:bCs/>
                <w:color w:val="FFFFFF"/>
                <w:sz w:val="18"/>
                <w:szCs w:val="18"/>
                <w:lang w:eastAsia="sk-SK"/>
              </w:rPr>
            </w:pPr>
            <w:r w:rsidRPr="0072101A">
              <w:rPr>
                <w:rFonts w:ascii="Times New Roman" w:hAnsi="Times New Roman"/>
                <w:b/>
                <w:bCs/>
                <w:color w:val="FFFFFF"/>
                <w:sz w:val="18"/>
                <w:szCs w:val="18"/>
                <w:lang w:eastAsia="sk-SK"/>
              </w:rPr>
              <w:t xml:space="preserve">Počet </w:t>
            </w:r>
          </w:p>
        </w:tc>
      </w:tr>
      <w:tr>
        <w:tblPrEx>
          <w:tblW w:w="8940" w:type="dxa"/>
          <w:tblInd w:w="60" w:type="dxa"/>
          <w:tblCellMar>
            <w:left w:w="70" w:type="dxa"/>
            <w:right w:w="70" w:type="dxa"/>
          </w:tblCellMar>
          <w:tblLook w:val="04A0"/>
        </w:tblPrEx>
        <w:trPr>
          <w:trHeight w:val="345"/>
        </w:trPr>
        <w:tc>
          <w:tcPr>
            <w:tcW w:w="4980" w:type="dxa"/>
            <w:vMerge/>
            <w:tcBorders>
              <w:top w:val="single" w:sz="8" w:space="0" w:color="auto"/>
              <w:left w:val="single" w:sz="8" w:space="0" w:color="auto"/>
              <w:bottom w:val="single" w:sz="8" w:space="0" w:color="FFFFFF"/>
              <w:right w:val="single" w:sz="8" w:space="0" w:color="FFFFFF"/>
            </w:tcBorders>
            <w:textDirection w:val="lrTb"/>
            <w:vAlign w:val="center"/>
            <w:hideMark/>
          </w:tcPr>
          <w:p w:rsidR="005463DC" w:rsidRPr="0072101A" w:rsidP="005463DC">
            <w:pPr>
              <w:bidi w:val="0"/>
              <w:spacing w:after="0" w:line="240" w:lineRule="auto"/>
              <w:rPr>
                <w:rFonts w:ascii="Times New Roman" w:hAnsi="Times New Roman"/>
                <w:b/>
                <w:bCs/>
                <w:color w:val="FFFFFF"/>
                <w:sz w:val="18"/>
                <w:szCs w:val="18"/>
                <w:lang w:eastAsia="sk-SK"/>
              </w:rPr>
            </w:pPr>
          </w:p>
        </w:tc>
        <w:tc>
          <w:tcPr>
            <w:tcW w:w="1200" w:type="dxa"/>
            <w:vMerge/>
            <w:tcBorders>
              <w:top w:val="single" w:sz="8" w:space="0" w:color="auto"/>
              <w:left w:val="single" w:sz="8" w:space="0" w:color="FFFFFF"/>
              <w:bottom w:val="single" w:sz="8" w:space="0" w:color="FFFFFF"/>
              <w:right w:val="single" w:sz="8" w:space="0" w:color="FFFFFF"/>
            </w:tcBorders>
            <w:textDirection w:val="lrTb"/>
            <w:vAlign w:val="center"/>
            <w:hideMark/>
          </w:tcPr>
          <w:p w:rsidR="005463DC" w:rsidRPr="0072101A" w:rsidP="005463DC">
            <w:pPr>
              <w:bidi w:val="0"/>
              <w:spacing w:after="0" w:line="240" w:lineRule="auto"/>
              <w:rPr>
                <w:rFonts w:ascii="Times New Roman" w:hAnsi="Times New Roman"/>
                <w:b/>
                <w:bCs/>
                <w:color w:val="FFFFFF"/>
                <w:sz w:val="18"/>
                <w:szCs w:val="18"/>
                <w:lang w:eastAsia="sk-SK"/>
              </w:rPr>
            </w:pPr>
          </w:p>
        </w:tc>
        <w:tc>
          <w:tcPr>
            <w:tcW w:w="840" w:type="dxa"/>
            <w:vMerge/>
            <w:tcBorders>
              <w:top w:val="nil"/>
              <w:left w:val="single" w:sz="8" w:space="0" w:color="FFFFFF"/>
              <w:bottom w:val="single" w:sz="8" w:space="0" w:color="FFFFFF"/>
              <w:right w:val="single" w:sz="8" w:space="0" w:color="FFFFFF"/>
            </w:tcBorders>
            <w:textDirection w:val="lrTb"/>
            <w:vAlign w:val="center"/>
            <w:hideMark/>
          </w:tcPr>
          <w:p w:rsidR="005463DC" w:rsidRPr="0072101A" w:rsidP="005463DC">
            <w:pPr>
              <w:bidi w:val="0"/>
              <w:spacing w:after="0" w:line="240" w:lineRule="auto"/>
              <w:rPr>
                <w:rFonts w:ascii="Times New Roman" w:hAnsi="Times New Roman"/>
                <w:b/>
                <w:bCs/>
                <w:color w:val="FFFFFF"/>
                <w:sz w:val="18"/>
                <w:szCs w:val="18"/>
                <w:lang w:eastAsia="sk-SK"/>
              </w:rPr>
            </w:pPr>
          </w:p>
        </w:tc>
        <w:tc>
          <w:tcPr>
            <w:tcW w:w="960" w:type="dxa"/>
            <w:vMerge/>
            <w:tcBorders>
              <w:top w:val="nil"/>
              <w:left w:val="single" w:sz="8" w:space="0" w:color="FFFFFF"/>
              <w:bottom w:val="single" w:sz="8" w:space="0" w:color="FFFFFF"/>
              <w:right w:val="single" w:sz="8" w:space="0" w:color="FFFFFF"/>
            </w:tcBorders>
            <w:textDirection w:val="lrTb"/>
            <w:vAlign w:val="center"/>
            <w:hideMark/>
          </w:tcPr>
          <w:p w:rsidR="005463DC" w:rsidRPr="0072101A" w:rsidP="005463DC">
            <w:pPr>
              <w:bidi w:val="0"/>
              <w:spacing w:after="0" w:line="240" w:lineRule="auto"/>
              <w:rPr>
                <w:rFonts w:ascii="Times New Roman" w:hAnsi="Times New Roman"/>
                <w:b/>
                <w:bCs/>
                <w:color w:val="FFFFFF"/>
                <w:sz w:val="18"/>
                <w:szCs w:val="18"/>
                <w:lang w:eastAsia="sk-SK"/>
              </w:rPr>
            </w:pPr>
          </w:p>
        </w:tc>
        <w:tc>
          <w:tcPr>
            <w:tcW w:w="960" w:type="dxa"/>
            <w:tcBorders>
              <w:top w:val="nil"/>
              <w:left w:val="nil"/>
              <w:bottom w:val="single" w:sz="8" w:space="0" w:color="FFFFFF"/>
              <w:right w:val="nil"/>
            </w:tcBorders>
            <w:shd w:val="clear" w:color="000000" w:fill="000000"/>
            <w:textDirection w:val="lrTb"/>
            <w:vAlign w:val="center"/>
            <w:hideMark/>
          </w:tcPr>
          <w:p w:rsidR="005463DC" w:rsidRPr="0072101A" w:rsidP="005463DC">
            <w:pPr>
              <w:bidi w:val="0"/>
              <w:spacing w:after="0" w:line="240" w:lineRule="auto"/>
              <w:jc w:val="center"/>
              <w:rPr>
                <w:rFonts w:ascii="Times New Roman" w:hAnsi="Times New Roman"/>
                <w:b/>
                <w:bCs/>
                <w:color w:val="FFFFFF"/>
                <w:sz w:val="18"/>
                <w:szCs w:val="18"/>
                <w:lang w:eastAsia="sk-SK"/>
              </w:rPr>
            </w:pPr>
            <w:r w:rsidRPr="0072101A">
              <w:rPr>
                <w:rFonts w:ascii="Times New Roman" w:hAnsi="Times New Roman"/>
                <w:b/>
                <w:bCs/>
                <w:color w:val="FFFFFF"/>
                <w:sz w:val="18"/>
                <w:szCs w:val="18"/>
                <w:lang w:eastAsia="sk-SK"/>
              </w:rPr>
              <w:t>OS</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Generálna prokuratúra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9</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9</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Kancelária Národnej rady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Kancelária prezidenta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Kancelária Ústavného súdu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Ministerstvo dopravy, výstavby a regionálneho rozvoja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3F3E7F">
              <w:rPr>
                <w:rFonts w:ascii="Times New Roman" w:hAnsi="Times New Roman"/>
                <w:color w:val="000000"/>
                <w:sz w:val="18"/>
                <w:szCs w:val="18"/>
                <w:lang w:eastAsia="sk-SK"/>
              </w:rPr>
              <w:t>22</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6</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3F3E7F">
            <w:pPr>
              <w:bidi w:val="0"/>
              <w:spacing w:after="0" w:line="240" w:lineRule="auto"/>
              <w:jc w:val="center"/>
              <w:rPr>
                <w:rFonts w:ascii="Times New Roman" w:hAnsi="Times New Roman"/>
                <w:color w:val="000000"/>
                <w:sz w:val="18"/>
                <w:szCs w:val="18"/>
                <w:lang w:eastAsia="sk-SK"/>
              </w:rPr>
            </w:pPr>
            <w:r w:rsidR="00AC5EE5">
              <w:rPr>
                <w:rFonts w:ascii="Times New Roman" w:hAnsi="Times New Roman"/>
                <w:color w:val="000000"/>
                <w:sz w:val="18"/>
                <w:szCs w:val="18"/>
                <w:lang w:eastAsia="sk-SK"/>
              </w:rPr>
              <w:t>1</w:t>
            </w:r>
            <w:r w:rsidR="003F3E7F">
              <w:rPr>
                <w:rFonts w:ascii="Times New Roman" w:hAnsi="Times New Roman"/>
                <w:color w:val="000000"/>
                <w:sz w:val="18"/>
                <w:szCs w:val="18"/>
                <w:lang w:eastAsia="sk-SK"/>
              </w:rPr>
              <w:t>5</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Ministerstvo financií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CC6AC8">
              <w:rPr>
                <w:rFonts w:ascii="Times New Roman" w:hAnsi="Times New Roman"/>
                <w:color w:val="000000"/>
                <w:sz w:val="18"/>
                <w:szCs w:val="18"/>
                <w:lang w:eastAsia="sk-SK"/>
              </w:rPr>
              <w:t>16</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AC5EE5">
              <w:rPr>
                <w:rFonts w:ascii="Times New Roman" w:hAnsi="Times New Roman"/>
                <w:color w:val="000000"/>
                <w:sz w:val="18"/>
                <w:szCs w:val="18"/>
                <w:lang w:eastAsia="sk-SK"/>
              </w:rPr>
              <w:t>5</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Ministerstvo hospodárstva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3F3E7F">
              <w:rPr>
                <w:rFonts w:ascii="Times New Roman" w:hAnsi="Times New Roman"/>
                <w:color w:val="000000"/>
                <w:sz w:val="18"/>
                <w:szCs w:val="18"/>
                <w:lang w:eastAsia="sk-SK"/>
              </w:rPr>
              <w:t>20</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3F3E7F">
              <w:rPr>
                <w:rFonts w:ascii="Times New Roman" w:hAnsi="Times New Roman"/>
                <w:color w:val="000000"/>
                <w:sz w:val="18"/>
                <w:szCs w:val="18"/>
                <w:lang w:eastAsia="sk-SK"/>
              </w:rPr>
              <w:t>4</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3</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AC5EE5">
              <w:rPr>
                <w:rFonts w:ascii="Times New Roman" w:hAnsi="Times New Roman"/>
                <w:color w:val="000000"/>
                <w:sz w:val="18"/>
                <w:szCs w:val="18"/>
                <w:lang w:eastAsia="sk-SK"/>
              </w:rPr>
              <w:t>13</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Ministerstvo kultúry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CC6AC8">
              <w:rPr>
                <w:rFonts w:ascii="Times New Roman" w:hAnsi="Times New Roman"/>
                <w:color w:val="000000"/>
                <w:sz w:val="18"/>
                <w:szCs w:val="18"/>
                <w:lang w:eastAsia="sk-SK"/>
              </w:rPr>
              <w:t>3</w:t>
            </w:r>
            <w:r w:rsidR="009435B0">
              <w:rPr>
                <w:rFonts w:ascii="Times New Roman" w:hAnsi="Times New Roman"/>
                <w:color w:val="000000"/>
                <w:sz w:val="18"/>
                <w:szCs w:val="18"/>
                <w:lang w:eastAsia="sk-SK"/>
              </w:rPr>
              <w:t>0</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7</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23</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Ministerstvo obrany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CC6AC8">
              <w:rPr>
                <w:rFonts w:ascii="Times New Roman" w:hAnsi="Times New Roman"/>
                <w:color w:val="000000"/>
                <w:sz w:val="18"/>
                <w:szCs w:val="18"/>
                <w:lang w:eastAsia="sk-SK"/>
              </w:rPr>
              <w:t>1</w:t>
            </w:r>
            <w:r w:rsidR="003F3E7F">
              <w:rPr>
                <w:rFonts w:ascii="Times New Roman" w:hAnsi="Times New Roman"/>
                <w:color w:val="000000"/>
                <w:sz w:val="18"/>
                <w:szCs w:val="18"/>
                <w:lang w:eastAsia="sk-SK"/>
              </w:rPr>
              <w:t>9</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10</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2</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3F3E7F">
              <w:rPr>
                <w:rFonts w:ascii="Times New Roman" w:hAnsi="Times New Roman"/>
                <w:color w:val="000000"/>
                <w:sz w:val="18"/>
                <w:szCs w:val="18"/>
                <w:lang w:eastAsia="sk-SK"/>
              </w:rPr>
              <w:t>7</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Ministerstvo práce, sociálnych vecí a rodiny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3F3E7F">
              <w:rPr>
                <w:rFonts w:ascii="Times New Roman" w:hAnsi="Times New Roman"/>
                <w:color w:val="000000"/>
                <w:sz w:val="18"/>
                <w:szCs w:val="18"/>
                <w:lang w:eastAsia="sk-SK"/>
              </w:rPr>
              <w:t>84</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3F3E7F">
              <w:rPr>
                <w:rFonts w:ascii="Times New Roman" w:hAnsi="Times New Roman"/>
                <w:color w:val="000000"/>
                <w:sz w:val="18"/>
                <w:szCs w:val="18"/>
                <w:lang w:eastAsia="sk-SK"/>
              </w:rPr>
              <w:t>81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2</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Ministerstvo pôdohospodárstva a rozvoja vidieka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CC6AC8">
              <w:rPr>
                <w:rFonts w:ascii="Times New Roman" w:hAnsi="Times New Roman"/>
                <w:color w:val="000000"/>
                <w:sz w:val="18"/>
                <w:szCs w:val="18"/>
                <w:lang w:eastAsia="sk-SK"/>
              </w:rPr>
              <w:t>5</w:t>
            </w:r>
            <w:r w:rsidR="009435B0">
              <w:rPr>
                <w:rFonts w:ascii="Times New Roman" w:hAnsi="Times New Roman"/>
                <w:color w:val="000000"/>
                <w:sz w:val="18"/>
                <w:szCs w:val="18"/>
                <w:lang w:eastAsia="sk-SK"/>
              </w:rPr>
              <w:t>3</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46</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7</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Ministerstvo spravodlivosti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CC6AC8">
              <w:rPr>
                <w:rFonts w:ascii="Times New Roman" w:hAnsi="Times New Roman"/>
                <w:color w:val="000000"/>
                <w:sz w:val="18"/>
                <w:szCs w:val="18"/>
                <w:lang w:eastAsia="sk-SK"/>
              </w:rPr>
              <w:t>8</w:t>
            </w:r>
            <w:r w:rsidR="009435B0">
              <w:rPr>
                <w:rFonts w:ascii="Times New Roman" w:hAnsi="Times New Roman"/>
                <w:color w:val="000000"/>
                <w:sz w:val="18"/>
                <w:szCs w:val="18"/>
                <w:lang w:eastAsia="sk-SK"/>
              </w:rPr>
              <w:t>5</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6512B8">
              <w:rPr>
                <w:rFonts w:ascii="Times New Roman" w:hAnsi="Times New Roman"/>
                <w:color w:val="000000"/>
                <w:sz w:val="18"/>
                <w:szCs w:val="18"/>
                <w:lang w:eastAsia="sk-SK"/>
              </w:rPr>
              <w:t>85</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Ministerstvo vnútra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CC6AC8">
              <w:rPr>
                <w:rFonts w:ascii="Times New Roman" w:hAnsi="Times New Roman"/>
                <w:color w:val="000000"/>
                <w:sz w:val="18"/>
                <w:szCs w:val="18"/>
                <w:lang w:eastAsia="sk-SK"/>
              </w:rPr>
              <w:t>34</w:t>
            </w:r>
            <w:r w:rsidR="009435B0">
              <w:rPr>
                <w:rFonts w:ascii="Times New Roman" w:hAnsi="Times New Roman"/>
                <w:color w:val="000000"/>
                <w:sz w:val="18"/>
                <w:szCs w:val="18"/>
                <w:lang w:eastAsia="sk-SK"/>
              </w:rPr>
              <w:t>1</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6512B8">
              <w:rPr>
                <w:rFonts w:ascii="Times New Roman" w:hAnsi="Times New Roman"/>
                <w:color w:val="000000"/>
                <w:sz w:val="18"/>
                <w:szCs w:val="18"/>
                <w:lang w:eastAsia="sk-SK"/>
              </w:rPr>
              <w:t>330</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10</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Ministerstvo zahraničných vecí a európskych záležitostí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9435B0">
              <w:rPr>
                <w:rFonts w:ascii="Times New Roman" w:hAnsi="Times New Roman"/>
                <w:color w:val="000000"/>
                <w:sz w:val="18"/>
                <w:szCs w:val="18"/>
                <w:lang w:eastAsia="sk-SK"/>
              </w:rPr>
              <w:t>5</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3</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Ministerstvo zdravotníctva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CC6AC8">
              <w:rPr>
                <w:rFonts w:ascii="Times New Roman" w:hAnsi="Times New Roman"/>
                <w:color w:val="000000"/>
                <w:sz w:val="18"/>
                <w:szCs w:val="18"/>
                <w:lang w:eastAsia="sk-SK"/>
              </w:rPr>
              <w:t>8</w:t>
            </w:r>
            <w:r w:rsidR="009435B0">
              <w:rPr>
                <w:rFonts w:ascii="Times New Roman" w:hAnsi="Times New Roman"/>
                <w:color w:val="000000"/>
                <w:sz w:val="18"/>
                <w:szCs w:val="18"/>
                <w:lang w:eastAsia="sk-SK"/>
              </w:rPr>
              <w:t>5</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39</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37</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9</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Ministerstvo školstva, vedy, výskumu a športu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9435B0">
              <w:rPr>
                <w:rFonts w:ascii="Times New Roman" w:hAnsi="Times New Roman"/>
                <w:color w:val="000000"/>
                <w:sz w:val="18"/>
                <w:szCs w:val="18"/>
                <w:lang w:eastAsia="sk-SK"/>
              </w:rPr>
              <w:t>19</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12</w:t>
            </w:r>
          </w:p>
        </w:tc>
        <w:tc>
          <w:tcPr>
            <w:tcW w:w="960" w:type="dxa"/>
            <w:tcBorders>
              <w:top w:val="nil"/>
              <w:left w:val="nil"/>
              <w:bottom w:val="single" w:sz="8" w:space="0" w:color="auto"/>
              <w:right w:val="single" w:sz="8" w:space="0" w:color="auto"/>
            </w:tcBorders>
            <w:textDirection w:val="lrTb"/>
            <w:vAlign w:val="center"/>
            <w:hideMark/>
          </w:tcPr>
          <w:p w:rsidR="005463DC" w:rsidRPr="0072101A" w:rsidP="006512B8">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6</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Ministerstvo životného prostredia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CC6AC8">
              <w:rPr>
                <w:rFonts w:ascii="Times New Roman" w:hAnsi="Times New Roman"/>
                <w:color w:val="000000"/>
                <w:sz w:val="18"/>
                <w:szCs w:val="18"/>
                <w:lang w:eastAsia="sk-SK"/>
              </w:rPr>
              <w:t>1</w:t>
            </w:r>
            <w:r w:rsidR="009435B0">
              <w:rPr>
                <w:rFonts w:ascii="Times New Roman" w:hAnsi="Times New Roman"/>
                <w:color w:val="000000"/>
                <w:sz w:val="18"/>
                <w:szCs w:val="18"/>
                <w:lang w:eastAsia="sk-SK"/>
              </w:rPr>
              <w:t>0</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2</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8</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Najvyšší kontrolný úrad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Najvyšší súd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2</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2</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Národný bezpečnostný úrad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Protimonopolný úrad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 xml:space="preserve">Slovenská akadémia vied </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9435B0">
              <w:rPr>
                <w:rFonts w:ascii="Times New Roman" w:hAnsi="Times New Roman"/>
                <w:color w:val="000000"/>
                <w:sz w:val="18"/>
                <w:szCs w:val="18"/>
                <w:lang w:eastAsia="sk-SK"/>
              </w:rPr>
              <w:t>67</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48</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6512B8">
              <w:rPr>
                <w:rFonts w:ascii="Times New Roman" w:hAnsi="Times New Roman"/>
                <w:color w:val="000000"/>
                <w:sz w:val="18"/>
                <w:szCs w:val="18"/>
                <w:lang w:eastAsia="sk-SK"/>
              </w:rPr>
              <w:t>19</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Slovenská informačná služba</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Správa štátnych hmotných rezerv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2</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Úrad geodézie, kartografie a katastra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3</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2</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Úrad jadrového dozoru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Úrad pre normalizáciu, metrológiu a skúšobníctvo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3</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2</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Úrad pre reguláciu sieťových odvetví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Úrad pre verejné obstarávanie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Úrad priemyselného vlastníctva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Úrad vlády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3</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2</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nil"/>
              <w:left w:val="single" w:sz="8" w:space="0" w:color="auto"/>
              <w:bottom w:val="single" w:sz="8" w:space="0" w:color="auto"/>
              <w:right w:val="single" w:sz="8" w:space="0" w:color="auto"/>
            </w:tcBorders>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Štatistický úrad SR</w:t>
            </w:r>
          </w:p>
        </w:tc>
        <w:tc>
          <w:tcPr>
            <w:tcW w:w="120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2</w:t>
            </w:r>
          </w:p>
        </w:tc>
        <w:tc>
          <w:tcPr>
            <w:tcW w:w="84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960" w:type="dxa"/>
            <w:tcBorders>
              <w:top w:val="nil"/>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textDirection w:val="lrTb"/>
            <w:vAlign w:val="center"/>
            <w:hideMark/>
          </w:tcPr>
          <w:p w:rsidR="005463DC" w:rsidRPr="0072101A" w:rsidP="00195C2B">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 xml:space="preserve">Agentúra pre núdzové zásoby ropy a ropných </w:t>
            </w:r>
            <w:r w:rsidR="00195C2B">
              <w:rPr>
                <w:rFonts w:ascii="Times New Roman" w:hAnsi="Times New Roman"/>
                <w:color w:val="000000"/>
                <w:sz w:val="18"/>
                <w:szCs w:val="18"/>
                <w:lang w:eastAsia="sk-SK"/>
              </w:rPr>
              <w:t>výrobkov</w:t>
            </w:r>
          </w:p>
        </w:tc>
        <w:tc>
          <w:tcPr>
            <w:tcW w:w="1200" w:type="dxa"/>
            <w:tcBorders>
              <w:top w:val="single" w:sz="8" w:space="0" w:color="auto"/>
              <w:left w:val="nil"/>
              <w:bottom w:val="single" w:sz="8" w:space="0" w:color="auto"/>
              <w:right w:val="single" w:sz="8" w:space="0" w:color="auto"/>
            </w:tcBorders>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bottom"/>
            <w:hideMark/>
          </w:tcPr>
          <w:p w:rsidR="005463DC" w:rsidRPr="0072101A" w:rsidP="005463DC">
            <w:pPr>
              <w:bidi w:val="0"/>
              <w:spacing w:after="0" w:line="240" w:lineRule="auto"/>
              <w:jc w:val="center"/>
              <w:rPr>
                <w:rFonts w:ascii="Calibri" w:hAnsi="Calibri"/>
                <w:color w:val="000000"/>
                <w:sz w:val="20"/>
                <w:szCs w:val="20"/>
                <w:lang w:eastAsia="sk-SK"/>
              </w:rPr>
            </w:pPr>
            <w:r w:rsidRPr="0072101A">
              <w:rPr>
                <w:rFonts w:ascii="Calibri" w:hAnsi="Calibri"/>
                <w:color w:val="000000"/>
                <w:sz w:val="20"/>
                <w:szCs w:val="20"/>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Audiovizuálny fond</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bottom"/>
            <w:hideMark/>
          </w:tcPr>
          <w:p w:rsidR="005463DC" w:rsidRPr="0072101A" w:rsidP="005463DC">
            <w:pPr>
              <w:bidi w:val="0"/>
              <w:spacing w:after="0" w:line="240" w:lineRule="auto"/>
              <w:jc w:val="center"/>
              <w:rPr>
                <w:rFonts w:ascii="Calibri" w:hAnsi="Calibri"/>
                <w:color w:val="000000"/>
                <w:sz w:val="20"/>
                <w:szCs w:val="20"/>
                <w:lang w:eastAsia="sk-SK"/>
              </w:rPr>
            </w:pPr>
            <w:r w:rsidRPr="0072101A">
              <w:rPr>
                <w:rFonts w:ascii="Calibri" w:hAnsi="Calibri"/>
                <w:color w:val="000000"/>
                <w:sz w:val="20"/>
                <w:szCs w:val="20"/>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Environmentálny fond</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Exportno-importná banka Slovenskej republiky</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Fond národného majetku Slovenskej republiky</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Kancelária rady pre rozpočtovú zodpovednosť</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Národný jadrový fond</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Rada pre vysielanie a retransmisiu</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Rozhlas a televízia Slovenska</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tcPr>
          <w:p w:rsidR="00A95B01" w:rsidRPr="0072101A" w:rsidP="005463DC">
            <w:pPr>
              <w:bidi w:val="0"/>
              <w:spacing w:after="0" w:line="240" w:lineRule="auto"/>
              <w:rPr>
                <w:rFonts w:ascii="Times New Roman" w:hAnsi="Times New Roman"/>
                <w:color w:val="000000"/>
                <w:sz w:val="18"/>
                <w:szCs w:val="18"/>
                <w:lang w:eastAsia="sk-SK"/>
              </w:rPr>
            </w:pPr>
            <w:r>
              <w:rPr>
                <w:rFonts w:ascii="Times New Roman" w:hAnsi="Times New Roman"/>
                <w:color w:val="000000"/>
                <w:sz w:val="18"/>
                <w:szCs w:val="18"/>
                <w:lang w:eastAsia="sk-SK"/>
              </w:rPr>
              <w:t>Rada pre rozpočtovú zodpovednosť</w:t>
            </w:r>
          </w:p>
        </w:tc>
        <w:tc>
          <w:tcPr>
            <w:tcW w:w="1200" w:type="dxa"/>
            <w:tcBorders>
              <w:top w:val="single" w:sz="8" w:space="0" w:color="auto"/>
              <w:left w:val="nil"/>
              <w:bottom w:val="single" w:sz="8" w:space="0" w:color="auto"/>
              <w:right w:val="single" w:sz="8" w:space="0" w:color="auto"/>
            </w:tcBorders>
            <w:noWrap/>
            <w:textDirection w:val="lrTb"/>
            <w:vAlign w:val="center"/>
          </w:tcPr>
          <w:p w:rsidR="00A95B01" w:rsidRPr="0072101A" w:rsidP="005463DC">
            <w:pPr>
              <w:bidi w:val="0"/>
              <w:spacing w:after="0" w:line="240" w:lineRule="auto"/>
              <w:jc w:val="center"/>
              <w:rPr>
                <w:rFonts w:ascii="Times New Roman" w:hAnsi="Times New Roman"/>
                <w:color w:val="000000"/>
                <w:sz w:val="18"/>
                <w:szCs w:val="18"/>
                <w:lang w:eastAsia="sk-SK"/>
              </w:rPr>
            </w:pPr>
            <w:r>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tcPr>
          <w:p w:rsidR="00A95B01" w:rsidRPr="0072101A" w:rsidP="005463DC">
            <w:pPr>
              <w:bidi w:val="0"/>
              <w:spacing w:after="0" w:line="240" w:lineRule="auto"/>
              <w:jc w:val="center"/>
              <w:rPr>
                <w:rFonts w:ascii="Times New Roman" w:hAnsi="Times New Roman"/>
                <w:color w:val="000000"/>
                <w:sz w:val="18"/>
                <w:szCs w:val="18"/>
                <w:lang w:eastAsia="sk-SK"/>
              </w:rPr>
            </w:pPr>
            <w:r w:rsidR="002C1F77">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tcPr>
          <w:p w:rsidR="00A95B01" w:rsidRPr="0072101A" w:rsidP="005463DC">
            <w:pPr>
              <w:bidi w:val="0"/>
              <w:spacing w:after="0" w:line="240" w:lineRule="auto"/>
              <w:jc w:val="center"/>
              <w:rPr>
                <w:rFonts w:ascii="Times New Roman" w:hAnsi="Times New Roman"/>
                <w:color w:val="000000"/>
                <w:sz w:val="18"/>
                <w:szCs w:val="18"/>
                <w:lang w:eastAsia="sk-SK"/>
              </w:rPr>
            </w:pPr>
            <w:r w:rsidR="002C1F77">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tcPr>
          <w:p w:rsidR="00A95B01" w:rsidRPr="0072101A" w:rsidP="005463DC">
            <w:pPr>
              <w:bidi w:val="0"/>
              <w:spacing w:after="0" w:line="240" w:lineRule="auto"/>
              <w:jc w:val="center"/>
              <w:rPr>
                <w:rFonts w:ascii="Times New Roman" w:hAnsi="Times New Roman"/>
                <w:color w:val="000000"/>
                <w:sz w:val="18"/>
                <w:szCs w:val="18"/>
                <w:lang w:eastAsia="sk-SK"/>
              </w:rPr>
            </w:pPr>
            <w:r w:rsidR="002C1F77">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Slovenské národné stredisko pre ľudské práva</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Slovenský pozemkový fond</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Sociálna poisťovňa</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Štátny fond rozvoja bývania</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Tlačová agentúra Slovenskej republiky</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Úrad pre dohľad nad výkonom auditu</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Úrad pre dohľad nad zdravotnou starostlivosťou</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Ústav pamäti národa</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Pr="0072101A">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E9519F" w:rsidP="005463DC">
            <w:pPr>
              <w:bidi w:val="0"/>
              <w:spacing w:after="0" w:line="240" w:lineRule="auto"/>
              <w:rPr>
                <w:rFonts w:ascii="Times New Roman" w:hAnsi="Times New Roman"/>
                <w:color w:val="000000"/>
                <w:sz w:val="18"/>
                <w:szCs w:val="18"/>
                <w:lang w:eastAsia="sk-SK"/>
              </w:rPr>
            </w:pPr>
            <w:r w:rsidRPr="00E9519F">
              <w:rPr>
                <w:rFonts w:ascii="Times New Roman" w:hAnsi="Times New Roman"/>
                <w:color w:val="000000"/>
                <w:sz w:val="18"/>
                <w:szCs w:val="18"/>
                <w:lang w:eastAsia="sk-SK"/>
              </w:rPr>
              <w:t>Železnice Slovenskej republiky</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color w:val="000000"/>
                <w:sz w:val="18"/>
                <w:szCs w:val="18"/>
                <w:lang w:eastAsia="sk-SK"/>
              </w:rPr>
            </w:pPr>
            <w:r w:rsidRPr="00E9519F">
              <w:rPr>
                <w:rFonts w:ascii="Times New Roman" w:hAnsi="Times New Roman"/>
                <w:color w:val="000000"/>
                <w:sz w:val="18"/>
                <w:szCs w:val="18"/>
                <w:lang w:eastAsia="sk-SK"/>
              </w:rPr>
              <w:t>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color w:val="000000"/>
                <w:sz w:val="18"/>
                <w:szCs w:val="18"/>
                <w:lang w:eastAsia="sk-SK"/>
              </w:rPr>
            </w:pPr>
            <w:r w:rsidRPr="00E9519F">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color w:val="000000"/>
                <w:sz w:val="18"/>
                <w:szCs w:val="18"/>
                <w:lang w:eastAsia="sk-SK"/>
              </w:rPr>
            </w:pPr>
            <w:r w:rsidRPr="00E9519F">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color w:val="000000"/>
                <w:sz w:val="18"/>
                <w:szCs w:val="18"/>
                <w:lang w:eastAsia="sk-SK"/>
              </w:rPr>
            </w:pPr>
            <w:r w:rsidRPr="00E9519F">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E9519F" w:rsidP="005463DC">
            <w:pPr>
              <w:bidi w:val="0"/>
              <w:spacing w:after="0" w:line="240" w:lineRule="auto"/>
              <w:rPr>
                <w:rFonts w:ascii="Times New Roman" w:hAnsi="Times New Roman"/>
                <w:color w:val="000000"/>
                <w:sz w:val="18"/>
                <w:szCs w:val="18"/>
                <w:lang w:eastAsia="sk-SK"/>
              </w:rPr>
            </w:pPr>
            <w:r w:rsidRPr="00E9519F">
              <w:rPr>
                <w:rFonts w:ascii="Times New Roman" w:hAnsi="Times New Roman"/>
                <w:color w:val="000000"/>
                <w:sz w:val="18"/>
                <w:szCs w:val="18"/>
                <w:lang w:eastAsia="sk-SK"/>
              </w:rPr>
              <w:t>verejné vysoké školy</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color w:val="000000"/>
                <w:sz w:val="18"/>
                <w:szCs w:val="18"/>
                <w:lang w:eastAsia="sk-SK"/>
              </w:rPr>
            </w:pPr>
            <w:r w:rsidRPr="00E9519F">
              <w:rPr>
                <w:rFonts w:ascii="Times New Roman" w:hAnsi="Times New Roman"/>
                <w:color w:val="000000"/>
                <w:sz w:val="18"/>
                <w:szCs w:val="18"/>
                <w:lang w:eastAsia="sk-SK"/>
              </w:rPr>
              <w:t>20</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color w:val="000000"/>
                <w:sz w:val="18"/>
                <w:szCs w:val="18"/>
                <w:lang w:eastAsia="sk-SK"/>
              </w:rPr>
            </w:pPr>
            <w:r w:rsidRPr="00E9519F">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color w:val="000000"/>
                <w:sz w:val="18"/>
                <w:szCs w:val="18"/>
                <w:lang w:eastAsia="sk-SK"/>
              </w:rPr>
            </w:pPr>
            <w:r w:rsidRPr="00E9519F">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color w:val="000000"/>
                <w:sz w:val="18"/>
                <w:szCs w:val="18"/>
                <w:lang w:eastAsia="sk-SK"/>
              </w:rPr>
            </w:pPr>
            <w:r w:rsidRPr="00E9519F">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E9519F" w:rsidP="005463DC">
            <w:pPr>
              <w:bidi w:val="0"/>
              <w:spacing w:after="0" w:line="240" w:lineRule="auto"/>
              <w:rPr>
                <w:rFonts w:ascii="Times New Roman" w:hAnsi="Times New Roman"/>
                <w:sz w:val="18"/>
                <w:szCs w:val="18"/>
                <w:lang w:eastAsia="sk-SK"/>
              </w:rPr>
            </w:pPr>
            <w:r w:rsidRPr="00E9519F">
              <w:rPr>
                <w:rFonts w:ascii="Times New Roman" w:hAnsi="Times New Roman"/>
                <w:sz w:val="18"/>
                <w:szCs w:val="18"/>
                <w:lang w:eastAsia="sk-SK"/>
              </w:rPr>
              <w:t>štátne podniky</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color w:val="000000"/>
                <w:sz w:val="18"/>
                <w:szCs w:val="18"/>
                <w:lang w:eastAsia="sk-SK"/>
              </w:rPr>
            </w:pPr>
            <w:r w:rsidRPr="00E9519F">
              <w:rPr>
                <w:rFonts w:ascii="Times New Roman" w:hAnsi="Times New Roman"/>
                <w:color w:val="000000"/>
                <w:sz w:val="18"/>
                <w:szCs w:val="18"/>
                <w:lang w:eastAsia="sk-SK"/>
              </w:rPr>
              <w:t>17</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color w:val="000000"/>
                <w:sz w:val="18"/>
                <w:szCs w:val="18"/>
                <w:lang w:eastAsia="sk-SK"/>
              </w:rPr>
            </w:pPr>
            <w:r w:rsidRPr="00E9519F">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color w:val="000000"/>
                <w:sz w:val="18"/>
                <w:szCs w:val="18"/>
                <w:lang w:eastAsia="sk-SK"/>
              </w:rPr>
            </w:pPr>
            <w:r w:rsidRPr="00E9519F">
              <w:rPr>
                <w:rFonts w:ascii="Times New Roman" w:hAnsi="Times New Roman"/>
                <w:color w:val="000000"/>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color w:val="000000"/>
                <w:sz w:val="18"/>
                <w:szCs w:val="18"/>
                <w:lang w:eastAsia="sk-SK"/>
              </w:rPr>
            </w:pPr>
            <w:r w:rsidRPr="00E9519F">
              <w:rPr>
                <w:rFonts w:ascii="Times New Roman" w:hAnsi="Times New Roman"/>
                <w:color w:val="000000"/>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tcPr>
          <w:p w:rsidR="00E9519F" w:rsidRPr="00E9519F" w:rsidP="006161D2">
            <w:pPr>
              <w:bidi w:val="0"/>
              <w:spacing w:after="0" w:line="240" w:lineRule="auto"/>
              <w:rPr>
                <w:rFonts w:ascii="Times New Roman" w:hAnsi="Times New Roman"/>
                <w:sz w:val="18"/>
                <w:szCs w:val="18"/>
                <w:lang w:eastAsia="sk-SK"/>
              </w:rPr>
            </w:pPr>
            <w:r w:rsidRPr="00E9519F">
              <w:rPr>
                <w:rFonts w:ascii="Times New Roman" w:hAnsi="Times New Roman"/>
                <w:sz w:val="18"/>
                <w:szCs w:val="18"/>
                <w:lang w:eastAsia="sk-SK"/>
              </w:rPr>
              <w:t>Neziskové organizácie územnej samosprávy</w:t>
            </w:r>
          </w:p>
        </w:tc>
        <w:tc>
          <w:tcPr>
            <w:tcW w:w="1200" w:type="dxa"/>
            <w:tcBorders>
              <w:top w:val="single" w:sz="8" w:space="0" w:color="auto"/>
              <w:left w:val="nil"/>
              <w:bottom w:val="single" w:sz="8" w:space="0" w:color="auto"/>
              <w:right w:val="single" w:sz="8" w:space="0" w:color="auto"/>
            </w:tcBorders>
            <w:noWrap/>
            <w:textDirection w:val="lrTb"/>
            <w:vAlign w:val="center"/>
          </w:tcPr>
          <w:p w:rsidR="00E9519F" w:rsidRPr="00E9519F" w:rsidP="006161D2">
            <w:pPr>
              <w:bidi w:val="0"/>
              <w:spacing w:after="0" w:line="240" w:lineRule="auto"/>
              <w:jc w:val="center"/>
              <w:rPr>
                <w:rFonts w:ascii="Times New Roman" w:hAnsi="Times New Roman"/>
                <w:color w:val="000000"/>
                <w:sz w:val="18"/>
                <w:szCs w:val="18"/>
                <w:lang w:eastAsia="sk-SK"/>
              </w:rPr>
            </w:pPr>
            <w:r w:rsidRPr="00E9519F">
              <w:rPr>
                <w:rFonts w:ascii="Times New Roman" w:hAnsi="Times New Roman"/>
                <w:color w:val="000000"/>
                <w:sz w:val="18"/>
                <w:szCs w:val="18"/>
                <w:lang w:eastAsia="sk-SK"/>
              </w:rPr>
              <w:t>40</w:t>
            </w:r>
          </w:p>
        </w:tc>
        <w:tc>
          <w:tcPr>
            <w:tcW w:w="840" w:type="dxa"/>
            <w:tcBorders>
              <w:top w:val="single" w:sz="8" w:space="0" w:color="auto"/>
              <w:left w:val="nil"/>
              <w:bottom w:val="single" w:sz="8" w:space="0" w:color="auto"/>
              <w:right w:val="single" w:sz="8" w:space="0" w:color="auto"/>
            </w:tcBorders>
            <w:noWrap/>
            <w:textDirection w:val="lrTb"/>
            <w:vAlign w:val="center"/>
          </w:tcPr>
          <w:p w:rsidR="00E9519F"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tcPr>
          <w:p w:rsidR="00E9519F"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w:t>
            </w:r>
          </w:p>
        </w:tc>
        <w:tc>
          <w:tcPr>
            <w:tcW w:w="960" w:type="dxa"/>
            <w:tcBorders>
              <w:top w:val="single" w:sz="8" w:space="0" w:color="auto"/>
              <w:left w:val="nil"/>
              <w:bottom w:val="single" w:sz="8" w:space="0" w:color="auto"/>
              <w:right w:val="single" w:sz="8" w:space="0" w:color="auto"/>
            </w:tcBorders>
            <w:noWrap/>
            <w:textDirection w:val="lrTb"/>
            <w:vAlign w:val="center"/>
          </w:tcPr>
          <w:p w:rsidR="00E9519F"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AC5EE5" w:rsidRPr="00E9519F" w:rsidP="006161D2">
            <w:pPr>
              <w:bidi w:val="0"/>
              <w:spacing w:after="0" w:line="240" w:lineRule="auto"/>
              <w:rPr>
                <w:rFonts w:ascii="Times New Roman" w:hAnsi="Times New Roman"/>
                <w:sz w:val="18"/>
                <w:szCs w:val="18"/>
                <w:lang w:eastAsia="sk-SK"/>
              </w:rPr>
            </w:pPr>
            <w:r w:rsidRPr="00E9519F">
              <w:rPr>
                <w:rFonts w:ascii="Times New Roman" w:hAnsi="Times New Roman"/>
                <w:sz w:val="18"/>
                <w:szCs w:val="18"/>
                <w:lang w:eastAsia="sk-SK"/>
              </w:rPr>
              <w:t>Bratislavský samosprávny kraj</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color w:val="000000"/>
                <w:sz w:val="18"/>
                <w:szCs w:val="18"/>
                <w:lang w:eastAsia="sk-SK"/>
              </w:rPr>
            </w:pPr>
            <w:r w:rsidRPr="00E9519F">
              <w:rPr>
                <w:rFonts w:ascii="Times New Roman" w:hAnsi="Times New Roman"/>
                <w:color w:val="000000"/>
                <w:sz w:val="18"/>
                <w:szCs w:val="18"/>
                <w:lang w:eastAsia="sk-SK"/>
              </w:rPr>
              <w:t>85</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54</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27</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3</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AC5EE5" w:rsidRPr="00E9519F" w:rsidP="006161D2">
            <w:pPr>
              <w:bidi w:val="0"/>
              <w:spacing w:after="0" w:line="240" w:lineRule="auto"/>
              <w:rPr>
                <w:rFonts w:ascii="Times New Roman" w:hAnsi="Times New Roman"/>
                <w:sz w:val="18"/>
                <w:szCs w:val="18"/>
                <w:lang w:eastAsia="sk-SK"/>
              </w:rPr>
            </w:pPr>
            <w:r w:rsidRPr="00E9519F">
              <w:rPr>
                <w:rFonts w:ascii="Times New Roman" w:hAnsi="Times New Roman"/>
                <w:sz w:val="18"/>
                <w:szCs w:val="18"/>
                <w:lang w:eastAsia="sk-SK"/>
              </w:rPr>
              <w:t>Nitriansky samosprávny kraj</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color w:val="000000"/>
                <w:sz w:val="18"/>
                <w:szCs w:val="18"/>
                <w:lang w:eastAsia="sk-SK"/>
              </w:rPr>
            </w:pPr>
            <w:r w:rsidRPr="00E9519F" w:rsidR="00A57A36">
              <w:rPr>
                <w:rFonts w:ascii="Times New Roman" w:hAnsi="Times New Roman"/>
                <w:color w:val="000000"/>
                <w:sz w:val="18"/>
                <w:szCs w:val="18"/>
                <w:lang w:eastAsia="sk-SK"/>
              </w:rPr>
              <w:t>117</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82</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sidR="00245188">
              <w:rPr>
                <w:rFonts w:ascii="Times New Roman" w:hAnsi="Times New Roman"/>
                <w:sz w:val="18"/>
                <w:szCs w:val="18"/>
                <w:lang w:eastAsia="sk-SK"/>
              </w:rPr>
              <w:t>31</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3</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AC5EE5" w:rsidRPr="00E9519F" w:rsidP="006161D2">
            <w:pPr>
              <w:bidi w:val="0"/>
              <w:spacing w:after="0" w:line="240" w:lineRule="auto"/>
              <w:rPr>
                <w:rFonts w:ascii="Times New Roman" w:hAnsi="Times New Roman"/>
                <w:sz w:val="18"/>
                <w:szCs w:val="18"/>
                <w:lang w:eastAsia="sk-SK"/>
              </w:rPr>
            </w:pPr>
            <w:r w:rsidRPr="00E9519F">
              <w:rPr>
                <w:rFonts w:ascii="Times New Roman" w:hAnsi="Times New Roman"/>
                <w:sz w:val="18"/>
                <w:szCs w:val="18"/>
                <w:lang w:eastAsia="sk-SK"/>
              </w:rPr>
              <w:t>Trnavský samosprávny kraj</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color w:val="000000"/>
                <w:sz w:val="18"/>
                <w:szCs w:val="18"/>
                <w:lang w:eastAsia="sk-SK"/>
              </w:rPr>
            </w:pPr>
            <w:r w:rsidRPr="00E9519F" w:rsidR="00A57A36">
              <w:rPr>
                <w:rFonts w:ascii="Times New Roman" w:hAnsi="Times New Roman"/>
                <w:color w:val="000000"/>
                <w:sz w:val="18"/>
                <w:szCs w:val="18"/>
                <w:lang w:eastAsia="sk-SK"/>
              </w:rPr>
              <w:t>104</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60</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38</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sidR="00245188">
              <w:rPr>
                <w:rFonts w:ascii="Times New Roman" w:hAnsi="Times New Roman"/>
                <w:sz w:val="18"/>
                <w:szCs w:val="18"/>
                <w:lang w:eastAsia="sk-SK"/>
              </w:rPr>
              <w:t>5</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AC5EE5" w:rsidRPr="00E9519F" w:rsidP="006161D2">
            <w:pPr>
              <w:bidi w:val="0"/>
              <w:spacing w:after="0" w:line="240" w:lineRule="auto"/>
              <w:rPr>
                <w:rFonts w:ascii="Times New Roman" w:hAnsi="Times New Roman"/>
                <w:sz w:val="18"/>
                <w:szCs w:val="18"/>
                <w:lang w:eastAsia="sk-SK"/>
              </w:rPr>
            </w:pPr>
            <w:r w:rsidRPr="00E9519F">
              <w:rPr>
                <w:rFonts w:ascii="Times New Roman" w:hAnsi="Times New Roman"/>
                <w:sz w:val="18"/>
                <w:szCs w:val="18"/>
                <w:lang w:eastAsia="sk-SK"/>
              </w:rPr>
              <w:t>Trenčiansky samosprávny kraj</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color w:val="000000"/>
                <w:sz w:val="18"/>
                <w:szCs w:val="18"/>
                <w:lang w:eastAsia="sk-SK"/>
              </w:rPr>
            </w:pPr>
            <w:r w:rsidRPr="00E9519F" w:rsidR="00A57A36">
              <w:rPr>
                <w:rFonts w:ascii="Times New Roman" w:hAnsi="Times New Roman"/>
                <w:color w:val="000000"/>
                <w:sz w:val="18"/>
                <w:szCs w:val="18"/>
                <w:lang w:eastAsia="sk-SK"/>
              </w:rPr>
              <w:t>8</w:t>
            </w:r>
            <w:r w:rsidR="00D542E4">
              <w:rPr>
                <w:rFonts w:ascii="Times New Roman" w:hAnsi="Times New Roman"/>
                <w:color w:val="000000"/>
                <w:sz w:val="18"/>
                <w:szCs w:val="18"/>
                <w:lang w:eastAsia="sk-SK"/>
              </w:rPr>
              <w:t>6</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4</w:t>
            </w:r>
            <w:r w:rsidRPr="00E9519F" w:rsidR="00245188">
              <w:rPr>
                <w:rFonts w:ascii="Times New Roman" w:hAnsi="Times New Roman"/>
                <w:sz w:val="18"/>
                <w:szCs w:val="18"/>
                <w:lang w:eastAsia="sk-SK"/>
              </w:rPr>
              <w:t>5</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sidR="00245188">
              <w:rPr>
                <w:rFonts w:ascii="Times New Roman" w:hAnsi="Times New Roman"/>
                <w:sz w:val="18"/>
                <w:szCs w:val="18"/>
                <w:lang w:eastAsia="sk-SK"/>
              </w:rPr>
              <w:t>40</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E9519F" w:rsidP="005463DC">
            <w:pPr>
              <w:bidi w:val="0"/>
              <w:spacing w:after="0" w:line="240" w:lineRule="auto"/>
              <w:rPr>
                <w:rFonts w:ascii="Times New Roman" w:hAnsi="Times New Roman"/>
                <w:color w:val="000000"/>
                <w:sz w:val="18"/>
                <w:szCs w:val="18"/>
                <w:lang w:eastAsia="sk-SK"/>
              </w:rPr>
            </w:pPr>
            <w:r w:rsidRPr="00E9519F">
              <w:rPr>
                <w:rFonts w:ascii="Times New Roman" w:hAnsi="Times New Roman"/>
                <w:color w:val="000000"/>
                <w:sz w:val="18"/>
                <w:szCs w:val="18"/>
                <w:lang w:eastAsia="sk-SK"/>
              </w:rPr>
              <w:t>Banskobystrický samosprávny kraj</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color w:val="000000"/>
                <w:sz w:val="18"/>
                <w:szCs w:val="18"/>
                <w:lang w:eastAsia="sk-SK"/>
              </w:rPr>
            </w:pPr>
            <w:r w:rsidRPr="00E9519F" w:rsidR="00A57A36">
              <w:rPr>
                <w:rFonts w:ascii="Times New Roman" w:hAnsi="Times New Roman"/>
                <w:color w:val="000000"/>
                <w:sz w:val="18"/>
                <w:szCs w:val="18"/>
                <w:lang w:eastAsia="sk-SK"/>
              </w:rPr>
              <w:t>119</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sz w:val="18"/>
                <w:szCs w:val="18"/>
                <w:lang w:eastAsia="sk-SK"/>
              </w:rPr>
            </w:pPr>
            <w:r w:rsidRPr="00E9519F" w:rsidR="006512B8">
              <w:rPr>
                <w:rFonts w:ascii="Times New Roman" w:hAnsi="Times New Roman"/>
                <w:sz w:val="18"/>
                <w:szCs w:val="18"/>
                <w:lang w:eastAsia="sk-SK"/>
              </w:rPr>
              <w:t>7</w:t>
            </w:r>
            <w:r w:rsidRPr="00E9519F" w:rsidR="00245188">
              <w:rPr>
                <w:rFonts w:ascii="Times New Roman" w:hAnsi="Times New Roman"/>
                <w:sz w:val="18"/>
                <w:szCs w:val="18"/>
                <w:lang w:eastAsia="sk-SK"/>
              </w:rPr>
              <w:t>1</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sz w:val="18"/>
                <w:szCs w:val="18"/>
                <w:lang w:eastAsia="sk-SK"/>
              </w:rPr>
            </w:pPr>
            <w:r w:rsidRPr="00E9519F" w:rsidR="006512B8">
              <w:rPr>
                <w:rFonts w:ascii="Times New Roman" w:hAnsi="Times New Roman"/>
                <w:sz w:val="18"/>
                <w:szCs w:val="18"/>
                <w:lang w:eastAsia="sk-SK"/>
              </w:rPr>
              <w:t>43</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4</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AC5EE5" w:rsidRPr="00E9519F" w:rsidP="006161D2">
            <w:pPr>
              <w:bidi w:val="0"/>
              <w:spacing w:after="0" w:line="240" w:lineRule="auto"/>
              <w:rPr>
                <w:rFonts w:ascii="Times New Roman" w:hAnsi="Times New Roman"/>
                <w:color w:val="000000"/>
                <w:sz w:val="18"/>
                <w:szCs w:val="18"/>
                <w:lang w:eastAsia="sk-SK"/>
              </w:rPr>
            </w:pPr>
            <w:r w:rsidRPr="00E9519F">
              <w:rPr>
                <w:rFonts w:ascii="Times New Roman" w:hAnsi="Times New Roman"/>
                <w:color w:val="000000"/>
                <w:sz w:val="18"/>
                <w:szCs w:val="18"/>
                <w:lang w:eastAsia="sk-SK"/>
              </w:rPr>
              <w:t>Žilinský samosprávny kraj</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color w:val="000000"/>
                <w:sz w:val="18"/>
                <w:szCs w:val="18"/>
                <w:lang w:eastAsia="sk-SK"/>
              </w:rPr>
            </w:pPr>
            <w:r w:rsidRPr="00E9519F" w:rsidR="00A57A36">
              <w:rPr>
                <w:rFonts w:ascii="Times New Roman" w:hAnsi="Times New Roman"/>
                <w:color w:val="000000"/>
                <w:sz w:val="18"/>
                <w:szCs w:val="18"/>
                <w:lang w:eastAsia="sk-SK"/>
              </w:rPr>
              <w:t>121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63</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57</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5463DC" w:rsidRPr="00E9519F" w:rsidP="005463DC">
            <w:pPr>
              <w:bidi w:val="0"/>
              <w:spacing w:after="0" w:line="240" w:lineRule="auto"/>
              <w:rPr>
                <w:rFonts w:ascii="Times New Roman" w:hAnsi="Times New Roman"/>
                <w:color w:val="000000"/>
                <w:sz w:val="18"/>
                <w:szCs w:val="18"/>
                <w:lang w:eastAsia="sk-SK"/>
              </w:rPr>
            </w:pPr>
            <w:r w:rsidRPr="00E9519F">
              <w:rPr>
                <w:rFonts w:ascii="Times New Roman" w:hAnsi="Times New Roman"/>
                <w:color w:val="000000"/>
                <w:sz w:val="18"/>
                <w:szCs w:val="18"/>
                <w:lang w:eastAsia="sk-SK"/>
              </w:rPr>
              <w:t>Prešovský samosprávny kraj</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color w:val="000000"/>
                <w:sz w:val="18"/>
                <w:szCs w:val="18"/>
                <w:lang w:eastAsia="sk-SK"/>
              </w:rPr>
            </w:pPr>
            <w:r w:rsidRPr="00E9519F" w:rsidR="00A57A36">
              <w:rPr>
                <w:rFonts w:ascii="Times New Roman" w:hAnsi="Times New Roman"/>
                <w:color w:val="000000"/>
                <w:sz w:val="18"/>
                <w:szCs w:val="18"/>
                <w:lang w:eastAsia="sk-SK"/>
              </w:rPr>
              <w:t>140</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sz w:val="18"/>
                <w:szCs w:val="18"/>
                <w:lang w:eastAsia="sk-SK"/>
              </w:rPr>
            </w:pPr>
            <w:r w:rsidRPr="00E9519F" w:rsidR="006512B8">
              <w:rPr>
                <w:rFonts w:ascii="Times New Roman" w:hAnsi="Times New Roman"/>
                <w:sz w:val="18"/>
                <w:szCs w:val="18"/>
                <w:lang w:eastAsia="sk-SK"/>
              </w:rPr>
              <w:t>91</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sz w:val="18"/>
                <w:szCs w:val="18"/>
                <w:lang w:eastAsia="sk-SK"/>
              </w:rPr>
            </w:pPr>
            <w:r w:rsidRPr="00E9519F" w:rsidR="006512B8">
              <w:rPr>
                <w:rFonts w:ascii="Times New Roman" w:hAnsi="Times New Roman"/>
                <w:sz w:val="18"/>
                <w:szCs w:val="18"/>
                <w:lang w:eastAsia="sk-SK"/>
              </w:rPr>
              <w:t>48</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5463DC" w:rsidRPr="00E9519F" w:rsidP="005463DC">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single" w:sz="8" w:space="0" w:color="auto"/>
              <w:right w:val="single" w:sz="8" w:space="0" w:color="auto"/>
            </w:tcBorders>
            <w:noWrap/>
            <w:textDirection w:val="lrTb"/>
            <w:vAlign w:val="center"/>
            <w:hideMark/>
          </w:tcPr>
          <w:p w:rsidR="00AC5EE5" w:rsidRPr="00E9519F" w:rsidP="006161D2">
            <w:pPr>
              <w:bidi w:val="0"/>
              <w:spacing w:after="0" w:line="240" w:lineRule="auto"/>
              <w:rPr>
                <w:rFonts w:ascii="Times New Roman" w:hAnsi="Times New Roman"/>
                <w:color w:val="000000"/>
                <w:sz w:val="18"/>
                <w:szCs w:val="18"/>
                <w:lang w:eastAsia="sk-SK"/>
              </w:rPr>
            </w:pPr>
            <w:r w:rsidRPr="00E9519F">
              <w:rPr>
                <w:rFonts w:ascii="Times New Roman" w:hAnsi="Times New Roman"/>
                <w:color w:val="000000"/>
                <w:sz w:val="18"/>
                <w:szCs w:val="18"/>
                <w:lang w:eastAsia="sk-SK"/>
              </w:rPr>
              <w:t>Košický samosprávny kraj</w:t>
            </w:r>
          </w:p>
        </w:tc>
        <w:tc>
          <w:tcPr>
            <w:tcW w:w="120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sidR="00A57A36">
              <w:rPr>
                <w:rFonts w:ascii="Times New Roman" w:hAnsi="Times New Roman"/>
                <w:sz w:val="18"/>
                <w:szCs w:val="18"/>
                <w:lang w:eastAsia="sk-SK"/>
              </w:rPr>
              <w:t>111</w:t>
            </w:r>
          </w:p>
        </w:tc>
        <w:tc>
          <w:tcPr>
            <w:tcW w:w="84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88</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21</w:t>
            </w:r>
          </w:p>
        </w:tc>
        <w:tc>
          <w:tcPr>
            <w:tcW w:w="960" w:type="dxa"/>
            <w:tcBorders>
              <w:top w:val="single" w:sz="8" w:space="0" w:color="auto"/>
              <w:left w:val="nil"/>
              <w:bottom w:val="single" w:sz="8" w:space="0" w:color="auto"/>
              <w:right w:val="single" w:sz="8" w:space="0" w:color="auto"/>
            </w:tcBorders>
            <w:noWrap/>
            <w:textDirection w:val="lrTb"/>
            <w:vAlign w:val="center"/>
            <w:hideMark/>
          </w:tcPr>
          <w:p w:rsidR="00AC5EE5" w:rsidRPr="00E9519F" w:rsidP="006161D2">
            <w:pPr>
              <w:bidi w:val="0"/>
              <w:spacing w:after="0" w:line="240" w:lineRule="auto"/>
              <w:jc w:val="center"/>
              <w:rPr>
                <w:rFonts w:ascii="Times New Roman" w:hAnsi="Times New Roman"/>
                <w:sz w:val="18"/>
                <w:szCs w:val="18"/>
                <w:lang w:eastAsia="sk-SK"/>
              </w:rPr>
            </w:pPr>
            <w:r w:rsidRPr="00E9519F">
              <w:rPr>
                <w:rFonts w:ascii="Times New Roman" w:hAnsi="Times New Roman"/>
                <w:sz w:val="18"/>
                <w:szCs w:val="18"/>
                <w:lang w:eastAsia="sk-SK"/>
              </w:rPr>
              <w:t>1</w:t>
            </w:r>
          </w:p>
        </w:tc>
      </w:tr>
      <w:tr>
        <w:tblPrEx>
          <w:tblW w:w="8940" w:type="dxa"/>
          <w:tblInd w:w="60" w:type="dxa"/>
          <w:tblCellMar>
            <w:left w:w="70" w:type="dxa"/>
            <w:right w:w="70" w:type="dxa"/>
          </w:tblCellMar>
          <w:tblLook w:val="04A0"/>
        </w:tblPrEx>
        <w:trPr>
          <w:trHeight w:val="345"/>
        </w:trPr>
        <w:tc>
          <w:tcPr>
            <w:tcW w:w="4980" w:type="dxa"/>
            <w:tcBorders>
              <w:top w:val="single" w:sz="8" w:space="0" w:color="auto"/>
              <w:left w:val="single" w:sz="8" w:space="0" w:color="auto"/>
              <w:bottom w:val="double" w:sz="6" w:space="0" w:color="auto"/>
              <w:right w:val="single" w:sz="8" w:space="0" w:color="auto"/>
            </w:tcBorders>
            <w:noWrap/>
            <w:textDirection w:val="lrTb"/>
            <w:vAlign w:val="center"/>
            <w:hideMark/>
          </w:tcPr>
          <w:p w:rsidR="005463DC" w:rsidRPr="0072101A" w:rsidP="005463DC">
            <w:pPr>
              <w:bidi w:val="0"/>
              <w:spacing w:after="0" w:line="240" w:lineRule="auto"/>
              <w:rPr>
                <w:rFonts w:ascii="Times New Roman" w:hAnsi="Times New Roman"/>
                <w:color w:val="000000"/>
                <w:sz w:val="18"/>
                <w:szCs w:val="18"/>
                <w:lang w:eastAsia="sk-SK"/>
              </w:rPr>
            </w:pPr>
            <w:r w:rsidRPr="0072101A">
              <w:rPr>
                <w:rFonts w:ascii="Times New Roman" w:hAnsi="Times New Roman"/>
                <w:color w:val="000000"/>
                <w:sz w:val="18"/>
                <w:szCs w:val="18"/>
                <w:lang w:eastAsia="sk-SK"/>
              </w:rPr>
              <w:t>Obce SR spolu</w:t>
            </w:r>
          </w:p>
        </w:tc>
        <w:tc>
          <w:tcPr>
            <w:tcW w:w="1200" w:type="dxa"/>
            <w:tcBorders>
              <w:top w:val="single" w:sz="8" w:space="0" w:color="auto"/>
              <w:left w:val="nil"/>
              <w:bottom w:val="double" w:sz="6" w:space="0" w:color="auto"/>
              <w:right w:val="single" w:sz="8" w:space="0" w:color="auto"/>
            </w:tcBorders>
            <w:noWrap/>
            <w:textDirection w:val="lrTb"/>
            <w:vAlign w:val="center"/>
            <w:hideMark/>
          </w:tcPr>
          <w:p w:rsidR="005463DC" w:rsidRPr="0072101A" w:rsidP="005463DC">
            <w:pPr>
              <w:bidi w:val="0"/>
              <w:spacing w:after="0" w:line="240" w:lineRule="auto"/>
              <w:jc w:val="center"/>
              <w:rPr>
                <w:rFonts w:ascii="Times New Roman" w:hAnsi="Times New Roman"/>
                <w:color w:val="000000"/>
                <w:sz w:val="18"/>
                <w:szCs w:val="18"/>
                <w:lang w:eastAsia="sk-SK"/>
              </w:rPr>
            </w:pPr>
            <w:r w:rsidR="004356C6">
              <w:rPr>
                <w:rFonts w:ascii="Times New Roman" w:hAnsi="Times New Roman"/>
                <w:color w:val="000000"/>
                <w:sz w:val="18"/>
                <w:szCs w:val="18"/>
                <w:lang w:eastAsia="sk-SK"/>
              </w:rPr>
              <w:t>5960</w:t>
            </w:r>
          </w:p>
        </w:tc>
        <w:tc>
          <w:tcPr>
            <w:tcW w:w="840" w:type="dxa"/>
            <w:tcBorders>
              <w:top w:val="single" w:sz="8" w:space="0" w:color="auto"/>
              <w:left w:val="nil"/>
              <w:bottom w:val="double" w:sz="6" w:space="0" w:color="auto"/>
              <w:right w:val="single" w:sz="8" w:space="0" w:color="auto"/>
            </w:tcBorders>
            <w:noWrap/>
            <w:textDirection w:val="lrTb"/>
            <w:vAlign w:val="center"/>
            <w:hideMark/>
          </w:tcPr>
          <w:p w:rsidR="005463DC" w:rsidRPr="00D93116" w:rsidP="005463DC">
            <w:pPr>
              <w:bidi w:val="0"/>
              <w:spacing w:after="0" w:line="240" w:lineRule="auto"/>
              <w:jc w:val="center"/>
              <w:rPr>
                <w:rFonts w:ascii="Times New Roman" w:hAnsi="Times New Roman"/>
                <w:sz w:val="18"/>
                <w:szCs w:val="18"/>
                <w:lang w:eastAsia="sk-SK"/>
              </w:rPr>
            </w:pPr>
            <w:r w:rsidRPr="00D93116" w:rsidR="006512B8">
              <w:rPr>
                <w:rFonts w:ascii="Times New Roman" w:hAnsi="Times New Roman"/>
                <w:sz w:val="18"/>
                <w:szCs w:val="18"/>
                <w:lang w:eastAsia="sk-SK"/>
              </w:rPr>
              <w:t>2 227</w:t>
            </w:r>
          </w:p>
        </w:tc>
        <w:tc>
          <w:tcPr>
            <w:tcW w:w="960" w:type="dxa"/>
            <w:tcBorders>
              <w:top w:val="single" w:sz="8" w:space="0" w:color="auto"/>
              <w:left w:val="nil"/>
              <w:bottom w:val="double" w:sz="6" w:space="0" w:color="auto"/>
              <w:right w:val="single" w:sz="8" w:space="0" w:color="auto"/>
            </w:tcBorders>
            <w:noWrap/>
            <w:textDirection w:val="lrTb"/>
            <w:vAlign w:val="center"/>
            <w:hideMark/>
          </w:tcPr>
          <w:p w:rsidR="005463DC" w:rsidRPr="00D93116" w:rsidP="005463DC">
            <w:pPr>
              <w:bidi w:val="0"/>
              <w:spacing w:after="0" w:line="240" w:lineRule="auto"/>
              <w:jc w:val="center"/>
              <w:rPr>
                <w:rFonts w:ascii="Times New Roman" w:hAnsi="Times New Roman"/>
                <w:sz w:val="18"/>
                <w:szCs w:val="18"/>
                <w:lang w:eastAsia="sk-SK"/>
              </w:rPr>
            </w:pPr>
            <w:r w:rsidRPr="00D93116" w:rsidR="00364DD4">
              <w:rPr>
                <w:rFonts w:ascii="Times New Roman" w:hAnsi="Times New Roman"/>
                <w:sz w:val="18"/>
                <w:szCs w:val="18"/>
                <w:lang w:eastAsia="sk-SK"/>
              </w:rPr>
              <w:t>259</w:t>
            </w:r>
          </w:p>
        </w:tc>
        <w:tc>
          <w:tcPr>
            <w:tcW w:w="960" w:type="dxa"/>
            <w:tcBorders>
              <w:top w:val="single" w:sz="8" w:space="0" w:color="auto"/>
              <w:left w:val="nil"/>
              <w:bottom w:val="double" w:sz="6" w:space="0" w:color="auto"/>
              <w:right w:val="single" w:sz="8" w:space="0" w:color="auto"/>
            </w:tcBorders>
            <w:noWrap/>
            <w:textDirection w:val="lrTb"/>
            <w:vAlign w:val="center"/>
            <w:hideMark/>
          </w:tcPr>
          <w:p w:rsidR="005463DC" w:rsidRPr="00D93116" w:rsidP="005463DC">
            <w:pPr>
              <w:bidi w:val="0"/>
              <w:spacing w:after="0" w:line="240" w:lineRule="auto"/>
              <w:jc w:val="center"/>
              <w:rPr>
                <w:rFonts w:ascii="Times New Roman" w:hAnsi="Times New Roman"/>
                <w:sz w:val="18"/>
                <w:szCs w:val="18"/>
                <w:lang w:eastAsia="sk-SK"/>
              </w:rPr>
            </w:pPr>
            <w:r w:rsidRPr="00D93116" w:rsidR="00D93116">
              <w:rPr>
                <w:rFonts w:ascii="Times New Roman" w:hAnsi="Times New Roman"/>
                <w:sz w:val="18"/>
                <w:szCs w:val="18"/>
                <w:lang w:eastAsia="sk-SK"/>
              </w:rPr>
              <w:t>548</w:t>
            </w:r>
          </w:p>
        </w:tc>
      </w:tr>
      <w:tr>
        <w:tblPrEx>
          <w:tblW w:w="8940" w:type="dxa"/>
          <w:tblInd w:w="60" w:type="dxa"/>
          <w:tblCellMar>
            <w:left w:w="70" w:type="dxa"/>
            <w:right w:w="70" w:type="dxa"/>
          </w:tblCellMar>
          <w:tblLook w:val="04A0"/>
        </w:tblPrEx>
        <w:trPr>
          <w:trHeight w:val="360"/>
        </w:trPr>
        <w:tc>
          <w:tcPr>
            <w:tcW w:w="4980" w:type="dxa"/>
            <w:tcBorders>
              <w:top w:val="nil"/>
              <w:left w:val="single" w:sz="8" w:space="0" w:color="auto"/>
              <w:bottom w:val="single" w:sz="8" w:space="0" w:color="auto"/>
              <w:right w:val="single" w:sz="8" w:space="0" w:color="auto"/>
            </w:tcBorders>
            <w:shd w:val="clear" w:color="000000" w:fill="BFBFBF"/>
            <w:noWrap/>
            <w:textDirection w:val="lrTb"/>
            <w:vAlign w:val="center"/>
            <w:hideMark/>
          </w:tcPr>
          <w:p w:rsidR="005463DC" w:rsidRPr="0072101A" w:rsidP="005463DC">
            <w:pPr>
              <w:bidi w:val="0"/>
              <w:spacing w:after="0" w:line="240" w:lineRule="auto"/>
              <w:jc w:val="center"/>
              <w:rPr>
                <w:rFonts w:ascii="Times New Roman" w:hAnsi="Times New Roman"/>
                <w:b/>
                <w:bCs/>
                <w:color w:val="000000"/>
                <w:sz w:val="18"/>
                <w:szCs w:val="18"/>
                <w:lang w:eastAsia="sk-SK"/>
              </w:rPr>
            </w:pPr>
            <w:r w:rsidRPr="0072101A">
              <w:rPr>
                <w:rFonts w:ascii="Times New Roman" w:hAnsi="Times New Roman"/>
                <w:b/>
                <w:bCs/>
                <w:color w:val="000000"/>
                <w:sz w:val="18"/>
                <w:szCs w:val="18"/>
                <w:lang w:eastAsia="sk-SK"/>
              </w:rPr>
              <w:t>Spolu</w:t>
            </w:r>
          </w:p>
        </w:tc>
        <w:tc>
          <w:tcPr>
            <w:tcW w:w="1200" w:type="dxa"/>
            <w:tcBorders>
              <w:top w:val="nil"/>
              <w:left w:val="nil"/>
              <w:bottom w:val="single" w:sz="8" w:space="0" w:color="auto"/>
              <w:right w:val="single" w:sz="8" w:space="0" w:color="auto"/>
            </w:tcBorders>
            <w:shd w:val="clear" w:color="000000" w:fill="BFBFBF"/>
            <w:noWrap/>
            <w:textDirection w:val="lrTb"/>
            <w:vAlign w:val="center"/>
            <w:hideMark/>
          </w:tcPr>
          <w:p w:rsidR="005463DC" w:rsidRPr="0072101A" w:rsidP="005463DC">
            <w:pPr>
              <w:bidi w:val="0"/>
              <w:spacing w:after="0" w:line="240" w:lineRule="auto"/>
              <w:jc w:val="center"/>
              <w:rPr>
                <w:rFonts w:ascii="Times New Roman" w:hAnsi="Times New Roman"/>
                <w:b/>
                <w:bCs/>
                <w:color w:val="000000"/>
                <w:sz w:val="18"/>
                <w:szCs w:val="18"/>
                <w:lang w:eastAsia="sk-SK"/>
              </w:rPr>
            </w:pPr>
            <w:r w:rsidR="00A34935">
              <w:rPr>
                <w:rFonts w:ascii="Times New Roman" w:hAnsi="Times New Roman"/>
                <w:b/>
                <w:bCs/>
                <w:color w:val="000000"/>
                <w:sz w:val="18"/>
                <w:szCs w:val="18"/>
                <w:lang w:eastAsia="sk-SK"/>
              </w:rPr>
              <w:t>7 8</w:t>
            </w:r>
            <w:r w:rsidR="007B3B05">
              <w:rPr>
                <w:rFonts w:ascii="Times New Roman" w:hAnsi="Times New Roman"/>
                <w:b/>
                <w:bCs/>
                <w:color w:val="000000"/>
                <w:sz w:val="18"/>
                <w:szCs w:val="18"/>
                <w:lang w:eastAsia="sk-SK"/>
              </w:rPr>
              <w:t>30</w:t>
            </w:r>
          </w:p>
        </w:tc>
        <w:tc>
          <w:tcPr>
            <w:tcW w:w="840" w:type="dxa"/>
            <w:tcBorders>
              <w:top w:val="nil"/>
              <w:left w:val="nil"/>
              <w:bottom w:val="single" w:sz="8" w:space="0" w:color="auto"/>
              <w:right w:val="single" w:sz="8" w:space="0" w:color="auto"/>
            </w:tcBorders>
            <w:shd w:val="clear" w:color="000000" w:fill="BFBFBF"/>
            <w:noWrap/>
            <w:textDirection w:val="lrTb"/>
            <w:vAlign w:val="center"/>
            <w:hideMark/>
          </w:tcPr>
          <w:p w:rsidR="005463DC" w:rsidRPr="0072101A" w:rsidP="00A34935">
            <w:pPr>
              <w:bidi w:val="0"/>
              <w:spacing w:after="0" w:line="240" w:lineRule="auto"/>
              <w:jc w:val="center"/>
              <w:rPr>
                <w:rFonts w:ascii="Times New Roman" w:hAnsi="Times New Roman"/>
                <w:b/>
                <w:bCs/>
                <w:color w:val="000000"/>
                <w:sz w:val="18"/>
                <w:szCs w:val="18"/>
                <w:lang w:eastAsia="sk-SK"/>
              </w:rPr>
            </w:pPr>
            <w:r w:rsidR="006512B8">
              <w:rPr>
                <w:rFonts w:ascii="Times New Roman" w:hAnsi="Times New Roman"/>
                <w:b/>
                <w:bCs/>
                <w:color w:val="000000"/>
                <w:sz w:val="18"/>
                <w:szCs w:val="18"/>
                <w:lang w:eastAsia="sk-SK"/>
              </w:rPr>
              <w:t>3 49</w:t>
            </w:r>
            <w:r w:rsidR="007B3B05">
              <w:rPr>
                <w:rFonts w:ascii="Times New Roman" w:hAnsi="Times New Roman"/>
                <w:b/>
                <w:bCs/>
                <w:color w:val="000000"/>
                <w:sz w:val="18"/>
                <w:szCs w:val="18"/>
                <w:lang w:eastAsia="sk-SK"/>
              </w:rPr>
              <w:t>4</w:t>
            </w:r>
          </w:p>
        </w:tc>
        <w:tc>
          <w:tcPr>
            <w:tcW w:w="960" w:type="dxa"/>
            <w:tcBorders>
              <w:top w:val="nil"/>
              <w:left w:val="nil"/>
              <w:bottom w:val="single" w:sz="8" w:space="0" w:color="auto"/>
              <w:right w:val="single" w:sz="8" w:space="0" w:color="auto"/>
            </w:tcBorders>
            <w:shd w:val="clear" w:color="000000" w:fill="BFBFBF"/>
            <w:noWrap/>
            <w:textDirection w:val="lrTb"/>
            <w:vAlign w:val="center"/>
            <w:hideMark/>
          </w:tcPr>
          <w:p w:rsidR="005463DC" w:rsidRPr="0072101A" w:rsidP="005463DC">
            <w:pPr>
              <w:bidi w:val="0"/>
              <w:spacing w:after="0" w:line="240" w:lineRule="auto"/>
              <w:jc w:val="center"/>
              <w:rPr>
                <w:rFonts w:ascii="Times New Roman" w:hAnsi="Times New Roman"/>
                <w:b/>
                <w:bCs/>
                <w:color w:val="000000"/>
                <w:sz w:val="18"/>
                <w:szCs w:val="18"/>
                <w:lang w:eastAsia="sk-SK"/>
              </w:rPr>
            </w:pPr>
            <w:r w:rsidR="00A34935">
              <w:rPr>
                <w:rFonts w:ascii="Times New Roman" w:hAnsi="Times New Roman"/>
                <w:b/>
                <w:bCs/>
                <w:color w:val="000000"/>
                <w:sz w:val="18"/>
                <w:szCs w:val="18"/>
                <w:lang w:eastAsia="sk-SK"/>
              </w:rPr>
              <w:t>688</w:t>
            </w:r>
          </w:p>
        </w:tc>
        <w:tc>
          <w:tcPr>
            <w:tcW w:w="960" w:type="dxa"/>
            <w:tcBorders>
              <w:top w:val="nil"/>
              <w:left w:val="nil"/>
              <w:bottom w:val="single" w:sz="8" w:space="0" w:color="auto"/>
              <w:right w:val="single" w:sz="8" w:space="0" w:color="auto"/>
            </w:tcBorders>
            <w:shd w:val="clear" w:color="000000" w:fill="BFBFBF"/>
            <w:noWrap/>
            <w:textDirection w:val="lrTb"/>
            <w:vAlign w:val="center"/>
            <w:hideMark/>
          </w:tcPr>
          <w:p w:rsidR="005463DC" w:rsidRPr="0072101A" w:rsidP="005463DC">
            <w:pPr>
              <w:bidi w:val="0"/>
              <w:spacing w:after="0" w:line="240" w:lineRule="auto"/>
              <w:jc w:val="center"/>
              <w:rPr>
                <w:rFonts w:ascii="Times New Roman" w:hAnsi="Times New Roman"/>
                <w:b/>
                <w:bCs/>
                <w:color w:val="000000"/>
                <w:sz w:val="18"/>
                <w:szCs w:val="18"/>
                <w:lang w:eastAsia="sk-SK"/>
              </w:rPr>
            </w:pPr>
            <w:r w:rsidR="007B3B05">
              <w:rPr>
                <w:rFonts w:ascii="Times New Roman" w:hAnsi="Times New Roman"/>
                <w:b/>
                <w:bCs/>
                <w:color w:val="000000"/>
                <w:sz w:val="18"/>
                <w:szCs w:val="18"/>
                <w:lang w:eastAsia="sk-SK"/>
              </w:rPr>
              <w:t>618</w:t>
            </w:r>
          </w:p>
        </w:tc>
      </w:tr>
    </w:tbl>
    <w:p w:rsidR="002B540B" w:rsidRPr="000A51C5" w:rsidP="000A51C5">
      <w:pPr>
        <w:bidi w:val="0"/>
        <w:spacing w:after="0" w:line="240" w:lineRule="auto"/>
        <w:jc w:val="both"/>
        <w:rPr>
          <w:rFonts w:ascii="Times New Roman" w:hAnsi="Times New Roman"/>
          <w:color w:val="000000"/>
          <w:sz w:val="18"/>
          <w:szCs w:val="18"/>
        </w:rPr>
      </w:pPr>
      <w:r w:rsidRPr="0072101A" w:rsidR="000A51C5">
        <w:rPr>
          <w:rFonts w:ascii="Times New Roman" w:hAnsi="Times New Roman"/>
          <w:color w:val="000000"/>
          <w:sz w:val="18"/>
          <w:szCs w:val="18"/>
        </w:rPr>
        <w:t>Počet organizácií je spracovaný na základe podmienky predloženia účtovnej závierky</w:t>
      </w:r>
      <w:r w:rsidRPr="0072101A" w:rsidR="003A3848">
        <w:rPr>
          <w:rFonts w:ascii="Times New Roman" w:hAnsi="Times New Roman"/>
          <w:color w:val="000000"/>
          <w:sz w:val="18"/>
          <w:szCs w:val="18"/>
        </w:rPr>
        <w:t>,</w:t>
      </w:r>
      <w:r w:rsidRPr="0072101A" w:rsidR="000A51C5">
        <w:rPr>
          <w:rFonts w:ascii="Times New Roman" w:hAnsi="Times New Roman"/>
          <w:color w:val="000000"/>
          <w:sz w:val="18"/>
          <w:szCs w:val="18"/>
        </w:rPr>
        <w:t xml:space="preserve"> resp. konsolidačného balíka za daný subjekt do spracovania agregátnych údajov súhrnnej účtovnej závierky. Do zoznamu boli zahrnuté aj zaniknuté organizácie v rámci roka 201</w:t>
      </w:r>
      <w:r w:rsidR="00483227">
        <w:rPr>
          <w:rFonts w:ascii="Times New Roman" w:hAnsi="Times New Roman"/>
          <w:color w:val="000000"/>
          <w:sz w:val="18"/>
          <w:szCs w:val="18"/>
        </w:rPr>
        <w:t>5.</w:t>
      </w:r>
    </w:p>
    <w:p w:rsidR="00173A53" w:rsidRPr="00173A53" w:rsidP="00624F05">
      <w:pPr>
        <w:pStyle w:val="Pismenka"/>
        <w:tabs>
          <w:tab w:val="clear" w:pos="426"/>
        </w:tabs>
        <w:bidi w:val="0"/>
        <w:spacing w:before="120" w:after="120" w:line="360" w:lineRule="auto"/>
        <w:ind w:left="0" w:firstLine="0"/>
        <w:rPr>
          <w:rFonts w:ascii="Times New Roman" w:hAnsi="Times New Roman"/>
          <w:b w:val="0"/>
          <w:bCs w:val="0"/>
          <w:sz w:val="24"/>
          <w:szCs w:val="24"/>
        </w:rPr>
      </w:pPr>
    </w:p>
    <w:sectPr w:rsidSect="003E7ED7">
      <w:headerReference w:type="first" r:id="rId15"/>
      <w:pgSz w:w="11906" w:h="16838"/>
      <w:pgMar w:top="1418" w:right="1134" w:bottom="1418" w:left="1134" w:header="709" w:footer="709" w:gutter="567"/>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Arial Narrow">
    <w:panose1 w:val="00000000000000000000"/>
    <w:charset w:val="EE"/>
    <w:family w:val="swiss"/>
    <w:pitch w:val="variable"/>
    <w:sig w:usb0="00000000" w:usb1="00000000" w:usb2="00000000" w:usb3="00000000" w:csb0="0000009F" w:csb1="00000000"/>
  </w:font>
  <w:font w:name="Dutch801 SWC">
    <w:altName w:val="Times New Roman"/>
    <w:panose1 w:val="00000000000000000000"/>
    <w:charset w:val="00"/>
    <w:family w:val="roman"/>
    <w:pitch w:val="variable"/>
    <w:sig w:usb0="00000000" w:usb1="00000000" w:usb2="00000000" w:usb3="00000000" w:csb0="00000001" w:csb1="00000000"/>
  </w:font>
  <w:font w:name="AT* Times New Roman">
    <w:altName w:val="Courier New"/>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1D2" w:rsidRPr="003E5CFD" w:rsidP="003E5CFD">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1D2" w:rsidRPr="003E5CFD" w:rsidP="003E5CFD">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1D2" w:rsidRPr="00C30A29" w:rsidP="00C30A29">
    <w:pPr>
      <w:pStyle w:val="Footer"/>
      <w:bidi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1D2" w:rsidRPr="003E5CFD" w:rsidP="003E5CFD">
    <w:pPr>
      <w:pStyle w:val="Footer"/>
      <w:bidi w:val="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1D2" w:rsidRPr="006C48DD">
    <w:pPr>
      <w:pStyle w:val="Footer"/>
      <w:bidi w:val="0"/>
      <w:jc w:val="center"/>
      <w:rPr>
        <w:rFonts w:ascii="Times New Roman" w:hAnsi="Times New Roman"/>
        <w:sz w:val="20"/>
        <w:szCs w:val="20"/>
      </w:rPr>
    </w:pPr>
    <w:r w:rsidRPr="006C48DD">
      <w:rPr>
        <w:rFonts w:ascii="Times New Roman" w:hAnsi="Times New Roman"/>
        <w:sz w:val="20"/>
        <w:szCs w:val="20"/>
      </w:rPr>
      <w:fldChar w:fldCharType="begin"/>
    </w:r>
    <w:r w:rsidRPr="006C48DD">
      <w:rPr>
        <w:rFonts w:ascii="Times New Roman" w:hAnsi="Times New Roman"/>
        <w:sz w:val="20"/>
        <w:szCs w:val="20"/>
      </w:rPr>
      <w:instrText>PAGE   \* MERGEFORMAT</w:instrText>
    </w:r>
    <w:r w:rsidRPr="006C48DD">
      <w:rPr>
        <w:rFonts w:ascii="Times New Roman" w:hAnsi="Times New Roman"/>
        <w:sz w:val="20"/>
        <w:szCs w:val="20"/>
      </w:rPr>
      <w:fldChar w:fldCharType="separate"/>
    </w:r>
    <w:r w:rsidR="00D25C52">
      <w:rPr>
        <w:rFonts w:ascii="Times New Roman" w:hAnsi="Times New Roman"/>
        <w:noProof/>
        <w:sz w:val="20"/>
        <w:szCs w:val="20"/>
      </w:rPr>
      <w:t>42</w:t>
    </w:r>
    <w:r w:rsidRPr="006C48DD">
      <w:rPr>
        <w:rFonts w:ascii="Times New Roman" w:hAnsi="Times New Roman"/>
        <w:sz w:val="20"/>
        <w:szCs w:val="20"/>
      </w:rPr>
      <w:fldChar w:fldCharType="end"/>
    </w:r>
  </w:p>
  <w:p w:rsidR="006161D2" w:rsidRPr="00C30A29" w:rsidP="00C30A29">
    <w:pPr>
      <w:pStyle w:val="Footer"/>
      <w:bidi w:val="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1D2" w:rsidRPr="0083378A">
    <w:pPr>
      <w:pStyle w:val="Footer"/>
      <w:bidi w:val="0"/>
      <w:jc w:val="center"/>
      <w:rPr>
        <w:rFonts w:ascii="Times New Roman" w:hAnsi="Times New Roman"/>
      </w:rPr>
    </w:pPr>
    <w:r w:rsidRPr="0083378A">
      <w:rPr>
        <w:rFonts w:ascii="Times New Roman" w:hAnsi="Times New Roman"/>
      </w:rPr>
      <w:fldChar w:fldCharType="begin"/>
    </w:r>
    <w:r w:rsidRPr="0083378A">
      <w:rPr>
        <w:rFonts w:ascii="Times New Roman" w:hAnsi="Times New Roman"/>
      </w:rPr>
      <w:instrText>PAGE   \* MERGEFORMAT</w:instrText>
    </w:r>
    <w:r w:rsidRPr="0083378A">
      <w:rPr>
        <w:rFonts w:ascii="Times New Roman" w:hAnsi="Times New Roman"/>
      </w:rPr>
      <w:fldChar w:fldCharType="separate"/>
    </w:r>
    <w:r w:rsidR="00D25C52">
      <w:rPr>
        <w:rFonts w:ascii="Times New Roman" w:hAnsi="Times New Roman"/>
        <w:noProof/>
      </w:rPr>
      <w:t>5</w:t>
    </w:r>
    <w:r w:rsidRPr="0083378A">
      <w:rPr>
        <w:rFonts w:ascii="Times New Roman" w:hAnsi="Times New Roman"/>
      </w:rPr>
      <w:fldChar w:fldCharType="end"/>
    </w:r>
  </w:p>
  <w:p w:rsidR="006161D2" w:rsidRPr="003E5CFD" w:rsidP="003E5CFD">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FE8" w:rsidP="002F68AE">
      <w:pPr>
        <w:bidi w:val="0"/>
        <w:spacing w:after="0" w:line="240" w:lineRule="auto"/>
      </w:pPr>
      <w:r>
        <w:separator/>
      </w:r>
    </w:p>
  </w:footnote>
  <w:footnote w:type="continuationSeparator" w:id="1">
    <w:p w:rsidR="00CD5FE8" w:rsidP="002F68AE">
      <w:pPr>
        <w:bidi w:val="0"/>
        <w:spacing w:after="0" w:line="240" w:lineRule="auto"/>
      </w:pPr>
      <w:r>
        <w:continuationSeparator/>
      </w:r>
    </w:p>
  </w:footnote>
  <w:footnote w:id="2">
    <w:p w:rsidP="000601BC">
      <w:pPr>
        <w:pStyle w:val="FootnoteText"/>
        <w:bidi w:val="0"/>
        <w:spacing w:after="0" w:line="240" w:lineRule="auto"/>
      </w:pPr>
      <w:r w:rsidRPr="00A17C92" w:rsidR="006161D2">
        <w:rPr>
          <w:rStyle w:val="FootnoteReference"/>
          <w:rFonts w:ascii="Times New Roman" w:hAnsi="Times New Roman"/>
          <w:sz w:val="18"/>
          <w:szCs w:val="18"/>
        </w:rPr>
        <w:footnoteRef/>
      </w:r>
      <w:r w:rsidRPr="00A17C92" w:rsidR="006161D2">
        <w:rPr>
          <w:rFonts w:ascii="Times New Roman" w:hAnsi="Times New Roman"/>
          <w:sz w:val="18"/>
          <w:szCs w:val="18"/>
        </w:rPr>
        <w:t xml:space="preserve"> Napríklad zákon č. 111/1990 Zb. o štátnom podniku v znení neskorších predpisov, zákon Národnej rady Slovenskej republiky č. 258/1993 Z. z. v znení neskorších predpisov.</w:t>
      </w:r>
    </w:p>
  </w:footnote>
  <w:footnote w:id="3">
    <w:p>
      <w:pPr>
        <w:pStyle w:val="FootnoteText"/>
        <w:bidi w:val="0"/>
      </w:pPr>
      <w:r w:rsidRPr="00114BEE" w:rsidR="006161D2">
        <w:rPr>
          <w:rStyle w:val="FootnoteReference"/>
          <w:rFonts w:ascii="Times New Roman" w:hAnsi="Times New Roman"/>
          <w:sz w:val="18"/>
          <w:szCs w:val="18"/>
        </w:rPr>
        <w:footnoteRef/>
      </w:r>
      <w:r w:rsidRPr="00114BEE" w:rsidR="006161D2">
        <w:rPr>
          <w:rFonts w:ascii="Times New Roman" w:hAnsi="Times New Roman"/>
          <w:sz w:val="18"/>
          <w:szCs w:val="18"/>
        </w:rPr>
        <w:t xml:space="preserve"> http://www.rokovania.sk/Rokovanie.aspx/BodRokovaniaDetail?idMaterial=25622</w:t>
      </w:r>
    </w:p>
  </w:footnote>
  <w:footnote w:id="4">
    <w:p>
      <w:pPr>
        <w:pStyle w:val="FootnoteText"/>
        <w:bidi w:val="0"/>
      </w:pPr>
      <w:r w:rsidRPr="00114BEE" w:rsidR="006161D2">
        <w:rPr>
          <w:rStyle w:val="FootnoteReference"/>
          <w:rFonts w:ascii="Times New Roman" w:hAnsi="Times New Roman"/>
          <w:sz w:val="18"/>
          <w:szCs w:val="18"/>
        </w:rPr>
        <w:footnoteRef/>
      </w:r>
      <w:r w:rsidRPr="00114BEE" w:rsidR="006161D2">
        <w:rPr>
          <w:rFonts w:ascii="Times New Roman" w:hAnsi="Times New Roman"/>
          <w:sz w:val="18"/>
          <w:szCs w:val="18"/>
        </w:rPr>
        <w:t xml:space="preserve"> http://www.rokovania.sk/File.aspx/ViewDocumentHtml/Uznesenie-14856?prefixFile=u_</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1D2" w:rsidRPr="0003689A" w:rsidP="00B10613">
    <w:pPr>
      <w:pStyle w:val="Header"/>
      <w:pBdr>
        <w:bottom w:val="single" w:sz="4" w:space="1" w:color="auto"/>
      </w:pBdr>
      <w:bidi w:val="0"/>
      <w:jc w:val="center"/>
      <w:rPr>
        <w:rFonts w:ascii="Times New Roman" w:hAnsi="Times New Roman"/>
      </w:rPr>
    </w:pPr>
    <w:r w:rsidRPr="0003689A">
      <w:rPr>
        <w:rFonts w:ascii="Times New Roman" w:hAnsi="Times New Roman"/>
      </w:rPr>
      <w:t>Poznámky súhrnnej účtovnej závierky verejnej správy Slovenskej republiky za rok 201</w:t>
    </w:r>
    <w:r>
      <w:rPr>
        <w:rFonts w:ascii="Times New Roman" w:hAnsi="Times New Roman"/>
      </w:rPr>
      <w:t>5</w:t>
    </w:r>
  </w:p>
  <w:p w:rsidR="006161D2" w:rsidP="00624D5B">
    <w:pPr>
      <w:pStyle w:val="Header"/>
      <w:bidi w:val="0"/>
      <w:ind w:firstLine="70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1D2" w:rsidRPr="0003689A" w:rsidP="00C15FA1">
    <w:pPr>
      <w:pStyle w:val="Header"/>
      <w:pBdr>
        <w:bottom w:val="single" w:sz="4" w:space="1" w:color="auto"/>
      </w:pBdr>
      <w:bidi w:val="0"/>
      <w:jc w:val="center"/>
      <w:rPr>
        <w:rFonts w:ascii="Times New Roman" w:hAnsi="Times New Roman"/>
      </w:rPr>
    </w:pPr>
    <w:r w:rsidRPr="0003689A">
      <w:rPr>
        <w:rFonts w:ascii="Times New Roman" w:hAnsi="Times New Roman"/>
      </w:rPr>
      <w:t xml:space="preserve">Poznámky súhrnnej účtovnej závierky verejnej správy </w:t>
    </w:r>
    <w:r>
      <w:rPr>
        <w:rFonts w:ascii="Times New Roman" w:hAnsi="Times New Roman"/>
      </w:rPr>
      <w:t>Slovenskej republiky za rok 2015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1D2" w:rsidRPr="0083378A" w:rsidP="003B41D6">
    <w:pPr>
      <w:pStyle w:val="Header"/>
      <w:pBdr>
        <w:bottom w:val="single" w:sz="4" w:space="1" w:color="auto"/>
      </w:pBdr>
      <w:bidi w:val="0"/>
      <w:jc w:val="center"/>
      <w:rPr>
        <w:rFonts w:ascii="Times New Roman" w:hAnsi="Times New Roman"/>
      </w:rPr>
    </w:pPr>
    <w:r w:rsidRPr="0083378A">
      <w:rPr>
        <w:rFonts w:ascii="Times New Roman" w:hAnsi="Times New Roman"/>
      </w:rPr>
      <w:t>Poznámky súhrnnej účtovnej závierky verejnej správy Slovenskej republiky za rok 201</w:t>
    </w:r>
    <w:r>
      <w:rPr>
        <w:rFonts w:ascii="Times New Roman" w:hAnsi="Times New Roman"/>
      </w:rPr>
      <w:t>4</w:t>
    </w:r>
  </w:p>
  <w:p w:rsidR="006161D2" w:rsidRPr="001F0E4E" w:rsidP="001F0E4E">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6C6F22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4E7507D"/>
    <w:multiLevelType w:val="hybridMultilevel"/>
    <w:tmpl w:val="47AE6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C44314B"/>
    <w:multiLevelType w:val="hybridMultilevel"/>
    <w:tmpl w:val="05E6B0E2"/>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2517DE"/>
    <w:multiLevelType w:val="hybridMultilevel"/>
    <w:tmpl w:val="7B469648"/>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74B414A"/>
    <w:multiLevelType w:val="hybridMultilevel"/>
    <w:tmpl w:val="A860E468"/>
    <w:lvl w:ilvl="0">
      <w:start w:val="1"/>
      <w:numFmt w:val="upperRoman"/>
      <w:lvlText w:val="%1."/>
      <w:lvlJc w:val="left"/>
      <w:pPr>
        <w:ind w:left="1146" w:hanging="72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
    <w:nsid w:val="184F4749"/>
    <w:multiLevelType w:val="hybridMultilevel"/>
    <w:tmpl w:val="633EC3D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6">
    <w:nsid w:val="1E920B38"/>
    <w:multiLevelType w:val="hybridMultilevel"/>
    <w:tmpl w:val="D018CFC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3CD34F7"/>
    <w:multiLevelType w:val="hybridMultilevel"/>
    <w:tmpl w:val="331E8A8C"/>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2D363C92"/>
    <w:multiLevelType w:val="hybridMultilevel"/>
    <w:tmpl w:val="D76E4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0480085"/>
    <w:multiLevelType w:val="hybridMultilevel"/>
    <w:tmpl w:val="8138D66A"/>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2D25E2F"/>
    <w:multiLevelType w:val="hybridMultilevel"/>
    <w:tmpl w:val="FF7287C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1">
    <w:nsid w:val="375F70A0"/>
    <w:multiLevelType w:val="hybridMultilevel"/>
    <w:tmpl w:val="38F44880"/>
    <w:lvl w:ilvl="0">
      <w:start w:val="8"/>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A83045C"/>
    <w:multiLevelType w:val="hybridMultilevel"/>
    <w:tmpl w:val="DBAE1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AB567E1"/>
    <w:multiLevelType w:val="hybridMultilevel"/>
    <w:tmpl w:val="4370832E"/>
    <w:lvl w:ilvl="0">
      <w:start w:val="1"/>
      <w:numFmt w:val="lowerLetter"/>
      <w:pStyle w:val="abc"/>
      <w:lvlText w:val="%1)"/>
      <w:lvlJc w:val="left"/>
      <w:pPr>
        <w:tabs>
          <w:tab w:val="num" w:pos="465"/>
        </w:tabs>
        <w:ind w:left="465" w:hanging="465"/>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124500A"/>
    <w:multiLevelType w:val="hybridMultilevel"/>
    <w:tmpl w:val="A9B623F4"/>
    <w:lvl w:ilvl="0">
      <w:start w:val="2"/>
      <w:numFmt w:val="upperRoman"/>
      <w:lvlText w:val="%1."/>
      <w:lvlJc w:val="left"/>
      <w:pPr>
        <w:ind w:left="1287" w:hanging="72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5">
    <w:nsid w:val="6E2D038F"/>
    <w:multiLevelType w:val="hybridMultilevel"/>
    <w:tmpl w:val="66AC3312"/>
    <w:lvl w:ilvl="0">
      <w:start w:val="2"/>
      <w:numFmt w:val="bullet"/>
      <w:lvlText w:val="-"/>
      <w:lvlJc w:val="left"/>
      <w:pPr>
        <w:ind w:left="720" w:hanging="360"/>
      </w:pPr>
      <w:rPr>
        <w:rFonts w:ascii="Times New Roman" w:eastAsia="Times New Roman" w:hAnsi="Times New Roman" w:hint="default"/>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1B15C85"/>
    <w:multiLevelType w:val="hybridMultilevel"/>
    <w:tmpl w:val="678027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7">
    <w:nsid w:val="763E762A"/>
    <w:multiLevelType w:val="hybridMultilevel"/>
    <w:tmpl w:val="49580B9E"/>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8257C33"/>
    <w:multiLevelType w:val="hybridMultilevel"/>
    <w:tmpl w:val="16A285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8C606A6"/>
    <w:multiLevelType w:val="hybridMultilevel"/>
    <w:tmpl w:val="9FD2DC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A544B48"/>
    <w:multiLevelType w:val="hybridMultilevel"/>
    <w:tmpl w:val="BB6805EE"/>
    <w:lvl w:ilvl="0">
      <w:start w:val="7"/>
      <w:numFmt w:val="bullet"/>
      <w:pStyle w:val="AUODRAKA"/>
      <w:lvlText w:val=""/>
      <w:lvlJc w:val="left"/>
      <w:pPr>
        <w:tabs>
          <w:tab w:val="num" w:pos="284"/>
        </w:tabs>
        <w:ind w:left="284" w:hanging="284"/>
      </w:pPr>
      <w:rPr>
        <w:rFonts w:ascii="Symbol" w:hAnsi="Symbol" w:hint="default"/>
        <w:b/>
        <w:i w:val="0"/>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9"/>
  </w:num>
  <w:num w:numId="17">
    <w:abstractNumId w:val="13"/>
  </w:num>
  <w:num w:numId="18">
    <w:abstractNumId w:val="18"/>
  </w:num>
  <w:num w:numId="19">
    <w:abstractNumId w:val="6"/>
  </w:num>
  <w:num w:numId="20">
    <w:abstractNumId w:val="20"/>
  </w:num>
  <w:num w:numId="21">
    <w:abstractNumId w:val="3"/>
  </w:num>
  <w:num w:numId="22">
    <w:abstractNumId w:val="14"/>
  </w:num>
  <w:num w:numId="23">
    <w:abstractNumId w:val="15"/>
  </w:num>
  <w:num w:numId="24">
    <w:abstractNumId w:val="17"/>
  </w:num>
  <w:num w:numId="25">
    <w:abstractNumId w:val="4"/>
  </w:num>
  <w:num w:numId="26">
    <w:abstractNumId w:val="19"/>
  </w:num>
  <w:num w:numId="27">
    <w:abstractNumId w:val="5"/>
  </w:num>
  <w:num w:numId="28">
    <w:abstractNumId w:val="12"/>
  </w:num>
  <w:num w:numId="29">
    <w:abstractNumId w:val="1"/>
  </w:num>
  <w:num w:numId="30">
    <w:abstractNumId w:val="7"/>
  </w:num>
  <w:num w:numId="31">
    <w:abstractNumId w:val="11"/>
  </w:num>
  <w:num w:numId="32">
    <w:abstractNumId w:val="2"/>
  </w:num>
  <w:num w:numId="33">
    <w:abstractNumId w:val="8"/>
  </w:num>
  <w:num w:numId="34">
    <w:abstractNumId w:val="10"/>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oNotTrackMoves/>
  <w:defaultTabStop w:val="708"/>
  <w:hyphenationZone w:val="425"/>
  <w:drawingGridHorizontalSpacing w:val="110"/>
  <w:displayHorizontalDrawingGridEvery w:val="2"/>
  <w:displayVerticalDrawingGridEvery w:val="2"/>
  <w:characterSpacingControl w:val="doNotCompress"/>
  <w:footnotePr>
    <w:footnote w:id="0"/>
    <w:footnote w:id="1"/>
  </w:footnotePr>
  <w:compat/>
  <w:rsids>
    <w:rsidRoot w:val="00582CDA"/>
    <w:rsid w:val="0000077B"/>
    <w:rsid w:val="00000899"/>
    <w:rsid w:val="00000E41"/>
    <w:rsid w:val="00001513"/>
    <w:rsid w:val="00001F0D"/>
    <w:rsid w:val="00002815"/>
    <w:rsid w:val="0000287E"/>
    <w:rsid w:val="00002892"/>
    <w:rsid w:val="00002C8B"/>
    <w:rsid w:val="00003312"/>
    <w:rsid w:val="00003724"/>
    <w:rsid w:val="00004041"/>
    <w:rsid w:val="00004199"/>
    <w:rsid w:val="000058DB"/>
    <w:rsid w:val="00006996"/>
    <w:rsid w:val="00007A1C"/>
    <w:rsid w:val="00007A84"/>
    <w:rsid w:val="000100D0"/>
    <w:rsid w:val="00010B53"/>
    <w:rsid w:val="00010CE4"/>
    <w:rsid w:val="000120FB"/>
    <w:rsid w:val="000145D0"/>
    <w:rsid w:val="0001585A"/>
    <w:rsid w:val="000160DE"/>
    <w:rsid w:val="00016F54"/>
    <w:rsid w:val="00017432"/>
    <w:rsid w:val="00020088"/>
    <w:rsid w:val="0002099E"/>
    <w:rsid w:val="00021B02"/>
    <w:rsid w:val="00022B65"/>
    <w:rsid w:val="000251E7"/>
    <w:rsid w:val="0002612E"/>
    <w:rsid w:val="00026457"/>
    <w:rsid w:val="00026DBD"/>
    <w:rsid w:val="00027B2E"/>
    <w:rsid w:val="00027B55"/>
    <w:rsid w:val="00027B8B"/>
    <w:rsid w:val="00030764"/>
    <w:rsid w:val="00030B3C"/>
    <w:rsid w:val="00031009"/>
    <w:rsid w:val="000310DF"/>
    <w:rsid w:val="000313A1"/>
    <w:rsid w:val="00032A8C"/>
    <w:rsid w:val="00032CE9"/>
    <w:rsid w:val="00033F1E"/>
    <w:rsid w:val="000357BE"/>
    <w:rsid w:val="00035F7D"/>
    <w:rsid w:val="0003689A"/>
    <w:rsid w:val="00036EAE"/>
    <w:rsid w:val="00036F71"/>
    <w:rsid w:val="00037126"/>
    <w:rsid w:val="000408BA"/>
    <w:rsid w:val="00041DA9"/>
    <w:rsid w:val="000426CA"/>
    <w:rsid w:val="0004297B"/>
    <w:rsid w:val="0004314E"/>
    <w:rsid w:val="000478FF"/>
    <w:rsid w:val="00047906"/>
    <w:rsid w:val="00053B92"/>
    <w:rsid w:val="000549E5"/>
    <w:rsid w:val="00055AA2"/>
    <w:rsid w:val="00055E88"/>
    <w:rsid w:val="0005683E"/>
    <w:rsid w:val="00056856"/>
    <w:rsid w:val="00057472"/>
    <w:rsid w:val="0005787D"/>
    <w:rsid w:val="00057C58"/>
    <w:rsid w:val="000601BC"/>
    <w:rsid w:val="0006029A"/>
    <w:rsid w:val="00060DC1"/>
    <w:rsid w:val="00061B0A"/>
    <w:rsid w:val="000636C6"/>
    <w:rsid w:val="00064D15"/>
    <w:rsid w:val="00065142"/>
    <w:rsid w:val="00066326"/>
    <w:rsid w:val="00067327"/>
    <w:rsid w:val="00071082"/>
    <w:rsid w:val="000722CB"/>
    <w:rsid w:val="00072E1F"/>
    <w:rsid w:val="00072EC0"/>
    <w:rsid w:val="0007343D"/>
    <w:rsid w:val="0007354A"/>
    <w:rsid w:val="000738CA"/>
    <w:rsid w:val="00073F00"/>
    <w:rsid w:val="00073F07"/>
    <w:rsid w:val="000751EF"/>
    <w:rsid w:val="00076651"/>
    <w:rsid w:val="00080430"/>
    <w:rsid w:val="00080A2C"/>
    <w:rsid w:val="000814FA"/>
    <w:rsid w:val="00082DB5"/>
    <w:rsid w:val="00083569"/>
    <w:rsid w:val="00083F9E"/>
    <w:rsid w:val="00084034"/>
    <w:rsid w:val="00086A8B"/>
    <w:rsid w:val="00087FC6"/>
    <w:rsid w:val="000906D6"/>
    <w:rsid w:val="00090959"/>
    <w:rsid w:val="000929F2"/>
    <w:rsid w:val="000936C5"/>
    <w:rsid w:val="00094696"/>
    <w:rsid w:val="000948CF"/>
    <w:rsid w:val="00094ACB"/>
    <w:rsid w:val="00095D8F"/>
    <w:rsid w:val="000967C3"/>
    <w:rsid w:val="000967F2"/>
    <w:rsid w:val="00096CB6"/>
    <w:rsid w:val="000A0476"/>
    <w:rsid w:val="000A0C81"/>
    <w:rsid w:val="000A0D54"/>
    <w:rsid w:val="000A1660"/>
    <w:rsid w:val="000A1A32"/>
    <w:rsid w:val="000A2595"/>
    <w:rsid w:val="000A2BEC"/>
    <w:rsid w:val="000A2D20"/>
    <w:rsid w:val="000A2F10"/>
    <w:rsid w:val="000A51C5"/>
    <w:rsid w:val="000A5CDF"/>
    <w:rsid w:val="000A6DC1"/>
    <w:rsid w:val="000A6DCE"/>
    <w:rsid w:val="000A6E36"/>
    <w:rsid w:val="000A7421"/>
    <w:rsid w:val="000A74CE"/>
    <w:rsid w:val="000A7E99"/>
    <w:rsid w:val="000A7EBD"/>
    <w:rsid w:val="000B11BE"/>
    <w:rsid w:val="000B12CE"/>
    <w:rsid w:val="000B1541"/>
    <w:rsid w:val="000B314C"/>
    <w:rsid w:val="000B437B"/>
    <w:rsid w:val="000B4905"/>
    <w:rsid w:val="000B4D88"/>
    <w:rsid w:val="000B52AF"/>
    <w:rsid w:val="000B59A7"/>
    <w:rsid w:val="000B630E"/>
    <w:rsid w:val="000B6C98"/>
    <w:rsid w:val="000C0682"/>
    <w:rsid w:val="000C0780"/>
    <w:rsid w:val="000C0941"/>
    <w:rsid w:val="000C15D1"/>
    <w:rsid w:val="000C1C92"/>
    <w:rsid w:val="000C2D7F"/>
    <w:rsid w:val="000C406C"/>
    <w:rsid w:val="000C4171"/>
    <w:rsid w:val="000C459A"/>
    <w:rsid w:val="000C5F58"/>
    <w:rsid w:val="000C6837"/>
    <w:rsid w:val="000D0697"/>
    <w:rsid w:val="000D2111"/>
    <w:rsid w:val="000D2C54"/>
    <w:rsid w:val="000D37D0"/>
    <w:rsid w:val="000D3904"/>
    <w:rsid w:val="000D3B6F"/>
    <w:rsid w:val="000D4F3F"/>
    <w:rsid w:val="000D584F"/>
    <w:rsid w:val="000D5BCA"/>
    <w:rsid w:val="000D63AB"/>
    <w:rsid w:val="000D6928"/>
    <w:rsid w:val="000D76F2"/>
    <w:rsid w:val="000E0092"/>
    <w:rsid w:val="000E12CE"/>
    <w:rsid w:val="000E153F"/>
    <w:rsid w:val="000E1939"/>
    <w:rsid w:val="000E1D9C"/>
    <w:rsid w:val="000E22E6"/>
    <w:rsid w:val="000E2E96"/>
    <w:rsid w:val="000E3628"/>
    <w:rsid w:val="000E38B0"/>
    <w:rsid w:val="000E39B5"/>
    <w:rsid w:val="000E4443"/>
    <w:rsid w:val="000E52E5"/>
    <w:rsid w:val="000E560B"/>
    <w:rsid w:val="000E781E"/>
    <w:rsid w:val="000E7B96"/>
    <w:rsid w:val="000F0CEB"/>
    <w:rsid w:val="000F1E66"/>
    <w:rsid w:val="000F1F71"/>
    <w:rsid w:val="000F2DBC"/>
    <w:rsid w:val="000F372F"/>
    <w:rsid w:val="000F3CD8"/>
    <w:rsid w:val="000F3FE0"/>
    <w:rsid w:val="000F4287"/>
    <w:rsid w:val="000F481E"/>
    <w:rsid w:val="000F5037"/>
    <w:rsid w:val="000F54E7"/>
    <w:rsid w:val="000F5AFC"/>
    <w:rsid w:val="000F67E4"/>
    <w:rsid w:val="000F6852"/>
    <w:rsid w:val="000F6CD5"/>
    <w:rsid w:val="000F6DC1"/>
    <w:rsid w:val="000F70F1"/>
    <w:rsid w:val="000F7610"/>
    <w:rsid w:val="000F77AB"/>
    <w:rsid w:val="000F7908"/>
    <w:rsid w:val="000F7A3C"/>
    <w:rsid w:val="001007B7"/>
    <w:rsid w:val="00100826"/>
    <w:rsid w:val="00100E30"/>
    <w:rsid w:val="001012EA"/>
    <w:rsid w:val="001029C8"/>
    <w:rsid w:val="00102ABD"/>
    <w:rsid w:val="00102CEE"/>
    <w:rsid w:val="001041E0"/>
    <w:rsid w:val="0010458B"/>
    <w:rsid w:val="00110BC0"/>
    <w:rsid w:val="001110FC"/>
    <w:rsid w:val="00111AAD"/>
    <w:rsid w:val="00112885"/>
    <w:rsid w:val="00113589"/>
    <w:rsid w:val="00114550"/>
    <w:rsid w:val="001147EC"/>
    <w:rsid w:val="00114BEE"/>
    <w:rsid w:val="0011540D"/>
    <w:rsid w:val="0011650E"/>
    <w:rsid w:val="0011652A"/>
    <w:rsid w:val="00117C64"/>
    <w:rsid w:val="001202B9"/>
    <w:rsid w:val="00120F88"/>
    <w:rsid w:val="00121827"/>
    <w:rsid w:val="001226DE"/>
    <w:rsid w:val="00123486"/>
    <w:rsid w:val="0012396F"/>
    <w:rsid w:val="00123F18"/>
    <w:rsid w:val="00124066"/>
    <w:rsid w:val="0012433C"/>
    <w:rsid w:val="00124515"/>
    <w:rsid w:val="00124B0E"/>
    <w:rsid w:val="00125302"/>
    <w:rsid w:val="00125BD1"/>
    <w:rsid w:val="00126326"/>
    <w:rsid w:val="001265A1"/>
    <w:rsid w:val="001269EB"/>
    <w:rsid w:val="00126CC9"/>
    <w:rsid w:val="0013080E"/>
    <w:rsid w:val="00130865"/>
    <w:rsid w:val="00131A07"/>
    <w:rsid w:val="001330E2"/>
    <w:rsid w:val="00133638"/>
    <w:rsid w:val="00133A16"/>
    <w:rsid w:val="00133D47"/>
    <w:rsid w:val="00133D85"/>
    <w:rsid w:val="00134F9E"/>
    <w:rsid w:val="0013518A"/>
    <w:rsid w:val="001358BA"/>
    <w:rsid w:val="00135A49"/>
    <w:rsid w:val="00136D7C"/>
    <w:rsid w:val="00136EA8"/>
    <w:rsid w:val="00140CE4"/>
    <w:rsid w:val="00141CCA"/>
    <w:rsid w:val="00142D17"/>
    <w:rsid w:val="00143731"/>
    <w:rsid w:val="00144CAB"/>
    <w:rsid w:val="0014570E"/>
    <w:rsid w:val="00145A6E"/>
    <w:rsid w:val="00145CA5"/>
    <w:rsid w:val="001462FB"/>
    <w:rsid w:val="00146B8C"/>
    <w:rsid w:val="001478F0"/>
    <w:rsid w:val="00150416"/>
    <w:rsid w:val="001512FC"/>
    <w:rsid w:val="00151BD1"/>
    <w:rsid w:val="00152C68"/>
    <w:rsid w:val="001532F4"/>
    <w:rsid w:val="001544B6"/>
    <w:rsid w:val="00155568"/>
    <w:rsid w:val="0015594C"/>
    <w:rsid w:val="00155BCA"/>
    <w:rsid w:val="00155E1C"/>
    <w:rsid w:val="0015607A"/>
    <w:rsid w:val="00156B30"/>
    <w:rsid w:val="00156C98"/>
    <w:rsid w:val="0015795E"/>
    <w:rsid w:val="00157A4E"/>
    <w:rsid w:val="00157B8A"/>
    <w:rsid w:val="001603B3"/>
    <w:rsid w:val="00160859"/>
    <w:rsid w:val="001612EE"/>
    <w:rsid w:val="00161693"/>
    <w:rsid w:val="001618AD"/>
    <w:rsid w:val="00162D9E"/>
    <w:rsid w:val="00163980"/>
    <w:rsid w:val="00163EA0"/>
    <w:rsid w:val="00166910"/>
    <w:rsid w:val="00166D3F"/>
    <w:rsid w:val="0017045F"/>
    <w:rsid w:val="00170FB8"/>
    <w:rsid w:val="0017123B"/>
    <w:rsid w:val="001722C5"/>
    <w:rsid w:val="001722D2"/>
    <w:rsid w:val="00172725"/>
    <w:rsid w:val="0017320D"/>
    <w:rsid w:val="00173324"/>
    <w:rsid w:val="001733F6"/>
    <w:rsid w:val="00173A53"/>
    <w:rsid w:val="001746CC"/>
    <w:rsid w:val="001748B8"/>
    <w:rsid w:val="00174970"/>
    <w:rsid w:val="00174D3F"/>
    <w:rsid w:val="001753AB"/>
    <w:rsid w:val="00175F35"/>
    <w:rsid w:val="0017742E"/>
    <w:rsid w:val="0017792D"/>
    <w:rsid w:val="00180F14"/>
    <w:rsid w:val="0018215D"/>
    <w:rsid w:val="001828C3"/>
    <w:rsid w:val="001837C8"/>
    <w:rsid w:val="00184A04"/>
    <w:rsid w:val="001857E8"/>
    <w:rsid w:val="00186B1F"/>
    <w:rsid w:val="00186FD3"/>
    <w:rsid w:val="00187400"/>
    <w:rsid w:val="00190421"/>
    <w:rsid w:val="00191D37"/>
    <w:rsid w:val="00192EAA"/>
    <w:rsid w:val="00193464"/>
    <w:rsid w:val="00194480"/>
    <w:rsid w:val="001945A5"/>
    <w:rsid w:val="001949FA"/>
    <w:rsid w:val="00194A95"/>
    <w:rsid w:val="00194AAC"/>
    <w:rsid w:val="00195820"/>
    <w:rsid w:val="00195C2B"/>
    <w:rsid w:val="001963C7"/>
    <w:rsid w:val="00197506"/>
    <w:rsid w:val="001978EA"/>
    <w:rsid w:val="00197AE0"/>
    <w:rsid w:val="001A09D9"/>
    <w:rsid w:val="001A17C5"/>
    <w:rsid w:val="001A2579"/>
    <w:rsid w:val="001A2814"/>
    <w:rsid w:val="001A32ED"/>
    <w:rsid w:val="001A337B"/>
    <w:rsid w:val="001A3A1A"/>
    <w:rsid w:val="001A5256"/>
    <w:rsid w:val="001A5392"/>
    <w:rsid w:val="001A778A"/>
    <w:rsid w:val="001A7C50"/>
    <w:rsid w:val="001A7C86"/>
    <w:rsid w:val="001B0869"/>
    <w:rsid w:val="001B1832"/>
    <w:rsid w:val="001B195B"/>
    <w:rsid w:val="001B28B1"/>
    <w:rsid w:val="001B28C7"/>
    <w:rsid w:val="001B4409"/>
    <w:rsid w:val="001B5311"/>
    <w:rsid w:val="001B5CD2"/>
    <w:rsid w:val="001B5FC5"/>
    <w:rsid w:val="001B66E5"/>
    <w:rsid w:val="001B78AC"/>
    <w:rsid w:val="001C0700"/>
    <w:rsid w:val="001C3F2C"/>
    <w:rsid w:val="001C41F4"/>
    <w:rsid w:val="001C45F3"/>
    <w:rsid w:val="001C48CE"/>
    <w:rsid w:val="001C4D1E"/>
    <w:rsid w:val="001C4F60"/>
    <w:rsid w:val="001C520B"/>
    <w:rsid w:val="001C5611"/>
    <w:rsid w:val="001C60A4"/>
    <w:rsid w:val="001C720F"/>
    <w:rsid w:val="001C72DC"/>
    <w:rsid w:val="001D009A"/>
    <w:rsid w:val="001D0C6F"/>
    <w:rsid w:val="001D1B33"/>
    <w:rsid w:val="001D1D14"/>
    <w:rsid w:val="001D1D50"/>
    <w:rsid w:val="001D1F28"/>
    <w:rsid w:val="001D244F"/>
    <w:rsid w:val="001D2881"/>
    <w:rsid w:val="001D491C"/>
    <w:rsid w:val="001D5739"/>
    <w:rsid w:val="001D6E84"/>
    <w:rsid w:val="001D76ED"/>
    <w:rsid w:val="001E11D4"/>
    <w:rsid w:val="001E3789"/>
    <w:rsid w:val="001E3848"/>
    <w:rsid w:val="001E3EA0"/>
    <w:rsid w:val="001E40F3"/>
    <w:rsid w:val="001E4671"/>
    <w:rsid w:val="001E6338"/>
    <w:rsid w:val="001E6917"/>
    <w:rsid w:val="001E6C8B"/>
    <w:rsid w:val="001F0032"/>
    <w:rsid w:val="001F0E4E"/>
    <w:rsid w:val="001F356E"/>
    <w:rsid w:val="001F3765"/>
    <w:rsid w:val="001F3A1C"/>
    <w:rsid w:val="001F44C3"/>
    <w:rsid w:val="001F4582"/>
    <w:rsid w:val="001F502E"/>
    <w:rsid w:val="001F5D99"/>
    <w:rsid w:val="00200825"/>
    <w:rsid w:val="00200E0D"/>
    <w:rsid w:val="00202032"/>
    <w:rsid w:val="002032B9"/>
    <w:rsid w:val="002035EB"/>
    <w:rsid w:val="0020379D"/>
    <w:rsid w:val="00204F52"/>
    <w:rsid w:val="00205D75"/>
    <w:rsid w:val="0020638F"/>
    <w:rsid w:val="002063AD"/>
    <w:rsid w:val="002064AA"/>
    <w:rsid w:val="002069E1"/>
    <w:rsid w:val="00207B0D"/>
    <w:rsid w:val="002108AF"/>
    <w:rsid w:val="00210F7C"/>
    <w:rsid w:val="00211220"/>
    <w:rsid w:val="002122E9"/>
    <w:rsid w:val="00212B7C"/>
    <w:rsid w:val="00213E05"/>
    <w:rsid w:val="002147AF"/>
    <w:rsid w:val="00215915"/>
    <w:rsid w:val="00215A21"/>
    <w:rsid w:val="00215D5F"/>
    <w:rsid w:val="002173C8"/>
    <w:rsid w:val="00220202"/>
    <w:rsid w:val="00221103"/>
    <w:rsid w:val="002238E4"/>
    <w:rsid w:val="002248A9"/>
    <w:rsid w:val="00225638"/>
    <w:rsid w:val="00226F6F"/>
    <w:rsid w:val="00226FE4"/>
    <w:rsid w:val="00227214"/>
    <w:rsid w:val="00227F77"/>
    <w:rsid w:val="00230536"/>
    <w:rsid w:val="00231337"/>
    <w:rsid w:val="00231596"/>
    <w:rsid w:val="00232043"/>
    <w:rsid w:val="00232B08"/>
    <w:rsid w:val="0023454D"/>
    <w:rsid w:val="00237B3E"/>
    <w:rsid w:val="0024133F"/>
    <w:rsid w:val="00241A34"/>
    <w:rsid w:val="00241DDF"/>
    <w:rsid w:val="002425C8"/>
    <w:rsid w:val="00242746"/>
    <w:rsid w:val="0024355C"/>
    <w:rsid w:val="0024355E"/>
    <w:rsid w:val="002442BA"/>
    <w:rsid w:val="00245188"/>
    <w:rsid w:val="0024577D"/>
    <w:rsid w:val="00246B0A"/>
    <w:rsid w:val="0025039E"/>
    <w:rsid w:val="00250A8D"/>
    <w:rsid w:val="00250E01"/>
    <w:rsid w:val="002528D3"/>
    <w:rsid w:val="002536B9"/>
    <w:rsid w:val="00254B31"/>
    <w:rsid w:val="00254D1C"/>
    <w:rsid w:val="0025502D"/>
    <w:rsid w:val="002556BA"/>
    <w:rsid w:val="0025714B"/>
    <w:rsid w:val="00260CAD"/>
    <w:rsid w:val="00261991"/>
    <w:rsid w:val="00261A9B"/>
    <w:rsid w:val="00262D49"/>
    <w:rsid w:val="00262E5D"/>
    <w:rsid w:val="00263AFD"/>
    <w:rsid w:val="0026450F"/>
    <w:rsid w:val="00266266"/>
    <w:rsid w:val="00267350"/>
    <w:rsid w:val="00267981"/>
    <w:rsid w:val="002706B9"/>
    <w:rsid w:val="00270BE1"/>
    <w:rsid w:val="00270DA1"/>
    <w:rsid w:val="00270FC4"/>
    <w:rsid w:val="002710CF"/>
    <w:rsid w:val="00271EEB"/>
    <w:rsid w:val="00272D80"/>
    <w:rsid w:val="0027357D"/>
    <w:rsid w:val="00274DB1"/>
    <w:rsid w:val="00275D35"/>
    <w:rsid w:val="00277001"/>
    <w:rsid w:val="00277542"/>
    <w:rsid w:val="0027762E"/>
    <w:rsid w:val="00277748"/>
    <w:rsid w:val="00280A29"/>
    <w:rsid w:val="00280A2E"/>
    <w:rsid w:val="00281155"/>
    <w:rsid w:val="002815AD"/>
    <w:rsid w:val="0028267B"/>
    <w:rsid w:val="00282B73"/>
    <w:rsid w:val="00282C42"/>
    <w:rsid w:val="0028500D"/>
    <w:rsid w:val="0028532A"/>
    <w:rsid w:val="00285A2D"/>
    <w:rsid w:val="0028645C"/>
    <w:rsid w:val="00286AE5"/>
    <w:rsid w:val="00286BFC"/>
    <w:rsid w:val="002870F0"/>
    <w:rsid w:val="00287EC1"/>
    <w:rsid w:val="00290E09"/>
    <w:rsid w:val="002910B5"/>
    <w:rsid w:val="0029196E"/>
    <w:rsid w:val="00291D4D"/>
    <w:rsid w:val="00292B9B"/>
    <w:rsid w:val="0029312E"/>
    <w:rsid w:val="00293AF9"/>
    <w:rsid w:val="00293D4F"/>
    <w:rsid w:val="00293F29"/>
    <w:rsid w:val="002943E8"/>
    <w:rsid w:val="00295DC0"/>
    <w:rsid w:val="00296C0E"/>
    <w:rsid w:val="00296E77"/>
    <w:rsid w:val="002978BC"/>
    <w:rsid w:val="00297D36"/>
    <w:rsid w:val="002A0C26"/>
    <w:rsid w:val="002A140C"/>
    <w:rsid w:val="002A16A2"/>
    <w:rsid w:val="002A2B35"/>
    <w:rsid w:val="002A2D4E"/>
    <w:rsid w:val="002A393C"/>
    <w:rsid w:val="002A3BAF"/>
    <w:rsid w:val="002A4E25"/>
    <w:rsid w:val="002A501D"/>
    <w:rsid w:val="002A5432"/>
    <w:rsid w:val="002A5870"/>
    <w:rsid w:val="002A6E5E"/>
    <w:rsid w:val="002A741D"/>
    <w:rsid w:val="002B158F"/>
    <w:rsid w:val="002B2963"/>
    <w:rsid w:val="002B30E6"/>
    <w:rsid w:val="002B3197"/>
    <w:rsid w:val="002B37BD"/>
    <w:rsid w:val="002B439A"/>
    <w:rsid w:val="002B500F"/>
    <w:rsid w:val="002B540B"/>
    <w:rsid w:val="002B633C"/>
    <w:rsid w:val="002B656A"/>
    <w:rsid w:val="002B7690"/>
    <w:rsid w:val="002C0A29"/>
    <w:rsid w:val="002C18F2"/>
    <w:rsid w:val="002C1972"/>
    <w:rsid w:val="002C1F77"/>
    <w:rsid w:val="002C6BAC"/>
    <w:rsid w:val="002D0534"/>
    <w:rsid w:val="002D09B6"/>
    <w:rsid w:val="002D15AE"/>
    <w:rsid w:val="002D1B2D"/>
    <w:rsid w:val="002D1D3F"/>
    <w:rsid w:val="002D1E43"/>
    <w:rsid w:val="002D2869"/>
    <w:rsid w:val="002D2C9D"/>
    <w:rsid w:val="002D36F3"/>
    <w:rsid w:val="002D3ACA"/>
    <w:rsid w:val="002D5A26"/>
    <w:rsid w:val="002D5BDE"/>
    <w:rsid w:val="002D6047"/>
    <w:rsid w:val="002D60E7"/>
    <w:rsid w:val="002D6290"/>
    <w:rsid w:val="002D6887"/>
    <w:rsid w:val="002D7A09"/>
    <w:rsid w:val="002E099B"/>
    <w:rsid w:val="002E0E30"/>
    <w:rsid w:val="002E17CE"/>
    <w:rsid w:val="002E1DAA"/>
    <w:rsid w:val="002E1F49"/>
    <w:rsid w:val="002E2B65"/>
    <w:rsid w:val="002E2C08"/>
    <w:rsid w:val="002E3603"/>
    <w:rsid w:val="002E5184"/>
    <w:rsid w:val="002E7E63"/>
    <w:rsid w:val="002F036E"/>
    <w:rsid w:val="002F0808"/>
    <w:rsid w:val="002F099B"/>
    <w:rsid w:val="002F0A9E"/>
    <w:rsid w:val="002F3CE1"/>
    <w:rsid w:val="002F4CA5"/>
    <w:rsid w:val="002F5688"/>
    <w:rsid w:val="002F68AE"/>
    <w:rsid w:val="002F735D"/>
    <w:rsid w:val="002F75F2"/>
    <w:rsid w:val="002F7EF2"/>
    <w:rsid w:val="00300B3C"/>
    <w:rsid w:val="00300E2E"/>
    <w:rsid w:val="0030114B"/>
    <w:rsid w:val="0030122D"/>
    <w:rsid w:val="00301E90"/>
    <w:rsid w:val="0030261A"/>
    <w:rsid w:val="003028B7"/>
    <w:rsid w:val="00303282"/>
    <w:rsid w:val="0030448D"/>
    <w:rsid w:val="00305B42"/>
    <w:rsid w:val="00306715"/>
    <w:rsid w:val="00306C09"/>
    <w:rsid w:val="003071C7"/>
    <w:rsid w:val="00307AA0"/>
    <w:rsid w:val="003105A5"/>
    <w:rsid w:val="00310F7A"/>
    <w:rsid w:val="00311088"/>
    <w:rsid w:val="0031184E"/>
    <w:rsid w:val="00311E97"/>
    <w:rsid w:val="0031308F"/>
    <w:rsid w:val="00314109"/>
    <w:rsid w:val="00314947"/>
    <w:rsid w:val="00314C0F"/>
    <w:rsid w:val="00315D5F"/>
    <w:rsid w:val="0031694E"/>
    <w:rsid w:val="0031792D"/>
    <w:rsid w:val="00320D56"/>
    <w:rsid w:val="00322D02"/>
    <w:rsid w:val="0032302D"/>
    <w:rsid w:val="00326A89"/>
    <w:rsid w:val="0032704B"/>
    <w:rsid w:val="00327491"/>
    <w:rsid w:val="00327AE1"/>
    <w:rsid w:val="0033034D"/>
    <w:rsid w:val="003317B7"/>
    <w:rsid w:val="0033193D"/>
    <w:rsid w:val="00331D22"/>
    <w:rsid w:val="0033421C"/>
    <w:rsid w:val="00334397"/>
    <w:rsid w:val="003348D4"/>
    <w:rsid w:val="00336FB7"/>
    <w:rsid w:val="003377D0"/>
    <w:rsid w:val="003378F3"/>
    <w:rsid w:val="00337D46"/>
    <w:rsid w:val="003410F6"/>
    <w:rsid w:val="003415AD"/>
    <w:rsid w:val="00341A9E"/>
    <w:rsid w:val="003420B9"/>
    <w:rsid w:val="00342A2E"/>
    <w:rsid w:val="003432B7"/>
    <w:rsid w:val="0034339E"/>
    <w:rsid w:val="003435D4"/>
    <w:rsid w:val="003436F5"/>
    <w:rsid w:val="00343A8D"/>
    <w:rsid w:val="00344022"/>
    <w:rsid w:val="0034497C"/>
    <w:rsid w:val="003449DB"/>
    <w:rsid w:val="00345103"/>
    <w:rsid w:val="00345278"/>
    <w:rsid w:val="003458AF"/>
    <w:rsid w:val="00345906"/>
    <w:rsid w:val="00345C1E"/>
    <w:rsid w:val="00345C20"/>
    <w:rsid w:val="003462F9"/>
    <w:rsid w:val="00346F06"/>
    <w:rsid w:val="00347311"/>
    <w:rsid w:val="003477F1"/>
    <w:rsid w:val="0035028B"/>
    <w:rsid w:val="0035123D"/>
    <w:rsid w:val="00352350"/>
    <w:rsid w:val="00352720"/>
    <w:rsid w:val="003529A1"/>
    <w:rsid w:val="00353383"/>
    <w:rsid w:val="00353477"/>
    <w:rsid w:val="00353493"/>
    <w:rsid w:val="00354133"/>
    <w:rsid w:val="003560CF"/>
    <w:rsid w:val="00357436"/>
    <w:rsid w:val="0035784D"/>
    <w:rsid w:val="00357A11"/>
    <w:rsid w:val="003601E3"/>
    <w:rsid w:val="003601E9"/>
    <w:rsid w:val="0036129A"/>
    <w:rsid w:val="00362BBF"/>
    <w:rsid w:val="0036333E"/>
    <w:rsid w:val="003635EA"/>
    <w:rsid w:val="00364DD4"/>
    <w:rsid w:val="00364F9D"/>
    <w:rsid w:val="003653E1"/>
    <w:rsid w:val="00365924"/>
    <w:rsid w:val="00365B08"/>
    <w:rsid w:val="0036602E"/>
    <w:rsid w:val="0036606A"/>
    <w:rsid w:val="003666F1"/>
    <w:rsid w:val="00367527"/>
    <w:rsid w:val="00370B7A"/>
    <w:rsid w:val="00371336"/>
    <w:rsid w:val="00371B6B"/>
    <w:rsid w:val="0037315B"/>
    <w:rsid w:val="00375816"/>
    <w:rsid w:val="00376055"/>
    <w:rsid w:val="0037652A"/>
    <w:rsid w:val="003775F7"/>
    <w:rsid w:val="00377E7E"/>
    <w:rsid w:val="00380608"/>
    <w:rsid w:val="00381218"/>
    <w:rsid w:val="003823B8"/>
    <w:rsid w:val="00382D5F"/>
    <w:rsid w:val="0038308D"/>
    <w:rsid w:val="00383B91"/>
    <w:rsid w:val="00385BFD"/>
    <w:rsid w:val="00386D57"/>
    <w:rsid w:val="00390773"/>
    <w:rsid w:val="00390958"/>
    <w:rsid w:val="00390C3C"/>
    <w:rsid w:val="00391425"/>
    <w:rsid w:val="00391472"/>
    <w:rsid w:val="003915FD"/>
    <w:rsid w:val="00391868"/>
    <w:rsid w:val="00391B59"/>
    <w:rsid w:val="0039235F"/>
    <w:rsid w:val="00392625"/>
    <w:rsid w:val="003926B1"/>
    <w:rsid w:val="00392CF6"/>
    <w:rsid w:val="0039327C"/>
    <w:rsid w:val="00394D14"/>
    <w:rsid w:val="003953A6"/>
    <w:rsid w:val="00395D92"/>
    <w:rsid w:val="00396001"/>
    <w:rsid w:val="00396D51"/>
    <w:rsid w:val="00396F33"/>
    <w:rsid w:val="00397869"/>
    <w:rsid w:val="003A0189"/>
    <w:rsid w:val="003A0826"/>
    <w:rsid w:val="003A191A"/>
    <w:rsid w:val="003A2461"/>
    <w:rsid w:val="003A2940"/>
    <w:rsid w:val="003A31A0"/>
    <w:rsid w:val="003A3848"/>
    <w:rsid w:val="003A3B12"/>
    <w:rsid w:val="003A4026"/>
    <w:rsid w:val="003A5018"/>
    <w:rsid w:val="003A5EB5"/>
    <w:rsid w:val="003A6222"/>
    <w:rsid w:val="003A6646"/>
    <w:rsid w:val="003A6E79"/>
    <w:rsid w:val="003A7366"/>
    <w:rsid w:val="003A7ACD"/>
    <w:rsid w:val="003A7C63"/>
    <w:rsid w:val="003A7ED0"/>
    <w:rsid w:val="003B03FC"/>
    <w:rsid w:val="003B0463"/>
    <w:rsid w:val="003B1020"/>
    <w:rsid w:val="003B2588"/>
    <w:rsid w:val="003B31B6"/>
    <w:rsid w:val="003B31ED"/>
    <w:rsid w:val="003B3599"/>
    <w:rsid w:val="003B3F4C"/>
    <w:rsid w:val="003B41D6"/>
    <w:rsid w:val="003B5C3D"/>
    <w:rsid w:val="003B6AEB"/>
    <w:rsid w:val="003B770C"/>
    <w:rsid w:val="003B7A0C"/>
    <w:rsid w:val="003C0A90"/>
    <w:rsid w:val="003C102E"/>
    <w:rsid w:val="003C1C65"/>
    <w:rsid w:val="003C262F"/>
    <w:rsid w:val="003C2728"/>
    <w:rsid w:val="003C2768"/>
    <w:rsid w:val="003C3CD2"/>
    <w:rsid w:val="003C6137"/>
    <w:rsid w:val="003C61E9"/>
    <w:rsid w:val="003C62BA"/>
    <w:rsid w:val="003C6CE0"/>
    <w:rsid w:val="003C7875"/>
    <w:rsid w:val="003C7B51"/>
    <w:rsid w:val="003D0EDC"/>
    <w:rsid w:val="003D19AF"/>
    <w:rsid w:val="003D1BC3"/>
    <w:rsid w:val="003D20A0"/>
    <w:rsid w:val="003D3A2B"/>
    <w:rsid w:val="003D3C0D"/>
    <w:rsid w:val="003D577B"/>
    <w:rsid w:val="003D57B9"/>
    <w:rsid w:val="003D6F50"/>
    <w:rsid w:val="003E09AC"/>
    <w:rsid w:val="003E1176"/>
    <w:rsid w:val="003E2A96"/>
    <w:rsid w:val="003E3B8E"/>
    <w:rsid w:val="003E3BD0"/>
    <w:rsid w:val="003E4296"/>
    <w:rsid w:val="003E44B3"/>
    <w:rsid w:val="003E5CFD"/>
    <w:rsid w:val="003E7ED7"/>
    <w:rsid w:val="003E7F1C"/>
    <w:rsid w:val="003F0E93"/>
    <w:rsid w:val="003F16C9"/>
    <w:rsid w:val="003F1958"/>
    <w:rsid w:val="003F3008"/>
    <w:rsid w:val="003F3145"/>
    <w:rsid w:val="003F331F"/>
    <w:rsid w:val="003F3479"/>
    <w:rsid w:val="003F3E7F"/>
    <w:rsid w:val="003F43AB"/>
    <w:rsid w:val="003F7E76"/>
    <w:rsid w:val="00400A64"/>
    <w:rsid w:val="00400E0F"/>
    <w:rsid w:val="00400EB3"/>
    <w:rsid w:val="0040248D"/>
    <w:rsid w:val="004025C2"/>
    <w:rsid w:val="00402E37"/>
    <w:rsid w:val="00403EDC"/>
    <w:rsid w:val="004044ED"/>
    <w:rsid w:val="004045FE"/>
    <w:rsid w:val="00404FDC"/>
    <w:rsid w:val="00405030"/>
    <w:rsid w:val="00405775"/>
    <w:rsid w:val="00405876"/>
    <w:rsid w:val="00406698"/>
    <w:rsid w:val="00407087"/>
    <w:rsid w:val="00407D16"/>
    <w:rsid w:val="00407E3B"/>
    <w:rsid w:val="00411845"/>
    <w:rsid w:val="0041398D"/>
    <w:rsid w:val="00413CC1"/>
    <w:rsid w:val="004142D3"/>
    <w:rsid w:val="00414341"/>
    <w:rsid w:val="00414C3E"/>
    <w:rsid w:val="0041501C"/>
    <w:rsid w:val="004175FC"/>
    <w:rsid w:val="00420314"/>
    <w:rsid w:val="0042084D"/>
    <w:rsid w:val="00421B09"/>
    <w:rsid w:val="00424158"/>
    <w:rsid w:val="00424A6D"/>
    <w:rsid w:val="004264B6"/>
    <w:rsid w:val="004266A2"/>
    <w:rsid w:val="004268D1"/>
    <w:rsid w:val="00426983"/>
    <w:rsid w:val="00430334"/>
    <w:rsid w:val="00430E6F"/>
    <w:rsid w:val="00433BAC"/>
    <w:rsid w:val="00433F67"/>
    <w:rsid w:val="00434CB5"/>
    <w:rsid w:val="0043562C"/>
    <w:rsid w:val="004356C6"/>
    <w:rsid w:val="00435BF8"/>
    <w:rsid w:val="00436C2F"/>
    <w:rsid w:val="00436D58"/>
    <w:rsid w:val="00436F3D"/>
    <w:rsid w:val="00440650"/>
    <w:rsid w:val="00440F95"/>
    <w:rsid w:val="004414C7"/>
    <w:rsid w:val="00442806"/>
    <w:rsid w:val="004438AA"/>
    <w:rsid w:val="00443949"/>
    <w:rsid w:val="00444749"/>
    <w:rsid w:val="004459C1"/>
    <w:rsid w:val="00445B02"/>
    <w:rsid w:val="0044733D"/>
    <w:rsid w:val="0044755B"/>
    <w:rsid w:val="00451EEA"/>
    <w:rsid w:val="00452608"/>
    <w:rsid w:val="00453766"/>
    <w:rsid w:val="00455381"/>
    <w:rsid w:val="004557FB"/>
    <w:rsid w:val="00455ACE"/>
    <w:rsid w:val="004563CA"/>
    <w:rsid w:val="00456D95"/>
    <w:rsid w:val="00456DA6"/>
    <w:rsid w:val="00460661"/>
    <w:rsid w:val="00460A3F"/>
    <w:rsid w:val="00462107"/>
    <w:rsid w:val="00462875"/>
    <w:rsid w:val="00462E80"/>
    <w:rsid w:val="0046307B"/>
    <w:rsid w:val="004630FC"/>
    <w:rsid w:val="004638A2"/>
    <w:rsid w:val="00465EEE"/>
    <w:rsid w:val="00466BDC"/>
    <w:rsid w:val="00467D3B"/>
    <w:rsid w:val="00467F9F"/>
    <w:rsid w:val="00471F0D"/>
    <w:rsid w:val="004721DB"/>
    <w:rsid w:val="004725FA"/>
    <w:rsid w:val="00472EF9"/>
    <w:rsid w:val="00473846"/>
    <w:rsid w:val="00473A23"/>
    <w:rsid w:val="00474787"/>
    <w:rsid w:val="004752D7"/>
    <w:rsid w:val="00475D82"/>
    <w:rsid w:val="004768E0"/>
    <w:rsid w:val="004777AB"/>
    <w:rsid w:val="00477844"/>
    <w:rsid w:val="00477936"/>
    <w:rsid w:val="00480AA7"/>
    <w:rsid w:val="00480FC7"/>
    <w:rsid w:val="00481219"/>
    <w:rsid w:val="004819A4"/>
    <w:rsid w:val="00481A17"/>
    <w:rsid w:val="00482116"/>
    <w:rsid w:val="00482B09"/>
    <w:rsid w:val="00482C8B"/>
    <w:rsid w:val="00483227"/>
    <w:rsid w:val="004860E0"/>
    <w:rsid w:val="004903FA"/>
    <w:rsid w:val="00490F52"/>
    <w:rsid w:val="0049181C"/>
    <w:rsid w:val="00491A19"/>
    <w:rsid w:val="004927D6"/>
    <w:rsid w:val="004934C7"/>
    <w:rsid w:val="0049438C"/>
    <w:rsid w:val="00496D78"/>
    <w:rsid w:val="00497086"/>
    <w:rsid w:val="00497AFC"/>
    <w:rsid w:val="00497C5E"/>
    <w:rsid w:val="004A0505"/>
    <w:rsid w:val="004A07BC"/>
    <w:rsid w:val="004A0973"/>
    <w:rsid w:val="004A13DB"/>
    <w:rsid w:val="004A23CD"/>
    <w:rsid w:val="004A28BF"/>
    <w:rsid w:val="004A3879"/>
    <w:rsid w:val="004A44B5"/>
    <w:rsid w:val="004A4559"/>
    <w:rsid w:val="004A4965"/>
    <w:rsid w:val="004A6ADD"/>
    <w:rsid w:val="004A7634"/>
    <w:rsid w:val="004B00EB"/>
    <w:rsid w:val="004B061F"/>
    <w:rsid w:val="004B1E25"/>
    <w:rsid w:val="004B2A75"/>
    <w:rsid w:val="004B2F45"/>
    <w:rsid w:val="004B349C"/>
    <w:rsid w:val="004B3A53"/>
    <w:rsid w:val="004B443D"/>
    <w:rsid w:val="004B49A5"/>
    <w:rsid w:val="004B50C5"/>
    <w:rsid w:val="004B60D5"/>
    <w:rsid w:val="004C09E7"/>
    <w:rsid w:val="004C1746"/>
    <w:rsid w:val="004C203D"/>
    <w:rsid w:val="004C3E74"/>
    <w:rsid w:val="004C403A"/>
    <w:rsid w:val="004C47E0"/>
    <w:rsid w:val="004C6591"/>
    <w:rsid w:val="004C6D76"/>
    <w:rsid w:val="004D0111"/>
    <w:rsid w:val="004D15AD"/>
    <w:rsid w:val="004D28F3"/>
    <w:rsid w:val="004D2AFD"/>
    <w:rsid w:val="004D2CA9"/>
    <w:rsid w:val="004D4732"/>
    <w:rsid w:val="004D5893"/>
    <w:rsid w:val="004D6043"/>
    <w:rsid w:val="004D7893"/>
    <w:rsid w:val="004E007E"/>
    <w:rsid w:val="004E0940"/>
    <w:rsid w:val="004E0D23"/>
    <w:rsid w:val="004E25CC"/>
    <w:rsid w:val="004E274F"/>
    <w:rsid w:val="004E280A"/>
    <w:rsid w:val="004E28F1"/>
    <w:rsid w:val="004E44BC"/>
    <w:rsid w:val="004E462F"/>
    <w:rsid w:val="004E53E5"/>
    <w:rsid w:val="004E5CF7"/>
    <w:rsid w:val="004E7354"/>
    <w:rsid w:val="004F0957"/>
    <w:rsid w:val="004F1127"/>
    <w:rsid w:val="004F15EA"/>
    <w:rsid w:val="004F2691"/>
    <w:rsid w:val="004F2B62"/>
    <w:rsid w:val="004F300C"/>
    <w:rsid w:val="004F45C7"/>
    <w:rsid w:val="004F5AC3"/>
    <w:rsid w:val="004F6647"/>
    <w:rsid w:val="004F6A2D"/>
    <w:rsid w:val="004F7E81"/>
    <w:rsid w:val="0050062E"/>
    <w:rsid w:val="005017B6"/>
    <w:rsid w:val="00501D2D"/>
    <w:rsid w:val="00502B56"/>
    <w:rsid w:val="005059D9"/>
    <w:rsid w:val="0050608D"/>
    <w:rsid w:val="005106EB"/>
    <w:rsid w:val="00510DC7"/>
    <w:rsid w:val="00515BE4"/>
    <w:rsid w:val="00517BD3"/>
    <w:rsid w:val="00520602"/>
    <w:rsid w:val="005219BB"/>
    <w:rsid w:val="005220ED"/>
    <w:rsid w:val="00522108"/>
    <w:rsid w:val="00522F1B"/>
    <w:rsid w:val="00523066"/>
    <w:rsid w:val="00524EF0"/>
    <w:rsid w:val="005258C8"/>
    <w:rsid w:val="005259D9"/>
    <w:rsid w:val="00526D6E"/>
    <w:rsid w:val="00526F15"/>
    <w:rsid w:val="00527CFD"/>
    <w:rsid w:val="00530CB1"/>
    <w:rsid w:val="005310E2"/>
    <w:rsid w:val="0053168E"/>
    <w:rsid w:val="00531B54"/>
    <w:rsid w:val="005323D9"/>
    <w:rsid w:val="005334C9"/>
    <w:rsid w:val="00533E6D"/>
    <w:rsid w:val="00535B56"/>
    <w:rsid w:val="00536AB4"/>
    <w:rsid w:val="00537DBB"/>
    <w:rsid w:val="00540E5A"/>
    <w:rsid w:val="00542CF8"/>
    <w:rsid w:val="005438E8"/>
    <w:rsid w:val="005453DA"/>
    <w:rsid w:val="005463DC"/>
    <w:rsid w:val="005469CF"/>
    <w:rsid w:val="0054701B"/>
    <w:rsid w:val="005471C8"/>
    <w:rsid w:val="00547851"/>
    <w:rsid w:val="00547BCA"/>
    <w:rsid w:val="0055047E"/>
    <w:rsid w:val="00551FAD"/>
    <w:rsid w:val="0055252D"/>
    <w:rsid w:val="00552CB7"/>
    <w:rsid w:val="00556FD0"/>
    <w:rsid w:val="00557FCF"/>
    <w:rsid w:val="0056000B"/>
    <w:rsid w:val="005606D9"/>
    <w:rsid w:val="00561688"/>
    <w:rsid w:val="0056181B"/>
    <w:rsid w:val="00562EE3"/>
    <w:rsid w:val="005631DC"/>
    <w:rsid w:val="0056482C"/>
    <w:rsid w:val="00564E85"/>
    <w:rsid w:val="005651C8"/>
    <w:rsid w:val="00565619"/>
    <w:rsid w:val="00567126"/>
    <w:rsid w:val="0057030D"/>
    <w:rsid w:val="00570877"/>
    <w:rsid w:val="00572405"/>
    <w:rsid w:val="005726A9"/>
    <w:rsid w:val="005730E1"/>
    <w:rsid w:val="00573EBD"/>
    <w:rsid w:val="005746CC"/>
    <w:rsid w:val="00574851"/>
    <w:rsid w:val="00574D76"/>
    <w:rsid w:val="00580BC0"/>
    <w:rsid w:val="00580C07"/>
    <w:rsid w:val="00580F5B"/>
    <w:rsid w:val="00581593"/>
    <w:rsid w:val="005820B3"/>
    <w:rsid w:val="00582CDA"/>
    <w:rsid w:val="00582E00"/>
    <w:rsid w:val="00583DD8"/>
    <w:rsid w:val="00584066"/>
    <w:rsid w:val="00585931"/>
    <w:rsid w:val="00585B5D"/>
    <w:rsid w:val="00586090"/>
    <w:rsid w:val="005860B4"/>
    <w:rsid w:val="0058626A"/>
    <w:rsid w:val="00586B97"/>
    <w:rsid w:val="00587998"/>
    <w:rsid w:val="00587A51"/>
    <w:rsid w:val="00590239"/>
    <w:rsid w:val="005903B0"/>
    <w:rsid w:val="00590C6E"/>
    <w:rsid w:val="00591691"/>
    <w:rsid w:val="005921E3"/>
    <w:rsid w:val="00593817"/>
    <w:rsid w:val="00594437"/>
    <w:rsid w:val="00594935"/>
    <w:rsid w:val="00596084"/>
    <w:rsid w:val="0059631C"/>
    <w:rsid w:val="005969A8"/>
    <w:rsid w:val="00596A06"/>
    <w:rsid w:val="00596F86"/>
    <w:rsid w:val="00597991"/>
    <w:rsid w:val="005A0F35"/>
    <w:rsid w:val="005A103D"/>
    <w:rsid w:val="005A1971"/>
    <w:rsid w:val="005A1BDD"/>
    <w:rsid w:val="005A4249"/>
    <w:rsid w:val="005A48E0"/>
    <w:rsid w:val="005A58A6"/>
    <w:rsid w:val="005A617A"/>
    <w:rsid w:val="005A7555"/>
    <w:rsid w:val="005B0C95"/>
    <w:rsid w:val="005B13CE"/>
    <w:rsid w:val="005B14F9"/>
    <w:rsid w:val="005B1A54"/>
    <w:rsid w:val="005B24CB"/>
    <w:rsid w:val="005B30FE"/>
    <w:rsid w:val="005B3D8A"/>
    <w:rsid w:val="005B42B1"/>
    <w:rsid w:val="005B4D42"/>
    <w:rsid w:val="005B6206"/>
    <w:rsid w:val="005B6A5C"/>
    <w:rsid w:val="005B79E8"/>
    <w:rsid w:val="005C0BC1"/>
    <w:rsid w:val="005C1030"/>
    <w:rsid w:val="005C10E3"/>
    <w:rsid w:val="005C1D1D"/>
    <w:rsid w:val="005C2139"/>
    <w:rsid w:val="005C246B"/>
    <w:rsid w:val="005C35F2"/>
    <w:rsid w:val="005C45A8"/>
    <w:rsid w:val="005C518F"/>
    <w:rsid w:val="005C66BB"/>
    <w:rsid w:val="005C6EC7"/>
    <w:rsid w:val="005C7356"/>
    <w:rsid w:val="005C7825"/>
    <w:rsid w:val="005D0CC6"/>
    <w:rsid w:val="005D16C5"/>
    <w:rsid w:val="005D30FD"/>
    <w:rsid w:val="005D3130"/>
    <w:rsid w:val="005D34AD"/>
    <w:rsid w:val="005D3CDC"/>
    <w:rsid w:val="005D40EB"/>
    <w:rsid w:val="005D481B"/>
    <w:rsid w:val="005D4BBD"/>
    <w:rsid w:val="005D50B1"/>
    <w:rsid w:val="005D6E98"/>
    <w:rsid w:val="005D6F9E"/>
    <w:rsid w:val="005D6FE9"/>
    <w:rsid w:val="005E093D"/>
    <w:rsid w:val="005E15E2"/>
    <w:rsid w:val="005E26E5"/>
    <w:rsid w:val="005E2A22"/>
    <w:rsid w:val="005E342D"/>
    <w:rsid w:val="005E38C0"/>
    <w:rsid w:val="005E41AB"/>
    <w:rsid w:val="005E46F4"/>
    <w:rsid w:val="005E4CB1"/>
    <w:rsid w:val="005E5023"/>
    <w:rsid w:val="005E5C9B"/>
    <w:rsid w:val="005E6E4C"/>
    <w:rsid w:val="005E7BA6"/>
    <w:rsid w:val="005E7FE9"/>
    <w:rsid w:val="005F0011"/>
    <w:rsid w:val="005F17FF"/>
    <w:rsid w:val="005F2345"/>
    <w:rsid w:val="005F2385"/>
    <w:rsid w:val="005F3A0B"/>
    <w:rsid w:val="005F3AEB"/>
    <w:rsid w:val="005F45B3"/>
    <w:rsid w:val="005F563C"/>
    <w:rsid w:val="005F5F1C"/>
    <w:rsid w:val="005F6378"/>
    <w:rsid w:val="005F7C66"/>
    <w:rsid w:val="006001DE"/>
    <w:rsid w:val="00601188"/>
    <w:rsid w:val="00601B45"/>
    <w:rsid w:val="0060202F"/>
    <w:rsid w:val="00602481"/>
    <w:rsid w:val="0060378F"/>
    <w:rsid w:val="00603D19"/>
    <w:rsid w:val="006045F7"/>
    <w:rsid w:val="00604C4E"/>
    <w:rsid w:val="006069BA"/>
    <w:rsid w:val="00606D67"/>
    <w:rsid w:val="00610341"/>
    <w:rsid w:val="006107FD"/>
    <w:rsid w:val="006116EA"/>
    <w:rsid w:val="00611E0E"/>
    <w:rsid w:val="00611FCC"/>
    <w:rsid w:val="006127E1"/>
    <w:rsid w:val="00613042"/>
    <w:rsid w:val="006143F5"/>
    <w:rsid w:val="0061489D"/>
    <w:rsid w:val="0061574B"/>
    <w:rsid w:val="006161D2"/>
    <w:rsid w:val="00616413"/>
    <w:rsid w:val="00617637"/>
    <w:rsid w:val="00617647"/>
    <w:rsid w:val="00617662"/>
    <w:rsid w:val="00617FFD"/>
    <w:rsid w:val="006203D5"/>
    <w:rsid w:val="0062078D"/>
    <w:rsid w:val="00620BA3"/>
    <w:rsid w:val="00621522"/>
    <w:rsid w:val="0062183A"/>
    <w:rsid w:val="006227C0"/>
    <w:rsid w:val="006232E1"/>
    <w:rsid w:val="00623A5C"/>
    <w:rsid w:val="00624315"/>
    <w:rsid w:val="00624377"/>
    <w:rsid w:val="00624D5B"/>
    <w:rsid w:val="00624F05"/>
    <w:rsid w:val="00625979"/>
    <w:rsid w:val="00625F86"/>
    <w:rsid w:val="006274C1"/>
    <w:rsid w:val="00627733"/>
    <w:rsid w:val="00627DE4"/>
    <w:rsid w:val="00630605"/>
    <w:rsid w:val="00630788"/>
    <w:rsid w:val="00630FEB"/>
    <w:rsid w:val="00632757"/>
    <w:rsid w:val="006346C9"/>
    <w:rsid w:val="0063597D"/>
    <w:rsid w:val="0063656D"/>
    <w:rsid w:val="00637552"/>
    <w:rsid w:val="00637C49"/>
    <w:rsid w:val="0064156E"/>
    <w:rsid w:val="00643426"/>
    <w:rsid w:val="00644CC2"/>
    <w:rsid w:val="00646995"/>
    <w:rsid w:val="006473EF"/>
    <w:rsid w:val="006475DB"/>
    <w:rsid w:val="00647CD3"/>
    <w:rsid w:val="006512B8"/>
    <w:rsid w:val="00652746"/>
    <w:rsid w:val="006528D7"/>
    <w:rsid w:val="00652B58"/>
    <w:rsid w:val="00654012"/>
    <w:rsid w:val="00654178"/>
    <w:rsid w:val="006541DD"/>
    <w:rsid w:val="00654BA3"/>
    <w:rsid w:val="006572A8"/>
    <w:rsid w:val="0065747B"/>
    <w:rsid w:val="006579B3"/>
    <w:rsid w:val="00660D52"/>
    <w:rsid w:val="00660E57"/>
    <w:rsid w:val="00660EC4"/>
    <w:rsid w:val="00662072"/>
    <w:rsid w:val="0066234E"/>
    <w:rsid w:val="006632D0"/>
    <w:rsid w:val="00663302"/>
    <w:rsid w:val="006649B7"/>
    <w:rsid w:val="006654F8"/>
    <w:rsid w:val="00666F99"/>
    <w:rsid w:val="00667532"/>
    <w:rsid w:val="00670069"/>
    <w:rsid w:val="00670D08"/>
    <w:rsid w:val="00670F4C"/>
    <w:rsid w:val="0067115B"/>
    <w:rsid w:val="00671B78"/>
    <w:rsid w:val="00673EBD"/>
    <w:rsid w:val="006744F1"/>
    <w:rsid w:val="00674838"/>
    <w:rsid w:val="00674F79"/>
    <w:rsid w:val="0067545F"/>
    <w:rsid w:val="00675468"/>
    <w:rsid w:val="006766C3"/>
    <w:rsid w:val="006766CF"/>
    <w:rsid w:val="00676D1B"/>
    <w:rsid w:val="0068039D"/>
    <w:rsid w:val="00681394"/>
    <w:rsid w:val="0068327C"/>
    <w:rsid w:val="00683393"/>
    <w:rsid w:val="00684111"/>
    <w:rsid w:val="006843F7"/>
    <w:rsid w:val="00684EA9"/>
    <w:rsid w:val="00685466"/>
    <w:rsid w:val="00686453"/>
    <w:rsid w:val="00686459"/>
    <w:rsid w:val="006871E8"/>
    <w:rsid w:val="00687B49"/>
    <w:rsid w:val="00687B78"/>
    <w:rsid w:val="006902CF"/>
    <w:rsid w:val="00691A02"/>
    <w:rsid w:val="00691E36"/>
    <w:rsid w:val="00692565"/>
    <w:rsid w:val="00692768"/>
    <w:rsid w:val="006938C8"/>
    <w:rsid w:val="00694A9D"/>
    <w:rsid w:val="00695124"/>
    <w:rsid w:val="006970D1"/>
    <w:rsid w:val="006A0EAF"/>
    <w:rsid w:val="006A25BF"/>
    <w:rsid w:val="006A2890"/>
    <w:rsid w:val="006A2DB8"/>
    <w:rsid w:val="006A311D"/>
    <w:rsid w:val="006A33FD"/>
    <w:rsid w:val="006A3AEA"/>
    <w:rsid w:val="006A53C0"/>
    <w:rsid w:val="006B031C"/>
    <w:rsid w:val="006B2929"/>
    <w:rsid w:val="006B3069"/>
    <w:rsid w:val="006B31F2"/>
    <w:rsid w:val="006B34E8"/>
    <w:rsid w:val="006B401A"/>
    <w:rsid w:val="006B4E8D"/>
    <w:rsid w:val="006B51FC"/>
    <w:rsid w:val="006C0338"/>
    <w:rsid w:val="006C0733"/>
    <w:rsid w:val="006C118B"/>
    <w:rsid w:val="006C14A5"/>
    <w:rsid w:val="006C1F36"/>
    <w:rsid w:val="006C2B21"/>
    <w:rsid w:val="006C2C34"/>
    <w:rsid w:val="006C48DD"/>
    <w:rsid w:val="006C608A"/>
    <w:rsid w:val="006C7315"/>
    <w:rsid w:val="006C7A76"/>
    <w:rsid w:val="006C7C89"/>
    <w:rsid w:val="006D074C"/>
    <w:rsid w:val="006D08B2"/>
    <w:rsid w:val="006D16AB"/>
    <w:rsid w:val="006D1E87"/>
    <w:rsid w:val="006D2580"/>
    <w:rsid w:val="006D3823"/>
    <w:rsid w:val="006D3882"/>
    <w:rsid w:val="006D3B03"/>
    <w:rsid w:val="006D4D93"/>
    <w:rsid w:val="006D4DDD"/>
    <w:rsid w:val="006D591D"/>
    <w:rsid w:val="006D60ED"/>
    <w:rsid w:val="006D6700"/>
    <w:rsid w:val="006D6C0E"/>
    <w:rsid w:val="006D7681"/>
    <w:rsid w:val="006E00C6"/>
    <w:rsid w:val="006E0705"/>
    <w:rsid w:val="006E0D4B"/>
    <w:rsid w:val="006E18D8"/>
    <w:rsid w:val="006E33EA"/>
    <w:rsid w:val="006E3593"/>
    <w:rsid w:val="006E3715"/>
    <w:rsid w:val="006E392B"/>
    <w:rsid w:val="006E3B0A"/>
    <w:rsid w:val="006E3EF2"/>
    <w:rsid w:val="006E4570"/>
    <w:rsid w:val="006E4730"/>
    <w:rsid w:val="006E5B6A"/>
    <w:rsid w:val="006E60DA"/>
    <w:rsid w:val="006F02EA"/>
    <w:rsid w:val="006F06A0"/>
    <w:rsid w:val="006F0B73"/>
    <w:rsid w:val="006F172B"/>
    <w:rsid w:val="006F1DBB"/>
    <w:rsid w:val="006F1DDE"/>
    <w:rsid w:val="006F1F43"/>
    <w:rsid w:val="006F40F7"/>
    <w:rsid w:val="006F4A26"/>
    <w:rsid w:val="006F5B88"/>
    <w:rsid w:val="006F6EA3"/>
    <w:rsid w:val="006F7317"/>
    <w:rsid w:val="00700DBD"/>
    <w:rsid w:val="00701477"/>
    <w:rsid w:val="00701C99"/>
    <w:rsid w:val="0070488B"/>
    <w:rsid w:val="00705073"/>
    <w:rsid w:val="007054B4"/>
    <w:rsid w:val="00705C93"/>
    <w:rsid w:val="00706051"/>
    <w:rsid w:val="007067D2"/>
    <w:rsid w:val="007071C8"/>
    <w:rsid w:val="0070740B"/>
    <w:rsid w:val="007106AC"/>
    <w:rsid w:val="00710B5D"/>
    <w:rsid w:val="00710DAC"/>
    <w:rsid w:val="007121D9"/>
    <w:rsid w:val="00712808"/>
    <w:rsid w:val="007140EF"/>
    <w:rsid w:val="0071449C"/>
    <w:rsid w:val="0071452A"/>
    <w:rsid w:val="007151DF"/>
    <w:rsid w:val="0071570B"/>
    <w:rsid w:val="00716DF0"/>
    <w:rsid w:val="00717E99"/>
    <w:rsid w:val="00717EF0"/>
    <w:rsid w:val="0072101A"/>
    <w:rsid w:val="00721933"/>
    <w:rsid w:val="00721AF2"/>
    <w:rsid w:val="00721B87"/>
    <w:rsid w:val="00721CF9"/>
    <w:rsid w:val="00721EF2"/>
    <w:rsid w:val="0072287E"/>
    <w:rsid w:val="00722A25"/>
    <w:rsid w:val="007230FA"/>
    <w:rsid w:val="0072371C"/>
    <w:rsid w:val="00723A5F"/>
    <w:rsid w:val="00723E5E"/>
    <w:rsid w:val="00723F2A"/>
    <w:rsid w:val="007244C8"/>
    <w:rsid w:val="0072495B"/>
    <w:rsid w:val="00725552"/>
    <w:rsid w:val="00725FD3"/>
    <w:rsid w:val="00726AB6"/>
    <w:rsid w:val="00727A05"/>
    <w:rsid w:val="00727FEF"/>
    <w:rsid w:val="00730A59"/>
    <w:rsid w:val="00731BBF"/>
    <w:rsid w:val="00734D0B"/>
    <w:rsid w:val="00734F3F"/>
    <w:rsid w:val="00735003"/>
    <w:rsid w:val="00735254"/>
    <w:rsid w:val="00736B7D"/>
    <w:rsid w:val="00737457"/>
    <w:rsid w:val="00737647"/>
    <w:rsid w:val="00741836"/>
    <w:rsid w:val="00743B17"/>
    <w:rsid w:val="007455F3"/>
    <w:rsid w:val="00745F8F"/>
    <w:rsid w:val="00746081"/>
    <w:rsid w:val="0074627C"/>
    <w:rsid w:val="00746DAC"/>
    <w:rsid w:val="00747759"/>
    <w:rsid w:val="007506BF"/>
    <w:rsid w:val="00750E17"/>
    <w:rsid w:val="007510A2"/>
    <w:rsid w:val="00753378"/>
    <w:rsid w:val="00755B8A"/>
    <w:rsid w:val="00755C67"/>
    <w:rsid w:val="00755CCD"/>
    <w:rsid w:val="00755EC4"/>
    <w:rsid w:val="00756145"/>
    <w:rsid w:val="007616C6"/>
    <w:rsid w:val="00762017"/>
    <w:rsid w:val="0076242D"/>
    <w:rsid w:val="00762A1A"/>
    <w:rsid w:val="00762DBE"/>
    <w:rsid w:val="00762F2A"/>
    <w:rsid w:val="007635AF"/>
    <w:rsid w:val="00763A29"/>
    <w:rsid w:val="00763C70"/>
    <w:rsid w:val="00763C8D"/>
    <w:rsid w:val="007640CF"/>
    <w:rsid w:val="007643E9"/>
    <w:rsid w:val="007645F1"/>
    <w:rsid w:val="007650F1"/>
    <w:rsid w:val="007672D9"/>
    <w:rsid w:val="00767E94"/>
    <w:rsid w:val="00767FDB"/>
    <w:rsid w:val="00770130"/>
    <w:rsid w:val="00770F66"/>
    <w:rsid w:val="007715D7"/>
    <w:rsid w:val="00771686"/>
    <w:rsid w:val="00771C2E"/>
    <w:rsid w:val="00771E28"/>
    <w:rsid w:val="007728A8"/>
    <w:rsid w:val="00774285"/>
    <w:rsid w:val="007748BB"/>
    <w:rsid w:val="00774B57"/>
    <w:rsid w:val="00774C3F"/>
    <w:rsid w:val="00777A82"/>
    <w:rsid w:val="00777CDD"/>
    <w:rsid w:val="0078080E"/>
    <w:rsid w:val="00780D7B"/>
    <w:rsid w:val="007810FA"/>
    <w:rsid w:val="0078213C"/>
    <w:rsid w:val="0078285A"/>
    <w:rsid w:val="00783C4C"/>
    <w:rsid w:val="00785595"/>
    <w:rsid w:val="007867EE"/>
    <w:rsid w:val="00786EBE"/>
    <w:rsid w:val="007900C3"/>
    <w:rsid w:val="007905A0"/>
    <w:rsid w:val="00790964"/>
    <w:rsid w:val="00790D37"/>
    <w:rsid w:val="00794BF1"/>
    <w:rsid w:val="00794F5F"/>
    <w:rsid w:val="007965A1"/>
    <w:rsid w:val="007966A4"/>
    <w:rsid w:val="0079673A"/>
    <w:rsid w:val="007A09B0"/>
    <w:rsid w:val="007A1103"/>
    <w:rsid w:val="007A2245"/>
    <w:rsid w:val="007A2A27"/>
    <w:rsid w:val="007A3F0C"/>
    <w:rsid w:val="007A4C4D"/>
    <w:rsid w:val="007A528E"/>
    <w:rsid w:val="007A5578"/>
    <w:rsid w:val="007A5695"/>
    <w:rsid w:val="007A56BE"/>
    <w:rsid w:val="007A64E5"/>
    <w:rsid w:val="007A6762"/>
    <w:rsid w:val="007A7254"/>
    <w:rsid w:val="007A7321"/>
    <w:rsid w:val="007B0FD0"/>
    <w:rsid w:val="007B2A04"/>
    <w:rsid w:val="007B3540"/>
    <w:rsid w:val="007B3693"/>
    <w:rsid w:val="007B399D"/>
    <w:rsid w:val="007B3AD5"/>
    <w:rsid w:val="007B3B05"/>
    <w:rsid w:val="007B4293"/>
    <w:rsid w:val="007B5A36"/>
    <w:rsid w:val="007B5DA7"/>
    <w:rsid w:val="007B6904"/>
    <w:rsid w:val="007B69C7"/>
    <w:rsid w:val="007B6A7A"/>
    <w:rsid w:val="007B718B"/>
    <w:rsid w:val="007B7432"/>
    <w:rsid w:val="007C0A96"/>
    <w:rsid w:val="007C0D30"/>
    <w:rsid w:val="007C132D"/>
    <w:rsid w:val="007C21FC"/>
    <w:rsid w:val="007C2A21"/>
    <w:rsid w:val="007C45CD"/>
    <w:rsid w:val="007C45D4"/>
    <w:rsid w:val="007C60BA"/>
    <w:rsid w:val="007C708D"/>
    <w:rsid w:val="007C7E7E"/>
    <w:rsid w:val="007D0EC8"/>
    <w:rsid w:val="007D10FD"/>
    <w:rsid w:val="007D17B8"/>
    <w:rsid w:val="007D1F63"/>
    <w:rsid w:val="007D2868"/>
    <w:rsid w:val="007D2B3D"/>
    <w:rsid w:val="007D2BC9"/>
    <w:rsid w:val="007D531A"/>
    <w:rsid w:val="007D53FF"/>
    <w:rsid w:val="007D6546"/>
    <w:rsid w:val="007D69B8"/>
    <w:rsid w:val="007D6CF8"/>
    <w:rsid w:val="007D79A3"/>
    <w:rsid w:val="007E0DCF"/>
    <w:rsid w:val="007E2A10"/>
    <w:rsid w:val="007E4AC4"/>
    <w:rsid w:val="007E58EE"/>
    <w:rsid w:val="007E6210"/>
    <w:rsid w:val="007E67A5"/>
    <w:rsid w:val="007F0653"/>
    <w:rsid w:val="007F16B4"/>
    <w:rsid w:val="007F25D9"/>
    <w:rsid w:val="007F32FE"/>
    <w:rsid w:val="007F39AA"/>
    <w:rsid w:val="007F50E1"/>
    <w:rsid w:val="007F5190"/>
    <w:rsid w:val="007F6528"/>
    <w:rsid w:val="007F69BA"/>
    <w:rsid w:val="007F6DF7"/>
    <w:rsid w:val="007F79B3"/>
    <w:rsid w:val="007F7E1E"/>
    <w:rsid w:val="00800DEF"/>
    <w:rsid w:val="00801BA6"/>
    <w:rsid w:val="00801C32"/>
    <w:rsid w:val="00802AE2"/>
    <w:rsid w:val="00803349"/>
    <w:rsid w:val="00803FB2"/>
    <w:rsid w:val="00805149"/>
    <w:rsid w:val="00805652"/>
    <w:rsid w:val="00805ABA"/>
    <w:rsid w:val="00807AD6"/>
    <w:rsid w:val="00810706"/>
    <w:rsid w:val="00810D66"/>
    <w:rsid w:val="00811ACD"/>
    <w:rsid w:val="00811C42"/>
    <w:rsid w:val="00812CEE"/>
    <w:rsid w:val="00813282"/>
    <w:rsid w:val="008133AC"/>
    <w:rsid w:val="00813802"/>
    <w:rsid w:val="0081382E"/>
    <w:rsid w:val="008148BF"/>
    <w:rsid w:val="008153CD"/>
    <w:rsid w:val="00815CA5"/>
    <w:rsid w:val="008165A9"/>
    <w:rsid w:val="00816CEC"/>
    <w:rsid w:val="008172D9"/>
    <w:rsid w:val="00817AB5"/>
    <w:rsid w:val="00821EC2"/>
    <w:rsid w:val="0082229A"/>
    <w:rsid w:val="008231CC"/>
    <w:rsid w:val="00823274"/>
    <w:rsid w:val="00824479"/>
    <w:rsid w:val="00824E2D"/>
    <w:rsid w:val="0082512B"/>
    <w:rsid w:val="0082567E"/>
    <w:rsid w:val="008272CE"/>
    <w:rsid w:val="00827D27"/>
    <w:rsid w:val="00830792"/>
    <w:rsid w:val="008308E0"/>
    <w:rsid w:val="00832652"/>
    <w:rsid w:val="008327B6"/>
    <w:rsid w:val="00832ECE"/>
    <w:rsid w:val="0083378A"/>
    <w:rsid w:val="00833C11"/>
    <w:rsid w:val="008344D7"/>
    <w:rsid w:val="00834864"/>
    <w:rsid w:val="00834BA4"/>
    <w:rsid w:val="00835D10"/>
    <w:rsid w:val="0083611C"/>
    <w:rsid w:val="00837167"/>
    <w:rsid w:val="00837CC5"/>
    <w:rsid w:val="008407FB"/>
    <w:rsid w:val="008410ED"/>
    <w:rsid w:val="00841A6C"/>
    <w:rsid w:val="00841BC3"/>
    <w:rsid w:val="00842D6C"/>
    <w:rsid w:val="00842DBA"/>
    <w:rsid w:val="008431E8"/>
    <w:rsid w:val="0084368C"/>
    <w:rsid w:val="00844311"/>
    <w:rsid w:val="0084497C"/>
    <w:rsid w:val="00845341"/>
    <w:rsid w:val="008455CF"/>
    <w:rsid w:val="00845BC3"/>
    <w:rsid w:val="0084626D"/>
    <w:rsid w:val="00847CFB"/>
    <w:rsid w:val="00847FFD"/>
    <w:rsid w:val="00850F7C"/>
    <w:rsid w:val="008510C7"/>
    <w:rsid w:val="0085142D"/>
    <w:rsid w:val="00851987"/>
    <w:rsid w:val="00851E01"/>
    <w:rsid w:val="00852CFE"/>
    <w:rsid w:val="00854FCD"/>
    <w:rsid w:val="008551F6"/>
    <w:rsid w:val="00856098"/>
    <w:rsid w:val="00856B4B"/>
    <w:rsid w:val="00856EE2"/>
    <w:rsid w:val="0086031D"/>
    <w:rsid w:val="00860381"/>
    <w:rsid w:val="008603A1"/>
    <w:rsid w:val="00861349"/>
    <w:rsid w:val="00861665"/>
    <w:rsid w:val="0086279B"/>
    <w:rsid w:val="00863C46"/>
    <w:rsid w:val="0086513D"/>
    <w:rsid w:val="0086637B"/>
    <w:rsid w:val="00867DE5"/>
    <w:rsid w:val="008704A6"/>
    <w:rsid w:val="0087158A"/>
    <w:rsid w:val="00871D3E"/>
    <w:rsid w:val="008722EF"/>
    <w:rsid w:val="00873A54"/>
    <w:rsid w:val="00873AAB"/>
    <w:rsid w:val="00874098"/>
    <w:rsid w:val="00874FEC"/>
    <w:rsid w:val="00875212"/>
    <w:rsid w:val="00876B58"/>
    <w:rsid w:val="008772BE"/>
    <w:rsid w:val="008776B5"/>
    <w:rsid w:val="008816B1"/>
    <w:rsid w:val="00881721"/>
    <w:rsid w:val="00882FE0"/>
    <w:rsid w:val="00883206"/>
    <w:rsid w:val="00884BB0"/>
    <w:rsid w:val="008852EA"/>
    <w:rsid w:val="008866BE"/>
    <w:rsid w:val="00886A01"/>
    <w:rsid w:val="00886AF4"/>
    <w:rsid w:val="00886DA3"/>
    <w:rsid w:val="00893A3D"/>
    <w:rsid w:val="00893D48"/>
    <w:rsid w:val="0089422C"/>
    <w:rsid w:val="00894924"/>
    <w:rsid w:val="00897D2C"/>
    <w:rsid w:val="008A0247"/>
    <w:rsid w:val="008A02F8"/>
    <w:rsid w:val="008A1373"/>
    <w:rsid w:val="008A3BD7"/>
    <w:rsid w:val="008A3FB1"/>
    <w:rsid w:val="008A4062"/>
    <w:rsid w:val="008A49B5"/>
    <w:rsid w:val="008A5331"/>
    <w:rsid w:val="008A599D"/>
    <w:rsid w:val="008B0522"/>
    <w:rsid w:val="008B1295"/>
    <w:rsid w:val="008B4A85"/>
    <w:rsid w:val="008B4F5E"/>
    <w:rsid w:val="008B56A7"/>
    <w:rsid w:val="008B5812"/>
    <w:rsid w:val="008B5F99"/>
    <w:rsid w:val="008B70DC"/>
    <w:rsid w:val="008C0406"/>
    <w:rsid w:val="008C11BF"/>
    <w:rsid w:val="008C2019"/>
    <w:rsid w:val="008C26EF"/>
    <w:rsid w:val="008C36B8"/>
    <w:rsid w:val="008C3918"/>
    <w:rsid w:val="008C3B94"/>
    <w:rsid w:val="008C479C"/>
    <w:rsid w:val="008C586C"/>
    <w:rsid w:val="008C5C59"/>
    <w:rsid w:val="008C6D85"/>
    <w:rsid w:val="008C7537"/>
    <w:rsid w:val="008D0430"/>
    <w:rsid w:val="008D1750"/>
    <w:rsid w:val="008D1FA5"/>
    <w:rsid w:val="008D2E38"/>
    <w:rsid w:val="008D2E7F"/>
    <w:rsid w:val="008D3570"/>
    <w:rsid w:val="008D39F1"/>
    <w:rsid w:val="008D3F33"/>
    <w:rsid w:val="008D46E8"/>
    <w:rsid w:val="008D502A"/>
    <w:rsid w:val="008D55AF"/>
    <w:rsid w:val="008D5681"/>
    <w:rsid w:val="008D5A85"/>
    <w:rsid w:val="008D5E02"/>
    <w:rsid w:val="008D62B4"/>
    <w:rsid w:val="008D6E65"/>
    <w:rsid w:val="008D757B"/>
    <w:rsid w:val="008E1C42"/>
    <w:rsid w:val="008E1F23"/>
    <w:rsid w:val="008E2412"/>
    <w:rsid w:val="008E2751"/>
    <w:rsid w:val="008E311E"/>
    <w:rsid w:val="008E3DBD"/>
    <w:rsid w:val="008E445A"/>
    <w:rsid w:val="008E5533"/>
    <w:rsid w:val="008E570A"/>
    <w:rsid w:val="008E5D89"/>
    <w:rsid w:val="008E5F4E"/>
    <w:rsid w:val="008E623B"/>
    <w:rsid w:val="008E65D9"/>
    <w:rsid w:val="008E7060"/>
    <w:rsid w:val="008F3ED6"/>
    <w:rsid w:val="008F573D"/>
    <w:rsid w:val="008F5E4F"/>
    <w:rsid w:val="008F6F24"/>
    <w:rsid w:val="008F7218"/>
    <w:rsid w:val="008F7321"/>
    <w:rsid w:val="008F7628"/>
    <w:rsid w:val="00900489"/>
    <w:rsid w:val="00900DFB"/>
    <w:rsid w:val="009022DC"/>
    <w:rsid w:val="009032C8"/>
    <w:rsid w:val="0090358B"/>
    <w:rsid w:val="00903E4E"/>
    <w:rsid w:val="00905337"/>
    <w:rsid w:val="00905B57"/>
    <w:rsid w:val="00906080"/>
    <w:rsid w:val="009071F5"/>
    <w:rsid w:val="00907CCE"/>
    <w:rsid w:val="00910621"/>
    <w:rsid w:val="00910B38"/>
    <w:rsid w:val="009110F6"/>
    <w:rsid w:val="00911231"/>
    <w:rsid w:val="009116E6"/>
    <w:rsid w:val="00915892"/>
    <w:rsid w:val="009168A8"/>
    <w:rsid w:val="00916E42"/>
    <w:rsid w:val="0091757D"/>
    <w:rsid w:val="00920376"/>
    <w:rsid w:val="00920AC6"/>
    <w:rsid w:val="009225A9"/>
    <w:rsid w:val="009229A9"/>
    <w:rsid w:val="009230C7"/>
    <w:rsid w:val="009231EC"/>
    <w:rsid w:val="009238E8"/>
    <w:rsid w:val="009253B1"/>
    <w:rsid w:val="009257BD"/>
    <w:rsid w:val="00925B5B"/>
    <w:rsid w:val="00925E91"/>
    <w:rsid w:val="0092626B"/>
    <w:rsid w:val="0092664A"/>
    <w:rsid w:val="009270BF"/>
    <w:rsid w:val="00927247"/>
    <w:rsid w:val="009273F9"/>
    <w:rsid w:val="00930F6C"/>
    <w:rsid w:val="00931D30"/>
    <w:rsid w:val="00933243"/>
    <w:rsid w:val="00933547"/>
    <w:rsid w:val="00933607"/>
    <w:rsid w:val="009349BF"/>
    <w:rsid w:val="0093534F"/>
    <w:rsid w:val="00936CAB"/>
    <w:rsid w:val="00937231"/>
    <w:rsid w:val="00937FBB"/>
    <w:rsid w:val="00940C1D"/>
    <w:rsid w:val="00940E3D"/>
    <w:rsid w:val="009411FB"/>
    <w:rsid w:val="00941C67"/>
    <w:rsid w:val="00941DFD"/>
    <w:rsid w:val="009435B0"/>
    <w:rsid w:val="00943BE0"/>
    <w:rsid w:val="00944387"/>
    <w:rsid w:val="00944B73"/>
    <w:rsid w:val="00944E72"/>
    <w:rsid w:val="00945761"/>
    <w:rsid w:val="00945B39"/>
    <w:rsid w:val="009463A1"/>
    <w:rsid w:val="0094699D"/>
    <w:rsid w:val="00947184"/>
    <w:rsid w:val="00947A48"/>
    <w:rsid w:val="0095154C"/>
    <w:rsid w:val="0095231B"/>
    <w:rsid w:val="00952BDF"/>
    <w:rsid w:val="00952CF7"/>
    <w:rsid w:val="00954C28"/>
    <w:rsid w:val="00955CCD"/>
    <w:rsid w:val="00956CF3"/>
    <w:rsid w:val="0095793E"/>
    <w:rsid w:val="00957A29"/>
    <w:rsid w:val="00960192"/>
    <w:rsid w:val="00961A25"/>
    <w:rsid w:val="00962750"/>
    <w:rsid w:val="009629F0"/>
    <w:rsid w:val="00963212"/>
    <w:rsid w:val="00963B72"/>
    <w:rsid w:val="0096452B"/>
    <w:rsid w:val="0096476C"/>
    <w:rsid w:val="009648D7"/>
    <w:rsid w:val="00964B2F"/>
    <w:rsid w:val="00965C11"/>
    <w:rsid w:val="0096633B"/>
    <w:rsid w:val="00966347"/>
    <w:rsid w:val="00966CDE"/>
    <w:rsid w:val="00967190"/>
    <w:rsid w:val="00967E95"/>
    <w:rsid w:val="009713A7"/>
    <w:rsid w:val="009720AA"/>
    <w:rsid w:val="00972293"/>
    <w:rsid w:val="00972675"/>
    <w:rsid w:val="00973881"/>
    <w:rsid w:val="0097395F"/>
    <w:rsid w:val="00973D6E"/>
    <w:rsid w:val="00973D7A"/>
    <w:rsid w:val="00974489"/>
    <w:rsid w:val="0097612B"/>
    <w:rsid w:val="0097751E"/>
    <w:rsid w:val="00980578"/>
    <w:rsid w:val="00980F9A"/>
    <w:rsid w:val="0098274E"/>
    <w:rsid w:val="009829FF"/>
    <w:rsid w:val="009832EC"/>
    <w:rsid w:val="00984714"/>
    <w:rsid w:val="0098472A"/>
    <w:rsid w:val="00984D6E"/>
    <w:rsid w:val="00985312"/>
    <w:rsid w:val="00987071"/>
    <w:rsid w:val="009877D1"/>
    <w:rsid w:val="009907FC"/>
    <w:rsid w:val="0099092E"/>
    <w:rsid w:val="00990A37"/>
    <w:rsid w:val="00990C31"/>
    <w:rsid w:val="00990E8D"/>
    <w:rsid w:val="0099137D"/>
    <w:rsid w:val="00993200"/>
    <w:rsid w:val="009933BE"/>
    <w:rsid w:val="009938D0"/>
    <w:rsid w:val="00993DF3"/>
    <w:rsid w:val="00993F51"/>
    <w:rsid w:val="009945D2"/>
    <w:rsid w:val="00994BC3"/>
    <w:rsid w:val="00994CBF"/>
    <w:rsid w:val="009952DE"/>
    <w:rsid w:val="0099658A"/>
    <w:rsid w:val="0099691C"/>
    <w:rsid w:val="00997D18"/>
    <w:rsid w:val="009A00D1"/>
    <w:rsid w:val="009A0591"/>
    <w:rsid w:val="009A0BAD"/>
    <w:rsid w:val="009A10FF"/>
    <w:rsid w:val="009A1F40"/>
    <w:rsid w:val="009A248D"/>
    <w:rsid w:val="009A2941"/>
    <w:rsid w:val="009A4478"/>
    <w:rsid w:val="009A5E93"/>
    <w:rsid w:val="009A6170"/>
    <w:rsid w:val="009A7EFF"/>
    <w:rsid w:val="009B04A2"/>
    <w:rsid w:val="009B238C"/>
    <w:rsid w:val="009B24B2"/>
    <w:rsid w:val="009B2A17"/>
    <w:rsid w:val="009B2FCF"/>
    <w:rsid w:val="009B4A2F"/>
    <w:rsid w:val="009B684E"/>
    <w:rsid w:val="009B699D"/>
    <w:rsid w:val="009B72AB"/>
    <w:rsid w:val="009B72DB"/>
    <w:rsid w:val="009B73BE"/>
    <w:rsid w:val="009B76B9"/>
    <w:rsid w:val="009C00E9"/>
    <w:rsid w:val="009C0A7A"/>
    <w:rsid w:val="009C0D4E"/>
    <w:rsid w:val="009C11A1"/>
    <w:rsid w:val="009C2D72"/>
    <w:rsid w:val="009C3C9D"/>
    <w:rsid w:val="009C40D4"/>
    <w:rsid w:val="009C57EB"/>
    <w:rsid w:val="009C6373"/>
    <w:rsid w:val="009C64B7"/>
    <w:rsid w:val="009C672F"/>
    <w:rsid w:val="009D0174"/>
    <w:rsid w:val="009D042A"/>
    <w:rsid w:val="009D080D"/>
    <w:rsid w:val="009D086C"/>
    <w:rsid w:val="009D09B8"/>
    <w:rsid w:val="009D0EEB"/>
    <w:rsid w:val="009D1EC6"/>
    <w:rsid w:val="009D247E"/>
    <w:rsid w:val="009D2BBE"/>
    <w:rsid w:val="009D3848"/>
    <w:rsid w:val="009D3F53"/>
    <w:rsid w:val="009D4CE3"/>
    <w:rsid w:val="009D53A6"/>
    <w:rsid w:val="009D62EC"/>
    <w:rsid w:val="009D70F3"/>
    <w:rsid w:val="009E04B3"/>
    <w:rsid w:val="009E05EE"/>
    <w:rsid w:val="009E0967"/>
    <w:rsid w:val="009E0DB1"/>
    <w:rsid w:val="009E1C59"/>
    <w:rsid w:val="009E27CE"/>
    <w:rsid w:val="009E2EF8"/>
    <w:rsid w:val="009E39AE"/>
    <w:rsid w:val="009E3B72"/>
    <w:rsid w:val="009E6687"/>
    <w:rsid w:val="009E788B"/>
    <w:rsid w:val="009F0518"/>
    <w:rsid w:val="009F1575"/>
    <w:rsid w:val="009F1875"/>
    <w:rsid w:val="009F1F47"/>
    <w:rsid w:val="009F24D6"/>
    <w:rsid w:val="009F2FFC"/>
    <w:rsid w:val="009F4756"/>
    <w:rsid w:val="009F4D95"/>
    <w:rsid w:val="009F4DC0"/>
    <w:rsid w:val="009F5A82"/>
    <w:rsid w:val="009F5E76"/>
    <w:rsid w:val="009F60D2"/>
    <w:rsid w:val="009F6747"/>
    <w:rsid w:val="009F6A76"/>
    <w:rsid w:val="009F6B09"/>
    <w:rsid w:val="009F7956"/>
    <w:rsid w:val="009F7B92"/>
    <w:rsid w:val="00A01CB2"/>
    <w:rsid w:val="00A024CE"/>
    <w:rsid w:val="00A030BE"/>
    <w:rsid w:val="00A0513F"/>
    <w:rsid w:val="00A061CC"/>
    <w:rsid w:val="00A06914"/>
    <w:rsid w:val="00A06ECB"/>
    <w:rsid w:val="00A1047B"/>
    <w:rsid w:val="00A1054F"/>
    <w:rsid w:val="00A10741"/>
    <w:rsid w:val="00A1219E"/>
    <w:rsid w:val="00A1243A"/>
    <w:rsid w:val="00A1290D"/>
    <w:rsid w:val="00A13B44"/>
    <w:rsid w:val="00A15807"/>
    <w:rsid w:val="00A16D19"/>
    <w:rsid w:val="00A17C92"/>
    <w:rsid w:val="00A20926"/>
    <w:rsid w:val="00A2142F"/>
    <w:rsid w:val="00A21B1F"/>
    <w:rsid w:val="00A2211E"/>
    <w:rsid w:val="00A22DCA"/>
    <w:rsid w:val="00A2452B"/>
    <w:rsid w:val="00A268EC"/>
    <w:rsid w:val="00A26DD4"/>
    <w:rsid w:val="00A2717A"/>
    <w:rsid w:val="00A3036F"/>
    <w:rsid w:val="00A3083C"/>
    <w:rsid w:val="00A33D33"/>
    <w:rsid w:val="00A344D1"/>
    <w:rsid w:val="00A34935"/>
    <w:rsid w:val="00A34C74"/>
    <w:rsid w:val="00A3547C"/>
    <w:rsid w:val="00A35CAC"/>
    <w:rsid w:val="00A3779B"/>
    <w:rsid w:val="00A377C2"/>
    <w:rsid w:val="00A40468"/>
    <w:rsid w:val="00A40BD8"/>
    <w:rsid w:val="00A41721"/>
    <w:rsid w:val="00A41A21"/>
    <w:rsid w:val="00A427D3"/>
    <w:rsid w:val="00A432B9"/>
    <w:rsid w:val="00A445B9"/>
    <w:rsid w:val="00A45216"/>
    <w:rsid w:val="00A455D6"/>
    <w:rsid w:val="00A456B3"/>
    <w:rsid w:val="00A45D27"/>
    <w:rsid w:val="00A45FC6"/>
    <w:rsid w:val="00A46588"/>
    <w:rsid w:val="00A466BD"/>
    <w:rsid w:val="00A468BA"/>
    <w:rsid w:val="00A47CBD"/>
    <w:rsid w:val="00A47F31"/>
    <w:rsid w:val="00A50CEA"/>
    <w:rsid w:val="00A51247"/>
    <w:rsid w:val="00A51545"/>
    <w:rsid w:val="00A54632"/>
    <w:rsid w:val="00A547E9"/>
    <w:rsid w:val="00A56629"/>
    <w:rsid w:val="00A570AD"/>
    <w:rsid w:val="00A570E0"/>
    <w:rsid w:val="00A57A36"/>
    <w:rsid w:val="00A60A5D"/>
    <w:rsid w:val="00A60C0E"/>
    <w:rsid w:val="00A61E52"/>
    <w:rsid w:val="00A62224"/>
    <w:rsid w:val="00A62C2A"/>
    <w:rsid w:val="00A63E18"/>
    <w:rsid w:val="00A65702"/>
    <w:rsid w:val="00A6572D"/>
    <w:rsid w:val="00A65BBA"/>
    <w:rsid w:val="00A65D22"/>
    <w:rsid w:val="00A676CD"/>
    <w:rsid w:val="00A67A38"/>
    <w:rsid w:val="00A70190"/>
    <w:rsid w:val="00A701E8"/>
    <w:rsid w:val="00A70836"/>
    <w:rsid w:val="00A71328"/>
    <w:rsid w:val="00A7165D"/>
    <w:rsid w:val="00A72C87"/>
    <w:rsid w:val="00A72E3D"/>
    <w:rsid w:val="00A7421F"/>
    <w:rsid w:val="00A74AA4"/>
    <w:rsid w:val="00A74C61"/>
    <w:rsid w:val="00A75D0C"/>
    <w:rsid w:val="00A7796B"/>
    <w:rsid w:val="00A8025E"/>
    <w:rsid w:val="00A80DBF"/>
    <w:rsid w:val="00A80F45"/>
    <w:rsid w:val="00A80FDB"/>
    <w:rsid w:val="00A82732"/>
    <w:rsid w:val="00A83A32"/>
    <w:rsid w:val="00A84810"/>
    <w:rsid w:val="00A8575B"/>
    <w:rsid w:val="00A8600B"/>
    <w:rsid w:val="00A86242"/>
    <w:rsid w:val="00A86835"/>
    <w:rsid w:val="00A86D3A"/>
    <w:rsid w:val="00A90F7B"/>
    <w:rsid w:val="00A92434"/>
    <w:rsid w:val="00A92E56"/>
    <w:rsid w:val="00A935AE"/>
    <w:rsid w:val="00A93909"/>
    <w:rsid w:val="00A93A00"/>
    <w:rsid w:val="00A9452F"/>
    <w:rsid w:val="00A95B01"/>
    <w:rsid w:val="00A970C0"/>
    <w:rsid w:val="00AA11D1"/>
    <w:rsid w:val="00AA1BF2"/>
    <w:rsid w:val="00AA2325"/>
    <w:rsid w:val="00AA2BEE"/>
    <w:rsid w:val="00AA2DB6"/>
    <w:rsid w:val="00AA2E57"/>
    <w:rsid w:val="00AA40B4"/>
    <w:rsid w:val="00AA442F"/>
    <w:rsid w:val="00AA5F85"/>
    <w:rsid w:val="00AA6471"/>
    <w:rsid w:val="00AA6D51"/>
    <w:rsid w:val="00AB09CA"/>
    <w:rsid w:val="00AB15CF"/>
    <w:rsid w:val="00AB208A"/>
    <w:rsid w:val="00AB245E"/>
    <w:rsid w:val="00AB25BA"/>
    <w:rsid w:val="00AB2711"/>
    <w:rsid w:val="00AB28E4"/>
    <w:rsid w:val="00AB3E47"/>
    <w:rsid w:val="00AB7C26"/>
    <w:rsid w:val="00AC20E7"/>
    <w:rsid w:val="00AC3AD1"/>
    <w:rsid w:val="00AC4543"/>
    <w:rsid w:val="00AC5933"/>
    <w:rsid w:val="00AC5EE5"/>
    <w:rsid w:val="00AC5F7A"/>
    <w:rsid w:val="00AC6F23"/>
    <w:rsid w:val="00AC77E8"/>
    <w:rsid w:val="00AD011C"/>
    <w:rsid w:val="00AD0B63"/>
    <w:rsid w:val="00AD1A7A"/>
    <w:rsid w:val="00AD23ED"/>
    <w:rsid w:val="00AD23FB"/>
    <w:rsid w:val="00AD2668"/>
    <w:rsid w:val="00AD26FB"/>
    <w:rsid w:val="00AD2941"/>
    <w:rsid w:val="00AD303E"/>
    <w:rsid w:val="00AD31F6"/>
    <w:rsid w:val="00AD3369"/>
    <w:rsid w:val="00AD340D"/>
    <w:rsid w:val="00AD418F"/>
    <w:rsid w:val="00AD571A"/>
    <w:rsid w:val="00AD5A61"/>
    <w:rsid w:val="00AD6CA1"/>
    <w:rsid w:val="00AD7CDD"/>
    <w:rsid w:val="00AE0ED7"/>
    <w:rsid w:val="00AE32DE"/>
    <w:rsid w:val="00AE3F61"/>
    <w:rsid w:val="00AE400C"/>
    <w:rsid w:val="00AE495A"/>
    <w:rsid w:val="00AE510B"/>
    <w:rsid w:val="00AE5303"/>
    <w:rsid w:val="00AE55A7"/>
    <w:rsid w:val="00AE5A2C"/>
    <w:rsid w:val="00AE5FBE"/>
    <w:rsid w:val="00AE63F4"/>
    <w:rsid w:val="00AE7652"/>
    <w:rsid w:val="00AE7B48"/>
    <w:rsid w:val="00AF0186"/>
    <w:rsid w:val="00AF2198"/>
    <w:rsid w:val="00AF30BC"/>
    <w:rsid w:val="00AF3760"/>
    <w:rsid w:val="00AF3810"/>
    <w:rsid w:val="00AF48D0"/>
    <w:rsid w:val="00AF4C8A"/>
    <w:rsid w:val="00AF6159"/>
    <w:rsid w:val="00AF64FD"/>
    <w:rsid w:val="00AF6675"/>
    <w:rsid w:val="00AF7067"/>
    <w:rsid w:val="00B007B5"/>
    <w:rsid w:val="00B00D2B"/>
    <w:rsid w:val="00B010B4"/>
    <w:rsid w:val="00B010F0"/>
    <w:rsid w:val="00B015B1"/>
    <w:rsid w:val="00B01A31"/>
    <w:rsid w:val="00B021DF"/>
    <w:rsid w:val="00B02F94"/>
    <w:rsid w:val="00B040C7"/>
    <w:rsid w:val="00B06462"/>
    <w:rsid w:val="00B06934"/>
    <w:rsid w:val="00B0693A"/>
    <w:rsid w:val="00B06B77"/>
    <w:rsid w:val="00B06BD4"/>
    <w:rsid w:val="00B10613"/>
    <w:rsid w:val="00B14609"/>
    <w:rsid w:val="00B174CC"/>
    <w:rsid w:val="00B17628"/>
    <w:rsid w:val="00B17D0C"/>
    <w:rsid w:val="00B206AE"/>
    <w:rsid w:val="00B2127A"/>
    <w:rsid w:val="00B21BDF"/>
    <w:rsid w:val="00B228F4"/>
    <w:rsid w:val="00B22AB9"/>
    <w:rsid w:val="00B22E8D"/>
    <w:rsid w:val="00B2553D"/>
    <w:rsid w:val="00B26966"/>
    <w:rsid w:val="00B26B35"/>
    <w:rsid w:val="00B274DA"/>
    <w:rsid w:val="00B27A93"/>
    <w:rsid w:val="00B3194C"/>
    <w:rsid w:val="00B33535"/>
    <w:rsid w:val="00B33A4C"/>
    <w:rsid w:val="00B33F91"/>
    <w:rsid w:val="00B3437A"/>
    <w:rsid w:val="00B34A60"/>
    <w:rsid w:val="00B3502A"/>
    <w:rsid w:val="00B357EE"/>
    <w:rsid w:val="00B3601F"/>
    <w:rsid w:val="00B361CD"/>
    <w:rsid w:val="00B3644A"/>
    <w:rsid w:val="00B3686D"/>
    <w:rsid w:val="00B36B10"/>
    <w:rsid w:val="00B40164"/>
    <w:rsid w:val="00B408CD"/>
    <w:rsid w:val="00B416A9"/>
    <w:rsid w:val="00B417C2"/>
    <w:rsid w:val="00B41D7B"/>
    <w:rsid w:val="00B44A44"/>
    <w:rsid w:val="00B45847"/>
    <w:rsid w:val="00B4683A"/>
    <w:rsid w:val="00B46D4D"/>
    <w:rsid w:val="00B47033"/>
    <w:rsid w:val="00B4710C"/>
    <w:rsid w:val="00B479E1"/>
    <w:rsid w:val="00B5027E"/>
    <w:rsid w:val="00B51CA6"/>
    <w:rsid w:val="00B5377E"/>
    <w:rsid w:val="00B53AD9"/>
    <w:rsid w:val="00B556F7"/>
    <w:rsid w:val="00B5680C"/>
    <w:rsid w:val="00B57376"/>
    <w:rsid w:val="00B6107F"/>
    <w:rsid w:val="00B61D88"/>
    <w:rsid w:val="00B623D2"/>
    <w:rsid w:val="00B62849"/>
    <w:rsid w:val="00B6402D"/>
    <w:rsid w:val="00B65CB9"/>
    <w:rsid w:val="00B660B1"/>
    <w:rsid w:val="00B66C64"/>
    <w:rsid w:val="00B66E7A"/>
    <w:rsid w:val="00B67875"/>
    <w:rsid w:val="00B70A17"/>
    <w:rsid w:val="00B71096"/>
    <w:rsid w:val="00B711CE"/>
    <w:rsid w:val="00B715D8"/>
    <w:rsid w:val="00B719B3"/>
    <w:rsid w:val="00B71ABF"/>
    <w:rsid w:val="00B72790"/>
    <w:rsid w:val="00B72BA4"/>
    <w:rsid w:val="00B73A37"/>
    <w:rsid w:val="00B73F85"/>
    <w:rsid w:val="00B7424E"/>
    <w:rsid w:val="00B74A39"/>
    <w:rsid w:val="00B75EE1"/>
    <w:rsid w:val="00B76008"/>
    <w:rsid w:val="00B76FDE"/>
    <w:rsid w:val="00B779FE"/>
    <w:rsid w:val="00B77F05"/>
    <w:rsid w:val="00B80ED9"/>
    <w:rsid w:val="00B81141"/>
    <w:rsid w:val="00B8116C"/>
    <w:rsid w:val="00B81A6C"/>
    <w:rsid w:val="00B81CA5"/>
    <w:rsid w:val="00B83111"/>
    <w:rsid w:val="00B8386E"/>
    <w:rsid w:val="00B83AE0"/>
    <w:rsid w:val="00B8454D"/>
    <w:rsid w:val="00B84855"/>
    <w:rsid w:val="00B84C1E"/>
    <w:rsid w:val="00B84E63"/>
    <w:rsid w:val="00B855DA"/>
    <w:rsid w:val="00B85616"/>
    <w:rsid w:val="00B865C9"/>
    <w:rsid w:val="00B87734"/>
    <w:rsid w:val="00B87973"/>
    <w:rsid w:val="00B90425"/>
    <w:rsid w:val="00B90DB3"/>
    <w:rsid w:val="00B92CEE"/>
    <w:rsid w:val="00B93256"/>
    <w:rsid w:val="00B935FD"/>
    <w:rsid w:val="00B9471A"/>
    <w:rsid w:val="00B94ACB"/>
    <w:rsid w:val="00B97594"/>
    <w:rsid w:val="00BA03F5"/>
    <w:rsid w:val="00BA0436"/>
    <w:rsid w:val="00BA0844"/>
    <w:rsid w:val="00BA1F18"/>
    <w:rsid w:val="00BA1F6D"/>
    <w:rsid w:val="00BA2060"/>
    <w:rsid w:val="00BA27D2"/>
    <w:rsid w:val="00BA3779"/>
    <w:rsid w:val="00BA38F1"/>
    <w:rsid w:val="00BA3B0D"/>
    <w:rsid w:val="00BA3F09"/>
    <w:rsid w:val="00BA47F9"/>
    <w:rsid w:val="00BA539A"/>
    <w:rsid w:val="00BA57FB"/>
    <w:rsid w:val="00BA6005"/>
    <w:rsid w:val="00BA600F"/>
    <w:rsid w:val="00BA66C8"/>
    <w:rsid w:val="00BB48BE"/>
    <w:rsid w:val="00BB57BC"/>
    <w:rsid w:val="00BB63B2"/>
    <w:rsid w:val="00BB68C7"/>
    <w:rsid w:val="00BB6D2D"/>
    <w:rsid w:val="00BB7CB8"/>
    <w:rsid w:val="00BC1462"/>
    <w:rsid w:val="00BC17C4"/>
    <w:rsid w:val="00BC1EFA"/>
    <w:rsid w:val="00BC201B"/>
    <w:rsid w:val="00BC26DF"/>
    <w:rsid w:val="00BC3EEB"/>
    <w:rsid w:val="00BC4C9E"/>
    <w:rsid w:val="00BC4DBA"/>
    <w:rsid w:val="00BC4FC6"/>
    <w:rsid w:val="00BC50A0"/>
    <w:rsid w:val="00BC5321"/>
    <w:rsid w:val="00BC5330"/>
    <w:rsid w:val="00BC5BDE"/>
    <w:rsid w:val="00BC741D"/>
    <w:rsid w:val="00BC7CC7"/>
    <w:rsid w:val="00BD038F"/>
    <w:rsid w:val="00BD1404"/>
    <w:rsid w:val="00BD1BD9"/>
    <w:rsid w:val="00BD1CE9"/>
    <w:rsid w:val="00BD2AA1"/>
    <w:rsid w:val="00BD3791"/>
    <w:rsid w:val="00BD44B6"/>
    <w:rsid w:val="00BD5BB6"/>
    <w:rsid w:val="00BD61E6"/>
    <w:rsid w:val="00BE0641"/>
    <w:rsid w:val="00BE09B2"/>
    <w:rsid w:val="00BE1342"/>
    <w:rsid w:val="00BE3114"/>
    <w:rsid w:val="00BE31A0"/>
    <w:rsid w:val="00BE3EDF"/>
    <w:rsid w:val="00BE46BF"/>
    <w:rsid w:val="00BE4FBF"/>
    <w:rsid w:val="00BE5487"/>
    <w:rsid w:val="00BE5A8F"/>
    <w:rsid w:val="00BF02EF"/>
    <w:rsid w:val="00BF0684"/>
    <w:rsid w:val="00BF1A32"/>
    <w:rsid w:val="00BF3DAE"/>
    <w:rsid w:val="00BF6273"/>
    <w:rsid w:val="00BF63DC"/>
    <w:rsid w:val="00BF6A49"/>
    <w:rsid w:val="00BF6B65"/>
    <w:rsid w:val="00C00A6A"/>
    <w:rsid w:val="00C02761"/>
    <w:rsid w:val="00C03F0A"/>
    <w:rsid w:val="00C04061"/>
    <w:rsid w:val="00C045C5"/>
    <w:rsid w:val="00C05F9B"/>
    <w:rsid w:val="00C06B1C"/>
    <w:rsid w:val="00C0749D"/>
    <w:rsid w:val="00C10077"/>
    <w:rsid w:val="00C1191B"/>
    <w:rsid w:val="00C11CD3"/>
    <w:rsid w:val="00C12607"/>
    <w:rsid w:val="00C12A0C"/>
    <w:rsid w:val="00C13AA6"/>
    <w:rsid w:val="00C144F5"/>
    <w:rsid w:val="00C1471F"/>
    <w:rsid w:val="00C1479F"/>
    <w:rsid w:val="00C14E8B"/>
    <w:rsid w:val="00C15F22"/>
    <w:rsid w:val="00C15FA1"/>
    <w:rsid w:val="00C1712D"/>
    <w:rsid w:val="00C17547"/>
    <w:rsid w:val="00C200F1"/>
    <w:rsid w:val="00C20CE0"/>
    <w:rsid w:val="00C2111B"/>
    <w:rsid w:val="00C21A4E"/>
    <w:rsid w:val="00C21AA7"/>
    <w:rsid w:val="00C21F7D"/>
    <w:rsid w:val="00C224B6"/>
    <w:rsid w:val="00C22537"/>
    <w:rsid w:val="00C22596"/>
    <w:rsid w:val="00C22AFA"/>
    <w:rsid w:val="00C22DE7"/>
    <w:rsid w:val="00C245D5"/>
    <w:rsid w:val="00C25373"/>
    <w:rsid w:val="00C25EBB"/>
    <w:rsid w:val="00C26F05"/>
    <w:rsid w:val="00C2787A"/>
    <w:rsid w:val="00C30A29"/>
    <w:rsid w:val="00C30D1F"/>
    <w:rsid w:val="00C31031"/>
    <w:rsid w:val="00C3184B"/>
    <w:rsid w:val="00C31EB5"/>
    <w:rsid w:val="00C31EC0"/>
    <w:rsid w:val="00C32B6C"/>
    <w:rsid w:val="00C33927"/>
    <w:rsid w:val="00C33C20"/>
    <w:rsid w:val="00C34857"/>
    <w:rsid w:val="00C348D3"/>
    <w:rsid w:val="00C34D00"/>
    <w:rsid w:val="00C35635"/>
    <w:rsid w:val="00C359DA"/>
    <w:rsid w:val="00C35CF5"/>
    <w:rsid w:val="00C36F1B"/>
    <w:rsid w:val="00C37F9B"/>
    <w:rsid w:val="00C4014C"/>
    <w:rsid w:val="00C4100B"/>
    <w:rsid w:val="00C41A0E"/>
    <w:rsid w:val="00C4215B"/>
    <w:rsid w:val="00C4293D"/>
    <w:rsid w:val="00C44566"/>
    <w:rsid w:val="00C44636"/>
    <w:rsid w:val="00C45B8D"/>
    <w:rsid w:val="00C45C0C"/>
    <w:rsid w:val="00C46A76"/>
    <w:rsid w:val="00C5244D"/>
    <w:rsid w:val="00C531BA"/>
    <w:rsid w:val="00C53807"/>
    <w:rsid w:val="00C5400B"/>
    <w:rsid w:val="00C54A39"/>
    <w:rsid w:val="00C54D15"/>
    <w:rsid w:val="00C55C33"/>
    <w:rsid w:val="00C56A6C"/>
    <w:rsid w:val="00C6061B"/>
    <w:rsid w:val="00C60636"/>
    <w:rsid w:val="00C609FD"/>
    <w:rsid w:val="00C61291"/>
    <w:rsid w:val="00C61EA6"/>
    <w:rsid w:val="00C62BEC"/>
    <w:rsid w:val="00C630EC"/>
    <w:rsid w:val="00C63157"/>
    <w:rsid w:val="00C6344B"/>
    <w:rsid w:val="00C663D0"/>
    <w:rsid w:val="00C67901"/>
    <w:rsid w:val="00C6791E"/>
    <w:rsid w:val="00C67B16"/>
    <w:rsid w:val="00C70AB9"/>
    <w:rsid w:val="00C7251F"/>
    <w:rsid w:val="00C72EE7"/>
    <w:rsid w:val="00C7346B"/>
    <w:rsid w:val="00C73DA2"/>
    <w:rsid w:val="00C74318"/>
    <w:rsid w:val="00C74401"/>
    <w:rsid w:val="00C74694"/>
    <w:rsid w:val="00C74D08"/>
    <w:rsid w:val="00C75DA0"/>
    <w:rsid w:val="00C760D5"/>
    <w:rsid w:val="00C77A87"/>
    <w:rsid w:val="00C77F00"/>
    <w:rsid w:val="00C81139"/>
    <w:rsid w:val="00C81F29"/>
    <w:rsid w:val="00C82772"/>
    <w:rsid w:val="00C83983"/>
    <w:rsid w:val="00C83D54"/>
    <w:rsid w:val="00C847D1"/>
    <w:rsid w:val="00C85A47"/>
    <w:rsid w:val="00C8645E"/>
    <w:rsid w:val="00C87AAF"/>
    <w:rsid w:val="00C87F52"/>
    <w:rsid w:val="00C90315"/>
    <w:rsid w:val="00C92548"/>
    <w:rsid w:val="00C925F8"/>
    <w:rsid w:val="00C927E0"/>
    <w:rsid w:val="00C92ABB"/>
    <w:rsid w:val="00C93CEE"/>
    <w:rsid w:val="00C94CF5"/>
    <w:rsid w:val="00C979E7"/>
    <w:rsid w:val="00CA1346"/>
    <w:rsid w:val="00CA1F8D"/>
    <w:rsid w:val="00CA490D"/>
    <w:rsid w:val="00CA49F9"/>
    <w:rsid w:val="00CA63EE"/>
    <w:rsid w:val="00CA65D4"/>
    <w:rsid w:val="00CA6642"/>
    <w:rsid w:val="00CA6DAF"/>
    <w:rsid w:val="00CA74BA"/>
    <w:rsid w:val="00CB03E4"/>
    <w:rsid w:val="00CB057B"/>
    <w:rsid w:val="00CB0851"/>
    <w:rsid w:val="00CB14ED"/>
    <w:rsid w:val="00CB166D"/>
    <w:rsid w:val="00CB1D4C"/>
    <w:rsid w:val="00CB4156"/>
    <w:rsid w:val="00CB6727"/>
    <w:rsid w:val="00CB7053"/>
    <w:rsid w:val="00CB72EE"/>
    <w:rsid w:val="00CB7AA6"/>
    <w:rsid w:val="00CC0106"/>
    <w:rsid w:val="00CC091E"/>
    <w:rsid w:val="00CC09E5"/>
    <w:rsid w:val="00CC3579"/>
    <w:rsid w:val="00CC3C57"/>
    <w:rsid w:val="00CC3E4F"/>
    <w:rsid w:val="00CC5E56"/>
    <w:rsid w:val="00CC61C1"/>
    <w:rsid w:val="00CC6AC8"/>
    <w:rsid w:val="00CC6BA5"/>
    <w:rsid w:val="00CC78F4"/>
    <w:rsid w:val="00CD07D9"/>
    <w:rsid w:val="00CD47A0"/>
    <w:rsid w:val="00CD49CD"/>
    <w:rsid w:val="00CD4D6C"/>
    <w:rsid w:val="00CD5FE8"/>
    <w:rsid w:val="00CD6662"/>
    <w:rsid w:val="00CD6950"/>
    <w:rsid w:val="00CD6E18"/>
    <w:rsid w:val="00CD6EA9"/>
    <w:rsid w:val="00CD7C4F"/>
    <w:rsid w:val="00CE0964"/>
    <w:rsid w:val="00CE10B5"/>
    <w:rsid w:val="00CE1951"/>
    <w:rsid w:val="00CE23C5"/>
    <w:rsid w:val="00CE3C4C"/>
    <w:rsid w:val="00CE3E92"/>
    <w:rsid w:val="00CE4A6C"/>
    <w:rsid w:val="00CE4E9C"/>
    <w:rsid w:val="00CE599B"/>
    <w:rsid w:val="00CF19C9"/>
    <w:rsid w:val="00CF1CF8"/>
    <w:rsid w:val="00CF2962"/>
    <w:rsid w:val="00CF2D38"/>
    <w:rsid w:val="00CF32B3"/>
    <w:rsid w:val="00CF572F"/>
    <w:rsid w:val="00CF5CB4"/>
    <w:rsid w:val="00CF6734"/>
    <w:rsid w:val="00CF758F"/>
    <w:rsid w:val="00D003C4"/>
    <w:rsid w:val="00D011BC"/>
    <w:rsid w:val="00D016D8"/>
    <w:rsid w:val="00D018D1"/>
    <w:rsid w:val="00D02605"/>
    <w:rsid w:val="00D03049"/>
    <w:rsid w:val="00D03058"/>
    <w:rsid w:val="00D04572"/>
    <w:rsid w:val="00D07267"/>
    <w:rsid w:val="00D07494"/>
    <w:rsid w:val="00D07794"/>
    <w:rsid w:val="00D1072F"/>
    <w:rsid w:val="00D10E4D"/>
    <w:rsid w:val="00D11397"/>
    <w:rsid w:val="00D1148B"/>
    <w:rsid w:val="00D12D25"/>
    <w:rsid w:val="00D13510"/>
    <w:rsid w:val="00D15805"/>
    <w:rsid w:val="00D15B4F"/>
    <w:rsid w:val="00D161C4"/>
    <w:rsid w:val="00D1689C"/>
    <w:rsid w:val="00D168ED"/>
    <w:rsid w:val="00D16CAE"/>
    <w:rsid w:val="00D17559"/>
    <w:rsid w:val="00D176D5"/>
    <w:rsid w:val="00D1792A"/>
    <w:rsid w:val="00D17FCA"/>
    <w:rsid w:val="00D20853"/>
    <w:rsid w:val="00D21893"/>
    <w:rsid w:val="00D218A0"/>
    <w:rsid w:val="00D21ECA"/>
    <w:rsid w:val="00D22CF5"/>
    <w:rsid w:val="00D22E06"/>
    <w:rsid w:val="00D2377F"/>
    <w:rsid w:val="00D23EE8"/>
    <w:rsid w:val="00D24637"/>
    <w:rsid w:val="00D24738"/>
    <w:rsid w:val="00D25C52"/>
    <w:rsid w:val="00D27A51"/>
    <w:rsid w:val="00D3017C"/>
    <w:rsid w:val="00D3064B"/>
    <w:rsid w:val="00D311BF"/>
    <w:rsid w:val="00D32E3F"/>
    <w:rsid w:val="00D3362A"/>
    <w:rsid w:val="00D3368B"/>
    <w:rsid w:val="00D3396F"/>
    <w:rsid w:val="00D33D67"/>
    <w:rsid w:val="00D34476"/>
    <w:rsid w:val="00D347D1"/>
    <w:rsid w:val="00D36728"/>
    <w:rsid w:val="00D36E1E"/>
    <w:rsid w:val="00D400AB"/>
    <w:rsid w:val="00D400B3"/>
    <w:rsid w:val="00D407F3"/>
    <w:rsid w:val="00D424F5"/>
    <w:rsid w:val="00D42DF0"/>
    <w:rsid w:val="00D438D2"/>
    <w:rsid w:val="00D44317"/>
    <w:rsid w:val="00D444D6"/>
    <w:rsid w:val="00D44C62"/>
    <w:rsid w:val="00D45BF4"/>
    <w:rsid w:val="00D45DA1"/>
    <w:rsid w:val="00D463BB"/>
    <w:rsid w:val="00D46501"/>
    <w:rsid w:val="00D46E1B"/>
    <w:rsid w:val="00D509B2"/>
    <w:rsid w:val="00D526C7"/>
    <w:rsid w:val="00D52AC2"/>
    <w:rsid w:val="00D53451"/>
    <w:rsid w:val="00D538C6"/>
    <w:rsid w:val="00D542E4"/>
    <w:rsid w:val="00D545C1"/>
    <w:rsid w:val="00D54BEF"/>
    <w:rsid w:val="00D5524B"/>
    <w:rsid w:val="00D555F3"/>
    <w:rsid w:val="00D562E5"/>
    <w:rsid w:val="00D6000A"/>
    <w:rsid w:val="00D60566"/>
    <w:rsid w:val="00D62207"/>
    <w:rsid w:val="00D63703"/>
    <w:rsid w:val="00D643F6"/>
    <w:rsid w:val="00D6457C"/>
    <w:rsid w:val="00D64E80"/>
    <w:rsid w:val="00D65225"/>
    <w:rsid w:val="00D670BF"/>
    <w:rsid w:val="00D716A5"/>
    <w:rsid w:val="00D730C4"/>
    <w:rsid w:val="00D746E9"/>
    <w:rsid w:val="00D74F58"/>
    <w:rsid w:val="00D75B27"/>
    <w:rsid w:val="00D7621A"/>
    <w:rsid w:val="00D766F1"/>
    <w:rsid w:val="00D77795"/>
    <w:rsid w:val="00D77833"/>
    <w:rsid w:val="00D77CA1"/>
    <w:rsid w:val="00D82448"/>
    <w:rsid w:val="00D8269C"/>
    <w:rsid w:val="00D826A0"/>
    <w:rsid w:val="00D83FEE"/>
    <w:rsid w:val="00D8455D"/>
    <w:rsid w:val="00D860D0"/>
    <w:rsid w:val="00D869B6"/>
    <w:rsid w:val="00D87DC7"/>
    <w:rsid w:val="00D90408"/>
    <w:rsid w:val="00D91FC8"/>
    <w:rsid w:val="00D93010"/>
    <w:rsid w:val="00D93116"/>
    <w:rsid w:val="00D93469"/>
    <w:rsid w:val="00D93E9C"/>
    <w:rsid w:val="00D94161"/>
    <w:rsid w:val="00D942CC"/>
    <w:rsid w:val="00D94765"/>
    <w:rsid w:val="00D94BCE"/>
    <w:rsid w:val="00D9528A"/>
    <w:rsid w:val="00D960FD"/>
    <w:rsid w:val="00D969DC"/>
    <w:rsid w:val="00D9702A"/>
    <w:rsid w:val="00D9742F"/>
    <w:rsid w:val="00D975FE"/>
    <w:rsid w:val="00DA1AAB"/>
    <w:rsid w:val="00DA22CB"/>
    <w:rsid w:val="00DA2960"/>
    <w:rsid w:val="00DA2C8B"/>
    <w:rsid w:val="00DA3C82"/>
    <w:rsid w:val="00DA533F"/>
    <w:rsid w:val="00DA580C"/>
    <w:rsid w:val="00DA6065"/>
    <w:rsid w:val="00DA7ABD"/>
    <w:rsid w:val="00DB0074"/>
    <w:rsid w:val="00DB1267"/>
    <w:rsid w:val="00DB1BEA"/>
    <w:rsid w:val="00DB209F"/>
    <w:rsid w:val="00DB2BBA"/>
    <w:rsid w:val="00DB2D2A"/>
    <w:rsid w:val="00DB3BD2"/>
    <w:rsid w:val="00DB3D6A"/>
    <w:rsid w:val="00DB4908"/>
    <w:rsid w:val="00DB5349"/>
    <w:rsid w:val="00DB5D2D"/>
    <w:rsid w:val="00DB6E56"/>
    <w:rsid w:val="00DB7047"/>
    <w:rsid w:val="00DB713C"/>
    <w:rsid w:val="00DB7D36"/>
    <w:rsid w:val="00DC080F"/>
    <w:rsid w:val="00DC0BF6"/>
    <w:rsid w:val="00DC11E4"/>
    <w:rsid w:val="00DC1327"/>
    <w:rsid w:val="00DC17D0"/>
    <w:rsid w:val="00DC1BD4"/>
    <w:rsid w:val="00DC23A1"/>
    <w:rsid w:val="00DC243F"/>
    <w:rsid w:val="00DC2862"/>
    <w:rsid w:val="00DC29E4"/>
    <w:rsid w:val="00DC3289"/>
    <w:rsid w:val="00DC4965"/>
    <w:rsid w:val="00DC5090"/>
    <w:rsid w:val="00DC51A6"/>
    <w:rsid w:val="00DC5C65"/>
    <w:rsid w:val="00DC5D72"/>
    <w:rsid w:val="00DC61AE"/>
    <w:rsid w:val="00DC627F"/>
    <w:rsid w:val="00DC67F8"/>
    <w:rsid w:val="00DC6A62"/>
    <w:rsid w:val="00DD1602"/>
    <w:rsid w:val="00DD2929"/>
    <w:rsid w:val="00DD3B4F"/>
    <w:rsid w:val="00DD76E8"/>
    <w:rsid w:val="00DD7FB5"/>
    <w:rsid w:val="00DE035B"/>
    <w:rsid w:val="00DE1AD3"/>
    <w:rsid w:val="00DE292B"/>
    <w:rsid w:val="00DE2AAD"/>
    <w:rsid w:val="00DE36F5"/>
    <w:rsid w:val="00DE4A79"/>
    <w:rsid w:val="00DE507B"/>
    <w:rsid w:val="00DE50F9"/>
    <w:rsid w:val="00DE5596"/>
    <w:rsid w:val="00DE59A5"/>
    <w:rsid w:val="00DE7E84"/>
    <w:rsid w:val="00DE7F94"/>
    <w:rsid w:val="00DF052D"/>
    <w:rsid w:val="00DF0676"/>
    <w:rsid w:val="00DF1013"/>
    <w:rsid w:val="00DF10A6"/>
    <w:rsid w:val="00DF27B0"/>
    <w:rsid w:val="00DF349E"/>
    <w:rsid w:val="00DF36BB"/>
    <w:rsid w:val="00DF43FB"/>
    <w:rsid w:val="00DF5F65"/>
    <w:rsid w:val="00DF7F09"/>
    <w:rsid w:val="00E014BE"/>
    <w:rsid w:val="00E01787"/>
    <w:rsid w:val="00E01D56"/>
    <w:rsid w:val="00E0218C"/>
    <w:rsid w:val="00E0221B"/>
    <w:rsid w:val="00E0260E"/>
    <w:rsid w:val="00E037D9"/>
    <w:rsid w:val="00E03CD6"/>
    <w:rsid w:val="00E04536"/>
    <w:rsid w:val="00E0485A"/>
    <w:rsid w:val="00E04E79"/>
    <w:rsid w:val="00E0546E"/>
    <w:rsid w:val="00E057BB"/>
    <w:rsid w:val="00E05C95"/>
    <w:rsid w:val="00E05D97"/>
    <w:rsid w:val="00E06651"/>
    <w:rsid w:val="00E072F2"/>
    <w:rsid w:val="00E15988"/>
    <w:rsid w:val="00E15B3F"/>
    <w:rsid w:val="00E17146"/>
    <w:rsid w:val="00E1754C"/>
    <w:rsid w:val="00E204CE"/>
    <w:rsid w:val="00E2283F"/>
    <w:rsid w:val="00E26020"/>
    <w:rsid w:val="00E2694A"/>
    <w:rsid w:val="00E30874"/>
    <w:rsid w:val="00E3096F"/>
    <w:rsid w:val="00E3193B"/>
    <w:rsid w:val="00E327BF"/>
    <w:rsid w:val="00E32F97"/>
    <w:rsid w:val="00E33A10"/>
    <w:rsid w:val="00E35D61"/>
    <w:rsid w:val="00E37481"/>
    <w:rsid w:val="00E37F62"/>
    <w:rsid w:val="00E40EAB"/>
    <w:rsid w:val="00E40EF7"/>
    <w:rsid w:val="00E4197E"/>
    <w:rsid w:val="00E45172"/>
    <w:rsid w:val="00E458AA"/>
    <w:rsid w:val="00E45D4C"/>
    <w:rsid w:val="00E461B4"/>
    <w:rsid w:val="00E461F4"/>
    <w:rsid w:val="00E46435"/>
    <w:rsid w:val="00E46D84"/>
    <w:rsid w:val="00E47513"/>
    <w:rsid w:val="00E476A7"/>
    <w:rsid w:val="00E477E7"/>
    <w:rsid w:val="00E517AE"/>
    <w:rsid w:val="00E517E4"/>
    <w:rsid w:val="00E5211A"/>
    <w:rsid w:val="00E52523"/>
    <w:rsid w:val="00E52A05"/>
    <w:rsid w:val="00E5406C"/>
    <w:rsid w:val="00E542CE"/>
    <w:rsid w:val="00E55273"/>
    <w:rsid w:val="00E56C6F"/>
    <w:rsid w:val="00E602BE"/>
    <w:rsid w:val="00E62FE5"/>
    <w:rsid w:val="00E639BE"/>
    <w:rsid w:val="00E63E36"/>
    <w:rsid w:val="00E63E8A"/>
    <w:rsid w:val="00E64333"/>
    <w:rsid w:val="00E644CC"/>
    <w:rsid w:val="00E64D41"/>
    <w:rsid w:val="00E6576F"/>
    <w:rsid w:val="00E667BD"/>
    <w:rsid w:val="00E719ED"/>
    <w:rsid w:val="00E73BF4"/>
    <w:rsid w:val="00E73F6D"/>
    <w:rsid w:val="00E744DF"/>
    <w:rsid w:val="00E7489B"/>
    <w:rsid w:val="00E74BB0"/>
    <w:rsid w:val="00E74E63"/>
    <w:rsid w:val="00E75530"/>
    <w:rsid w:val="00E7601A"/>
    <w:rsid w:val="00E76141"/>
    <w:rsid w:val="00E761FB"/>
    <w:rsid w:val="00E764AA"/>
    <w:rsid w:val="00E7779A"/>
    <w:rsid w:val="00E807DD"/>
    <w:rsid w:val="00E8208F"/>
    <w:rsid w:val="00E82451"/>
    <w:rsid w:val="00E82454"/>
    <w:rsid w:val="00E82A84"/>
    <w:rsid w:val="00E83266"/>
    <w:rsid w:val="00E8442A"/>
    <w:rsid w:val="00E84443"/>
    <w:rsid w:val="00E84AD5"/>
    <w:rsid w:val="00E85B65"/>
    <w:rsid w:val="00E864CD"/>
    <w:rsid w:val="00E86BE0"/>
    <w:rsid w:val="00E8781E"/>
    <w:rsid w:val="00E9020A"/>
    <w:rsid w:val="00E90486"/>
    <w:rsid w:val="00E9050A"/>
    <w:rsid w:val="00E9099E"/>
    <w:rsid w:val="00E90BEC"/>
    <w:rsid w:val="00E91EA9"/>
    <w:rsid w:val="00E9203C"/>
    <w:rsid w:val="00E94920"/>
    <w:rsid w:val="00E9519F"/>
    <w:rsid w:val="00E96648"/>
    <w:rsid w:val="00E97EEA"/>
    <w:rsid w:val="00EA036A"/>
    <w:rsid w:val="00EA0AE5"/>
    <w:rsid w:val="00EA11EA"/>
    <w:rsid w:val="00EA1566"/>
    <w:rsid w:val="00EA240F"/>
    <w:rsid w:val="00EA4031"/>
    <w:rsid w:val="00EA49F6"/>
    <w:rsid w:val="00EA4D2A"/>
    <w:rsid w:val="00EA5D6D"/>
    <w:rsid w:val="00EA736F"/>
    <w:rsid w:val="00EB01ED"/>
    <w:rsid w:val="00EB0785"/>
    <w:rsid w:val="00EB207F"/>
    <w:rsid w:val="00EB272F"/>
    <w:rsid w:val="00EB2D01"/>
    <w:rsid w:val="00EB3F56"/>
    <w:rsid w:val="00EB4082"/>
    <w:rsid w:val="00EB4514"/>
    <w:rsid w:val="00EB585C"/>
    <w:rsid w:val="00EB5874"/>
    <w:rsid w:val="00EB745D"/>
    <w:rsid w:val="00EB7769"/>
    <w:rsid w:val="00EC03A9"/>
    <w:rsid w:val="00EC0F92"/>
    <w:rsid w:val="00EC1C54"/>
    <w:rsid w:val="00EC31BD"/>
    <w:rsid w:val="00ED040A"/>
    <w:rsid w:val="00ED0567"/>
    <w:rsid w:val="00ED0829"/>
    <w:rsid w:val="00ED08BD"/>
    <w:rsid w:val="00ED0AAE"/>
    <w:rsid w:val="00ED0B08"/>
    <w:rsid w:val="00ED0CB0"/>
    <w:rsid w:val="00ED111B"/>
    <w:rsid w:val="00ED13B9"/>
    <w:rsid w:val="00ED16FA"/>
    <w:rsid w:val="00ED2416"/>
    <w:rsid w:val="00ED3C71"/>
    <w:rsid w:val="00ED430C"/>
    <w:rsid w:val="00ED480E"/>
    <w:rsid w:val="00ED571D"/>
    <w:rsid w:val="00ED5896"/>
    <w:rsid w:val="00ED5A80"/>
    <w:rsid w:val="00ED5E1A"/>
    <w:rsid w:val="00ED63DD"/>
    <w:rsid w:val="00ED6E85"/>
    <w:rsid w:val="00ED7096"/>
    <w:rsid w:val="00ED753F"/>
    <w:rsid w:val="00ED773D"/>
    <w:rsid w:val="00ED7E1A"/>
    <w:rsid w:val="00EE14AB"/>
    <w:rsid w:val="00EE19C9"/>
    <w:rsid w:val="00EE1C3C"/>
    <w:rsid w:val="00EE28DB"/>
    <w:rsid w:val="00EE2C42"/>
    <w:rsid w:val="00EE392B"/>
    <w:rsid w:val="00EE4242"/>
    <w:rsid w:val="00EE46BA"/>
    <w:rsid w:val="00EE5257"/>
    <w:rsid w:val="00EE5F45"/>
    <w:rsid w:val="00EE71C7"/>
    <w:rsid w:val="00EE7882"/>
    <w:rsid w:val="00EE78E0"/>
    <w:rsid w:val="00EE7F81"/>
    <w:rsid w:val="00EF10CA"/>
    <w:rsid w:val="00EF158E"/>
    <w:rsid w:val="00EF2135"/>
    <w:rsid w:val="00EF22BC"/>
    <w:rsid w:val="00EF23D4"/>
    <w:rsid w:val="00EF2412"/>
    <w:rsid w:val="00EF2867"/>
    <w:rsid w:val="00EF30E7"/>
    <w:rsid w:val="00EF3A8E"/>
    <w:rsid w:val="00EF3F31"/>
    <w:rsid w:val="00EF4B6E"/>
    <w:rsid w:val="00EF62DC"/>
    <w:rsid w:val="00EF6533"/>
    <w:rsid w:val="00EF6C57"/>
    <w:rsid w:val="00EF72D6"/>
    <w:rsid w:val="00EF75EC"/>
    <w:rsid w:val="00EF7D52"/>
    <w:rsid w:val="00F012BE"/>
    <w:rsid w:val="00F015E5"/>
    <w:rsid w:val="00F01C8D"/>
    <w:rsid w:val="00F02BBB"/>
    <w:rsid w:val="00F0354C"/>
    <w:rsid w:val="00F036FB"/>
    <w:rsid w:val="00F039BE"/>
    <w:rsid w:val="00F03DAB"/>
    <w:rsid w:val="00F03DCB"/>
    <w:rsid w:val="00F04527"/>
    <w:rsid w:val="00F046BD"/>
    <w:rsid w:val="00F0472B"/>
    <w:rsid w:val="00F0496C"/>
    <w:rsid w:val="00F0515E"/>
    <w:rsid w:val="00F05E1F"/>
    <w:rsid w:val="00F07175"/>
    <w:rsid w:val="00F07FBE"/>
    <w:rsid w:val="00F137B3"/>
    <w:rsid w:val="00F15365"/>
    <w:rsid w:val="00F16392"/>
    <w:rsid w:val="00F16AF7"/>
    <w:rsid w:val="00F16E22"/>
    <w:rsid w:val="00F17192"/>
    <w:rsid w:val="00F17196"/>
    <w:rsid w:val="00F20CC1"/>
    <w:rsid w:val="00F21B71"/>
    <w:rsid w:val="00F21BC8"/>
    <w:rsid w:val="00F21FCF"/>
    <w:rsid w:val="00F2247B"/>
    <w:rsid w:val="00F225E4"/>
    <w:rsid w:val="00F22F8F"/>
    <w:rsid w:val="00F233A1"/>
    <w:rsid w:val="00F24D21"/>
    <w:rsid w:val="00F25377"/>
    <w:rsid w:val="00F26395"/>
    <w:rsid w:val="00F26ECC"/>
    <w:rsid w:val="00F26F9C"/>
    <w:rsid w:val="00F27055"/>
    <w:rsid w:val="00F30DF5"/>
    <w:rsid w:val="00F30E1F"/>
    <w:rsid w:val="00F3123B"/>
    <w:rsid w:val="00F317D8"/>
    <w:rsid w:val="00F3191E"/>
    <w:rsid w:val="00F31F37"/>
    <w:rsid w:val="00F32389"/>
    <w:rsid w:val="00F32969"/>
    <w:rsid w:val="00F32B63"/>
    <w:rsid w:val="00F33123"/>
    <w:rsid w:val="00F332DB"/>
    <w:rsid w:val="00F34468"/>
    <w:rsid w:val="00F34688"/>
    <w:rsid w:val="00F34A4E"/>
    <w:rsid w:val="00F34EA3"/>
    <w:rsid w:val="00F35F13"/>
    <w:rsid w:val="00F360B0"/>
    <w:rsid w:val="00F36982"/>
    <w:rsid w:val="00F37078"/>
    <w:rsid w:val="00F370B7"/>
    <w:rsid w:val="00F372D5"/>
    <w:rsid w:val="00F403FF"/>
    <w:rsid w:val="00F4161A"/>
    <w:rsid w:val="00F421FB"/>
    <w:rsid w:val="00F4247E"/>
    <w:rsid w:val="00F42ACB"/>
    <w:rsid w:val="00F45360"/>
    <w:rsid w:val="00F47215"/>
    <w:rsid w:val="00F51BB4"/>
    <w:rsid w:val="00F527F2"/>
    <w:rsid w:val="00F52828"/>
    <w:rsid w:val="00F52B70"/>
    <w:rsid w:val="00F52C67"/>
    <w:rsid w:val="00F53EF1"/>
    <w:rsid w:val="00F5462E"/>
    <w:rsid w:val="00F547E6"/>
    <w:rsid w:val="00F5652D"/>
    <w:rsid w:val="00F57F4B"/>
    <w:rsid w:val="00F57F53"/>
    <w:rsid w:val="00F607B7"/>
    <w:rsid w:val="00F61588"/>
    <w:rsid w:val="00F61B71"/>
    <w:rsid w:val="00F623FB"/>
    <w:rsid w:val="00F62594"/>
    <w:rsid w:val="00F64595"/>
    <w:rsid w:val="00F64F2F"/>
    <w:rsid w:val="00F65BA6"/>
    <w:rsid w:val="00F709BC"/>
    <w:rsid w:val="00F71220"/>
    <w:rsid w:val="00F72F95"/>
    <w:rsid w:val="00F7363E"/>
    <w:rsid w:val="00F73723"/>
    <w:rsid w:val="00F73BFD"/>
    <w:rsid w:val="00F74CD2"/>
    <w:rsid w:val="00F758B1"/>
    <w:rsid w:val="00F75BAD"/>
    <w:rsid w:val="00F761CC"/>
    <w:rsid w:val="00F76A5D"/>
    <w:rsid w:val="00F76AF4"/>
    <w:rsid w:val="00F77241"/>
    <w:rsid w:val="00F80302"/>
    <w:rsid w:val="00F806FB"/>
    <w:rsid w:val="00F80C3F"/>
    <w:rsid w:val="00F81816"/>
    <w:rsid w:val="00F81B8E"/>
    <w:rsid w:val="00F823E3"/>
    <w:rsid w:val="00F82FDD"/>
    <w:rsid w:val="00F839E5"/>
    <w:rsid w:val="00F83B88"/>
    <w:rsid w:val="00F83FFF"/>
    <w:rsid w:val="00F8756A"/>
    <w:rsid w:val="00F87B68"/>
    <w:rsid w:val="00F91091"/>
    <w:rsid w:val="00F93A67"/>
    <w:rsid w:val="00F9462F"/>
    <w:rsid w:val="00F94A89"/>
    <w:rsid w:val="00F94BF5"/>
    <w:rsid w:val="00F957A0"/>
    <w:rsid w:val="00F96EB4"/>
    <w:rsid w:val="00F9750D"/>
    <w:rsid w:val="00FA0C0D"/>
    <w:rsid w:val="00FA0E47"/>
    <w:rsid w:val="00FA3158"/>
    <w:rsid w:val="00FA4FBB"/>
    <w:rsid w:val="00FA531B"/>
    <w:rsid w:val="00FA53F7"/>
    <w:rsid w:val="00FA65C0"/>
    <w:rsid w:val="00FA68CA"/>
    <w:rsid w:val="00FA6C64"/>
    <w:rsid w:val="00FA7246"/>
    <w:rsid w:val="00FA7FA2"/>
    <w:rsid w:val="00FA7FDC"/>
    <w:rsid w:val="00FB0F5A"/>
    <w:rsid w:val="00FB1022"/>
    <w:rsid w:val="00FB1D28"/>
    <w:rsid w:val="00FB1FB3"/>
    <w:rsid w:val="00FB20D7"/>
    <w:rsid w:val="00FB210D"/>
    <w:rsid w:val="00FB61C3"/>
    <w:rsid w:val="00FC1194"/>
    <w:rsid w:val="00FC141E"/>
    <w:rsid w:val="00FC15ED"/>
    <w:rsid w:val="00FC1DC7"/>
    <w:rsid w:val="00FC28A0"/>
    <w:rsid w:val="00FC2981"/>
    <w:rsid w:val="00FC4804"/>
    <w:rsid w:val="00FC4BF4"/>
    <w:rsid w:val="00FC5DB7"/>
    <w:rsid w:val="00FC6E83"/>
    <w:rsid w:val="00FC7663"/>
    <w:rsid w:val="00FC77CA"/>
    <w:rsid w:val="00FD048C"/>
    <w:rsid w:val="00FD19CF"/>
    <w:rsid w:val="00FD1D26"/>
    <w:rsid w:val="00FD3948"/>
    <w:rsid w:val="00FD448F"/>
    <w:rsid w:val="00FD4B09"/>
    <w:rsid w:val="00FD4C91"/>
    <w:rsid w:val="00FD5D77"/>
    <w:rsid w:val="00FD71CB"/>
    <w:rsid w:val="00FD7DB9"/>
    <w:rsid w:val="00FD7F6E"/>
    <w:rsid w:val="00FE005C"/>
    <w:rsid w:val="00FE0267"/>
    <w:rsid w:val="00FE0DF1"/>
    <w:rsid w:val="00FE0F2B"/>
    <w:rsid w:val="00FE0F7E"/>
    <w:rsid w:val="00FE3299"/>
    <w:rsid w:val="00FE3590"/>
    <w:rsid w:val="00FE3E88"/>
    <w:rsid w:val="00FE5258"/>
    <w:rsid w:val="00FE5820"/>
    <w:rsid w:val="00FE5970"/>
    <w:rsid w:val="00FE5A08"/>
    <w:rsid w:val="00FE5DEF"/>
    <w:rsid w:val="00FE63D0"/>
    <w:rsid w:val="00FE6D4C"/>
    <w:rsid w:val="00FE7564"/>
    <w:rsid w:val="00FF0E3E"/>
    <w:rsid w:val="00FF1CD6"/>
    <w:rsid w:val="00FF2D84"/>
    <w:rsid w:val="00FF557A"/>
    <w:rsid w:val="00FF6C70"/>
    <w:rsid w:val="00FF6FDF"/>
    <w:rsid w:val="00FF750F"/>
    <w:rsid w:val="00FF76CD"/>
    <w:rsid w:val="00FF77AC"/>
    <w:rsid w:val="00FF7DE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uiPriority="0"/>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BBB"/>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paragraph" w:styleId="Heading1">
    <w:name w:val="heading 1"/>
    <w:basedOn w:val="Normal"/>
    <w:next w:val="Normal"/>
    <w:link w:val="Heading1Char"/>
    <w:uiPriority w:val="99"/>
    <w:qFormat/>
    <w:rsid w:val="005B24CB"/>
    <w:pPr>
      <w:keepNext/>
      <w:spacing w:before="240" w:after="60" w:line="240" w:lineRule="auto"/>
      <w:jc w:val="left"/>
      <w:outlineLvl w:val="0"/>
    </w:pPr>
    <w:rPr>
      <w:rFonts w:ascii="Cambria" w:hAnsi="Cambria"/>
      <w:b/>
      <w:bCs/>
      <w:kern w:val="32"/>
      <w:sz w:val="32"/>
      <w:szCs w:val="32"/>
      <w:lang w:eastAsia="cs-CZ"/>
    </w:rPr>
  </w:style>
  <w:style w:type="paragraph" w:styleId="Heading2">
    <w:name w:val="heading 2"/>
    <w:basedOn w:val="Normal"/>
    <w:next w:val="Normal"/>
    <w:link w:val="Heading2Char"/>
    <w:autoRedefine/>
    <w:uiPriority w:val="99"/>
    <w:qFormat/>
    <w:rsid w:val="002D6290"/>
    <w:pPr>
      <w:keepNext/>
      <w:tabs>
        <w:tab w:val="left" w:pos="420"/>
      </w:tabs>
      <w:spacing w:before="60" w:after="240" w:line="240" w:lineRule="auto"/>
      <w:jc w:val="left"/>
      <w:outlineLvl w:val="1"/>
    </w:pPr>
    <w:rPr>
      <w:rFonts w:ascii="Times New Roman" w:hAnsi="Times New Roman"/>
      <w:b/>
      <w:bCs/>
      <w:iCs/>
      <w:sz w:val="24"/>
      <w:szCs w:val="24"/>
      <w:lang w:eastAsia="sk-SK"/>
    </w:rPr>
  </w:style>
  <w:style w:type="paragraph" w:styleId="Heading3">
    <w:name w:val="heading 3"/>
    <w:basedOn w:val="Normal"/>
    <w:next w:val="Normal"/>
    <w:link w:val="Heading3Char"/>
    <w:uiPriority w:val="99"/>
    <w:qFormat/>
    <w:rsid w:val="005B24CB"/>
    <w:pPr>
      <w:keepNext/>
      <w:spacing w:after="0" w:line="240" w:lineRule="auto"/>
      <w:jc w:val="left"/>
      <w:outlineLvl w:val="2"/>
    </w:pPr>
    <w:rPr>
      <w:rFonts w:ascii="Times New Roman" w:hAnsi="Times New Roman"/>
      <w:b/>
      <w:sz w:val="24"/>
      <w:szCs w:val="20"/>
      <w:lang w:eastAsia="cs-CZ"/>
    </w:rPr>
  </w:style>
  <w:style w:type="paragraph" w:styleId="Heading4">
    <w:name w:val="heading 4"/>
    <w:basedOn w:val="Normal"/>
    <w:next w:val="Normal"/>
    <w:link w:val="Heading4Char"/>
    <w:uiPriority w:val="99"/>
    <w:qFormat/>
    <w:rsid w:val="005B24CB"/>
    <w:pPr>
      <w:keepNext/>
      <w:spacing w:before="240" w:after="60" w:line="240" w:lineRule="auto"/>
      <w:jc w:val="left"/>
      <w:outlineLvl w:val="3"/>
    </w:pPr>
    <w:rPr>
      <w:rFonts w:ascii="Calibri" w:hAnsi="Calibri"/>
      <w:b/>
      <w:bCs/>
      <w:sz w:val="28"/>
      <w:szCs w:val="28"/>
      <w:lang w:eastAsia="sk-SK"/>
    </w:rPr>
  </w:style>
  <w:style w:type="paragraph" w:styleId="Heading5">
    <w:name w:val="heading 5"/>
    <w:basedOn w:val="Normal"/>
    <w:next w:val="Normal"/>
    <w:link w:val="Heading5Char"/>
    <w:uiPriority w:val="99"/>
    <w:qFormat/>
    <w:rsid w:val="005B24CB"/>
    <w:pPr>
      <w:keepNext/>
      <w:tabs>
        <w:tab w:val="num" w:pos="1008"/>
      </w:tabs>
      <w:spacing w:after="0" w:line="240" w:lineRule="auto"/>
      <w:ind w:left="1008" w:hanging="1008"/>
      <w:jc w:val="center"/>
      <w:outlineLvl w:val="4"/>
    </w:pPr>
    <w:rPr>
      <w:rFonts w:ascii="Times New Roman" w:hAnsi="Times New Roman"/>
      <w:b/>
      <w:bCs/>
      <w:sz w:val="20"/>
      <w:szCs w:val="20"/>
      <w:lang w:eastAsia="cs-CZ"/>
    </w:rPr>
  </w:style>
  <w:style w:type="paragraph" w:styleId="Heading6">
    <w:name w:val="heading 6"/>
    <w:basedOn w:val="Normal"/>
    <w:next w:val="Normal"/>
    <w:link w:val="Heading6Char"/>
    <w:uiPriority w:val="99"/>
    <w:qFormat/>
    <w:rsid w:val="005B24CB"/>
    <w:pPr>
      <w:tabs>
        <w:tab w:val="num" w:pos="1152"/>
      </w:tabs>
      <w:spacing w:before="240" w:after="60" w:line="240" w:lineRule="auto"/>
      <w:ind w:left="1152" w:hanging="1152"/>
      <w:jc w:val="left"/>
      <w:outlineLvl w:val="5"/>
    </w:pPr>
    <w:rPr>
      <w:rFonts w:ascii="Times New Roman" w:hAnsi="Times New Roman"/>
      <w:b/>
      <w:bCs/>
      <w:sz w:val="20"/>
      <w:szCs w:val="22"/>
      <w:lang w:eastAsia="sk-SK"/>
    </w:rPr>
  </w:style>
  <w:style w:type="paragraph" w:styleId="Heading7">
    <w:name w:val="heading 7"/>
    <w:basedOn w:val="Normal"/>
    <w:next w:val="Normal"/>
    <w:link w:val="Heading7Char"/>
    <w:uiPriority w:val="99"/>
    <w:qFormat/>
    <w:rsid w:val="005B24CB"/>
    <w:pPr>
      <w:tabs>
        <w:tab w:val="num" w:pos="1296"/>
      </w:tabs>
      <w:spacing w:before="240" w:after="60" w:line="240" w:lineRule="auto"/>
      <w:ind w:left="1296" w:hanging="1296"/>
      <w:jc w:val="left"/>
      <w:outlineLvl w:val="6"/>
    </w:pPr>
    <w:rPr>
      <w:rFonts w:ascii="Times New Roman" w:hAnsi="Times New Roman"/>
      <w:sz w:val="24"/>
      <w:szCs w:val="24"/>
      <w:lang w:eastAsia="sk-SK"/>
    </w:rPr>
  </w:style>
  <w:style w:type="paragraph" w:styleId="Heading8">
    <w:name w:val="heading 8"/>
    <w:basedOn w:val="Normal"/>
    <w:next w:val="Normal"/>
    <w:link w:val="Heading8Char"/>
    <w:uiPriority w:val="99"/>
    <w:qFormat/>
    <w:rsid w:val="005B24CB"/>
    <w:pPr>
      <w:tabs>
        <w:tab w:val="num" w:pos="1440"/>
      </w:tabs>
      <w:spacing w:before="240" w:after="60" w:line="240" w:lineRule="auto"/>
      <w:ind w:left="1440" w:hanging="1440"/>
      <w:jc w:val="left"/>
      <w:outlineLvl w:val="7"/>
    </w:pPr>
    <w:rPr>
      <w:rFonts w:ascii="Times New Roman" w:hAnsi="Times New Roman"/>
      <w:i/>
      <w:iCs/>
      <w:sz w:val="24"/>
      <w:szCs w:val="24"/>
      <w:lang w:eastAsia="sk-SK"/>
    </w:rPr>
  </w:style>
  <w:style w:type="paragraph" w:styleId="Heading9">
    <w:name w:val="heading 9"/>
    <w:basedOn w:val="Normal"/>
    <w:next w:val="Normal"/>
    <w:link w:val="Heading9Char"/>
    <w:uiPriority w:val="99"/>
    <w:qFormat/>
    <w:rsid w:val="005B24CB"/>
    <w:pPr>
      <w:tabs>
        <w:tab w:val="num" w:pos="1584"/>
      </w:tabs>
      <w:spacing w:before="240" w:after="60" w:line="240" w:lineRule="auto"/>
      <w:ind w:left="1584" w:hanging="1584"/>
      <w:jc w:val="left"/>
      <w:outlineLvl w:val="8"/>
    </w:pPr>
    <w:rPr>
      <w:rFonts w:ascii="Arial" w:hAnsi="Arial"/>
      <w:sz w:val="20"/>
      <w:szCs w:val="22"/>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5B24CB"/>
    <w:rPr>
      <w:rFonts w:ascii="Cambria" w:hAnsi="Cambria" w:cs="Times New Roman"/>
      <w:b/>
      <w:kern w:val="32"/>
      <w:sz w:val="32"/>
      <w:rtl w:val="0"/>
      <w:cs w:val="0"/>
      <w:lang w:val="x-none" w:eastAsia="cs-CZ"/>
    </w:rPr>
  </w:style>
  <w:style w:type="character" w:customStyle="1" w:styleId="Heading2Char">
    <w:name w:val="Heading 2 Char"/>
    <w:basedOn w:val="DefaultParagraphFont"/>
    <w:link w:val="Heading2"/>
    <w:uiPriority w:val="99"/>
    <w:locked/>
    <w:rsid w:val="002D6290"/>
    <w:rPr>
      <w:rFonts w:ascii="Times New Roman" w:hAnsi="Times New Roman" w:cs="Times New Roman"/>
      <w:b/>
      <w:sz w:val="24"/>
      <w:rtl w:val="0"/>
      <w:cs w:val="0"/>
      <w:lang w:val="x-none" w:eastAsia="sk-SK"/>
    </w:rPr>
  </w:style>
  <w:style w:type="character" w:customStyle="1" w:styleId="Heading3Char">
    <w:name w:val="Heading 3 Char"/>
    <w:basedOn w:val="DefaultParagraphFont"/>
    <w:link w:val="Heading3"/>
    <w:uiPriority w:val="99"/>
    <w:locked/>
    <w:rsid w:val="005B24CB"/>
    <w:rPr>
      <w:rFonts w:ascii="Times New Roman" w:hAnsi="Times New Roman" w:cs="Times New Roman"/>
      <w:b/>
      <w:sz w:val="20"/>
      <w:rtl w:val="0"/>
      <w:cs w:val="0"/>
      <w:lang w:val="x-none" w:eastAsia="cs-CZ"/>
    </w:rPr>
  </w:style>
  <w:style w:type="character" w:customStyle="1" w:styleId="Heading4Char">
    <w:name w:val="Heading 4 Char"/>
    <w:basedOn w:val="DefaultParagraphFont"/>
    <w:link w:val="Heading4"/>
    <w:uiPriority w:val="99"/>
    <w:locked/>
    <w:rsid w:val="005B24CB"/>
    <w:rPr>
      <w:rFonts w:ascii="Calibri" w:hAnsi="Calibri" w:cs="Times New Roman"/>
      <w:b/>
      <w:sz w:val="28"/>
      <w:rtl w:val="0"/>
      <w:cs w:val="0"/>
    </w:rPr>
  </w:style>
  <w:style w:type="character" w:customStyle="1" w:styleId="Heading5Char">
    <w:name w:val="Heading 5 Char"/>
    <w:basedOn w:val="DefaultParagraphFont"/>
    <w:link w:val="Heading5"/>
    <w:uiPriority w:val="99"/>
    <w:locked/>
    <w:rsid w:val="005B24CB"/>
    <w:rPr>
      <w:rFonts w:ascii="Times New Roman" w:hAnsi="Times New Roman" w:cs="Times New Roman"/>
      <w:b/>
      <w:sz w:val="20"/>
      <w:rtl w:val="0"/>
      <w:cs w:val="0"/>
      <w:lang w:val="x-none" w:eastAsia="cs-CZ"/>
    </w:rPr>
  </w:style>
  <w:style w:type="character" w:customStyle="1" w:styleId="Heading6Char">
    <w:name w:val="Heading 6 Char"/>
    <w:basedOn w:val="DefaultParagraphFont"/>
    <w:link w:val="Heading6"/>
    <w:uiPriority w:val="99"/>
    <w:locked/>
    <w:rsid w:val="005B24CB"/>
    <w:rPr>
      <w:rFonts w:ascii="Times New Roman" w:hAnsi="Times New Roman" w:cs="Times New Roman"/>
      <w:b/>
      <w:sz w:val="22"/>
      <w:rtl w:val="0"/>
      <w:cs w:val="0"/>
    </w:rPr>
  </w:style>
  <w:style w:type="character" w:customStyle="1" w:styleId="Heading7Char">
    <w:name w:val="Heading 7 Char"/>
    <w:basedOn w:val="DefaultParagraphFont"/>
    <w:link w:val="Heading7"/>
    <w:uiPriority w:val="99"/>
    <w:locked/>
    <w:rsid w:val="005B24CB"/>
    <w:rPr>
      <w:rFonts w:ascii="Times New Roman" w:hAnsi="Times New Roman" w:cs="Times New Roman"/>
      <w:sz w:val="24"/>
      <w:rtl w:val="0"/>
      <w:cs w:val="0"/>
    </w:rPr>
  </w:style>
  <w:style w:type="character" w:customStyle="1" w:styleId="Heading8Char">
    <w:name w:val="Heading 8 Char"/>
    <w:basedOn w:val="DefaultParagraphFont"/>
    <w:link w:val="Heading8"/>
    <w:uiPriority w:val="99"/>
    <w:locked/>
    <w:rsid w:val="005B24CB"/>
    <w:rPr>
      <w:rFonts w:ascii="Times New Roman" w:hAnsi="Times New Roman" w:cs="Times New Roman"/>
      <w:i/>
      <w:sz w:val="24"/>
      <w:rtl w:val="0"/>
      <w:cs w:val="0"/>
    </w:rPr>
  </w:style>
  <w:style w:type="character" w:customStyle="1" w:styleId="Heading9Char">
    <w:name w:val="Heading 9 Char"/>
    <w:basedOn w:val="DefaultParagraphFont"/>
    <w:link w:val="Heading9"/>
    <w:uiPriority w:val="99"/>
    <w:locked/>
    <w:rsid w:val="005B24CB"/>
    <w:rPr>
      <w:rFonts w:ascii="Arial" w:hAnsi="Arial" w:cs="Times New Roman"/>
      <w:sz w:val="22"/>
      <w:rtl w:val="0"/>
      <w:cs w:val="0"/>
    </w:rPr>
  </w:style>
  <w:style w:type="paragraph" w:styleId="BalloonText">
    <w:name w:val="Balloon Text"/>
    <w:basedOn w:val="Normal"/>
    <w:link w:val="BalloonTextChar"/>
    <w:uiPriority w:val="99"/>
    <w:semiHidden/>
    <w:rsid w:val="00582CDA"/>
    <w:pPr>
      <w:spacing w:after="0" w:line="240" w:lineRule="auto"/>
      <w:jc w:val="left"/>
    </w:pPr>
    <w:rPr>
      <w:rFonts w:ascii="Tahoma" w:hAnsi="Tahoma"/>
      <w:sz w:val="16"/>
      <w:szCs w:val="16"/>
      <w:lang w:eastAsia="sk-SK"/>
    </w:rPr>
  </w:style>
  <w:style w:type="character" w:customStyle="1" w:styleId="BalloonTextChar">
    <w:name w:val="Balloon Text Char"/>
    <w:basedOn w:val="DefaultParagraphFont"/>
    <w:link w:val="BalloonText"/>
    <w:uiPriority w:val="99"/>
    <w:semiHidden/>
    <w:locked/>
    <w:rsid w:val="00582CDA"/>
    <w:rPr>
      <w:rFonts w:ascii="Tahoma" w:hAnsi="Tahoma" w:cs="Times New Roman"/>
      <w:sz w:val="16"/>
      <w:rtl w:val="0"/>
      <w:cs w:val="0"/>
    </w:rPr>
  </w:style>
  <w:style w:type="paragraph" w:styleId="NormalWeb">
    <w:name w:val="Normal (Web)"/>
    <w:basedOn w:val="Normal"/>
    <w:uiPriority w:val="99"/>
    <w:rsid w:val="00582CDA"/>
    <w:pPr>
      <w:spacing w:after="100" w:afterAutospacing="1" w:line="240" w:lineRule="auto"/>
      <w:jc w:val="left"/>
    </w:pPr>
    <w:rPr>
      <w:rFonts w:ascii="Times New Roman" w:hAnsi="Times New Roman"/>
      <w:sz w:val="24"/>
      <w:szCs w:val="24"/>
      <w:lang w:eastAsia="sk-SK"/>
    </w:rPr>
  </w:style>
  <w:style w:type="paragraph" w:styleId="Header">
    <w:name w:val="header"/>
    <w:basedOn w:val="Normal"/>
    <w:link w:val="HeaderChar"/>
    <w:uiPriority w:val="99"/>
    <w:rsid w:val="002F68AE"/>
    <w:pPr>
      <w:tabs>
        <w:tab w:val="center" w:pos="4536"/>
        <w:tab w:val="right" w:pos="9072"/>
      </w:tabs>
      <w:spacing w:after="0" w:line="240" w:lineRule="auto"/>
      <w:jc w:val="left"/>
    </w:pPr>
  </w:style>
  <w:style w:type="character" w:customStyle="1" w:styleId="HeaderChar">
    <w:name w:val="Header Char"/>
    <w:basedOn w:val="DefaultParagraphFont"/>
    <w:link w:val="Header"/>
    <w:uiPriority w:val="99"/>
    <w:locked/>
    <w:rsid w:val="002F68AE"/>
    <w:rPr>
      <w:rFonts w:cs="Times New Roman"/>
      <w:rtl w:val="0"/>
      <w:cs w:val="0"/>
    </w:rPr>
  </w:style>
  <w:style w:type="paragraph" w:styleId="Footer">
    <w:name w:val="footer"/>
    <w:basedOn w:val="Normal"/>
    <w:link w:val="FooterChar"/>
    <w:uiPriority w:val="99"/>
    <w:rsid w:val="002F68AE"/>
    <w:pPr>
      <w:tabs>
        <w:tab w:val="center" w:pos="4536"/>
        <w:tab w:val="right" w:pos="9072"/>
      </w:tabs>
      <w:spacing w:after="0" w:line="240" w:lineRule="auto"/>
      <w:jc w:val="left"/>
    </w:pPr>
  </w:style>
  <w:style w:type="character" w:customStyle="1" w:styleId="FooterChar">
    <w:name w:val="Footer Char"/>
    <w:basedOn w:val="DefaultParagraphFont"/>
    <w:link w:val="Footer"/>
    <w:uiPriority w:val="99"/>
    <w:locked/>
    <w:rsid w:val="002F68AE"/>
    <w:rPr>
      <w:rFonts w:cs="Times New Roman"/>
      <w:rtl w:val="0"/>
      <w:cs w:val="0"/>
    </w:rPr>
  </w:style>
  <w:style w:type="paragraph" w:styleId="ListParagraph">
    <w:name w:val="List Paragraph"/>
    <w:basedOn w:val="Normal"/>
    <w:uiPriority w:val="34"/>
    <w:qFormat/>
    <w:rsid w:val="00C927E0"/>
    <w:pPr>
      <w:ind w:left="720"/>
      <w:contextualSpacing/>
      <w:jc w:val="left"/>
    </w:pPr>
  </w:style>
  <w:style w:type="character" w:styleId="Hyperlink">
    <w:name w:val="Hyperlink"/>
    <w:basedOn w:val="DefaultParagraphFont"/>
    <w:uiPriority w:val="99"/>
    <w:rsid w:val="00C62BEC"/>
    <w:rPr>
      <w:rFonts w:cs="Times New Roman"/>
      <w:color w:val="9E150F"/>
      <w:u w:val="single"/>
      <w:rtl w:val="0"/>
      <w:cs w:val="0"/>
    </w:rPr>
  </w:style>
  <w:style w:type="character" w:styleId="Strong">
    <w:name w:val="Strong"/>
    <w:basedOn w:val="DefaultParagraphFont"/>
    <w:uiPriority w:val="99"/>
    <w:qFormat/>
    <w:rsid w:val="00C62BEC"/>
    <w:rPr>
      <w:rFonts w:cs="Times New Roman"/>
      <w:b/>
      <w:rtl w:val="0"/>
      <w:cs w:val="0"/>
    </w:rPr>
  </w:style>
  <w:style w:type="paragraph" w:styleId="FootnoteText">
    <w:name w:val="footnote text"/>
    <w:aliases w:val="Footnote Text Char Char1 Char Char Char Char,Footnote Text Char1,Footnote Text Char1 Char,Footnote Text Char1 Char Char Char,Footnote Text Char2,Footnote Text Char2 Char Char,Footnote Text Char2 Char Char Char Char"/>
    <w:basedOn w:val="Normal"/>
    <w:link w:val="FootnoteTextChar"/>
    <w:uiPriority w:val="99"/>
    <w:semiHidden/>
    <w:rsid w:val="00DE7E84"/>
    <w:pPr>
      <w:jc w:val="left"/>
    </w:pPr>
    <w:rPr>
      <w:sz w:val="20"/>
      <w:szCs w:val="20"/>
      <w:lang w:eastAsia="sk-SK"/>
    </w:rPr>
  </w:style>
  <w:style w:type="character" w:customStyle="1" w:styleId="FootnoteTextChar">
    <w:name w:val="Footnote Text Char"/>
    <w:aliases w:val="Footnote Text Char Char1 Char Char Char Char Char,Footnote Text Char1 Char Char,Footnote Text Char1 Char Char Char Char,Footnote Text Char2 Char,Footnote Text Char2 Char Char Char,Footnote Text Char2 Char Char Char Char Char"/>
    <w:basedOn w:val="DefaultParagraphFont"/>
    <w:link w:val="FootnoteText"/>
    <w:uiPriority w:val="99"/>
    <w:semiHidden/>
    <w:locked/>
    <w:rsid w:val="00DE7E84"/>
    <w:rPr>
      <w:rFonts w:eastAsia="Times New Roman" w:cs="Times New Roman"/>
      <w:sz w:val="20"/>
      <w:rtl w:val="0"/>
      <w:cs w:val="0"/>
    </w:rPr>
  </w:style>
  <w:style w:type="character" w:styleId="FootnoteReference">
    <w:name w:val="footnote reference"/>
    <w:basedOn w:val="DefaultParagraphFont"/>
    <w:uiPriority w:val="99"/>
    <w:semiHidden/>
    <w:rsid w:val="00DE7E84"/>
    <w:rPr>
      <w:rFonts w:cs="Times New Roman"/>
      <w:vertAlign w:val="superscript"/>
      <w:rtl w:val="0"/>
      <w:cs w:val="0"/>
    </w:rPr>
  </w:style>
  <w:style w:type="table" w:styleId="TableGrid">
    <w:name w:val="Table Grid"/>
    <w:basedOn w:val="TableNormal"/>
    <w:uiPriority w:val="99"/>
    <w:rsid w:val="002D629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2D6290"/>
    <w:rPr>
      <w:rFonts w:cs="Times New Roman"/>
      <w:rtl w:val="0"/>
      <w:cs w:val="0"/>
    </w:rPr>
  </w:style>
  <w:style w:type="paragraph" w:customStyle="1" w:styleId="Zkladntext1">
    <w:name w:val="Základní text1"/>
    <w:uiPriority w:val="99"/>
    <w:rsid w:val="002D6290"/>
    <w:pPr>
      <w:framePr w:wrap="auto"/>
      <w:widowControl/>
      <w:autoSpaceDE/>
      <w:autoSpaceDN/>
      <w:adjustRightInd/>
      <w:spacing w:before="144" w:after="144"/>
      <w:ind w:left="0" w:right="0" w:firstLine="709"/>
      <w:jc w:val="both"/>
      <w:textAlignment w:val="auto"/>
    </w:pPr>
    <w:rPr>
      <w:rFonts w:cs="Times New Roman"/>
      <w:color w:val="000000"/>
      <w:sz w:val="24"/>
      <w:szCs w:val="24"/>
      <w:rtl w:val="0"/>
      <w:cs w:val="0"/>
      <w:lang w:val="sk-SK" w:eastAsia="sk-SK" w:bidi="ar-SA"/>
    </w:rPr>
  </w:style>
  <w:style w:type="paragraph" w:styleId="BodyText">
    <w:name w:val="Body Text"/>
    <w:basedOn w:val="Normal"/>
    <w:link w:val="BodyTextChar"/>
    <w:uiPriority w:val="99"/>
    <w:rsid w:val="002D6290"/>
    <w:pPr>
      <w:spacing w:after="0" w:line="240" w:lineRule="auto"/>
      <w:ind w:left="426"/>
      <w:jc w:val="both"/>
    </w:pPr>
    <w:rPr>
      <w:rFonts w:ascii="Times New Roman" w:hAnsi="Times New Roman"/>
      <w:sz w:val="18"/>
      <w:szCs w:val="18"/>
      <w:lang w:eastAsia="sk-SK"/>
    </w:rPr>
  </w:style>
  <w:style w:type="character" w:customStyle="1" w:styleId="BodyTextChar">
    <w:name w:val="Body Text Char"/>
    <w:basedOn w:val="DefaultParagraphFont"/>
    <w:link w:val="BodyText"/>
    <w:uiPriority w:val="99"/>
    <w:locked/>
    <w:rsid w:val="002D6290"/>
    <w:rPr>
      <w:rFonts w:ascii="Times New Roman" w:hAnsi="Times New Roman" w:cs="Times New Roman"/>
      <w:sz w:val="18"/>
      <w:rtl w:val="0"/>
      <w:cs w:val="0"/>
      <w:lang w:val="x-none" w:eastAsia="sk-SK"/>
    </w:rPr>
  </w:style>
  <w:style w:type="paragraph" w:customStyle="1" w:styleId="Pismenka">
    <w:name w:val="Pismenka"/>
    <w:basedOn w:val="BodyText"/>
    <w:uiPriority w:val="99"/>
    <w:rsid w:val="002D6290"/>
    <w:pPr>
      <w:tabs>
        <w:tab w:val="num" w:pos="426"/>
      </w:tabs>
      <w:spacing w:after="0" w:line="240" w:lineRule="auto"/>
      <w:ind w:hanging="426"/>
      <w:jc w:val="both"/>
    </w:pPr>
    <w:rPr>
      <w:rFonts w:ascii="Times New Roman" w:hAnsi="Times New Roman"/>
      <w:b/>
      <w:bCs/>
    </w:rPr>
  </w:style>
  <w:style w:type="paragraph" w:customStyle="1" w:styleId="odstavec">
    <w:name w:val="odstavec"/>
    <w:basedOn w:val="Normal"/>
    <w:autoRedefine/>
    <w:uiPriority w:val="99"/>
    <w:rsid w:val="002D6290"/>
    <w:pPr>
      <w:spacing w:after="0" w:line="240" w:lineRule="auto"/>
      <w:ind w:right="-79"/>
      <w:jc w:val="both"/>
    </w:pPr>
    <w:rPr>
      <w:rFonts w:ascii="Times New Roman" w:hAnsi="Times New Roman"/>
      <w:sz w:val="20"/>
      <w:szCs w:val="24"/>
      <w:lang w:eastAsia="sk-SK"/>
    </w:rPr>
  </w:style>
  <w:style w:type="paragraph" w:customStyle="1" w:styleId="abc">
    <w:name w:val="abc"/>
    <w:basedOn w:val="Normal"/>
    <w:autoRedefine/>
    <w:uiPriority w:val="99"/>
    <w:rsid w:val="002D6290"/>
    <w:pPr>
      <w:numPr>
        <w:numId w:val="17"/>
      </w:numPr>
      <w:tabs>
        <w:tab w:val="num" w:pos="465"/>
      </w:tabs>
      <w:spacing w:before="60" w:after="120" w:line="240" w:lineRule="auto"/>
      <w:ind w:left="465" w:hanging="465"/>
      <w:jc w:val="both"/>
    </w:pPr>
    <w:rPr>
      <w:rFonts w:ascii="Times New Roman" w:hAnsi="Times New Roman"/>
      <w:b/>
      <w:sz w:val="20"/>
      <w:szCs w:val="20"/>
      <w:lang w:eastAsia="sk-SK"/>
    </w:rPr>
  </w:style>
  <w:style w:type="character" w:customStyle="1" w:styleId="spanr">
    <w:name w:val="span_r"/>
    <w:uiPriority w:val="99"/>
    <w:rsid w:val="005B24CB"/>
  </w:style>
  <w:style w:type="paragraph" w:customStyle="1" w:styleId="CharChar1">
    <w:name w:val="Char Char1"/>
    <w:basedOn w:val="Normal"/>
    <w:uiPriority w:val="99"/>
    <w:rsid w:val="005B24CB"/>
    <w:pPr>
      <w:spacing w:after="160" w:line="240" w:lineRule="exact"/>
      <w:jc w:val="left"/>
    </w:pPr>
    <w:rPr>
      <w:rFonts w:ascii="Tahoma" w:hAnsi="Tahoma"/>
      <w:sz w:val="20"/>
      <w:szCs w:val="20"/>
    </w:rPr>
  </w:style>
  <w:style w:type="paragraph" w:customStyle="1" w:styleId="CharChar11">
    <w:name w:val="Char Char11"/>
    <w:basedOn w:val="Normal"/>
    <w:uiPriority w:val="99"/>
    <w:rsid w:val="005B24CB"/>
    <w:pPr>
      <w:spacing w:after="160" w:line="240" w:lineRule="exact"/>
      <w:jc w:val="left"/>
    </w:pPr>
    <w:rPr>
      <w:rFonts w:ascii="Tahoma" w:hAnsi="Tahoma" w:cs="Tahoma"/>
      <w:sz w:val="20"/>
      <w:szCs w:val="20"/>
    </w:rPr>
  </w:style>
  <w:style w:type="character" w:customStyle="1" w:styleId="poradna-tl-reaguj1">
    <w:name w:val="poradna-tl-reaguj1"/>
    <w:uiPriority w:val="99"/>
    <w:rsid w:val="005B24CB"/>
    <w:rPr>
      <w:color w:val="A55570"/>
      <w:sz w:val="20"/>
    </w:rPr>
  </w:style>
  <w:style w:type="paragraph" w:customStyle="1" w:styleId="Zakladnmtext">
    <w:name w:val="Z&lt;/a&gt;kladn&lt;/m&gt; text"/>
    <w:uiPriority w:val="99"/>
    <w:rsid w:val="005B24CB"/>
    <w:pPr>
      <w:framePr w:wrap="auto"/>
      <w:widowControl/>
      <w:autoSpaceDE/>
      <w:autoSpaceDN/>
      <w:adjustRightInd/>
      <w:ind w:left="0" w:right="0"/>
      <w:jc w:val="left"/>
      <w:textAlignment w:val="auto"/>
    </w:pPr>
    <w:rPr>
      <w:rFonts w:cs="Times New Roman"/>
      <w:color w:val="000000"/>
      <w:sz w:val="24"/>
      <w:szCs w:val="20"/>
      <w:rtl w:val="0"/>
      <w:cs w:val="0"/>
      <w:lang w:val="en-US" w:eastAsia="sk-SK" w:bidi="ar-SA"/>
    </w:rPr>
  </w:style>
  <w:style w:type="paragraph" w:customStyle="1" w:styleId="Xadka">
    <w:name w:val="&lt;/X&gt;&lt;/a&gt;dka"/>
    <w:uiPriority w:val="99"/>
    <w:rsid w:val="005B24CB"/>
    <w:pPr>
      <w:framePr w:wrap="auto"/>
      <w:widowControl/>
      <w:autoSpaceDE/>
      <w:autoSpaceDN/>
      <w:adjustRightInd/>
      <w:ind w:left="0" w:right="0"/>
      <w:jc w:val="left"/>
      <w:textAlignment w:val="auto"/>
    </w:pPr>
    <w:rPr>
      <w:rFonts w:cs="Times New Roman"/>
      <w:color w:val="000000"/>
      <w:sz w:val="24"/>
      <w:szCs w:val="20"/>
      <w:rtl w:val="0"/>
      <w:cs w:val="0"/>
      <w:lang w:val="en-US" w:eastAsia="sk-SK" w:bidi="ar-SA"/>
    </w:rPr>
  </w:style>
  <w:style w:type="paragraph" w:customStyle="1" w:styleId="Znahka">
    <w:name w:val="Zna&lt;/h&gt;ka"/>
    <w:uiPriority w:val="99"/>
    <w:rsid w:val="005B24CB"/>
    <w:pPr>
      <w:framePr w:wrap="auto"/>
      <w:widowControl/>
      <w:autoSpaceDE/>
      <w:autoSpaceDN/>
      <w:adjustRightInd/>
      <w:ind w:left="288" w:right="0" w:hanging="288"/>
      <w:jc w:val="left"/>
      <w:textAlignment w:val="auto"/>
    </w:pPr>
    <w:rPr>
      <w:rFonts w:cs="Times New Roman"/>
      <w:color w:val="000000"/>
      <w:sz w:val="24"/>
      <w:szCs w:val="20"/>
      <w:rtl w:val="0"/>
      <w:cs w:val="0"/>
      <w:lang w:val="en-US" w:eastAsia="sk-SK" w:bidi="ar-SA"/>
    </w:rPr>
  </w:style>
  <w:style w:type="paragraph" w:customStyle="1" w:styleId="Znahka1">
    <w:name w:val="Zna&lt;/h&gt;ka 1"/>
    <w:uiPriority w:val="99"/>
    <w:rsid w:val="005B24CB"/>
    <w:pPr>
      <w:framePr w:wrap="auto"/>
      <w:widowControl/>
      <w:autoSpaceDE/>
      <w:autoSpaceDN/>
      <w:adjustRightInd/>
      <w:ind w:left="0" w:right="0"/>
      <w:jc w:val="left"/>
      <w:textAlignment w:val="auto"/>
    </w:pPr>
    <w:rPr>
      <w:rFonts w:cs="Times New Roman"/>
      <w:color w:val="000000"/>
      <w:sz w:val="24"/>
      <w:szCs w:val="20"/>
      <w:rtl w:val="0"/>
      <w:cs w:val="0"/>
      <w:lang w:val="en-US" w:eastAsia="sk-SK" w:bidi="ar-SA"/>
    </w:rPr>
  </w:style>
  <w:style w:type="paragraph" w:customStyle="1" w:styleId="Hmsloseznamu">
    <w:name w:val="&lt;/H&gt;&lt;/m&gt;slo seznamu"/>
    <w:uiPriority w:val="99"/>
    <w:rsid w:val="005B24CB"/>
    <w:pPr>
      <w:framePr w:wrap="auto"/>
      <w:widowControl/>
      <w:tabs>
        <w:tab w:val="left" w:pos="576"/>
      </w:tabs>
      <w:autoSpaceDE/>
      <w:autoSpaceDN/>
      <w:adjustRightInd/>
      <w:ind w:left="0" w:right="0"/>
      <w:jc w:val="left"/>
      <w:textAlignment w:val="auto"/>
    </w:pPr>
    <w:rPr>
      <w:rFonts w:cs="Times New Roman"/>
      <w:color w:val="000000"/>
      <w:sz w:val="24"/>
      <w:szCs w:val="20"/>
      <w:rtl w:val="0"/>
      <w:cs w:val="0"/>
      <w:lang w:val="en-US" w:eastAsia="sk-SK" w:bidi="ar-SA"/>
    </w:rPr>
  </w:style>
  <w:style w:type="paragraph" w:customStyle="1" w:styleId="Podnadpis">
    <w:name w:val="Podnadpis"/>
    <w:uiPriority w:val="99"/>
    <w:rsid w:val="005B24CB"/>
    <w:pPr>
      <w:framePr w:wrap="auto"/>
      <w:widowControl/>
      <w:autoSpaceDE/>
      <w:autoSpaceDN/>
      <w:adjustRightInd/>
      <w:ind w:left="0" w:right="0"/>
      <w:jc w:val="left"/>
      <w:textAlignment w:val="auto"/>
    </w:pPr>
    <w:rPr>
      <w:rFonts w:cs="Times New Roman"/>
      <w:b/>
      <w:i/>
      <w:color w:val="000000"/>
      <w:sz w:val="24"/>
      <w:szCs w:val="20"/>
      <w:rtl w:val="0"/>
      <w:cs w:val="0"/>
      <w:lang w:val="en-US" w:eastAsia="sk-SK" w:bidi="ar-SA"/>
    </w:rPr>
  </w:style>
  <w:style w:type="paragraph" w:customStyle="1" w:styleId="Nadpis">
    <w:name w:val="Nadpis"/>
    <w:uiPriority w:val="99"/>
    <w:rsid w:val="005B24CB"/>
    <w:pPr>
      <w:framePr w:wrap="auto"/>
      <w:widowControl/>
      <w:autoSpaceDE/>
      <w:autoSpaceDN/>
      <w:adjustRightInd/>
      <w:ind w:left="0" w:right="0"/>
      <w:jc w:val="center"/>
      <w:textAlignment w:val="auto"/>
    </w:pPr>
    <w:rPr>
      <w:rFonts w:ascii="Arial" w:hAnsi="Arial" w:cs="Times New Roman"/>
      <w:b/>
      <w:color w:val="000000"/>
      <w:sz w:val="36"/>
      <w:szCs w:val="20"/>
      <w:rtl w:val="0"/>
      <w:cs w:val="0"/>
      <w:lang w:val="en-US" w:eastAsia="sk-SK" w:bidi="ar-SA"/>
    </w:rPr>
  </w:style>
  <w:style w:type="paragraph" w:customStyle="1" w:styleId="Zahlavm">
    <w:name w:val="Z&lt;/a&gt;hlav&lt;/m&gt;"/>
    <w:uiPriority w:val="99"/>
    <w:rsid w:val="005B24CB"/>
    <w:pPr>
      <w:framePr w:wrap="auto"/>
      <w:widowControl/>
      <w:autoSpaceDE/>
      <w:autoSpaceDN/>
      <w:adjustRightInd/>
      <w:ind w:left="0" w:right="0"/>
      <w:jc w:val="left"/>
      <w:textAlignment w:val="auto"/>
    </w:pPr>
    <w:rPr>
      <w:rFonts w:cs="Times New Roman"/>
      <w:color w:val="000000"/>
      <w:sz w:val="24"/>
      <w:szCs w:val="20"/>
      <w:rtl w:val="0"/>
      <w:cs w:val="0"/>
      <w:lang w:val="en-US" w:eastAsia="sk-SK" w:bidi="ar-SA"/>
    </w:rPr>
  </w:style>
  <w:style w:type="paragraph" w:customStyle="1" w:styleId="Pata">
    <w:name w:val="Pata"/>
    <w:uiPriority w:val="99"/>
    <w:rsid w:val="005B24CB"/>
    <w:pPr>
      <w:framePr w:wrap="auto"/>
      <w:widowControl/>
      <w:autoSpaceDE/>
      <w:autoSpaceDN/>
      <w:adjustRightInd/>
      <w:ind w:left="0" w:right="0"/>
      <w:jc w:val="left"/>
      <w:textAlignment w:val="auto"/>
    </w:pPr>
    <w:rPr>
      <w:rFonts w:cs="Times New Roman"/>
      <w:color w:val="000000"/>
      <w:sz w:val="24"/>
      <w:szCs w:val="20"/>
      <w:rtl w:val="0"/>
      <w:cs w:val="0"/>
      <w:lang w:val="en-US" w:eastAsia="sk-SK" w:bidi="ar-SA"/>
    </w:rPr>
  </w:style>
  <w:style w:type="paragraph" w:customStyle="1" w:styleId="Texttabulky">
    <w:name w:val="Text tabulky"/>
    <w:uiPriority w:val="99"/>
    <w:rsid w:val="005B24CB"/>
    <w:pPr>
      <w:framePr w:wrap="auto"/>
      <w:widowControl/>
      <w:autoSpaceDE/>
      <w:autoSpaceDN/>
      <w:adjustRightInd/>
      <w:ind w:left="0" w:right="0"/>
      <w:jc w:val="left"/>
      <w:textAlignment w:val="auto"/>
    </w:pPr>
    <w:rPr>
      <w:rFonts w:cs="Times New Roman"/>
      <w:color w:val="000000"/>
      <w:sz w:val="24"/>
      <w:szCs w:val="20"/>
      <w:rtl w:val="0"/>
      <w:cs w:val="0"/>
      <w:lang w:val="en-US" w:eastAsia="sk-SK" w:bidi="ar-SA"/>
    </w:rPr>
  </w:style>
  <w:style w:type="paragraph" w:customStyle="1" w:styleId="Zkladntext10">
    <w:name w:val="Základný text1"/>
    <w:uiPriority w:val="99"/>
    <w:rsid w:val="005B24CB"/>
    <w:pPr>
      <w:framePr w:wrap="auto"/>
      <w:widowControl/>
      <w:autoSpaceDE/>
      <w:autoSpaceDN/>
      <w:adjustRightInd/>
      <w:ind w:left="0" w:right="0"/>
      <w:jc w:val="left"/>
      <w:textAlignment w:val="auto"/>
    </w:pPr>
    <w:rPr>
      <w:rFonts w:ascii="Dutch801 SWC" w:hAnsi="Dutch801 SWC" w:cs="Times New Roman"/>
      <w:color w:val="000000"/>
      <w:sz w:val="24"/>
      <w:szCs w:val="20"/>
      <w:rtl w:val="0"/>
      <w:cs w:val="0"/>
      <w:lang w:val="en-US" w:eastAsia="sk-SK" w:bidi="ar-SA"/>
    </w:rPr>
  </w:style>
  <w:style w:type="paragraph" w:customStyle="1" w:styleId="Zkladntext">
    <w:name w:val="Základní text"/>
    <w:uiPriority w:val="99"/>
    <w:rsid w:val="005B24CB"/>
    <w:pPr>
      <w:framePr w:wrap="auto"/>
      <w:widowControl/>
      <w:autoSpaceDE w:val="0"/>
      <w:autoSpaceDN w:val="0"/>
      <w:adjustRightInd w:val="0"/>
      <w:ind w:left="0" w:right="0"/>
      <w:jc w:val="left"/>
      <w:textAlignment w:val="auto"/>
    </w:pPr>
    <w:rPr>
      <w:rFonts w:cs="Times New Roman"/>
      <w:color w:val="000000"/>
      <w:sz w:val="20"/>
      <w:szCs w:val="24"/>
      <w:rtl w:val="0"/>
      <w:cs w:val="0"/>
      <w:lang w:val="sk-SK" w:eastAsia="sk-SK" w:bidi="ar-SA"/>
    </w:rPr>
  </w:style>
  <w:style w:type="paragraph" w:styleId="BodyText2">
    <w:name w:val="Body Text 2"/>
    <w:aliases w:val="Char"/>
    <w:basedOn w:val="Normal"/>
    <w:link w:val="BodyText2Char"/>
    <w:uiPriority w:val="99"/>
    <w:rsid w:val="005B24CB"/>
    <w:pPr>
      <w:spacing w:after="160" w:line="240" w:lineRule="exact"/>
      <w:jc w:val="left"/>
    </w:pPr>
    <w:rPr>
      <w:rFonts w:ascii="Tahoma" w:hAnsi="Tahoma" w:cs="Tahoma"/>
      <w:sz w:val="20"/>
      <w:szCs w:val="20"/>
      <w:lang w:val="en-US"/>
    </w:rPr>
  </w:style>
  <w:style w:type="character" w:customStyle="1" w:styleId="BodyText2Char">
    <w:name w:val="Body Text 2 Char"/>
    <w:aliases w:val="Char Char"/>
    <w:basedOn w:val="DefaultParagraphFont"/>
    <w:link w:val="BodyText2"/>
    <w:uiPriority w:val="99"/>
    <w:locked/>
    <w:rsid w:val="005B24CB"/>
    <w:rPr>
      <w:rFonts w:ascii="Times New Roman" w:hAnsi="Times New Roman" w:cs="Times New Roman"/>
      <w:sz w:val="20"/>
      <w:rtl w:val="0"/>
      <w:cs w:val="0"/>
    </w:rPr>
  </w:style>
  <w:style w:type="paragraph" w:styleId="BodyTextIndent">
    <w:name w:val="Body Text Indent"/>
    <w:basedOn w:val="Normal"/>
    <w:link w:val="BodyTextIndentChar"/>
    <w:uiPriority w:val="99"/>
    <w:rsid w:val="005B24CB"/>
    <w:pPr>
      <w:spacing w:after="0" w:line="240" w:lineRule="auto"/>
      <w:ind w:firstLine="708"/>
      <w:jc w:val="both"/>
    </w:pPr>
    <w:rPr>
      <w:rFonts w:ascii="Dutch801 SWC" w:hAnsi="Dutch801 SWC"/>
      <w:sz w:val="24"/>
      <w:szCs w:val="20"/>
      <w:lang w:eastAsia="sk-SK"/>
    </w:rPr>
  </w:style>
  <w:style w:type="character" w:customStyle="1" w:styleId="BodyTextIndentChar">
    <w:name w:val="Body Text Indent Char"/>
    <w:basedOn w:val="DefaultParagraphFont"/>
    <w:link w:val="BodyTextIndent"/>
    <w:uiPriority w:val="99"/>
    <w:locked/>
    <w:rsid w:val="005B24CB"/>
    <w:rPr>
      <w:rFonts w:ascii="Dutch801 SWC" w:hAnsi="Dutch801 SWC" w:cs="Times New Roman"/>
      <w:sz w:val="20"/>
      <w:rtl w:val="0"/>
      <w:cs w:val="0"/>
    </w:rPr>
  </w:style>
  <w:style w:type="paragraph" w:styleId="BodyText3">
    <w:name w:val="Body Text 3"/>
    <w:basedOn w:val="Normal"/>
    <w:link w:val="BodyText3Char"/>
    <w:uiPriority w:val="99"/>
    <w:rsid w:val="005B24C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21" w:lineRule="atLeast"/>
      <w:jc w:val="left"/>
    </w:pPr>
    <w:rPr>
      <w:rFonts w:ascii="Times New Roman" w:hAnsi="Times New Roman"/>
      <w:b/>
      <w:bCs/>
      <w:sz w:val="28"/>
      <w:szCs w:val="24"/>
      <w:lang w:eastAsia="sk-SK"/>
    </w:rPr>
  </w:style>
  <w:style w:type="character" w:customStyle="1" w:styleId="BodyText3Char">
    <w:name w:val="Body Text 3 Char"/>
    <w:basedOn w:val="DefaultParagraphFont"/>
    <w:link w:val="BodyText3"/>
    <w:uiPriority w:val="99"/>
    <w:locked/>
    <w:rsid w:val="005B24CB"/>
    <w:rPr>
      <w:rFonts w:ascii="Times New Roman" w:hAnsi="Times New Roman" w:cs="Times New Roman"/>
      <w:b/>
      <w:sz w:val="24"/>
      <w:rtl w:val="0"/>
      <w:cs w:val="0"/>
    </w:rPr>
  </w:style>
  <w:style w:type="paragraph" w:customStyle="1" w:styleId="Zkladntext21">
    <w:name w:val="Základný text 21"/>
    <w:basedOn w:val="Normal"/>
    <w:uiPriority w:val="99"/>
    <w:rsid w:val="005B24CB"/>
    <w:pPr>
      <w:widowControl w:val="0"/>
      <w:spacing w:before="120" w:after="120" w:line="240" w:lineRule="auto"/>
      <w:ind w:left="426"/>
      <w:jc w:val="both"/>
    </w:pPr>
    <w:rPr>
      <w:rFonts w:ascii="Times New Roman" w:hAnsi="Times New Roman"/>
      <w:sz w:val="24"/>
      <w:szCs w:val="20"/>
      <w:lang w:val="cs-CZ"/>
    </w:rPr>
  </w:style>
  <w:style w:type="paragraph" w:customStyle="1" w:styleId="08Textsprvy">
    <w:name w:val="08. Text správy"/>
    <w:basedOn w:val="Normal"/>
    <w:uiPriority w:val="99"/>
    <w:rsid w:val="005B24CB"/>
    <w:pPr>
      <w:spacing w:after="0" w:line="240" w:lineRule="auto"/>
      <w:jc w:val="both"/>
    </w:pPr>
    <w:rPr>
      <w:rFonts w:ascii="Times New Roman" w:hAnsi="Times New Roman"/>
      <w:sz w:val="24"/>
      <w:szCs w:val="20"/>
      <w:lang w:eastAsia="cs-CZ"/>
    </w:rPr>
  </w:style>
  <w:style w:type="table" w:customStyle="1" w:styleId="Mriekatabuky1">
    <w:name w:val="Mriežka tabuľky1"/>
    <w:uiPriority w:val="99"/>
    <w:rsid w:val="005B24CB"/>
    <w:pPr>
      <w:framePr w:wrap="auto"/>
      <w:widowControl/>
      <w:autoSpaceDE/>
      <w:autoSpaceDN/>
      <w:adjustRightInd/>
      <w:ind w:left="0" w:right="0"/>
      <w:jc w:val="left"/>
      <w:textAlignment w:val="auto"/>
    </w:pPr>
    <w:rPr>
      <w:rFonts w:cs="Times New Roman"/>
      <w:sz w:val="20"/>
      <w:szCs w:val="20"/>
      <w:rtl w:val="0"/>
      <w:cs w:val="0"/>
      <w:lang w:val="sk-SK" w:eastAsia="sk-SK"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Char Char Char Char"/>
    <w:basedOn w:val="Normal"/>
    <w:uiPriority w:val="99"/>
    <w:rsid w:val="005B24CB"/>
    <w:pPr>
      <w:spacing w:after="160" w:line="240" w:lineRule="exact"/>
      <w:jc w:val="left"/>
    </w:pPr>
    <w:rPr>
      <w:rFonts w:ascii="Tahoma" w:hAnsi="Tahoma"/>
      <w:sz w:val="20"/>
      <w:szCs w:val="20"/>
    </w:rPr>
  </w:style>
  <w:style w:type="paragraph" w:customStyle="1" w:styleId="titulok">
    <w:name w:val="titulok"/>
    <w:basedOn w:val="Normal"/>
    <w:uiPriority w:val="99"/>
    <w:rsid w:val="005B24CB"/>
    <w:pPr>
      <w:spacing w:before="100" w:beforeAutospacing="1" w:after="100" w:afterAutospacing="1" w:line="240" w:lineRule="auto"/>
      <w:jc w:val="center"/>
    </w:pPr>
    <w:rPr>
      <w:rFonts w:ascii="Arial" w:hAnsi="Arial" w:cs="Arial"/>
      <w:b/>
      <w:bCs/>
      <w:color w:val="007060"/>
      <w:sz w:val="24"/>
      <w:szCs w:val="24"/>
      <w:lang w:eastAsia="sk-SK"/>
    </w:rPr>
  </w:style>
  <w:style w:type="paragraph" w:customStyle="1" w:styleId="CharCharCharCharCharCharCharCharChar1Char">
    <w:name w:val="Char Char Char Char Char Char Char Char Char1 Char"/>
    <w:basedOn w:val="Normal"/>
    <w:uiPriority w:val="99"/>
    <w:rsid w:val="005B24CB"/>
    <w:pPr>
      <w:spacing w:after="160" w:line="240" w:lineRule="exact"/>
      <w:jc w:val="left"/>
    </w:pPr>
    <w:rPr>
      <w:rFonts w:ascii="Tahoma" w:hAnsi="Tahoma"/>
      <w:sz w:val="20"/>
      <w:szCs w:val="20"/>
      <w:lang w:val="en-US"/>
    </w:rPr>
  </w:style>
  <w:style w:type="paragraph" w:customStyle="1" w:styleId="Char1">
    <w:name w:val="Char1"/>
    <w:basedOn w:val="Normal"/>
    <w:uiPriority w:val="99"/>
    <w:rsid w:val="005B24CB"/>
    <w:pPr>
      <w:spacing w:after="160" w:line="240" w:lineRule="exact"/>
      <w:jc w:val="left"/>
    </w:pPr>
    <w:rPr>
      <w:rFonts w:ascii="Tahoma" w:hAnsi="Tahoma" w:cs="Tahoma"/>
      <w:sz w:val="20"/>
      <w:szCs w:val="20"/>
      <w:lang w:val="en-US"/>
    </w:rPr>
  </w:style>
  <w:style w:type="paragraph" w:customStyle="1" w:styleId="tlCharCharChar1CharCharCharChar">
    <w:name w:val="Štýl Char Char Char1 Char Char Char Char"/>
    <w:basedOn w:val="Normal"/>
    <w:uiPriority w:val="99"/>
    <w:rsid w:val="005B24CB"/>
    <w:pPr>
      <w:spacing w:after="160" w:line="240" w:lineRule="exact"/>
      <w:jc w:val="left"/>
    </w:pPr>
    <w:rPr>
      <w:rFonts w:ascii="Tahoma" w:hAnsi="Tahoma" w:cs="Tahoma"/>
      <w:sz w:val="20"/>
      <w:szCs w:val="20"/>
      <w:lang w:val="en-US"/>
    </w:rPr>
  </w:style>
  <w:style w:type="character" w:styleId="CommentReference">
    <w:name w:val="annotation reference"/>
    <w:basedOn w:val="DefaultParagraphFont"/>
    <w:uiPriority w:val="99"/>
    <w:semiHidden/>
    <w:rsid w:val="005B24CB"/>
    <w:rPr>
      <w:rFonts w:cs="Times New Roman"/>
      <w:sz w:val="16"/>
      <w:rtl w:val="0"/>
      <w:cs w:val="0"/>
    </w:rPr>
  </w:style>
  <w:style w:type="paragraph" w:styleId="CommentText">
    <w:name w:val="annotation text"/>
    <w:basedOn w:val="Normal"/>
    <w:link w:val="CommentTextChar"/>
    <w:uiPriority w:val="99"/>
    <w:semiHidden/>
    <w:rsid w:val="005B24CB"/>
    <w:pPr>
      <w:spacing w:after="0" w:line="240" w:lineRule="auto"/>
      <w:jc w:val="left"/>
    </w:pPr>
    <w:rPr>
      <w:rFonts w:ascii="Times New Roman" w:hAnsi="Times New Roman"/>
      <w:sz w:val="20"/>
      <w:szCs w:val="20"/>
      <w:lang w:eastAsia="sk-SK"/>
    </w:rPr>
  </w:style>
  <w:style w:type="character" w:customStyle="1" w:styleId="CommentTextChar">
    <w:name w:val="Comment Text Char"/>
    <w:basedOn w:val="DefaultParagraphFont"/>
    <w:link w:val="CommentText"/>
    <w:uiPriority w:val="99"/>
    <w:semiHidden/>
    <w:locked/>
    <w:rsid w:val="005B24CB"/>
    <w:rPr>
      <w:rFonts w:ascii="Times New Roman" w:hAnsi="Times New Roman" w:cs="Times New Roman"/>
      <w:sz w:val="20"/>
      <w:rtl w:val="0"/>
      <w:cs w:val="0"/>
    </w:rPr>
  </w:style>
  <w:style w:type="paragraph" w:styleId="CommentSubject">
    <w:name w:val="annotation subject"/>
    <w:basedOn w:val="CommentText"/>
    <w:next w:val="CommentText"/>
    <w:link w:val="CommentSubjectChar"/>
    <w:uiPriority w:val="99"/>
    <w:semiHidden/>
    <w:rsid w:val="005B24CB"/>
    <w:pPr>
      <w:spacing w:after="0" w:line="240" w:lineRule="auto"/>
      <w:jc w:val="left"/>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5B24CB"/>
    <w:rPr>
      <w:b/>
    </w:rPr>
  </w:style>
  <w:style w:type="paragraph" w:customStyle="1" w:styleId="AUTunVycentrovan">
    <w:name w:val="AU Tučné Vycentrované"/>
    <w:basedOn w:val="Normal"/>
    <w:uiPriority w:val="99"/>
    <w:rsid w:val="005B24CB"/>
    <w:pPr>
      <w:spacing w:after="0" w:line="240" w:lineRule="auto"/>
      <w:jc w:val="center"/>
    </w:pPr>
    <w:rPr>
      <w:rFonts w:ascii="Times New Roman" w:hAnsi="Times New Roman"/>
      <w:b/>
      <w:bCs/>
      <w:sz w:val="24"/>
      <w:szCs w:val="20"/>
      <w:lang w:eastAsia="cs-CZ"/>
    </w:rPr>
  </w:style>
  <w:style w:type="paragraph" w:customStyle="1" w:styleId="AUODRAKA">
    <w:name w:val="AU ODRAŽKA"/>
    <w:basedOn w:val="Normal"/>
    <w:uiPriority w:val="99"/>
    <w:rsid w:val="005B24CB"/>
    <w:pPr>
      <w:numPr>
        <w:numId w:val="20"/>
      </w:numPr>
      <w:tabs>
        <w:tab w:val="num" w:pos="284"/>
      </w:tabs>
      <w:spacing w:before="120" w:after="0" w:line="240" w:lineRule="auto"/>
      <w:ind w:left="284" w:hanging="284"/>
      <w:jc w:val="both"/>
    </w:pPr>
    <w:rPr>
      <w:rFonts w:ascii="Times New Roman" w:hAnsi="Times New Roman"/>
      <w:sz w:val="24"/>
      <w:szCs w:val="20"/>
      <w:lang w:eastAsia="cs-CZ"/>
    </w:rPr>
  </w:style>
  <w:style w:type="paragraph" w:customStyle="1" w:styleId="CharCharCharCharCharChar1">
    <w:name w:val="Char Char Char Char Char Char1"/>
    <w:basedOn w:val="Normal"/>
    <w:uiPriority w:val="99"/>
    <w:rsid w:val="005B24CB"/>
    <w:pPr>
      <w:spacing w:after="160" w:line="240" w:lineRule="exact"/>
      <w:jc w:val="left"/>
    </w:pPr>
    <w:rPr>
      <w:rFonts w:ascii="Tahoma" w:hAnsi="Tahoma" w:cs="Tahoma"/>
      <w:sz w:val="20"/>
      <w:szCs w:val="20"/>
      <w:lang w:val="en-US"/>
    </w:rPr>
  </w:style>
  <w:style w:type="paragraph" w:customStyle="1" w:styleId="Zarkazkladnhotextu21">
    <w:name w:val="Zarážka základného textu 21"/>
    <w:basedOn w:val="Normal"/>
    <w:uiPriority w:val="99"/>
    <w:rsid w:val="005B24CB"/>
    <w:pPr>
      <w:overflowPunct w:val="0"/>
      <w:autoSpaceDE w:val="0"/>
      <w:autoSpaceDN w:val="0"/>
      <w:adjustRightInd w:val="0"/>
      <w:spacing w:before="120" w:after="0" w:line="240" w:lineRule="auto"/>
      <w:ind w:left="284" w:hanging="284"/>
      <w:jc w:val="both"/>
      <w:textAlignment w:val="baseline"/>
    </w:pPr>
    <w:rPr>
      <w:sz w:val="24"/>
      <w:szCs w:val="20"/>
      <w:lang w:eastAsia="cs-CZ"/>
    </w:rPr>
  </w:style>
  <w:style w:type="paragraph" w:styleId="ListBullet2">
    <w:name w:val="List Bullet 2"/>
    <w:basedOn w:val="Normal"/>
    <w:autoRedefine/>
    <w:uiPriority w:val="99"/>
    <w:rsid w:val="005B24CB"/>
    <w:pPr>
      <w:numPr>
        <w:numId w:val="2"/>
      </w:numPr>
      <w:tabs>
        <w:tab w:val="num" w:pos="284"/>
        <w:tab w:val="num" w:pos="465"/>
        <w:tab w:val="num" w:pos="643"/>
      </w:tabs>
      <w:spacing w:after="0" w:line="240" w:lineRule="auto"/>
      <w:ind w:left="643" w:hanging="360"/>
      <w:jc w:val="left"/>
    </w:pPr>
    <w:rPr>
      <w:rFonts w:ascii="Courier" w:hAnsi="Courier" w:cs="Courier"/>
      <w:sz w:val="24"/>
      <w:szCs w:val="24"/>
      <w:lang w:eastAsia="cs-CZ"/>
    </w:rPr>
  </w:style>
  <w:style w:type="paragraph" w:customStyle="1" w:styleId="CharCharChar2CharCharCharCharChar">
    <w:name w:val="Char Char Char2 Char Char Char Char Char"/>
    <w:basedOn w:val="Normal"/>
    <w:uiPriority w:val="99"/>
    <w:rsid w:val="005B24CB"/>
    <w:pPr>
      <w:spacing w:after="160" w:line="240" w:lineRule="exact"/>
      <w:jc w:val="left"/>
    </w:pPr>
    <w:rPr>
      <w:rFonts w:ascii="Tahoma" w:hAnsi="Tahoma"/>
      <w:sz w:val="20"/>
      <w:szCs w:val="20"/>
      <w:lang w:val="en-US"/>
    </w:rPr>
  </w:style>
  <w:style w:type="table" w:customStyle="1" w:styleId="Normlnatabuka1">
    <w:name w:val="Normálna tabuľka1"/>
    <w:uiPriority w:val="99"/>
    <w:semiHidden/>
    <w:rsid w:val="005B24CB"/>
    <w:pPr>
      <w:framePr w:wrap="auto"/>
      <w:widowControl/>
      <w:autoSpaceDE/>
      <w:autoSpaceDN/>
      <w:adjustRightInd/>
      <w:ind w:left="0" w:right="0"/>
      <w:jc w:val="left"/>
      <w:textAlignment w:val="auto"/>
    </w:pPr>
    <w:rPr>
      <w:rFonts w:ascii="Dutch801 SWC" w:hAnsi="Dutch801 SWC" w:cs="Times New Roman"/>
      <w:sz w:val="20"/>
      <w:szCs w:val="20"/>
      <w:rtl w:val="0"/>
      <w:cs w:val="0"/>
      <w:lang w:val="sk-SK" w:eastAsia="sk-SK" w:bidi="ar-SA"/>
    </w:rPr>
    <w:tblPr>
      <w:tblInd w:w="0" w:type="dxa"/>
      <w:tblCellMar>
        <w:top w:w="0" w:type="dxa"/>
        <w:left w:w="108" w:type="dxa"/>
        <w:bottom w:w="0" w:type="dxa"/>
        <w:right w:w="108" w:type="dxa"/>
      </w:tblCellMar>
    </w:tblPr>
  </w:style>
  <w:style w:type="character" w:customStyle="1" w:styleId="ZkladntextodsazenChar">
    <w:name w:val="Základní text odsazený Char"/>
    <w:uiPriority w:val="99"/>
    <w:rsid w:val="005B24CB"/>
    <w:rPr>
      <w:rFonts w:ascii="AT* Times New Roman" w:hAnsi="AT* Times New Roman" w:cs="AT* Times New Roman"/>
      <w:sz w:val="24"/>
      <w:lang w:val="sk-SK" w:eastAsia="cs-CZ"/>
    </w:rPr>
  </w:style>
  <w:style w:type="table" w:customStyle="1" w:styleId="Normlnatabuka2">
    <w:name w:val="Normálna tabuľka2"/>
    <w:uiPriority w:val="99"/>
    <w:semiHidden/>
    <w:rsid w:val="005B24CB"/>
    <w:pPr>
      <w:framePr w:wrap="auto"/>
      <w:widowControl/>
      <w:autoSpaceDE/>
      <w:autoSpaceDN/>
      <w:adjustRightInd/>
      <w:ind w:left="0" w:right="0"/>
      <w:jc w:val="left"/>
      <w:textAlignment w:val="auto"/>
    </w:pPr>
    <w:rPr>
      <w:rFonts w:ascii="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3">
    <w:name w:val="Normálna tabuľka3"/>
    <w:uiPriority w:val="99"/>
    <w:semiHidden/>
    <w:rsid w:val="005B24CB"/>
    <w:pPr>
      <w:framePr w:wrap="auto"/>
      <w:widowControl/>
      <w:autoSpaceDE/>
      <w:autoSpaceDN/>
      <w:adjustRightInd/>
      <w:ind w:left="0" w:right="0"/>
      <w:jc w:val="left"/>
      <w:textAlignment w:val="auto"/>
    </w:pPr>
    <w:rPr>
      <w:rFonts w:ascii="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4">
    <w:name w:val="Normálna tabuľka4"/>
    <w:uiPriority w:val="99"/>
    <w:semiHidden/>
    <w:rsid w:val="005B24CB"/>
    <w:pPr>
      <w:framePr w:wrap="auto"/>
      <w:widowControl/>
      <w:autoSpaceDE/>
      <w:autoSpaceDN/>
      <w:adjustRightInd/>
      <w:ind w:left="0" w:right="0"/>
      <w:jc w:val="left"/>
      <w:textAlignment w:val="auto"/>
    </w:pPr>
    <w:rPr>
      <w:rFonts w:ascii="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5">
    <w:name w:val="Normálna tabuľka5"/>
    <w:uiPriority w:val="99"/>
    <w:semiHidden/>
    <w:rsid w:val="005B24CB"/>
    <w:pPr>
      <w:framePr w:wrap="auto"/>
      <w:widowControl/>
      <w:autoSpaceDE/>
      <w:autoSpaceDN/>
      <w:adjustRightInd/>
      <w:ind w:left="0" w:right="0"/>
      <w:jc w:val="left"/>
      <w:textAlignment w:val="auto"/>
    </w:pPr>
    <w:rPr>
      <w:rFonts w:ascii="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6">
    <w:name w:val="Normálna tabuľka6"/>
    <w:uiPriority w:val="99"/>
    <w:semiHidden/>
    <w:rsid w:val="005B24CB"/>
    <w:pPr>
      <w:framePr w:wrap="auto"/>
      <w:widowControl/>
      <w:autoSpaceDE/>
      <w:autoSpaceDN/>
      <w:adjustRightInd/>
      <w:ind w:left="0" w:right="0"/>
      <w:jc w:val="left"/>
      <w:textAlignment w:val="auto"/>
    </w:pPr>
    <w:rPr>
      <w:rFonts w:ascii="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7">
    <w:name w:val="Normálna tabuľka7"/>
    <w:uiPriority w:val="99"/>
    <w:semiHidden/>
    <w:rsid w:val="005B24CB"/>
    <w:pPr>
      <w:framePr w:wrap="auto"/>
      <w:widowControl/>
      <w:autoSpaceDE/>
      <w:autoSpaceDN/>
      <w:adjustRightInd/>
      <w:ind w:left="0" w:right="0"/>
      <w:jc w:val="left"/>
      <w:textAlignment w:val="auto"/>
    </w:pPr>
    <w:rPr>
      <w:rFonts w:ascii="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8">
    <w:name w:val="Normálna tabuľka8"/>
    <w:uiPriority w:val="99"/>
    <w:semiHidden/>
    <w:rsid w:val="005B24CB"/>
    <w:pPr>
      <w:framePr w:wrap="auto"/>
      <w:widowControl/>
      <w:autoSpaceDE/>
      <w:autoSpaceDN/>
      <w:adjustRightInd/>
      <w:ind w:left="0" w:right="0"/>
      <w:jc w:val="left"/>
      <w:textAlignment w:val="auto"/>
    </w:pPr>
    <w:rPr>
      <w:rFonts w:ascii="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9">
    <w:name w:val="Normálna tabuľka9"/>
    <w:uiPriority w:val="99"/>
    <w:semiHidden/>
    <w:rsid w:val="005B24CB"/>
    <w:pPr>
      <w:framePr w:wrap="auto"/>
      <w:widowControl/>
      <w:autoSpaceDE/>
      <w:autoSpaceDN/>
      <w:adjustRightInd/>
      <w:ind w:left="0" w:right="0"/>
      <w:jc w:val="left"/>
      <w:textAlignment w:val="auto"/>
    </w:pPr>
    <w:rPr>
      <w:rFonts w:ascii="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10">
    <w:name w:val="Normálna tabuľka10"/>
    <w:uiPriority w:val="99"/>
    <w:semiHidden/>
    <w:rsid w:val="005B24CB"/>
    <w:pPr>
      <w:framePr w:wrap="auto"/>
      <w:widowControl/>
      <w:autoSpaceDE/>
      <w:autoSpaceDN/>
      <w:adjustRightInd/>
      <w:ind w:left="0" w:right="0"/>
      <w:jc w:val="left"/>
      <w:textAlignment w:val="auto"/>
    </w:pPr>
    <w:rPr>
      <w:rFonts w:ascii="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11">
    <w:name w:val="Normálna tabuľka11"/>
    <w:uiPriority w:val="99"/>
    <w:semiHidden/>
    <w:rsid w:val="005B24CB"/>
    <w:pPr>
      <w:framePr w:wrap="auto"/>
      <w:widowControl/>
      <w:autoSpaceDE/>
      <w:autoSpaceDN/>
      <w:adjustRightInd/>
      <w:ind w:left="0" w:right="0"/>
      <w:jc w:val="left"/>
      <w:textAlignment w:val="auto"/>
    </w:pPr>
    <w:rPr>
      <w:rFonts w:ascii="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12">
    <w:name w:val="Normálna tabuľka12"/>
    <w:uiPriority w:val="99"/>
    <w:semiHidden/>
    <w:rsid w:val="005B24CB"/>
    <w:pPr>
      <w:framePr w:wrap="auto"/>
      <w:widowControl/>
      <w:autoSpaceDE/>
      <w:autoSpaceDN/>
      <w:adjustRightInd/>
      <w:ind w:left="0" w:right="0"/>
      <w:jc w:val="left"/>
      <w:textAlignment w:val="auto"/>
    </w:pPr>
    <w:rPr>
      <w:rFonts w:ascii="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13">
    <w:name w:val="Normálna tabuľka13"/>
    <w:uiPriority w:val="99"/>
    <w:semiHidden/>
    <w:rsid w:val="005B24CB"/>
    <w:pPr>
      <w:framePr w:wrap="auto"/>
      <w:widowControl/>
      <w:autoSpaceDE/>
      <w:autoSpaceDN/>
      <w:adjustRightInd/>
      <w:ind w:left="0" w:right="0"/>
      <w:jc w:val="left"/>
      <w:textAlignment w:val="auto"/>
    </w:pPr>
    <w:rPr>
      <w:rFonts w:ascii="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table" w:customStyle="1" w:styleId="Normlnatabuka14">
    <w:name w:val="Normálna tabuľka14"/>
    <w:uiPriority w:val="99"/>
    <w:semiHidden/>
    <w:rsid w:val="005B24CB"/>
    <w:pPr>
      <w:framePr w:wrap="auto"/>
      <w:widowControl/>
      <w:autoSpaceDE/>
      <w:autoSpaceDN/>
      <w:adjustRightInd/>
      <w:ind w:left="0" w:right="0"/>
      <w:jc w:val="left"/>
      <w:textAlignment w:val="auto"/>
    </w:pPr>
    <w:rPr>
      <w:rFonts w:ascii="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paragraph" w:customStyle="1" w:styleId="CharCharCharChar1CharChar">
    <w:name w:val="Char Char Char Char1 Char Char"/>
    <w:basedOn w:val="Normal"/>
    <w:uiPriority w:val="99"/>
    <w:rsid w:val="005B24CB"/>
    <w:pPr>
      <w:spacing w:after="160" w:line="240" w:lineRule="exact"/>
      <w:jc w:val="left"/>
    </w:pPr>
    <w:rPr>
      <w:rFonts w:ascii="Tahoma" w:hAnsi="Tahoma" w:cs="Tahoma"/>
      <w:sz w:val="20"/>
      <w:szCs w:val="20"/>
      <w:lang w:val="en-US"/>
    </w:rPr>
  </w:style>
  <w:style w:type="table" w:customStyle="1" w:styleId="Normlnatabuka15">
    <w:name w:val="Normálna tabuľka15"/>
    <w:uiPriority w:val="99"/>
    <w:semiHidden/>
    <w:rsid w:val="005B24CB"/>
    <w:pPr>
      <w:framePr w:wrap="auto"/>
      <w:widowControl/>
      <w:autoSpaceDE/>
      <w:autoSpaceDN/>
      <w:adjustRightInd/>
      <w:ind w:left="0" w:right="0"/>
      <w:jc w:val="left"/>
      <w:textAlignment w:val="auto"/>
    </w:pPr>
    <w:rPr>
      <w:rFonts w:ascii="Calibri" w:hAnsi="Calibri" w:cs="Times New Roman"/>
      <w:sz w:val="20"/>
      <w:szCs w:val="20"/>
      <w:rtl w:val="0"/>
      <w:cs w:val="0"/>
      <w:lang w:val="sk-SK" w:eastAsia="sk-SK" w:bidi="ar-SA"/>
    </w:rPr>
    <w:tblPr>
      <w:tblInd w:w="0" w:type="dxa"/>
      <w:tblCellMar>
        <w:top w:w="0" w:type="dxa"/>
        <w:left w:w="108" w:type="dxa"/>
        <w:bottom w:w="0" w:type="dxa"/>
        <w:right w:w="108" w:type="dxa"/>
      </w:tblCellMar>
    </w:tblPr>
  </w:style>
  <w:style w:type="paragraph" w:styleId="TOC1">
    <w:name w:val="toc 1"/>
    <w:basedOn w:val="Normal"/>
    <w:next w:val="Normal"/>
    <w:autoRedefine/>
    <w:uiPriority w:val="99"/>
    <w:rsid w:val="005B24CB"/>
    <w:pPr>
      <w:spacing w:after="0" w:line="240" w:lineRule="auto"/>
      <w:jc w:val="left"/>
    </w:pPr>
    <w:rPr>
      <w:rFonts w:ascii="Courier" w:hAnsi="Courier" w:cs="Courier"/>
      <w:sz w:val="24"/>
      <w:szCs w:val="24"/>
      <w:lang w:eastAsia="cs-CZ"/>
    </w:rPr>
  </w:style>
  <w:style w:type="paragraph" w:styleId="PlainText">
    <w:name w:val="Plain Text"/>
    <w:basedOn w:val="Normal"/>
    <w:link w:val="PlainTextChar"/>
    <w:uiPriority w:val="99"/>
    <w:rsid w:val="005C2139"/>
    <w:pPr>
      <w:spacing w:after="0" w:line="240" w:lineRule="auto"/>
      <w:jc w:val="left"/>
    </w:pPr>
    <w:rPr>
      <w:szCs w:val="21"/>
    </w:rPr>
  </w:style>
  <w:style w:type="character" w:customStyle="1" w:styleId="PlainTextChar">
    <w:name w:val="Plain Text Char"/>
    <w:basedOn w:val="DefaultParagraphFont"/>
    <w:link w:val="PlainText"/>
    <w:uiPriority w:val="99"/>
    <w:locked/>
    <w:rsid w:val="005C2139"/>
    <w:rPr>
      <w:rFonts w:cs="Times New Roman"/>
      <w:sz w:val="21"/>
      <w:rtl w:val="0"/>
      <w:cs w:val="0"/>
      <w:lang w:val="x-none" w:eastAsia="en-US"/>
    </w:rPr>
  </w:style>
  <w:style w:type="paragraph" w:customStyle="1" w:styleId="Default">
    <w:name w:val="Default"/>
    <w:uiPriority w:val="99"/>
    <w:rsid w:val="00A1290D"/>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FollowedHyperlink">
    <w:name w:val="FollowedHyperlink"/>
    <w:basedOn w:val="DefaultParagraphFont"/>
    <w:uiPriority w:val="99"/>
    <w:semiHidden/>
    <w:rsid w:val="006938C8"/>
    <w:rPr>
      <w:rFonts w:cs="Times New Roman"/>
      <w:color w:val="800080"/>
      <w:u w:val="single"/>
      <w:rtl w:val="0"/>
      <w:cs w:val="0"/>
    </w:rPr>
  </w:style>
  <w:style w:type="paragraph" w:customStyle="1" w:styleId="xl687">
    <w:name w:val="xl687"/>
    <w:basedOn w:val="Normal"/>
    <w:uiPriority w:val="99"/>
    <w:rsid w:val="006938C8"/>
    <w:pPr>
      <w:shd w:val="clear" w:color="000000" w:fill="FFFFFF"/>
      <w:spacing w:before="100" w:beforeAutospacing="1" w:after="100" w:afterAutospacing="1" w:line="240" w:lineRule="auto"/>
      <w:jc w:val="left"/>
    </w:pPr>
    <w:rPr>
      <w:rFonts w:ascii="Arial" w:hAnsi="Arial" w:cs="Arial"/>
      <w:b/>
      <w:bCs/>
      <w:sz w:val="20"/>
      <w:szCs w:val="20"/>
      <w:lang w:eastAsia="sk-SK"/>
    </w:rPr>
  </w:style>
  <w:style w:type="paragraph" w:customStyle="1" w:styleId="xl688">
    <w:name w:val="xl688"/>
    <w:basedOn w:val="Normal"/>
    <w:uiPriority w:val="99"/>
    <w:rsid w:val="006938C8"/>
    <w:pP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689">
    <w:name w:val="xl689"/>
    <w:basedOn w:val="Normal"/>
    <w:uiPriority w:val="99"/>
    <w:rsid w:val="006938C8"/>
    <w:pPr>
      <w:shd w:val="clear" w:color="000000" w:fill="FFFFFF"/>
      <w:spacing w:before="100" w:beforeAutospacing="1" w:after="100" w:afterAutospacing="1" w:line="240" w:lineRule="auto"/>
      <w:jc w:val="center"/>
    </w:pPr>
    <w:rPr>
      <w:rFonts w:ascii="Arial" w:hAnsi="Arial" w:cs="Arial"/>
      <w:b/>
      <w:bCs/>
      <w:sz w:val="20"/>
      <w:szCs w:val="20"/>
      <w:lang w:eastAsia="sk-SK"/>
    </w:rPr>
  </w:style>
  <w:style w:type="paragraph" w:customStyle="1" w:styleId="xl690">
    <w:name w:val="xl690"/>
    <w:basedOn w:val="Normal"/>
    <w:uiPriority w:val="99"/>
    <w:rsid w:val="006938C8"/>
    <w:pPr>
      <w:shd w:val="clear" w:color="000000" w:fill="FFFFFF"/>
      <w:spacing w:before="100" w:beforeAutospacing="1" w:after="100" w:afterAutospacing="1" w:line="240" w:lineRule="auto"/>
      <w:jc w:val="right"/>
    </w:pPr>
    <w:rPr>
      <w:rFonts w:ascii="Arial" w:hAnsi="Arial" w:cs="Arial"/>
      <w:b/>
      <w:bCs/>
      <w:sz w:val="20"/>
      <w:szCs w:val="20"/>
      <w:lang w:eastAsia="sk-SK"/>
    </w:rPr>
  </w:style>
  <w:style w:type="paragraph" w:customStyle="1" w:styleId="xl691">
    <w:name w:val="xl691"/>
    <w:basedOn w:val="Normal"/>
    <w:uiPriority w:val="99"/>
    <w:rsid w:val="006938C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hAnsi="Arial" w:cs="Arial"/>
      <w:sz w:val="20"/>
      <w:szCs w:val="20"/>
      <w:lang w:eastAsia="sk-SK"/>
    </w:rPr>
  </w:style>
  <w:style w:type="paragraph" w:customStyle="1" w:styleId="xl692">
    <w:name w:val="xl692"/>
    <w:basedOn w:val="Normal"/>
    <w:uiPriority w:val="99"/>
    <w:rsid w:val="006938C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693">
    <w:name w:val="xl693"/>
    <w:basedOn w:val="Normal"/>
    <w:uiPriority w:val="99"/>
    <w:rsid w:val="006938C8"/>
    <w:pP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694">
    <w:name w:val="xl694"/>
    <w:basedOn w:val="Normal"/>
    <w:uiPriority w:val="99"/>
    <w:rsid w:val="006938C8"/>
    <w:pPr>
      <w:pBdr>
        <w:bottom w:val="single" w:sz="4" w:space="0" w:color="000000"/>
      </w:pBdr>
      <w:shd w:val="clear" w:color="000000" w:fill="FFFFFF"/>
      <w:spacing w:before="100" w:beforeAutospacing="1" w:after="100" w:afterAutospacing="1" w:line="240" w:lineRule="auto"/>
      <w:jc w:val="left"/>
    </w:pPr>
    <w:rPr>
      <w:rFonts w:ascii="Arial" w:hAnsi="Arial" w:cs="Arial"/>
      <w:b/>
      <w:bCs/>
      <w:sz w:val="20"/>
      <w:szCs w:val="20"/>
      <w:lang w:eastAsia="sk-SK"/>
    </w:rPr>
  </w:style>
  <w:style w:type="paragraph" w:customStyle="1" w:styleId="xl695">
    <w:name w:val="xl695"/>
    <w:basedOn w:val="Normal"/>
    <w:uiPriority w:val="99"/>
    <w:rsid w:val="006938C8"/>
    <w:pPr>
      <w:shd w:val="clear" w:color="000000" w:fill="FFFFFF"/>
      <w:spacing w:before="100" w:beforeAutospacing="1" w:after="100" w:afterAutospacing="1" w:line="240" w:lineRule="auto"/>
      <w:jc w:val="left"/>
    </w:pPr>
    <w:rPr>
      <w:rFonts w:ascii="Arial" w:hAnsi="Arial" w:cs="Arial"/>
      <w:b/>
      <w:bCs/>
      <w:sz w:val="20"/>
      <w:szCs w:val="20"/>
      <w:lang w:eastAsia="sk-SK"/>
    </w:rPr>
  </w:style>
  <w:style w:type="paragraph" w:customStyle="1" w:styleId="xl696">
    <w:name w:val="xl696"/>
    <w:basedOn w:val="Normal"/>
    <w:uiPriority w:val="99"/>
    <w:rsid w:val="006938C8"/>
    <w:pPr>
      <w:shd w:val="clear" w:color="000000" w:fill="FFFFFF"/>
      <w:spacing w:before="100" w:beforeAutospacing="1" w:after="100" w:afterAutospacing="1" w:line="240" w:lineRule="auto"/>
      <w:jc w:val="left"/>
    </w:pPr>
    <w:rPr>
      <w:rFonts w:ascii="Arial" w:hAnsi="Arial" w:cs="Arial"/>
      <w:b/>
      <w:bCs/>
      <w:sz w:val="20"/>
      <w:szCs w:val="20"/>
      <w:lang w:eastAsia="sk-SK"/>
    </w:rPr>
  </w:style>
  <w:style w:type="paragraph" w:customStyle="1" w:styleId="xl697">
    <w:name w:val="xl697"/>
    <w:basedOn w:val="Normal"/>
    <w:uiPriority w:val="99"/>
    <w:rsid w:val="006938C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698">
    <w:name w:val="xl698"/>
    <w:basedOn w:val="Normal"/>
    <w:uiPriority w:val="99"/>
    <w:rsid w:val="006938C8"/>
    <w:pPr>
      <w:shd w:val="clear" w:color="000000" w:fill="FFFFFF"/>
      <w:spacing w:before="100" w:beforeAutospacing="1" w:after="100" w:afterAutospacing="1" w:line="240" w:lineRule="auto"/>
      <w:jc w:val="center"/>
    </w:pPr>
    <w:rPr>
      <w:rFonts w:ascii="Arial" w:hAnsi="Arial" w:cs="Arial"/>
      <w:b/>
      <w:bCs/>
      <w:sz w:val="20"/>
      <w:szCs w:val="20"/>
      <w:lang w:eastAsia="sk-SK"/>
    </w:rPr>
  </w:style>
  <w:style w:type="paragraph" w:customStyle="1" w:styleId="xl699">
    <w:name w:val="xl699"/>
    <w:basedOn w:val="Normal"/>
    <w:uiPriority w:val="99"/>
    <w:rsid w:val="006938C8"/>
    <w:pPr>
      <w:shd w:val="clear" w:color="000000" w:fill="FFFFFF"/>
      <w:spacing w:before="100" w:beforeAutospacing="1" w:after="100" w:afterAutospacing="1" w:line="240" w:lineRule="auto"/>
      <w:jc w:val="right"/>
    </w:pPr>
    <w:rPr>
      <w:rFonts w:ascii="Arial" w:hAnsi="Arial" w:cs="Arial"/>
      <w:b/>
      <w:bCs/>
      <w:sz w:val="20"/>
      <w:szCs w:val="20"/>
      <w:lang w:eastAsia="sk-SK"/>
    </w:rPr>
  </w:style>
  <w:style w:type="paragraph" w:customStyle="1" w:styleId="xl700">
    <w:name w:val="xl700"/>
    <w:basedOn w:val="Normal"/>
    <w:uiPriority w:val="99"/>
    <w:rsid w:val="006938C8"/>
    <w:pPr>
      <w:shd w:val="clear" w:color="000000" w:fill="FFFFFF"/>
      <w:spacing w:before="100" w:beforeAutospacing="1" w:after="100" w:afterAutospacing="1" w:line="240" w:lineRule="auto"/>
      <w:jc w:val="left"/>
    </w:pPr>
    <w:rPr>
      <w:rFonts w:ascii="Arial" w:hAnsi="Arial" w:cs="Arial"/>
      <w:b/>
      <w:bCs/>
      <w:sz w:val="20"/>
      <w:szCs w:val="20"/>
      <w:lang w:eastAsia="sk-SK"/>
    </w:rPr>
  </w:style>
  <w:style w:type="paragraph" w:customStyle="1" w:styleId="xl701">
    <w:name w:val="xl701"/>
    <w:basedOn w:val="Normal"/>
    <w:uiPriority w:val="99"/>
    <w:rsid w:val="006938C8"/>
    <w:pPr>
      <w:pBdr>
        <w:bottom w:val="single" w:sz="4" w:space="0" w:color="000000"/>
      </w:pBdr>
      <w:shd w:val="clear" w:color="000000" w:fill="FFFFFF"/>
      <w:spacing w:before="100" w:beforeAutospacing="1" w:after="100" w:afterAutospacing="1" w:line="240" w:lineRule="auto"/>
      <w:jc w:val="left"/>
      <w:textAlignment w:val="center"/>
    </w:pPr>
    <w:rPr>
      <w:rFonts w:ascii="Arial" w:hAnsi="Arial" w:cs="Arial"/>
      <w:sz w:val="20"/>
      <w:szCs w:val="20"/>
      <w:lang w:eastAsia="sk-SK"/>
    </w:rPr>
  </w:style>
  <w:style w:type="paragraph" w:customStyle="1" w:styleId="xl702">
    <w:name w:val="xl702"/>
    <w:basedOn w:val="Normal"/>
    <w:uiPriority w:val="99"/>
    <w:rsid w:val="006938C8"/>
    <w:pPr>
      <w:pBdr>
        <w:bottom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03">
    <w:name w:val="xl703"/>
    <w:basedOn w:val="Normal"/>
    <w:uiPriority w:val="99"/>
    <w:rsid w:val="006938C8"/>
    <w:pPr>
      <w:pBdr>
        <w:left w:val="single" w:sz="4" w:space="0" w:color="000000"/>
        <w:right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04">
    <w:name w:val="xl704"/>
    <w:basedOn w:val="Normal"/>
    <w:uiPriority w:val="99"/>
    <w:rsid w:val="006938C8"/>
    <w:pP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05">
    <w:name w:val="xl705"/>
    <w:basedOn w:val="Normal"/>
    <w:uiPriority w:val="99"/>
    <w:rsid w:val="006938C8"/>
    <w:pPr>
      <w:pBdr>
        <w:bottom w:val="single" w:sz="4" w:space="0" w:color="000000"/>
      </w:pBdr>
      <w:shd w:val="clear" w:color="000000" w:fill="FFFFFF"/>
      <w:spacing w:before="100" w:beforeAutospacing="1" w:after="100" w:afterAutospacing="1" w:line="240" w:lineRule="auto"/>
      <w:jc w:val="left"/>
      <w:textAlignment w:val="center"/>
    </w:pPr>
    <w:rPr>
      <w:rFonts w:ascii="Arial" w:hAnsi="Arial" w:cs="Arial"/>
      <w:sz w:val="20"/>
      <w:szCs w:val="20"/>
      <w:lang w:eastAsia="sk-SK"/>
    </w:rPr>
  </w:style>
  <w:style w:type="paragraph" w:customStyle="1" w:styleId="xl706">
    <w:name w:val="xl706"/>
    <w:basedOn w:val="Normal"/>
    <w:uiPriority w:val="99"/>
    <w:rsid w:val="006938C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07">
    <w:name w:val="xl707"/>
    <w:basedOn w:val="Normal"/>
    <w:uiPriority w:val="99"/>
    <w:rsid w:val="006938C8"/>
    <w:pPr>
      <w:pBdr>
        <w:top w:val="single" w:sz="4" w:space="0" w:color="000000"/>
        <w:left w:val="single" w:sz="4" w:space="0" w:color="000000"/>
      </w:pBdr>
      <w:shd w:val="clear" w:color="000000" w:fill="FFFFFF"/>
      <w:spacing w:before="100" w:beforeAutospacing="1" w:after="100" w:afterAutospacing="1" w:line="240" w:lineRule="auto"/>
      <w:jc w:val="left"/>
      <w:textAlignment w:val="top"/>
    </w:pPr>
    <w:rPr>
      <w:rFonts w:ascii="Arial" w:hAnsi="Arial" w:cs="Arial"/>
      <w:b/>
      <w:bCs/>
      <w:sz w:val="20"/>
      <w:szCs w:val="20"/>
      <w:lang w:eastAsia="sk-SK"/>
    </w:rPr>
  </w:style>
  <w:style w:type="paragraph" w:customStyle="1" w:styleId="xl708">
    <w:name w:val="xl708"/>
    <w:basedOn w:val="Normal"/>
    <w:uiPriority w:val="99"/>
    <w:rsid w:val="006938C8"/>
    <w:pPr>
      <w:pBdr>
        <w:top w:val="single" w:sz="4" w:space="0" w:color="000000"/>
      </w:pBdr>
      <w:shd w:val="clear" w:color="000000" w:fill="FFFFFF"/>
      <w:spacing w:before="100" w:beforeAutospacing="1" w:after="100" w:afterAutospacing="1" w:line="240" w:lineRule="auto"/>
      <w:jc w:val="left"/>
      <w:textAlignment w:val="top"/>
    </w:pPr>
    <w:rPr>
      <w:rFonts w:ascii="Arial" w:hAnsi="Arial" w:cs="Arial"/>
      <w:b/>
      <w:bCs/>
      <w:sz w:val="20"/>
      <w:szCs w:val="20"/>
      <w:lang w:eastAsia="sk-SK"/>
    </w:rPr>
  </w:style>
  <w:style w:type="paragraph" w:customStyle="1" w:styleId="xl709">
    <w:name w:val="xl709"/>
    <w:basedOn w:val="Normal"/>
    <w:uiPriority w:val="99"/>
    <w:rsid w:val="006938C8"/>
    <w:pPr>
      <w:pBdr>
        <w:top w:val="single" w:sz="4" w:space="0" w:color="000000"/>
        <w:right w:val="single" w:sz="4" w:space="0" w:color="000000"/>
      </w:pBdr>
      <w:shd w:val="clear" w:color="000000" w:fill="FFFFFF"/>
      <w:spacing w:before="100" w:beforeAutospacing="1" w:after="100" w:afterAutospacing="1" w:line="240" w:lineRule="auto"/>
      <w:jc w:val="left"/>
      <w:textAlignment w:val="top"/>
    </w:pPr>
    <w:rPr>
      <w:rFonts w:ascii="Arial" w:hAnsi="Arial" w:cs="Arial"/>
      <w:b/>
      <w:bCs/>
      <w:sz w:val="20"/>
      <w:szCs w:val="20"/>
      <w:lang w:eastAsia="sk-SK"/>
    </w:rPr>
  </w:style>
  <w:style w:type="paragraph" w:customStyle="1" w:styleId="xl710">
    <w:name w:val="xl710"/>
    <w:basedOn w:val="Normal"/>
    <w:uiPriority w:val="99"/>
    <w:rsid w:val="006938C8"/>
    <w:pPr>
      <w:pBdr>
        <w:left w:val="single" w:sz="4" w:space="0" w:color="000000"/>
      </w:pBdr>
      <w:shd w:val="clear" w:color="000000" w:fill="FFFFFF"/>
      <w:spacing w:before="100" w:beforeAutospacing="1" w:after="100" w:afterAutospacing="1" w:line="240" w:lineRule="auto"/>
      <w:jc w:val="left"/>
      <w:textAlignment w:val="top"/>
    </w:pPr>
    <w:rPr>
      <w:rFonts w:ascii="Arial" w:hAnsi="Arial" w:cs="Arial"/>
      <w:b/>
      <w:bCs/>
      <w:sz w:val="20"/>
      <w:szCs w:val="20"/>
      <w:lang w:eastAsia="sk-SK"/>
    </w:rPr>
  </w:style>
  <w:style w:type="paragraph" w:customStyle="1" w:styleId="xl711">
    <w:name w:val="xl711"/>
    <w:basedOn w:val="Normal"/>
    <w:uiPriority w:val="99"/>
    <w:rsid w:val="006938C8"/>
    <w:pPr>
      <w:shd w:val="clear" w:color="000000" w:fill="FFFFFF"/>
      <w:spacing w:before="100" w:beforeAutospacing="1" w:after="100" w:afterAutospacing="1" w:line="240" w:lineRule="auto"/>
      <w:jc w:val="left"/>
      <w:textAlignment w:val="top"/>
    </w:pPr>
    <w:rPr>
      <w:rFonts w:ascii="Arial" w:hAnsi="Arial" w:cs="Arial"/>
      <w:b/>
      <w:bCs/>
      <w:sz w:val="20"/>
      <w:szCs w:val="20"/>
      <w:lang w:eastAsia="sk-SK"/>
    </w:rPr>
  </w:style>
  <w:style w:type="paragraph" w:customStyle="1" w:styleId="xl712">
    <w:name w:val="xl712"/>
    <w:basedOn w:val="Normal"/>
    <w:uiPriority w:val="99"/>
    <w:rsid w:val="006938C8"/>
    <w:pPr>
      <w:pBdr>
        <w:right w:val="single" w:sz="4" w:space="0" w:color="000000"/>
      </w:pBdr>
      <w:shd w:val="clear" w:color="000000" w:fill="FFFFFF"/>
      <w:spacing w:before="100" w:beforeAutospacing="1" w:after="100" w:afterAutospacing="1" w:line="240" w:lineRule="auto"/>
      <w:jc w:val="left"/>
      <w:textAlignment w:val="top"/>
    </w:pPr>
    <w:rPr>
      <w:rFonts w:ascii="Arial" w:hAnsi="Arial" w:cs="Arial"/>
      <w:b/>
      <w:bCs/>
      <w:sz w:val="20"/>
      <w:szCs w:val="20"/>
      <w:lang w:eastAsia="sk-SK"/>
    </w:rPr>
  </w:style>
  <w:style w:type="paragraph" w:customStyle="1" w:styleId="xl713">
    <w:name w:val="xl713"/>
    <w:basedOn w:val="Normal"/>
    <w:uiPriority w:val="99"/>
    <w:rsid w:val="006938C8"/>
    <w:pPr>
      <w:spacing w:before="100" w:beforeAutospacing="1" w:after="100" w:afterAutospacing="1" w:line="240" w:lineRule="auto"/>
      <w:jc w:val="left"/>
      <w:textAlignment w:val="top"/>
    </w:pPr>
    <w:rPr>
      <w:rFonts w:ascii="Arial" w:hAnsi="Arial" w:cs="Arial"/>
      <w:sz w:val="20"/>
      <w:szCs w:val="20"/>
      <w:lang w:eastAsia="sk-SK"/>
    </w:rPr>
  </w:style>
  <w:style w:type="paragraph" w:customStyle="1" w:styleId="xl714">
    <w:name w:val="xl714"/>
    <w:basedOn w:val="Normal"/>
    <w:uiPriority w:val="99"/>
    <w:rsid w:val="006938C8"/>
    <w:pPr>
      <w:pBdr>
        <w:right w:val="single" w:sz="4" w:space="0" w:color="000000"/>
      </w:pBdr>
      <w:spacing w:before="100" w:beforeAutospacing="1" w:after="100" w:afterAutospacing="1" w:line="240" w:lineRule="auto"/>
      <w:jc w:val="left"/>
    </w:pPr>
    <w:rPr>
      <w:rFonts w:ascii="Arial" w:hAnsi="Arial" w:cs="Arial"/>
      <w:sz w:val="20"/>
      <w:szCs w:val="20"/>
      <w:lang w:eastAsia="sk-SK"/>
    </w:rPr>
  </w:style>
  <w:style w:type="paragraph" w:customStyle="1" w:styleId="xl715">
    <w:name w:val="xl715"/>
    <w:basedOn w:val="Normal"/>
    <w:uiPriority w:val="99"/>
    <w:rsid w:val="006938C8"/>
    <w:pPr>
      <w:pBdr>
        <w:left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16">
    <w:name w:val="xl716"/>
    <w:basedOn w:val="Normal"/>
    <w:uiPriority w:val="99"/>
    <w:rsid w:val="006938C8"/>
    <w:pPr>
      <w:pBdr>
        <w:right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17">
    <w:name w:val="xl717"/>
    <w:basedOn w:val="Normal"/>
    <w:uiPriority w:val="99"/>
    <w:rsid w:val="006938C8"/>
    <w:pPr>
      <w:pBdr>
        <w:left w:val="single" w:sz="4" w:space="0" w:color="000000"/>
        <w:bottom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18">
    <w:name w:val="xl718"/>
    <w:basedOn w:val="Normal"/>
    <w:uiPriority w:val="99"/>
    <w:rsid w:val="006938C8"/>
    <w:pPr>
      <w:pBdr>
        <w:bottom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19">
    <w:name w:val="xl719"/>
    <w:basedOn w:val="Normal"/>
    <w:uiPriority w:val="99"/>
    <w:rsid w:val="006938C8"/>
    <w:pPr>
      <w:pBdr>
        <w:bottom w:val="single" w:sz="4" w:space="0" w:color="000000"/>
        <w:right w:val="single" w:sz="4" w:space="0" w:color="000000"/>
      </w:pBdr>
      <w:shd w:val="clear" w:color="000000" w:fill="FFFFFF"/>
      <w:spacing w:before="100" w:beforeAutospacing="1" w:after="100" w:afterAutospacing="1" w:line="240" w:lineRule="auto"/>
      <w:jc w:val="left"/>
    </w:pPr>
    <w:rPr>
      <w:rFonts w:ascii="Arial" w:hAnsi="Arial" w:cs="Arial"/>
      <w:sz w:val="20"/>
      <w:szCs w:val="20"/>
      <w:lang w:eastAsia="sk-SK"/>
    </w:rPr>
  </w:style>
  <w:style w:type="paragraph" w:customStyle="1" w:styleId="xl720">
    <w:name w:val="xl720"/>
    <w:basedOn w:val="Normal"/>
    <w:uiPriority w:val="99"/>
    <w:rsid w:val="006938C8"/>
    <w:pPr>
      <w:pBdr>
        <w:bottom w:val="single" w:sz="4" w:space="0" w:color="000000"/>
      </w:pBdr>
      <w:shd w:val="clear" w:color="000000" w:fill="FFFFFF"/>
      <w:spacing w:before="100" w:beforeAutospacing="1" w:after="100" w:afterAutospacing="1" w:line="240" w:lineRule="auto"/>
      <w:jc w:val="left"/>
      <w:textAlignment w:val="top"/>
    </w:pPr>
    <w:rPr>
      <w:rFonts w:ascii="Arial" w:hAnsi="Arial" w:cs="Arial"/>
      <w:b/>
      <w:bCs/>
      <w:sz w:val="20"/>
      <w:szCs w:val="20"/>
      <w:lang w:eastAsia="sk-SK"/>
    </w:rPr>
  </w:style>
  <w:style w:type="paragraph" w:customStyle="1" w:styleId="xl721">
    <w:name w:val="xl721"/>
    <w:basedOn w:val="Normal"/>
    <w:uiPriority w:val="99"/>
    <w:rsid w:val="006938C8"/>
    <w:pPr>
      <w:pBdr>
        <w:left w:val="single" w:sz="4" w:space="0" w:color="000000"/>
        <w:bottom w:val="single" w:sz="4" w:space="0" w:color="000000"/>
      </w:pBdr>
      <w:shd w:val="clear" w:color="000000" w:fill="FFFFFF"/>
      <w:spacing w:before="100" w:beforeAutospacing="1" w:after="100" w:afterAutospacing="1" w:line="240" w:lineRule="auto"/>
      <w:jc w:val="left"/>
      <w:textAlignment w:val="top"/>
    </w:pPr>
    <w:rPr>
      <w:rFonts w:ascii="Arial" w:hAnsi="Arial" w:cs="Arial"/>
      <w:b/>
      <w:bCs/>
      <w:sz w:val="20"/>
      <w:szCs w:val="20"/>
      <w:lang w:eastAsia="sk-SK"/>
    </w:rPr>
  </w:style>
  <w:style w:type="paragraph" w:styleId="Revision">
    <w:name w:val="Revision"/>
    <w:hidden/>
    <w:uiPriority w:val="99"/>
    <w:semiHidden/>
    <w:rsid w:val="0096476C"/>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paragraph" w:customStyle="1" w:styleId="CharChar1CharCharChar">
    <w:name w:val="Char Char1 Char Char Char"/>
    <w:basedOn w:val="Normal"/>
    <w:uiPriority w:val="99"/>
    <w:rsid w:val="00A86242"/>
    <w:pPr>
      <w:spacing w:after="160" w:line="240" w:lineRule="exact"/>
      <w:jc w:val="left"/>
    </w:pPr>
    <w:rPr>
      <w:rFonts w:ascii="Tahoma" w:hAnsi="Tahoma"/>
      <w:sz w:val="20"/>
      <w:szCs w:val="20"/>
    </w:rPr>
  </w:style>
  <w:style w:type="paragraph" w:styleId="EndnoteText">
    <w:name w:val="endnote text"/>
    <w:basedOn w:val="Normal"/>
    <w:link w:val="EndnoteTextChar"/>
    <w:uiPriority w:val="99"/>
    <w:semiHidden/>
    <w:unhideWhenUsed/>
    <w:rsid w:val="004C6591"/>
    <w:pPr>
      <w:jc w:val="left"/>
    </w:pPr>
    <w:rPr>
      <w:sz w:val="20"/>
      <w:szCs w:val="20"/>
    </w:rPr>
  </w:style>
  <w:style w:type="character" w:customStyle="1" w:styleId="EndnoteTextChar">
    <w:name w:val="Endnote Text Char"/>
    <w:basedOn w:val="DefaultParagraphFont"/>
    <w:link w:val="EndnoteText"/>
    <w:uiPriority w:val="99"/>
    <w:semiHidden/>
    <w:locked/>
    <w:rsid w:val="004C6591"/>
    <w:rPr>
      <w:rFonts w:cs="Times New Roman"/>
      <w:sz w:val="20"/>
      <w:rtl w:val="0"/>
      <w:cs w:val="0"/>
      <w:lang w:val="x-none" w:eastAsia="en-US"/>
    </w:rPr>
  </w:style>
  <w:style w:type="character" w:styleId="EndnoteReference">
    <w:name w:val="endnote reference"/>
    <w:basedOn w:val="DefaultParagraphFont"/>
    <w:uiPriority w:val="99"/>
    <w:semiHidden/>
    <w:unhideWhenUsed/>
    <w:rsid w:val="004C6591"/>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4.xml" /><Relationship Id="rId11" Type="http://schemas.openxmlformats.org/officeDocument/2006/relationships/hyperlink" Target="http://www.registeruz.sk" TargetMode="External" /><Relationship Id="rId12" Type="http://schemas.openxmlformats.org/officeDocument/2006/relationships/footer" Target="footer5.xml" /><Relationship Id="rId13" Type="http://schemas.openxmlformats.org/officeDocument/2006/relationships/header" Target="header2.xml" /><Relationship Id="rId14" Type="http://schemas.openxmlformats.org/officeDocument/2006/relationships/footer" Target="footer6.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36A50-7CAF-483F-92E5-A46CFF389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48</Pages>
  <Words>16801</Words>
  <Characters>95767</Characters>
  <Application>Microsoft Office Word</Application>
  <DocSecurity>0</DocSecurity>
  <Lines>0</Lines>
  <Paragraphs>0</Paragraphs>
  <ScaleCrop>false</ScaleCrop>
  <Company>Ministerstvo financií</Company>
  <LinksUpToDate>false</LinksUpToDate>
  <CharactersWithSpaces>112344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Súhrnná výročná správa Slovenskej republiky za rok 2011</dc:title>
  <dc:creator>mmajorova</dc:creator>
  <cp:lastModifiedBy>Gašparíková, Jarmila</cp:lastModifiedBy>
  <cp:revision>2</cp:revision>
  <cp:lastPrinted>2016-10-26T09:02:00Z</cp:lastPrinted>
  <dcterms:created xsi:type="dcterms:W3CDTF">2016-11-11T13:39:00Z</dcterms:created>
  <dcterms:modified xsi:type="dcterms:W3CDTF">2016-11-11T13:39:00Z</dcterms:modified>
</cp:coreProperties>
</file>