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4C87" w:rsidP="00354C87">
      <w:pPr>
        <w:bidi w:val="0"/>
      </w:pPr>
    </w:p>
    <w:p w:rsidR="00354C87" w:rsidP="00354C87">
      <w:pPr>
        <w:pStyle w:val="NormalWeb"/>
        <w:bidi w:val="0"/>
        <w:jc w:val="center"/>
        <w:rPr>
          <w:rFonts w:ascii="Times New Roman" w:hAnsi="Times New Roman"/>
        </w:rPr>
      </w:pPr>
    </w:p>
    <w:p w:rsidR="00354C87" w:rsidP="00354C87">
      <w:pPr>
        <w:pStyle w:val="NormalWeb"/>
        <w:bidi w:val="0"/>
        <w:jc w:val="center"/>
        <w:rPr>
          <w:rFonts w:ascii="Times New Roman" w:hAnsi="Times New Roman"/>
        </w:rPr>
      </w:pPr>
    </w:p>
    <w:p w:rsidR="00354C87" w:rsidP="00354C87">
      <w:pPr>
        <w:pStyle w:val="NormalWeb"/>
        <w:bidi w:val="0"/>
        <w:jc w:val="center"/>
        <w:rPr>
          <w:rFonts w:ascii="Times New Roman" w:hAnsi="Times New Roman"/>
        </w:rPr>
      </w:pPr>
      <w:r>
        <w:rPr>
          <w:rFonts w:ascii="Times New Roman" w:hAnsi="Times New Roman"/>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56" o:spid="_x0000_i1025" type="#_x0000_t75" alt="Popis: štátny znak" style="width:111.47pt;height:133.15pt;visibility:visible" filled="f" stroked="f">
            <v:imagedata r:id="rId6" o:title=""/>
            <o:lock v:ext="edit" aspectratio="t"/>
          </v:shape>
        </w:pict>
      </w:r>
    </w:p>
    <w:p w:rsidR="00354C87" w:rsidP="00354C87">
      <w:pPr>
        <w:bidi w:val="0"/>
      </w:pPr>
    </w:p>
    <w:p w:rsidR="00354C87" w:rsidP="00354C87">
      <w:pPr>
        <w:bidi w:val="0"/>
      </w:pPr>
    </w:p>
    <w:p w:rsidR="00354C87" w:rsidP="00354C87">
      <w:pPr>
        <w:bidi w:val="0"/>
      </w:pPr>
    </w:p>
    <w:p w:rsidR="00354C87" w:rsidP="00354C87">
      <w:pPr>
        <w:bidi w:val="0"/>
      </w:pPr>
    </w:p>
    <w:p w:rsidR="00354C87" w:rsidRPr="003602C8" w:rsidP="00354C87">
      <w:pPr>
        <w:bidi w:val="0"/>
        <w:jc w:val="center"/>
        <w:rPr>
          <w:rFonts w:ascii="Times New Roman" w:hAnsi="Times New Roman"/>
          <w:b/>
          <w:sz w:val="40"/>
          <w:szCs w:val="40"/>
        </w:rPr>
      </w:pPr>
      <w:r w:rsidRPr="003602C8">
        <w:rPr>
          <w:rFonts w:ascii="Times New Roman" w:hAnsi="Times New Roman"/>
          <w:b/>
          <w:sz w:val="40"/>
          <w:szCs w:val="40"/>
        </w:rPr>
        <w:t>Súhrnná výročná správa</w:t>
      </w:r>
    </w:p>
    <w:p w:rsidR="00354C87" w:rsidRPr="003602C8" w:rsidP="00354C87">
      <w:pPr>
        <w:bidi w:val="0"/>
        <w:jc w:val="center"/>
        <w:rPr>
          <w:rFonts w:ascii="Times New Roman" w:hAnsi="Times New Roman"/>
          <w:b/>
          <w:sz w:val="40"/>
          <w:szCs w:val="40"/>
        </w:rPr>
      </w:pPr>
      <w:r w:rsidRPr="003602C8">
        <w:rPr>
          <w:rFonts w:ascii="Times New Roman" w:hAnsi="Times New Roman"/>
          <w:b/>
          <w:sz w:val="40"/>
          <w:szCs w:val="40"/>
        </w:rPr>
        <w:t>Slovenskej republiky</w:t>
      </w:r>
    </w:p>
    <w:p w:rsidR="00354C87" w:rsidRPr="003602C8" w:rsidP="00354C87">
      <w:pPr>
        <w:bidi w:val="0"/>
        <w:jc w:val="center"/>
        <w:rPr>
          <w:rFonts w:ascii="Times New Roman" w:hAnsi="Times New Roman"/>
          <w:b/>
          <w:sz w:val="40"/>
          <w:szCs w:val="40"/>
        </w:rPr>
      </w:pPr>
      <w:r>
        <w:rPr>
          <w:rFonts w:ascii="Times New Roman" w:hAnsi="Times New Roman"/>
          <w:b/>
          <w:sz w:val="40"/>
          <w:szCs w:val="40"/>
        </w:rPr>
        <w:t>za rok 201</w:t>
      </w:r>
      <w:r w:rsidR="004E1828">
        <w:rPr>
          <w:rFonts w:ascii="Times New Roman" w:hAnsi="Times New Roman"/>
          <w:b/>
          <w:sz w:val="40"/>
          <w:szCs w:val="40"/>
        </w:rPr>
        <w:t>5</w:t>
      </w:r>
    </w:p>
    <w:p w:rsidR="00354C87" w:rsidRPr="003602C8" w:rsidP="00354C87">
      <w:pPr>
        <w:bidi w:val="0"/>
        <w:rPr>
          <w:sz w:val="40"/>
          <w:szCs w:val="40"/>
        </w:rPr>
      </w:pPr>
    </w:p>
    <w:p w:rsidR="00354C87" w:rsidP="00354C87">
      <w:pPr>
        <w:bidi w:val="0"/>
      </w:pPr>
    </w:p>
    <w:p w:rsidR="00354C87" w:rsidP="00354C87">
      <w:pPr>
        <w:bidi w:val="0"/>
      </w:pPr>
    </w:p>
    <w:p w:rsidR="00354C87" w:rsidP="00354C87">
      <w:pPr>
        <w:bidi w:val="0"/>
      </w:pPr>
    </w:p>
    <w:p w:rsidR="00354C87" w:rsidP="00354C87">
      <w:pPr>
        <w:bidi w:val="0"/>
      </w:pPr>
    </w:p>
    <w:p w:rsidR="00354C87" w:rsidP="00354C87">
      <w:pPr>
        <w:bidi w:val="0"/>
      </w:pPr>
    </w:p>
    <w:p w:rsidR="00354C87" w:rsidP="00354C87">
      <w:pPr>
        <w:bidi w:val="0"/>
      </w:pPr>
    </w:p>
    <w:p w:rsidR="00354C87" w:rsidP="00354C87">
      <w:pPr>
        <w:bidi w:val="0"/>
      </w:pPr>
    </w:p>
    <w:p w:rsidR="00651A0E" w:rsidP="00651A0E">
      <w:pPr>
        <w:tabs>
          <w:tab w:val="left" w:pos="0"/>
          <w:tab w:val="left" w:pos="284"/>
        </w:tabs>
        <w:bidi w:val="0"/>
        <w:spacing w:before="120" w:after="120" w:line="360" w:lineRule="auto"/>
        <w:jc w:val="center"/>
        <w:rPr>
          <w:rFonts w:ascii="Times New Roman" w:hAnsi="Times New Roman"/>
          <w:b/>
          <w:color w:val="000000"/>
          <w:sz w:val="32"/>
          <w:szCs w:val="32"/>
        </w:rPr>
        <w:sectPr w:rsidSect="00651A0E">
          <w:footerReference w:type="default" r:id="rId7"/>
          <w:pgSz w:w="11906" w:h="16838" w:code="9"/>
          <w:pgMar w:top="1418" w:right="1134" w:bottom="1418" w:left="1134" w:header="709" w:footer="709" w:gutter="567"/>
          <w:lnNumType w:distance="0"/>
          <w:cols w:space="708"/>
          <w:noEndnote w:val="0"/>
          <w:bidi w:val="0"/>
          <w:docGrid w:linePitch="360"/>
        </w:sectPr>
      </w:pPr>
      <w:r w:rsidRPr="00883ED5" w:rsidR="00354C87">
        <w:rPr>
          <w:rFonts w:ascii="Times New Roman" w:hAnsi="Times New Roman"/>
          <w:b/>
          <w:color w:val="000000"/>
          <w:sz w:val="32"/>
          <w:szCs w:val="32"/>
        </w:rPr>
        <w:t>október 201</w:t>
      </w:r>
      <w:r w:rsidR="004E1828">
        <w:rPr>
          <w:rFonts w:ascii="Times New Roman" w:hAnsi="Times New Roman"/>
          <w:b/>
          <w:color w:val="000000"/>
          <w:sz w:val="32"/>
          <w:szCs w:val="32"/>
        </w:rPr>
        <w:t>6</w:t>
      </w:r>
    </w:p>
    <w:p w:rsidR="00A00C3C" w:rsidRPr="00C77F62" w:rsidP="00651A0E">
      <w:pPr>
        <w:tabs>
          <w:tab w:val="left" w:pos="0"/>
          <w:tab w:val="left" w:pos="284"/>
        </w:tabs>
        <w:bidi w:val="0"/>
        <w:spacing w:before="120" w:after="120" w:line="360" w:lineRule="auto"/>
        <w:jc w:val="center"/>
        <w:rPr>
          <w:rFonts w:ascii="Times New Roman" w:hAnsi="Times New Roman" w:cs="Times New Roman"/>
          <w:sz w:val="24"/>
          <w:szCs w:val="24"/>
        </w:rPr>
      </w:pPr>
      <w:r>
        <w:rPr>
          <w:noProof/>
          <w:rtl w:val="0"/>
          <w:lang w:eastAsia="sk-SK"/>
        </w:rPr>
        <w:pict>
          <v:shape id="Obrázok 1" o:spid="_x0000_i1026" type="#_x0000_t75" alt="MF SR" style="width:450.3pt;height:56.16pt;visibility:visible" filled="f" stroked="f">
            <v:imagedata r:id="rId8" o:title=""/>
            <o:lock v:ext="edit" aspectratio="t"/>
          </v:shape>
        </w:pict>
      </w:r>
    </w:p>
    <w:p w:rsidR="00CD5A40" w:rsidRPr="00AC7DE1" w:rsidP="00CD5A40">
      <w:pPr>
        <w:bidi w:val="0"/>
        <w:spacing w:before="360" w:line="336" w:lineRule="auto"/>
        <w:ind w:right="-567"/>
        <w:rPr>
          <w:rFonts w:eastAsia="Calibri" w:asciiTheme="majorBidi" w:hAnsiTheme="majorBidi" w:cstheme="majorBidi" w:hint="default"/>
          <w:szCs w:val="22"/>
        </w:rPr>
      </w:pPr>
      <w:r w:rsidRPr="00AC7DE1">
        <w:rPr>
          <w:rFonts w:eastAsia="Calibri" w:asciiTheme="majorBidi" w:hAnsiTheme="majorBidi" w:cstheme="majorBidi" w:hint="default"/>
          <w:szCs w:val="22"/>
        </w:rPr>
        <w:t>Váž</w:t>
      </w:r>
      <w:r w:rsidRPr="00AC7DE1">
        <w:rPr>
          <w:rFonts w:eastAsia="Calibri" w:asciiTheme="majorBidi" w:hAnsiTheme="majorBidi" w:cstheme="majorBidi" w:hint="default"/>
          <w:szCs w:val="22"/>
        </w:rPr>
        <w:t>ené</w:t>
      </w:r>
      <w:r w:rsidRPr="00AC7DE1">
        <w:rPr>
          <w:rFonts w:eastAsia="Calibri" w:asciiTheme="majorBidi" w:hAnsiTheme="majorBidi" w:cstheme="majorBidi" w:hint="default"/>
          <w:szCs w:val="22"/>
        </w:rPr>
        <w:t xml:space="preserve"> dá</w:t>
      </w:r>
      <w:r w:rsidRPr="00AC7DE1">
        <w:rPr>
          <w:rFonts w:eastAsia="Calibri" w:asciiTheme="majorBidi" w:hAnsiTheme="majorBidi" w:cstheme="majorBidi" w:hint="default"/>
          <w:szCs w:val="22"/>
        </w:rPr>
        <w:t>my a </w:t>
      </w:r>
      <w:r w:rsidRPr="00AC7DE1">
        <w:rPr>
          <w:rFonts w:eastAsia="Calibri" w:asciiTheme="majorBidi" w:hAnsiTheme="majorBidi" w:cstheme="majorBidi" w:hint="default"/>
          <w:szCs w:val="22"/>
        </w:rPr>
        <w:t>pá</w:t>
      </w:r>
      <w:r w:rsidRPr="00AC7DE1">
        <w:rPr>
          <w:rFonts w:eastAsia="Calibri" w:asciiTheme="majorBidi" w:hAnsiTheme="majorBidi" w:cstheme="majorBidi" w:hint="default"/>
          <w:szCs w:val="22"/>
        </w:rPr>
        <w:t>ni,</w:t>
      </w:r>
    </w:p>
    <w:p w:rsidR="00CD5A40" w:rsidRPr="00AC7DE1" w:rsidP="00CD5A40">
      <w:pPr>
        <w:bidi w:val="0"/>
        <w:spacing w:after="120" w:line="336" w:lineRule="auto"/>
        <w:jc w:val="both"/>
        <w:rPr>
          <w:rFonts w:asciiTheme="majorBidi" w:hAnsiTheme="majorBidi" w:cstheme="majorBidi"/>
          <w:szCs w:val="22"/>
        </w:rPr>
      </w:pPr>
      <w:r>
        <w:rPr>
          <w:rFonts w:asciiTheme="majorBidi" w:hAnsiTheme="majorBidi" w:cstheme="majorBidi"/>
        </w:rPr>
        <w:t>b</w:t>
      </w:r>
      <w:r w:rsidRPr="00AC7DE1">
        <w:rPr>
          <w:rFonts w:asciiTheme="majorBidi" w:hAnsiTheme="majorBidi" w:cstheme="majorBidi"/>
        </w:rPr>
        <w:t>ežne sa s končiacim rokom najintenzívnejšie lúčime v posledný decembrový deň. Na ministerstve financií však dávame bodku za minulým rokom vždy až na prelome októbra a</w:t>
      </w:r>
      <w:r>
        <w:rPr>
          <w:rFonts w:asciiTheme="majorBidi" w:hAnsiTheme="majorBidi" w:cstheme="majorBidi"/>
        </w:rPr>
        <w:t> </w:t>
      </w:r>
      <w:r w:rsidRPr="00AC7DE1">
        <w:rPr>
          <w:rFonts w:asciiTheme="majorBidi" w:hAnsiTheme="majorBidi" w:cstheme="majorBidi"/>
        </w:rPr>
        <w:t>novembra</w:t>
      </w:r>
      <w:r>
        <w:rPr>
          <w:rFonts w:asciiTheme="majorBidi" w:hAnsiTheme="majorBidi" w:cstheme="majorBidi"/>
        </w:rPr>
        <w:t>. Tou pomyselnou bodkou za vlaňajškom je Súhrnná výročná správa Slovenskej republiky za rok 2015, ktorá odborne a presne odzrkadľuje hospodárenie verejnej správy.</w:t>
      </w:r>
    </w:p>
    <w:p w:rsidR="00CD5A40" w:rsidRPr="00016D79" w:rsidP="00CD5A40">
      <w:pPr>
        <w:bidi w:val="0"/>
        <w:spacing w:after="120" w:line="336" w:lineRule="auto"/>
        <w:jc w:val="both"/>
        <w:rPr>
          <w:rFonts w:ascii="Times New Roman" w:hAnsi="Times New Roman" w:cs="Times New Roman"/>
          <w:szCs w:val="22"/>
        </w:rPr>
      </w:pPr>
      <w:r>
        <w:rPr>
          <w:rFonts w:asciiTheme="majorBidi" w:hAnsiTheme="majorBidi" w:cstheme="majorBidi"/>
          <w:szCs w:val="22"/>
        </w:rPr>
        <w:t xml:space="preserve">Pri hodnotení verejných financií je potrebné vnímať aj makroekonomické prostredie, s ktorým sú previazané. S potešením môžem konštatovať, že </w:t>
      </w:r>
      <w:r w:rsidRPr="00AC7DE1">
        <w:rPr>
          <w:rFonts w:asciiTheme="majorBidi" w:hAnsiTheme="majorBidi" w:cstheme="majorBidi"/>
          <w:szCs w:val="22"/>
        </w:rPr>
        <w:t>rok 2015</w:t>
      </w:r>
      <w:r>
        <w:rPr>
          <w:rFonts w:asciiTheme="majorBidi" w:hAnsiTheme="majorBidi" w:cstheme="majorBidi"/>
          <w:szCs w:val="22"/>
        </w:rPr>
        <w:t xml:space="preserve"> bol pre slovenskú ekonomiku úspešný. Hospodársky</w:t>
      </w:r>
      <w:r w:rsidRPr="00AC7DE1">
        <w:rPr>
          <w:rFonts w:asciiTheme="majorBidi" w:hAnsiTheme="majorBidi" w:cstheme="majorBidi"/>
          <w:szCs w:val="22"/>
        </w:rPr>
        <w:t xml:space="preserve"> rast Slovenska zrýchlil na 3,6 %, </w:t>
      </w:r>
      <w:r>
        <w:rPr>
          <w:rFonts w:asciiTheme="majorBidi" w:hAnsiTheme="majorBidi" w:cstheme="majorBidi"/>
          <w:szCs w:val="22"/>
        </w:rPr>
        <w:t>pričom išlo o najrýchlejší rast</w:t>
      </w:r>
      <w:r w:rsidRPr="00AC7DE1">
        <w:rPr>
          <w:rFonts w:asciiTheme="majorBidi" w:hAnsiTheme="majorBidi" w:cstheme="majorBidi"/>
          <w:szCs w:val="22"/>
        </w:rPr>
        <w:t xml:space="preserve"> za posledných päť rokov. Oveľa viac ako samotné číslo ma však teší kvalita rastu. Druhý rok po sebe ťahal ekonomiku domáci dopyt, v rámci neho najmä investície vo verejnom sektore,</w:t>
      </w:r>
      <w:r w:rsidRPr="00016D79">
        <w:rPr>
          <w:rFonts w:ascii="Times New Roman" w:hAnsi="Times New Roman" w:cs="Times New Roman"/>
          <w:szCs w:val="22"/>
        </w:rPr>
        <w:t xml:space="preserve"> ktorým výrazne pomohlo zrýchlené čerpani</w:t>
      </w:r>
      <w:r>
        <w:rPr>
          <w:rFonts w:ascii="Times New Roman" w:hAnsi="Times New Roman" w:cs="Times New Roman"/>
          <w:szCs w:val="22"/>
        </w:rPr>
        <w:t>e</w:t>
      </w:r>
      <w:r w:rsidRPr="00016D79">
        <w:rPr>
          <w:rFonts w:ascii="Times New Roman" w:hAnsi="Times New Roman" w:cs="Times New Roman"/>
          <w:szCs w:val="22"/>
        </w:rPr>
        <w:t xml:space="preserve"> európskych fondov. Najväčšiu radosť mám však zo slušného rastu spotreby domácností, ktorú považujem za hlavný makroekonomický indikátor životnej úrovne ľudí. Klesajúca nezamestnanosť a tvorba nových pracovných miest je najlepším dôkazom, že za zlepšovaním spotreby domácností sú štrukturálne a nie cyklické faktory. </w:t>
      </w:r>
    </w:p>
    <w:p w:rsidR="00CD5A40" w:rsidRPr="00016D79" w:rsidP="00CD5A40">
      <w:pPr>
        <w:bidi w:val="0"/>
        <w:spacing w:after="120" w:line="336" w:lineRule="auto"/>
        <w:jc w:val="both"/>
        <w:rPr>
          <w:rFonts w:ascii="Times New Roman" w:hAnsi="Times New Roman" w:cs="Times New Roman"/>
          <w:szCs w:val="22"/>
        </w:rPr>
      </w:pPr>
      <w:r w:rsidRPr="00016D79">
        <w:rPr>
          <w:rFonts w:ascii="Times New Roman" w:hAnsi="Times New Roman" w:cs="Times New Roman"/>
          <w:szCs w:val="22"/>
        </w:rPr>
        <w:t>Vývoj verejných financií v roku 2015 považujem za vyvážený. Schodok verejnej správy dosiahol úroveň 2,7 % HDP, čo vytvorilo dostatočnú rezervu pri plnení európskych pravidiel nadmerného deficitu a zároveň umožnilo ekonomike pokračovať v akcelerácii rastu.</w:t>
      </w:r>
      <w:r>
        <w:rPr>
          <w:rFonts w:ascii="Times New Roman" w:hAnsi="Times New Roman" w:cs="Times New Roman"/>
          <w:szCs w:val="22"/>
        </w:rPr>
        <w:t xml:space="preserve"> Už druhý rok po sebe sa darí znižovať verejný dlh v pomere k HDP.</w:t>
      </w:r>
      <w:r w:rsidRPr="00016D79">
        <w:rPr>
          <w:rFonts w:ascii="Times New Roman" w:hAnsi="Times New Roman" w:cs="Times New Roman"/>
          <w:szCs w:val="22"/>
        </w:rPr>
        <w:t xml:space="preserve"> Zdravý ekonomický rast, ktorý generuje viac daňových príjmov a znižuje výdavky spojené s nezamestnanosťou, je v dlhodobom horizonte ten najlepší konsolidátor verejných financií.</w:t>
      </w:r>
    </w:p>
    <w:p w:rsidR="00016D79" w:rsidRPr="00016D79" w:rsidP="00CD5A40">
      <w:pPr>
        <w:bidi w:val="0"/>
        <w:spacing w:after="120" w:line="336" w:lineRule="auto"/>
        <w:jc w:val="both"/>
        <w:rPr>
          <w:rFonts w:ascii="Times New Roman" w:hAnsi="Times New Roman" w:cs="Times New Roman"/>
          <w:szCs w:val="22"/>
        </w:rPr>
      </w:pPr>
      <w:r w:rsidRPr="00016D79" w:rsidR="00CD5A40">
        <w:rPr>
          <w:rFonts w:ascii="Times New Roman" w:hAnsi="Times New Roman" w:cs="Times New Roman"/>
          <w:szCs w:val="22"/>
        </w:rPr>
        <w:t>Dlhodobú udržateľnosť verejných financií považujem naďalej za svoju prvoradú úlohu a vážim si šancu pokračovať v úsilí o jej dosiahnutie aj v nasledujúcom období. Napätá geopolitická situácia, nevýrazný globálny rast a neistota spojená s vplyvom Brexitu na európske ekonomiky vytvárajú riziká pre vývoj ekonomiky i verejných financií. Verím však, že i napriek týmto neistotám sa podarí zladiť ekonomick</w:t>
      </w:r>
      <w:r w:rsidR="00CD5A40">
        <w:rPr>
          <w:rFonts w:ascii="Times New Roman" w:hAnsi="Times New Roman" w:cs="Times New Roman"/>
          <w:szCs w:val="22"/>
        </w:rPr>
        <w:t>é</w:t>
      </w:r>
      <w:r w:rsidRPr="00016D79" w:rsidR="00CD5A40">
        <w:rPr>
          <w:rFonts w:ascii="Times New Roman" w:hAnsi="Times New Roman" w:cs="Times New Roman"/>
          <w:szCs w:val="22"/>
        </w:rPr>
        <w:t xml:space="preserve"> a sociáln</w:t>
      </w:r>
      <w:r w:rsidR="00CD5A40">
        <w:rPr>
          <w:rFonts w:ascii="Times New Roman" w:hAnsi="Times New Roman" w:cs="Times New Roman"/>
          <w:szCs w:val="22"/>
        </w:rPr>
        <w:t>e</w:t>
      </w:r>
      <w:r w:rsidRPr="00016D79" w:rsidR="00CD5A40">
        <w:rPr>
          <w:rFonts w:ascii="Times New Roman" w:hAnsi="Times New Roman" w:cs="Times New Roman"/>
          <w:szCs w:val="22"/>
        </w:rPr>
        <w:t xml:space="preserve"> ci</w:t>
      </w:r>
      <w:r w:rsidR="00CD5A40">
        <w:rPr>
          <w:rFonts w:ascii="Times New Roman" w:hAnsi="Times New Roman" w:cs="Times New Roman"/>
          <w:szCs w:val="22"/>
        </w:rPr>
        <w:t>ele</w:t>
      </w:r>
      <w:r w:rsidRPr="00016D79" w:rsidR="00CD5A40">
        <w:rPr>
          <w:rFonts w:ascii="Times New Roman" w:hAnsi="Times New Roman" w:cs="Times New Roman"/>
          <w:szCs w:val="22"/>
        </w:rPr>
        <w:t xml:space="preserve"> programového vyhlásenia vlády s dosiahnutím pokroku na ceste k dlhodobo udržateľným verejným</w:t>
      </w:r>
      <w:r w:rsidR="00CD5A40">
        <w:rPr>
          <w:rFonts w:ascii="Times New Roman" w:hAnsi="Times New Roman" w:cs="Times New Roman"/>
          <w:szCs w:val="22"/>
        </w:rPr>
        <w:t xml:space="preserve"> </w:t>
      </w:r>
      <w:r w:rsidRPr="00016D79" w:rsidR="00CD5A40">
        <w:rPr>
          <w:rFonts w:ascii="Times New Roman" w:hAnsi="Times New Roman" w:cs="Times New Roman"/>
          <w:szCs w:val="22"/>
        </w:rPr>
        <w:t>financiám</w:t>
      </w:r>
      <w:r w:rsidRPr="00016D79">
        <w:rPr>
          <w:rFonts w:ascii="Times New Roman" w:hAnsi="Times New Roman" w:cs="Times New Roman"/>
          <w:szCs w:val="22"/>
        </w:rPr>
        <w:t>.</w:t>
      </w:r>
    </w:p>
    <w:p w:rsidR="00CD5A40" w:rsidP="00CD5A40">
      <w:pPr>
        <w:bidi w:val="0"/>
        <w:spacing w:after="120" w:line="336" w:lineRule="auto"/>
        <w:jc w:val="center"/>
        <w:rPr>
          <w:rFonts w:ascii="Times New Roman" w:eastAsia="Calibri" w:hAnsi="Times New Roman" w:cs="Times New Roman"/>
          <w:b/>
          <w:szCs w:val="22"/>
        </w:rPr>
      </w:pPr>
    </w:p>
    <w:p w:rsidR="00016D79" w:rsidRPr="00016D79" w:rsidP="00CD5A40">
      <w:pPr>
        <w:bidi w:val="0"/>
        <w:spacing w:after="120" w:line="336" w:lineRule="auto"/>
        <w:jc w:val="center"/>
        <w:rPr>
          <w:rFonts w:ascii="Times New Roman" w:eastAsia="Calibri" w:hAnsi="Times New Roman" w:cs="Times New Roman" w:hint="default"/>
          <w:b/>
          <w:szCs w:val="22"/>
        </w:rPr>
      </w:pPr>
      <w:r w:rsidRPr="00016D79">
        <w:rPr>
          <w:rFonts w:ascii="Times New Roman" w:eastAsia="Calibri" w:hAnsi="Times New Roman" w:cs="Times New Roman" w:hint="default"/>
          <w:b/>
          <w:szCs w:val="22"/>
        </w:rPr>
        <w:t>Peter Kaž</w:t>
      </w:r>
      <w:r w:rsidRPr="00016D79">
        <w:rPr>
          <w:rFonts w:ascii="Times New Roman" w:eastAsia="Calibri" w:hAnsi="Times New Roman" w:cs="Times New Roman" w:hint="default"/>
          <w:b/>
          <w:szCs w:val="22"/>
        </w:rPr>
        <w:t>imí</w:t>
      </w:r>
      <w:r w:rsidRPr="00016D79">
        <w:rPr>
          <w:rFonts w:ascii="Times New Roman" w:eastAsia="Calibri" w:hAnsi="Times New Roman" w:cs="Times New Roman" w:hint="default"/>
          <w:b/>
          <w:szCs w:val="22"/>
        </w:rPr>
        <w:t>r</w:t>
      </w:r>
    </w:p>
    <w:p w:rsidR="00651A0E" w:rsidP="00CD5A40">
      <w:pPr>
        <w:bidi w:val="0"/>
        <w:jc w:val="center"/>
        <w:rPr>
          <w:rFonts w:ascii="Times New Roman" w:hAnsi="Times New Roman"/>
          <w:b/>
          <w:szCs w:val="22"/>
        </w:rPr>
        <w:sectPr w:rsidSect="00651A0E">
          <w:headerReference w:type="default" r:id="rId9"/>
          <w:footerReference w:type="default" r:id="rId10"/>
          <w:pgSz w:w="11906" w:h="16838" w:code="9"/>
          <w:pgMar w:top="1418" w:right="1134" w:bottom="1418" w:left="1134" w:header="709" w:footer="709" w:gutter="567"/>
          <w:lnNumType w:distance="0"/>
          <w:pgNumType w:start="1"/>
          <w:cols w:space="708"/>
          <w:noEndnote w:val="0"/>
          <w:bidi w:val="0"/>
          <w:docGrid w:linePitch="360"/>
        </w:sectPr>
      </w:pPr>
      <w:r w:rsidRPr="00016D79" w:rsidR="00016D79">
        <w:rPr>
          <w:rFonts w:ascii="Times New Roman" w:eastAsia="Calibri" w:hAnsi="Times New Roman" w:cs="Times New Roman" w:hint="default"/>
          <w:szCs w:val="22"/>
        </w:rPr>
        <w:t>minister financií</w:t>
      </w:r>
      <w:bookmarkStart w:id="0" w:name="_Toc401920003"/>
      <w:bookmarkStart w:id="1" w:name="_Toc399324354"/>
    </w:p>
    <w:p w:rsidR="00B34B9C" w:rsidP="00651A0E">
      <w:pPr>
        <w:pStyle w:val="NoSpacing"/>
        <w:bidi w:val="0"/>
        <w:spacing w:line="276" w:lineRule="auto"/>
        <w:rPr>
          <w:rFonts w:ascii="Times New Roman" w:hAnsi="Times New Roman"/>
          <w:b/>
          <w:szCs w:val="22"/>
        </w:rPr>
      </w:pPr>
      <w:r>
        <w:rPr>
          <w:rFonts w:ascii="Times New Roman" w:hAnsi="Times New Roman"/>
          <w:b/>
          <w:szCs w:val="22"/>
        </w:rPr>
        <w:t>Obsah</w:t>
      </w:r>
    </w:p>
    <w:p w:rsidR="00E94729" w:rsidRPr="0004438B">
      <w:pPr>
        <w:pStyle w:val="TOCHeading"/>
        <w:bidi w:val="0"/>
        <w:rPr>
          <w:rFonts w:ascii="Times New Roman" w:hAnsi="Times New Roman" w:cs="Times New Roman"/>
          <w:color w:val="auto"/>
          <w:sz w:val="22"/>
          <w:szCs w:val="22"/>
        </w:rPr>
      </w:pPr>
      <w:r w:rsidRPr="0004438B">
        <w:rPr>
          <w:rFonts w:ascii="Times New Roman" w:hAnsi="Times New Roman" w:cs="Times New Roman"/>
          <w:color w:val="auto"/>
          <w:sz w:val="22"/>
          <w:szCs w:val="22"/>
        </w:rPr>
        <w:t>Obsah</w:t>
      </w:r>
    </w:p>
    <w:p w:rsidR="0004438B" w:rsidRPr="0004438B">
      <w:pPr>
        <w:pStyle w:val="TOC1"/>
        <w:bidi w:val="0"/>
        <w:rPr>
          <w:rFonts w:ascii="Times New Roman" w:hAnsi="Times New Roman" w:eastAsiaTheme="minorEastAsia" w:cs="Times New Roman"/>
          <w:noProof/>
          <w:sz w:val="22"/>
          <w:szCs w:val="22"/>
          <w:lang w:eastAsia="sk-SK"/>
        </w:rPr>
      </w:pPr>
      <w:r w:rsidRPr="0004438B" w:rsidR="00E94729">
        <w:rPr>
          <w:rFonts w:ascii="Times New Roman" w:hAnsi="Times New Roman" w:cs="Times New Roman"/>
          <w:sz w:val="22"/>
          <w:szCs w:val="22"/>
        </w:rPr>
        <w:fldChar w:fldCharType="begin"/>
      </w:r>
      <w:r w:rsidRPr="0004438B" w:rsidR="00E94729">
        <w:rPr>
          <w:rFonts w:ascii="Times New Roman" w:hAnsi="Times New Roman" w:cs="Times New Roman"/>
          <w:sz w:val="22"/>
          <w:szCs w:val="22"/>
        </w:rPr>
        <w:instrText xml:space="preserve"> TOC \o "1-3" \h \z \u </w:instrText>
      </w:r>
      <w:r w:rsidRPr="0004438B" w:rsidR="00E94729">
        <w:rPr>
          <w:rFonts w:ascii="Times New Roman" w:hAnsi="Times New Roman" w:cs="Times New Roman"/>
          <w:sz w:val="22"/>
          <w:szCs w:val="22"/>
        </w:rPr>
        <w:fldChar w:fldCharType="separate"/>
      </w:r>
      <w:hyperlink w:anchor="_Toc465258469" w:history="1">
        <w:r w:rsidRPr="0004438B">
          <w:rPr>
            <w:rStyle w:val="Hyperlink"/>
            <w:rFonts w:ascii="Times New Roman" w:eastAsia="Cambria" w:hAnsi="Times New Roman" w:cs="Times New Roman"/>
            <w:noProof/>
            <w:sz w:val="22"/>
            <w:szCs w:val="22"/>
          </w:rPr>
          <w:t>Zhrnutie</w:t>
        </w:r>
        <w:r w:rsidRPr="0004438B">
          <w:rPr>
            <w:rFonts w:ascii="Times New Roman" w:hAnsi="Times New Roman" w:cs="Times New Roman"/>
            <w:noProof/>
            <w:webHidden/>
            <w:sz w:val="22"/>
            <w:szCs w:val="22"/>
          </w:rPr>
          <w:tab/>
        </w:r>
        <w:r w:rsidRPr="0004438B">
          <w:rPr>
            <w:rFonts w:ascii="Times New Roman" w:hAnsi="Times New Roman" w:cs="Times New Roman"/>
            <w:noProof/>
            <w:webHidden/>
            <w:sz w:val="22"/>
            <w:szCs w:val="22"/>
          </w:rPr>
          <w:fldChar w:fldCharType="begin"/>
        </w:r>
        <w:r w:rsidRPr="0004438B">
          <w:rPr>
            <w:rFonts w:ascii="Times New Roman" w:hAnsi="Times New Roman" w:cs="Times New Roman"/>
            <w:noProof/>
            <w:webHidden/>
            <w:sz w:val="22"/>
            <w:szCs w:val="22"/>
          </w:rPr>
          <w:instrText xml:space="preserve"> PAGEREF _Toc465258469 \h </w:instrText>
        </w:r>
        <w:r w:rsidRPr="0004438B">
          <w:rPr>
            <w:rFonts w:ascii="Times New Roman" w:hAnsi="Times New Roman" w:cs="Times New Roman"/>
            <w:noProof/>
            <w:webHidden/>
            <w:sz w:val="22"/>
            <w:szCs w:val="22"/>
          </w:rPr>
          <w:fldChar w:fldCharType="separate"/>
        </w:r>
        <w:r w:rsidR="00725D05">
          <w:rPr>
            <w:rFonts w:ascii="Times New Roman" w:hAnsi="Times New Roman" w:cs="Times New Roman"/>
            <w:noProof/>
            <w:webHidden/>
            <w:sz w:val="22"/>
            <w:szCs w:val="22"/>
          </w:rPr>
          <w:t>2</w:t>
        </w:r>
        <w:r w:rsidRPr="0004438B">
          <w:rPr>
            <w:rFonts w:ascii="Times New Roman" w:hAnsi="Times New Roman" w:cs="Times New Roman"/>
            <w:noProof/>
            <w:webHidden/>
            <w:sz w:val="22"/>
            <w:szCs w:val="22"/>
          </w:rPr>
          <w:fldChar w:fldCharType="end"/>
        </w:r>
      </w:hyperlink>
    </w:p>
    <w:p w:rsidR="0004438B" w:rsidRPr="0004438B">
      <w:pPr>
        <w:pStyle w:val="TOC1"/>
        <w:bidi w:val="0"/>
        <w:rPr>
          <w:rFonts w:ascii="Times New Roman" w:hAnsi="Times New Roman" w:eastAsiaTheme="minorEastAsia" w:cs="Times New Roman"/>
          <w:noProof/>
          <w:sz w:val="22"/>
          <w:szCs w:val="22"/>
          <w:lang w:eastAsia="sk-SK"/>
        </w:rPr>
      </w:pPr>
      <w:hyperlink w:anchor="_Toc465258470" w:history="1">
        <w:r w:rsidRPr="0004438B">
          <w:rPr>
            <w:rStyle w:val="Hyperlink"/>
            <w:rFonts w:ascii="Times New Roman" w:eastAsia="Cambria" w:hAnsi="Times New Roman" w:cs="Times New Roman" w:hint="default"/>
            <w:noProof/>
            <w:sz w:val="22"/>
            <w:szCs w:val="22"/>
          </w:rPr>
          <w:t>Ú</w:t>
        </w:r>
        <w:r w:rsidRPr="0004438B">
          <w:rPr>
            <w:rStyle w:val="Hyperlink"/>
            <w:rFonts w:ascii="Times New Roman" w:eastAsia="Cambria" w:hAnsi="Times New Roman" w:cs="Times New Roman" w:hint="default"/>
            <w:noProof/>
            <w:sz w:val="22"/>
            <w:szCs w:val="22"/>
          </w:rPr>
          <w:t>vod</w:t>
        </w:r>
        <w:r w:rsidRPr="0004438B">
          <w:rPr>
            <w:rFonts w:ascii="Times New Roman" w:hAnsi="Times New Roman" w:cs="Times New Roman"/>
            <w:noProof/>
            <w:webHidden/>
            <w:sz w:val="22"/>
            <w:szCs w:val="22"/>
          </w:rPr>
          <w:tab/>
        </w:r>
        <w:r w:rsidRPr="0004438B">
          <w:rPr>
            <w:rFonts w:ascii="Times New Roman" w:hAnsi="Times New Roman" w:cs="Times New Roman"/>
            <w:noProof/>
            <w:webHidden/>
            <w:sz w:val="22"/>
            <w:szCs w:val="22"/>
          </w:rPr>
          <w:fldChar w:fldCharType="begin"/>
        </w:r>
        <w:r w:rsidRPr="0004438B">
          <w:rPr>
            <w:rFonts w:ascii="Times New Roman" w:hAnsi="Times New Roman" w:cs="Times New Roman"/>
            <w:noProof/>
            <w:webHidden/>
            <w:sz w:val="22"/>
            <w:szCs w:val="22"/>
          </w:rPr>
          <w:instrText xml:space="preserve"> PAGEREF _Toc465258470 \h </w:instrText>
        </w:r>
        <w:r w:rsidRPr="0004438B">
          <w:rPr>
            <w:rFonts w:ascii="Times New Roman" w:hAnsi="Times New Roman" w:cs="Times New Roman"/>
            <w:noProof/>
            <w:webHidden/>
            <w:sz w:val="22"/>
            <w:szCs w:val="22"/>
          </w:rPr>
          <w:fldChar w:fldCharType="separate"/>
        </w:r>
        <w:r w:rsidR="00725D05">
          <w:rPr>
            <w:rFonts w:ascii="Times New Roman" w:hAnsi="Times New Roman" w:cs="Times New Roman"/>
            <w:noProof/>
            <w:webHidden/>
            <w:sz w:val="22"/>
            <w:szCs w:val="22"/>
          </w:rPr>
          <w:t>3</w:t>
        </w:r>
        <w:r w:rsidRPr="0004438B">
          <w:rPr>
            <w:rFonts w:ascii="Times New Roman" w:hAnsi="Times New Roman" w:cs="Times New Roman"/>
            <w:noProof/>
            <w:webHidden/>
            <w:sz w:val="22"/>
            <w:szCs w:val="22"/>
          </w:rPr>
          <w:fldChar w:fldCharType="end"/>
        </w:r>
      </w:hyperlink>
    </w:p>
    <w:p w:rsidR="0004438B" w:rsidRPr="0004438B">
      <w:pPr>
        <w:pStyle w:val="TOC1"/>
        <w:bidi w:val="0"/>
        <w:rPr>
          <w:rFonts w:ascii="Times New Roman" w:hAnsi="Times New Roman" w:eastAsiaTheme="minorEastAsia" w:cs="Times New Roman"/>
          <w:noProof/>
          <w:sz w:val="22"/>
          <w:szCs w:val="22"/>
          <w:lang w:eastAsia="sk-SK"/>
        </w:rPr>
      </w:pPr>
      <w:hyperlink w:anchor="_Toc465258471" w:history="1">
        <w:r w:rsidRPr="0004438B">
          <w:rPr>
            <w:rStyle w:val="Hyperlink"/>
            <w:rFonts w:ascii="Times New Roman" w:hAnsi="Times New Roman" w:cs="Times New Roman"/>
            <w:noProof/>
            <w:sz w:val="22"/>
            <w:szCs w:val="22"/>
          </w:rPr>
          <w:t>1.</w:t>
        </w:r>
        <w:r w:rsidRPr="0004438B">
          <w:rPr>
            <w:rFonts w:ascii="Times New Roman" w:hAnsi="Times New Roman" w:eastAsiaTheme="minorEastAsia" w:cs="Times New Roman"/>
            <w:noProof/>
            <w:sz w:val="22"/>
            <w:szCs w:val="22"/>
            <w:lang w:eastAsia="sk-SK"/>
          </w:rPr>
          <w:tab/>
        </w:r>
        <w:r w:rsidRPr="0004438B">
          <w:rPr>
            <w:rStyle w:val="Hyperlink"/>
            <w:rFonts w:ascii="Times New Roman" w:hAnsi="Times New Roman" w:cs="Times New Roman"/>
            <w:noProof/>
            <w:sz w:val="22"/>
            <w:szCs w:val="22"/>
          </w:rPr>
          <w:t>Hospodárenie verejnej správy v metodike ESA 2010</w:t>
        </w:r>
        <w:r w:rsidRPr="0004438B">
          <w:rPr>
            <w:rFonts w:ascii="Times New Roman" w:hAnsi="Times New Roman" w:cs="Times New Roman"/>
            <w:noProof/>
            <w:webHidden/>
            <w:sz w:val="22"/>
            <w:szCs w:val="22"/>
          </w:rPr>
          <w:tab/>
        </w:r>
        <w:r w:rsidRPr="0004438B">
          <w:rPr>
            <w:rFonts w:ascii="Times New Roman" w:hAnsi="Times New Roman" w:cs="Times New Roman"/>
            <w:noProof/>
            <w:webHidden/>
            <w:sz w:val="22"/>
            <w:szCs w:val="22"/>
          </w:rPr>
          <w:fldChar w:fldCharType="begin"/>
        </w:r>
        <w:r w:rsidRPr="0004438B">
          <w:rPr>
            <w:rFonts w:ascii="Times New Roman" w:hAnsi="Times New Roman" w:cs="Times New Roman"/>
            <w:noProof/>
            <w:webHidden/>
            <w:sz w:val="22"/>
            <w:szCs w:val="22"/>
          </w:rPr>
          <w:instrText xml:space="preserve"> PAGEREF _Toc465258471 \h </w:instrText>
        </w:r>
        <w:r w:rsidRPr="0004438B">
          <w:rPr>
            <w:rFonts w:ascii="Times New Roman" w:hAnsi="Times New Roman" w:cs="Times New Roman"/>
            <w:noProof/>
            <w:webHidden/>
            <w:sz w:val="22"/>
            <w:szCs w:val="22"/>
          </w:rPr>
          <w:fldChar w:fldCharType="separate"/>
        </w:r>
        <w:r w:rsidR="00725D05">
          <w:rPr>
            <w:rFonts w:ascii="Times New Roman" w:hAnsi="Times New Roman" w:cs="Times New Roman"/>
            <w:noProof/>
            <w:webHidden/>
            <w:sz w:val="22"/>
            <w:szCs w:val="22"/>
          </w:rPr>
          <w:t>5</w:t>
        </w:r>
        <w:r w:rsidRPr="0004438B">
          <w:rPr>
            <w:rFonts w:ascii="Times New Roman" w:hAnsi="Times New Roman" w:cs="Times New Roman"/>
            <w:noProof/>
            <w:webHidden/>
            <w:sz w:val="22"/>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72" w:history="1">
        <w:r w:rsidRPr="0004438B">
          <w:rPr>
            <w:rStyle w:val="Hyperlink"/>
            <w:rFonts w:ascii="Times New Roman" w:hAnsi="Times New Roman" w:cs="Times New Roman"/>
            <w:noProof/>
            <w:szCs w:val="22"/>
          </w:rPr>
          <w:t>1.1.</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Saldo verejnej správy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_Toc465258472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5</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73" w:history="1">
        <w:r w:rsidRPr="0004438B">
          <w:rPr>
            <w:rStyle w:val="Hyperlink"/>
            <w:rFonts w:ascii="Times New Roman" w:hAnsi="Times New Roman" w:cs="Times New Roman"/>
            <w:noProof/>
            <w:szCs w:val="22"/>
          </w:rPr>
          <w:t>1.2.</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Dlh verejnej správy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_Toc465258473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7</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77" w:history="1">
        <w:r w:rsidRPr="0004438B">
          <w:rPr>
            <w:rStyle w:val="Hyperlink"/>
            <w:rFonts w:ascii="Times New Roman" w:hAnsi="Times New Roman" w:cs="Times New Roman"/>
            <w:noProof/>
            <w:szCs w:val="22"/>
          </w:rPr>
          <w:t>1.3.</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Čistý dlh verejnej správy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_Toc465258477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10</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78" w:history="1">
        <w:r w:rsidRPr="0004438B">
          <w:rPr>
            <w:rStyle w:val="Hyperlink"/>
            <w:rFonts w:ascii="Times New Roman" w:hAnsi="Times New Roman" w:cs="Times New Roman"/>
            <w:noProof/>
            <w:szCs w:val="22"/>
          </w:rPr>
          <w:t>1.4.</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Rozdiely medzi októbrovou a aprílovou notifikáciou údajov</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_Toc465258478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10</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79" w:history="1">
        <w:r w:rsidRPr="0004438B">
          <w:rPr>
            <w:rStyle w:val="Hyperlink"/>
            <w:rFonts w:ascii="Times New Roman" w:hAnsi="Times New Roman" w:cs="Times New Roman"/>
            <w:noProof/>
            <w:szCs w:val="22"/>
          </w:rPr>
          <w:t>1.5.</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Porovnanie salda a dlhu verejnej správy v rámci Európskej únie</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_Toc465258479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12</w:t>
        </w:r>
        <w:r w:rsidRPr="0004438B">
          <w:rPr>
            <w:rFonts w:ascii="Times New Roman" w:hAnsi="Times New Roman" w:cs="Times New Roman"/>
            <w:noProof/>
            <w:webHidden/>
            <w:szCs w:val="22"/>
          </w:rPr>
          <w:fldChar w:fldCharType="end"/>
        </w:r>
      </w:hyperlink>
    </w:p>
    <w:p w:rsidR="0004438B" w:rsidRPr="0004438B">
      <w:pPr>
        <w:pStyle w:val="TOC1"/>
        <w:bidi w:val="0"/>
        <w:rPr>
          <w:rFonts w:ascii="Times New Roman" w:hAnsi="Times New Roman" w:eastAsiaTheme="minorEastAsia" w:cs="Times New Roman"/>
          <w:noProof/>
          <w:sz w:val="22"/>
          <w:szCs w:val="22"/>
          <w:lang w:eastAsia="sk-SK"/>
        </w:rPr>
      </w:pPr>
      <w:hyperlink w:anchor="_Toc465258481" w:history="1">
        <w:r w:rsidRPr="0004438B">
          <w:rPr>
            <w:rStyle w:val="Hyperlink"/>
            <w:rFonts w:ascii="Times New Roman" w:eastAsia="Cambria" w:hAnsi="Times New Roman" w:cs="Times New Roman"/>
            <w:noProof/>
            <w:sz w:val="22"/>
            <w:szCs w:val="22"/>
          </w:rPr>
          <w:t>2.</w:t>
        </w:r>
        <w:r w:rsidRPr="0004438B">
          <w:rPr>
            <w:rFonts w:ascii="Times New Roman" w:hAnsi="Times New Roman" w:eastAsiaTheme="minorEastAsia" w:cs="Times New Roman"/>
            <w:noProof/>
            <w:sz w:val="22"/>
            <w:szCs w:val="22"/>
            <w:lang w:eastAsia="sk-SK"/>
          </w:rPr>
          <w:tab/>
        </w:r>
        <w:r w:rsidRPr="0004438B">
          <w:rPr>
            <w:rStyle w:val="Hyperlink"/>
            <w:rFonts w:ascii="Times New Roman" w:eastAsia="Cambria" w:hAnsi="Times New Roman" w:cs="Times New Roman" w:hint="default"/>
            <w:noProof/>
            <w:sz w:val="22"/>
            <w:szCs w:val="22"/>
          </w:rPr>
          <w:t>Hospodá</w:t>
        </w:r>
        <w:r w:rsidRPr="0004438B">
          <w:rPr>
            <w:rStyle w:val="Hyperlink"/>
            <w:rFonts w:ascii="Times New Roman" w:eastAsia="Cambria" w:hAnsi="Times New Roman" w:cs="Times New Roman" w:hint="default"/>
            <w:noProof/>
            <w:sz w:val="22"/>
            <w:szCs w:val="22"/>
          </w:rPr>
          <w:t>renie verejnej</w:t>
        </w:r>
        <w:r w:rsidRPr="0004438B">
          <w:rPr>
            <w:rStyle w:val="Hyperlink"/>
            <w:rFonts w:ascii="Times New Roman" w:eastAsia="Cambria" w:hAnsi="Times New Roman" w:cs="Times New Roman" w:hint="default"/>
            <w:noProof/>
            <w:sz w:val="22"/>
            <w:szCs w:val="22"/>
          </w:rPr>
          <w:t xml:space="preserve"> sprá</w:t>
        </w:r>
        <w:r w:rsidRPr="0004438B">
          <w:rPr>
            <w:rStyle w:val="Hyperlink"/>
            <w:rFonts w:ascii="Times New Roman" w:eastAsia="Cambria" w:hAnsi="Times New Roman" w:cs="Times New Roman" w:hint="default"/>
            <w:noProof/>
            <w:sz w:val="22"/>
            <w:szCs w:val="22"/>
          </w:rPr>
          <w:t xml:space="preserve">vy </w:t>
        </w:r>
        <w:r w:rsidRPr="0004438B">
          <w:rPr>
            <w:rStyle w:val="Hyperlink"/>
            <w:rFonts w:ascii="Times New Roman" w:eastAsia="Cambria" w:hAnsi="Times New Roman" w:cs="Times New Roman" w:hint="default"/>
            <w:noProof/>
            <w:sz w:val="22"/>
            <w:szCs w:val="22"/>
          </w:rPr>
          <w:t>–</w:t>
        </w:r>
        <w:r w:rsidRPr="0004438B">
          <w:rPr>
            <w:rStyle w:val="Hyperlink"/>
            <w:rFonts w:ascii="Times New Roman" w:eastAsia="Cambria" w:hAnsi="Times New Roman" w:cs="Times New Roman" w:hint="default"/>
            <w:noProof/>
            <w:sz w:val="22"/>
            <w:szCs w:val="22"/>
          </w:rPr>
          <w:t xml:space="preserve"> pož</w:t>
        </w:r>
        <w:r w:rsidRPr="0004438B">
          <w:rPr>
            <w:rStyle w:val="Hyperlink"/>
            <w:rFonts w:ascii="Times New Roman" w:eastAsia="Cambria" w:hAnsi="Times New Roman" w:cs="Times New Roman" w:hint="default"/>
            <w:noProof/>
            <w:sz w:val="22"/>
            <w:szCs w:val="22"/>
          </w:rPr>
          <w:t>iadavky ú</w:t>
        </w:r>
        <w:r w:rsidRPr="0004438B">
          <w:rPr>
            <w:rStyle w:val="Hyperlink"/>
            <w:rFonts w:ascii="Times New Roman" w:eastAsia="Cambria" w:hAnsi="Times New Roman" w:cs="Times New Roman" w:hint="default"/>
            <w:noProof/>
            <w:sz w:val="22"/>
            <w:szCs w:val="22"/>
          </w:rPr>
          <w:t>stavné</w:t>
        </w:r>
        <w:r w:rsidRPr="0004438B">
          <w:rPr>
            <w:rStyle w:val="Hyperlink"/>
            <w:rFonts w:ascii="Times New Roman" w:eastAsia="Cambria" w:hAnsi="Times New Roman" w:cs="Times New Roman" w:hint="default"/>
            <w:noProof/>
            <w:sz w:val="22"/>
            <w:szCs w:val="22"/>
          </w:rPr>
          <w:t>ho zá</w:t>
        </w:r>
        <w:r w:rsidRPr="0004438B">
          <w:rPr>
            <w:rStyle w:val="Hyperlink"/>
            <w:rFonts w:ascii="Times New Roman" w:eastAsia="Cambria" w:hAnsi="Times New Roman" w:cs="Times New Roman" w:hint="default"/>
            <w:noProof/>
            <w:sz w:val="22"/>
            <w:szCs w:val="22"/>
          </w:rPr>
          <w:t>kona o </w:t>
        </w:r>
        <w:r w:rsidRPr="0004438B">
          <w:rPr>
            <w:rStyle w:val="Hyperlink"/>
            <w:rFonts w:ascii="Times New Roman" w:eastAsia="Cambria" w:hAnsi="Times New Roman" w:cs="Times New Roman" w:hint="default"/>
            <w:noProof/>
            <w:sz w:val="22"/>
            <w:szCs w:val="22"/>
          </w:rPr>
          <w:t>rozpoč</w:t>
        </w:r>
        <w:r w:rsidRPr="0004438B">
          <w:rPr>
            <w:rStyle w:val="Hyperlink"/>
            <w:rFonts w:ascii="Times New Roman" w:eastAsia="Cambria" w:hAnsi="Times New Roman" w:cs="Times New Roman" w:hint="default"/>
            <w:noProof/>
            <w:sz w:val="22"/>
            <w:szCs w:val="22"/>
          </w:rPr>
          <w:t>tovej zodpovednosti</w:t>
        </w:r>
        <w:r w:rsidRPr="0004438B">
          <w:rPr>
            <w:rFonts w:ascii="Times New Roman" w:hAnsi="Times New Roman" w:cs="Times New Roman"/>
            <w:noProof/>
            <w:webHidden/>
            <w:sz w:val="22"/>
            <w:szCs w:val="22"/>
          </w:rPr>
          <w:tab/>
        </w:r>
        <w:r w:rsidRPr="0004438B">
          <w:rPr>
            <w:rFonts w:ascii="Times New Roman" w:hAnsi="Times New Roman" w:cs="Times New Roman"/>
            <w:noProof/>
            <w:webHidden/>
            <w:sz w:val="22"/>
            <w:szCs w:val="22"/>
          </w:rPr>
          <w:fldChar w:fldCharType="begin"/>
        </w:r>
        <w:r w:rsidRPr="0004438B">
          <w:rPr>
            <w:rFonts w:ascii="Times New Roman" w:hAnsi="Times New Roman" w:cs="Times New Roman"/>
            <w:noProof/>
            <w:webHidden/>
            <w:sz w:val="22"/>
            <w:szCs w:val="22"/>
          </w:rPr>
          <w:instrText xml:space="preserve"> PAGEREF _Toc465258481 \h </w:instrText>
        </w:r>
        <w:r w:rsidRPr="0004438B">
          <w:rPr>
            <w:rFonts w:ascii="Times New Roman" w:hAnsi="Times New Roman" w:cs="Times New Roman"/>
            <w:noProof/>
            <w:webHidden/>
            <w:sz w:val="22"/>
            <w:szCs w:val="22"/>
          </w:rPr>
          <w:fldChar w:fldCharType="separate"/>
        </w:r>
        <w:r w:rsidR="00725D05">
          <w:rPr>
            <w:rFonts w:ascii="Times New Roman" w:hAnsi="Times New Roman" w:cs="Times New Roman"/>
            <w:noProof/>
            <w:webHidden/>
            <w:sz w:val="22"/>
            <w:szCs w:val="22"/>
          </w:rPr>
          <w:t>14</w:t>
        </w:r>
        <w:r w:rsidRPr="0004438B">
          <w:rPr>
            <w:rFonts w:ascii="Times New Roman" w:hAnsi="Times New Roman" w:cs="Times New Roman"/>
            <w:noProof/>
            <w:webHidden/>
            <w:sz w:val="22"/>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82" w:history="1">
        <w:r w:rsidRPr="0004438B">
          <w:rPr>
            <w:rStyle w:val="Hyperlink"/>
            <w:rFonts w:ascii="Times New Roman" w:hAnsi="Times New Roman" w:cs="Times New Roman"/>
            <w:noProof/>
            <w:szCs w:val="22"/>
          </w:rPr>
          <w:t>2.1.</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Bilancia rozpočtu verejnej správy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_Toc465258482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14</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85" w:history="1">
        <w:r w:rsidRPr="0004438B">
          <w:rPr>
            <w:rStyle w:val="Hyperlink"/>
            <w:rFonts w:ascii="Times New Roman" w:hAnsi="Times New Roman" w:cs="Times New Roman"/>
            <w:noProof/>
            <w:szCs w:val="22"/>
          </w:rPr>
          <w:t>2.1.1</w:t>
        </w:r>
        <w:r w:rsidR="00652AE0">
          <w:rPr>
            <w:rStyle w:val="Hyperlink"/>
            <w:rFonts w:ascii="Times New Roman" w:hAnsi="Times New Roman" w:cs="Times New Roman"/>
            <w:noProof/>
            <w:szCs w:val="22"/>
          </w:rPr>
          <w:t>.</w:t>
        </w:r>
        <w:r w:rsidRPr="0004438B">
          <w:rPr>
            <w:rStyle w:val="Hyperlink"/>
            <w:rFonts w:ascii="Times New Roman" w:hAnsi="Times New Roman" w:cs="Times New Roman"/>
            <w:noProof/>
            <w:szCs w:val="22"/>
          </w:rPr>
          <w:t>Príjmy verejnej správy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_Toc465258485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14</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86" w:history="1">
        <w:r w:rsidRPr="0004438B">
          <w:rPr>
            <w:rStyle w:val="Hyperlink"/>
            <w:rFonts w:ascii="Times New Roman" w:hAnsi="Times New Roman" w:cs="Times New Roman"/>
            <w:noProof/>
            <w:szCs w:val="22"/>
          </w:rPr>
          <w:t>2.1.2</w:t>
        </w:r>
        <w:r w:rsidR="00652AE0">
          <w:rPr>
            <w:rStyle w:val="Hyperlink"/>
            <w:rFonts w:ascii="Times New Roman" w:hAnsi="Times New Roman" w:cs="Times New Roman"/>
            <w:noProof/>
            <w:szCs w:val="22"/>
          </w:rPr>
          <w:t>.</w:t>
        </w:r>
        <w:r w:rsidRPr="0004438B">
          <w:rPr>
            <w:rStyle w:val="Hyperlink"/>
            <w:rFonts w:ascii="Times New Roman" w:hAnsi="Times New Roman" w:cs="Times New Roman"/>
            <w:noProof/>
            <w:szCs w:val="22"/>
          </w:rPr>
          <w:t>Výdavky verejnej správy</w:t>
        </w:r>
        <w:r w:rsidR="00652AE0">
          <w:rPr>
            <w:rStyle w:val="Hyperlink"/>
            <w:rFonts w:ascii="Times New Roman" w:hAnsi="Times New Roman" w:cs="Times New Roman"/>
            <w:noProof/>
            <w:szCs w:val="22"/>
          </w:rPr>
          <w:t xml:space="preserve"> ..........................................................................................................</w:t>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_Toc465258486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17</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87" w:history="1">
        <w:r w:rsidRPr="0004438B">
          <w:rPr>
            <w:rStyle w:val="Hyperlink"/>
            <w:rFonts w:ascii="Times New Roman" w:hAnsi="Times New Roman" w:cs="Times New Roman"/>
            <w:noProof/>
            <w:szCs w:val="22"/>
          </w:rPr>
          <w:t>2.2.</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Jednorazové vplyvy, cyklická zložka a štrukturálne saldo</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_Toc465258487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18</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88" w:history="1">
        <w:r w:rsidRPr="0004438B">
          <w:rPr>
            <w:rStyle w:val="Hyperlink"/>
            <w:rFonts w:ascii="Times New Roman" w:hAnsi="Times New Roman" w:cs="Times New Roman"/>
            <w:noProof/>
            <w:szCs w:val="22"/>
          </w:rPr>
          <w:t>2.3.</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Vyhodnotenie stratégie riadenia štátneho dlhu za rok 2015</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_Toc465258488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20</w:t>
        </w:r>
        <w:r w:rsidRPr="0004438B">
          <w:rPr>
            <w:rFonts w:ascii="Times New Roman" w:hAnsi="Times New Roman" w:cs="Times New Roman"/>
            <w:noProof/>
            <w:webHidden/>
            <w:szCs w:val="22"/>
          </w:rPr>
          <w:fldChar w:fldCharType="end"/>
        </w:r>
      </w:hyperlink>
    </w:p>
    <w:p w:rsidR="0004438B" w:rsidRPr="0004438B">
      <w:pPr>
        <w:pStyle w:val="TOC1"/>
        <w:bidi w:val="0"/>
        <w:rPr>
          <w:rFonts w:ascii="Times New Roman" w:hAnsi="Times New Roman" w:eastAsiaTheme="minorEastAsia" w:cs="Times New Roman"/>
          <w:noProof/>
          <w:sz w:val="22"/>
          <w:szCs w:val="22"/>
          <w:lang w:eastAsia="sk-SK"/>
        </w:rPr>
      </w:pPr>
      <w:hyperlink w:anchor="_Toc465258489" w:history="1">
        <w:r w:rsidRPr="0004438B">
          <w:rPr>
            <w:rStyle w:val="Hyperlink"/>
            <w:rFonts w:ascii="Times New Roman" w:eastAsia="Cambria" w:hAnsi="Times New Roman" w:cs="Times New Roman"/>
            <w:noProof/>
            <w:sz w:val="22"/>
            <w:szCs w:val="22"/>
          </w:rPr>
          <w:t>3.</w:t>
        </w:r>
        <w:r w:rsidRPr="0004438B">
          <w:rPr>
            <w:rFonts w:ascii="Times New Roman" w:hAnsi="Times New Roman" w:eastAsiaTheme="minorEastAsia" w:cs="Times New Roman"/>
            <w:noProof/>
            <w:sz w:val="22"/>
            <w:szCs w:val="22"/>
            <w:lang w:eastAsia="sk-SK"/>
          </w:rPr>
          <w:tab/>
        </w:r>
        <w:r w:rsidRPr="0004438B">
          <w:rPr>
            <w:rStyle w:val="Hyperlink"/>
            <w:rFonts w:ascii="Times New Roman" w:eastAsia="Cambria" w:hAnsi="Times New Roman" w:cs="Times New Roman" w:hint="default"/>
            <w:noProof/>
            <w:sz w:val="22"/>
            <w:szCs w:val="22"/>
          </w:rPr>
          <w:t>Č</w:t>
        </w:r>
        <w:r w:rsidRPr="0004438B">
          <w:rPr>
            <w:rStyle w:val="Hyperlink"/>
            <w:rFonts w:ascii="Times New Roman" w:eastAsia="Cambria" w:hAnsi="Times New Roman" w:cs="Times New Roman" w:hint="default"/>
            <w:noProof/>
            <w:sz w:val="22"/>
            <w:szCs w:val="22"/>
          </w:rPr>
          <w:t>isté</w:t>
        </w:r>
        <w:r w:rsidRPr="0004438B">
          <w:rPr>
            <w:rStyle w:val="Hyperlink"/>
            <w:rFonts w:ascii="Times New Roman" w:eastAsia="Cambria" w:hAnsi="Times New Roman" w:cs="Times New Roman" w:hint="default"/>
            <w:noProof/>
            <w:sz w:val="22"/>
            <w:szCs w:val="22"/>
          </w:rPr>
          <w:t xml:space="preserve"> bohatstvo</w:t>
        </w:r>
        <w:r w:rsidRPr="0004438B">
          <w:rPr>
            <w:rFonts w:ascii="Times New Roman" w:hAnsi="Times New Roman" w:cs="Times New Roman"/>
            <w:noProof/>
            <w:webHidden/>
            <w:sz w:val="22"/>
            <w:szCs w:val="22"/>
          </w:rPr>
          <w:tab/>
        </w:r>
        <w:r w:rsidRPr="0004438B">
          <w:rPr>
            <w:rFonts w:ascii="Times New Roman" w:hAnsi="Times New Roman" w:cs="Times New Roman"/>
            <w:noProof/>
            <w:webHidden/>
            <w:sz w:val="22"/>
            <w:szCs w:val="22"/>
          </w:rPr>
          <w:fldChar w:fldCharType="begin"/>
        </w:r>
        <w:r w:rsidRPr="0004438B">
          <w:rPr>
            <w:rFonts w:ascii="Times New Roman" w:hAnsi="Times New Roman" w:cs="Times New Roman"/>
            <w:noProof/>
            <w:webHidden/>
            <w:sz w:val="22"/>
            <w:szCs w:val="22"/>
          </w:rPr>
          <w:instrText xml:space="preserve"> PAGEREF _Toc465258489 \h </w:instrText>
        </w:r>
        <w:r w:rsidRPr="0004438B">
          <w:rPr>
            <w:rFonts w:ascii="Times New Roman" w:hAnsi="Times New Roman" w:cs="Times New Roman"/>
            <w:noProof/>
            <w:webHidden/>
            <w:sz w:val="22"/>
            <w:szCs w:val="22"/>
          </w:rPr>
          <w:fldChar w:fldCharType="separate"/>
        </w:r>
        <w:r w:rsidR="00725D05">
          <w:rPr>
            <w:rFonts w:ascii="Times New Roman" w:hAnsi="Times New Roman" w:cs="Times New Roman"/>
            <w:noProof/>
            <w:webHidden/>
            <w:sz w:val="22"/>
            <w:szCs w:val="22"/>
          </w:rPr>
          <w:t>23</w:t>
        </w:r>
        <w:r w:rsidRPr="0004438B">
          <w:rPr>
            <w:rFonts w:ascii="Times New Roman" w:hAnsi="Times New Roman" w:cs="Times New Roman"/>
            <w:noProof/>
            <w:webHidden/>
            <w:sz w:val="22"/>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90" w:history="1">
        <w:r w:rsidRPr="0004438B">
          <w:rPr>
            <w:rStyle w:val="Hyperlink"/>
            <w:rFonts w:ascii="Times New Roman" w:eastAsia="Cambria" w:hAnsi="Times New Roman" w:cs="Times New Roman"/>
            <w:noProof/>
            <w:szCs w:val="22"/>
          </w:rPr>
          <w:t>3.1.</w:t>
        </w:r>
        <w:r w:rsidRPr="0004438B">
          <w:rPr>
            <w:rFonts w:ascii="Times New Roman" w:hAnsi="Times New Roman" w:eastAsiaTheme="minorEastAsia" w:cs="Times New Roman"/>
            <w:noProof/>
            <w:szCs w:val="22"/>
            <w:lang w:eastAsia="sk-SK"/>
          </w:rPr>
          <w:tab/>
        </w:r>
        <w:r w:rsidRPr="0004438B">
          <w:rPr>
            <w:rStyle w:val="Hyperlink"/>
            <w:rFonts w:ascii="Times New Roman" w:eastAsia="Cambria" w:hAnsi="Times New Roman" w:cs="Times New Roman" w:hint="default"/>
            <w:noProof/>
            <w:szCs w:val="22"/>
          </w:rPr>
          <w:t>Koncept č</w:t>
        </w:r>
        <w:r w:rsidRPr="0004438B">
          <w:rPr>
            <w:rStyle w:val="Hyperlink"/>
            <w:rFonts w:ascii="Times New Roman" w:eastAsia="Cambria" w:hAnsi="Times New Roman" w:cs="Times New Roman" w:hint="default"/>
            <w:noProof/>
            <w:szCs w:val="22"/>
          </w:rPr>
          <w:t>isté</w:t>
        </w:r>
        <w:r w:rsidRPr="0004438B">
          <w:rPr>
            <w:rStyle w:val="Hyperlink"/>
            <w:rFonts w:ascii="Times New Roman" w:eastAsia="Cambria" w:hAnsi="Times New Roman" w:cs="Times New Roman" w:hint="default"/>
            <w:noProof/>
            <w:szCs w:val="22"/>
          </w:rPr>
          <w:t>ho bohatstva</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_Toc465258490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23</w:t>
        </w:r>
        <w:r w:rsidRPr="0004438B">
          <w:rPr>
            <w:rFonts w:ascii="Times New Roman" w:hAnsi="Times New Roman" w:cs="Times New Roman"/>
            <w:noProof/>
            <w:webHidden/>
            <w:szCs w:val="22"/>
          </w:rPr>
          <w:fldChar w:fldCharType="end"/>
        </w:r>
      </w:hyperlink>
    </w:p>
    <w:p w:rsidR="0004438B" w:rsidRPr="0004438B">
      <w:pPr>
        <w:pStyle w:val="TOC2"/>
        <w:bidi w:val="0"/>
        <w:rPr>
          <w:rFonts w:ascii="Times New Roman" w:hAnsi="Times New Roman" w:eastAsiaTheme="minorEastAsia" w:cs="Times New Roman"/>
          <w:noProof/>
          <w:szCs w:val="22"/>
          <w:lang w:eastAsia="sk-SK"/>
        </w:rPr>
      </w:pPr>
      <w:hyperlink w:anchor="_Toc465258491" w:history="1">
        <w:r w:rsidRPr="0004438B">
          <w:rPr>
            <w:rStyle w:val="Hyperlink"/>
            <w:rFonts w:ascii="Times New Roman" w:eastAsia="Cambria" w:hAnsi="Times New Roman" w:cs="Times New Roman"/>
            <w:noProof/>
            <w:szCs w:val="22"/>
          </w:rPr>
          <w:t>3.2.</w:t>
        </w:r>
        <w:r w:rsidRPr="0004438B">
          <w:rPr>
            <w:rFonts w:ascii="Times New Roman" w:hAnsi="Times New Roman" w:eastAsiaTheme="minorEastAsia" w:cs="Times New Roman"/>
            <w:noProof/>
            <w:szCs w:val="22"/>
            <w:lang w:eastAsia="sk-SK"/>
          </w:rPr>
          <w:tab/>
        </w:r>
        <w:r w:rsidRPr="0004438B">
          <w:rPr>
            <w:rStyle w:val="Hyperlink"/>
            <w:rFonts w:ascii="Times New Roman" w:eastAsia="Cambria" w:hAnsi="Times New Roman" w:cs="Times New Roman" w:hint="default"/>
            <w:noProof/>
            <w:szCs w:val="22"/>
          </w:rPr>
          <w:t>Odhad č</w:t>
        </w:r>
        <w:r w:rsidRPr="0004438B">
          <w:rPr>
            <w:rStyle w:val="Hyperlink"/>
            <w:rFonts w:ascii="Times New Roman" w:eastAsia="Cambria" w:hAnsi="Times New Roman" w:cs="Times New Roman" w:hint="default"/>
            <w:noProof/>
            <w:szCs w:val="22"/>
          </w:rPr>
          <w:t>isté</w:t>
        </w:r>
        <w:r w:rsidRPr="0004438B">
          <w:rPr>
            <w:rStyle w:val="Hyperlink"/>
            <w:rFonts w:ascii="Times New Roman" w:eastAsia="Cambria" w:hAnsi="Times New Roman" w:cs="Times New Roman" w:hint="default"/>
            <w:noProof/>
            <w:szCs w:val="22"/>
          </w:rPr>
          <w:t>ho bohatstva za rok 2015</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_Toc465258491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24</w:t>
        </w:r>
        <w:r w:rsidRPr="0004438B">
          <w:rPr>
            <w:rFonts w:ascii="Times New Roman" w:hAnsi="Times New Roman" w:cs="Times New Roman"/>
            <w:noProof/>
            <w:webHidden/>
            <w:szCs w:val="22"/>
          </w:rPr>
          <w:fldChar w:fldCharType="end"/>
        </w:r>
      </w:hyperlink>
    </w:p>
    <w:p w:rsidR="0004438B" w:rsidRPr="0004438B">
      <w:pPr>
        <w:pStyle w:val="TOC3"/>
        <w:bidi w:val="0"/>
        <w:rPr>
          <w:rFonts w:ascii="Times New Roman" w:hAnsi="Times New Roman" w:eastAsiaTheme="minorEastAsia" w:cs="Times New Roman"/>
          <w:noProof/>
          <w:szCs w:val="22"/>
          <w:lang w:eastAsia="sk-SK"/>
        </w:rPr>
      </w:pPr>
      <w:hyperlink w:anchor="_Toc465258492" w:history="1">
        <w:r w:rsidRPr="0004438B">
          <w:rPr>
            <w:rStyle w:val="Hyperlink"/>
            <w:rFonts w:ascii="Times New Roman" w:hAnsi="Times New Roman" w:cs="Times New Roman"/>
            <w:noProof/>
            <w:szCs w:val="22"/>
          </w:rPr>
          <w:t>3.2.1.</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Vlastné imanie súhrnného celku verejnej správy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_Toc465258492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24</w:t>
        </w:r>
        <w:r w:rsidRPr="0004438B">
          <w:rPr>
            <w:rFonts w:ascii="Times New Roman" w:hAnsi="Times New Roman" w:cs="Times New Roman"/>
            <w:noProof/>
            <w:webHidden/>
            <w:szCs w:val="22"/>
          </w:rPr>
          <w:fldChar w:fldCharType="end"/>
        </w:r>
      </w:hyperlink>
    </w:p>
    <w:p w:rsidR="0004438B" w:rsidRPr="0004438B">
      <w:pPr>
        <w:pStyle w:val="TOC3"/>
        <w:bidi w:val="0"/>
        <w:rPr>
          <w:rFonts w:ascii="Times New Roman" w:hAnsi="Times New Roman" w:eastAsiaTheme="minorEastAsia" w:cs="Times New Roman"/>
          <w:noProof/>
          <w:szCs w:val="22"/>
          <w:lang w:eastAsia="sk-SK"/>
        </w:rPr>
      </w:pPr>
      <w:hyperlink w:anchor="_Toc465258493" w:history="1">
        <w:r w:rsidRPr="0004438B">
          <w:rPr>
            <w:rStyle w:val="Hyperlink"/>
            <w:rFonts w:ascii="Times New Roman" w:hAnsi="Times New Roman" w:cs="Times New Roman"/>
            <w:noProof/>
            <w:szCs w:val="22"/>
          </w:rPr>
          <w:t>3.2.2</w:t>
        </w:r>
        <w:r w:rsidR="00652AE0">
          <w:rPr>
            <w:rStyle w:val="Hyperlink"/>
            <w:rFonts w:ascii="Times New Roman" w:hAnsi="Times New Roman" w:cs="Times New Roman"/>
            <w:noProof/>
            <w:szCs w:val="22"/>
          </w:rPr>
          <w:t>.</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Vlastné imanie podnikov štátnej správy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_Toc465258493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26</w:t>
        </w:r>
        <w:r w:rsidRPr="0004438B">
          <w:rPr>
            <w:rFonts w:ascii="Times New Roman" w:hAnsi="Times New Roman" w:cs="Times New Roman"/>
            <w:noProof/>
            <w:webHidden/>
            <w:szCs w:val="22"/>
          </w:rPr>
          <w:fldChar w:fldCharType="end"/>
        </w:r>
      </w:hyperlink>
    </w:p>
    <w:p w:rsidR="0004438B" w:rsidRPr="0004438B">
      <w:pPr>
        <w:pStyle w:val="TOC3"/>
        <w:bidi w:val="0"/>
        <w:rPr>
          <w:rFonts w:ascii="Times New Roman" w:hAnsi="Times New Roman" w:eastAsiaTheme="minorEastAsia" w:cs="Times New Roman"/>
          <w:noProof/>
          <w:szCs w:val="22"/>
          <w:lang w:eastAsia="sk-SK"/>
        </w:rPr>
      </w:pPr>
      <w:hyperlink w:anchor="_Toc465258494" w:history="1">
        <w:r w:rsidRPr="0004438B">
          <w:rPr>
            <w:rStyle w:val="Hyperlink"/>
            <w:rFonts w:ascii="Times New Roman" w:hAnsi="Times New Roman" w:cs="Times New Roman"/>
            <w:noProof/>
            <w:szCs w:val="22"/>
          </w:rPr>
          <w:t>3.2.3</w:t>
        </w:r>
        <w:r w:rsidR="00652AE0">
          <w:rPr>
            <w:rStyle w:val="Hyperlink"/>
            <w:rFonts w:ascii="Times New Roman" w:hAnsi="Times New Roman" w:cs="Times New Roman"/>
            <w:noProof/>
            <w:szCs w:val="22"/>
          </w:rPr>
          <w:t>.</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Vlastné imanie Národnej banky Slovenska</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_Toc465258494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36</w:t>
        </w:r>
        <w:r w:rsidRPr="0004438B">
          <w:rPr>
            <w:rFonts w:ascii="Times New Roman" w:hAnsi="Times New Roman" w:cs="Times New Roman"/>
            <w:noProof/>
            <w:webHidden/>
            <w:szCs w:val="22"/>
          </w:rPr>
          <w:fldChar w:fldCharType="end"/>
        </w:r>
      </w:hyperlink>
    </w:p>
    <w:p w:rsidR="0004438B" w:rsidRPr="0004438B">
      <w:pPr>
        <w:pStyle w:val="TOC3"/>
        <w:bidi w:val="0"/>
        <w:rPr>
          <w:rFonts w:ascii="Times New Roman" w:hAnsi="Times New Roman" w:eastAsiaTheme="minorEastAsia" w:cs="Times New Roman"/>
          <w:noProof/>
          <w:szCs w:val="22"/>
          <w:lang w:eastAsia="sk-SK"/>
        </w:rPr>
      </w:pPr>
      <w:hyperlink w:anchor="_Toc465258495" w:history="1">
        <w:r w:rsidRPr="0004438B">
          <w:rPr>
            <w:rStyle w:val="Hyperlink"/>
            <w:rFonts w:ascii="Times New Roman" w:hAnsi="Times New Roman" w:cs="Times New Roman"/>
            <w:noProof/>
            <w:szCs w:val="22"/>
          </w:rPr>
          <w:t>3.2.4</w:t>
        </w:r>
        <w:r w:rsidR="00652AE0">
          <w:rPr>
            <w:rStyle w:val="Hyperlink"/>
            <w:rFonts w:ascii="Times New Roman" w:hAnsi="Times New Roman" w:cs="Times New Roman"/>
            <w:noProof/>
            <w:szCs w:val="22"/>
          </w:rPr>
          <w:t>.</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Implicitné záväzky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_Toc465258495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37</w:t>
        </w:r>
        <w:r w:rsidRPr="0004438B">
          <w:rPr>
            <w:rFonts w:ascii="Times New Roman" w:hAnsi="Times New Roman" w:cs="Times New Roman"/>
            <w:noProof/>
            <w:webHidden/>
            <w:szCs w:val="22"/>
          </w:rPr>
          <w:fldChar w:fldCharType="end"/>
        </w:r>
      </w:hyperlink>
    </w:p>
    <w:p w:rsidR="0004438B" w:rsidRPr="0004438B">
      <w:pPr>
        <w:pStyle w:val="TOC3"/>
        <w:bidi w:val="0"/>
        <w:rPr>
          <w:rFonts w:ascii="Times New Roman" w:hAnsi="Times New Roman" w:eastAsiaTheme="minorEastAsia" w:cs="Times New Roman"/>
          <w:noProof/>
          <w:szCs w:val="22"/>
          <w:lang w:eastAsia="sk-SK"/>
        </w:rPr>
      </w:pPr>
      <w:hyperlink w:anchor="_Toc465258496" w:history="1">
        <w:r w:rsidRPr="0004438B">
          <w:rPr>
            <w:rStyle w:val="Hyperlink"/>
            <w:rFonts w:ascii="Times New Roman" w:hAnsi="Times New Roman" w:cs="Times New Roman"/>
            <w:noProof/>
            <w:szCs w:val="22"/>
          </w:rPr>
          <w:t>3.2.5</w:t>
        </w:r>
        <w:r w:rsidR="00652AE0">
          <w:rPr>
            <w:rStyle w:val="Hyperlink"/>
            <w:rFonts w:ascii="Times New Roman" w:hAnsi="Times New Roman" w:cs="Times New Roman"/>
            <w:noProof/>
            <w:szCs w:val="22"/>
          </w:rPr>
          <w:t>.</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Podmienené záväzky</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_Toc465258496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39</w:t>
        </w:r>
        <w:r w:rsidRPr="0004438B">
          <w:rPr>
            <w:rFonts w:ascii="Times New Roman" w:hAnsi="Times New Roman" w:cs="Times New Roman"/>
            <w:noProof/>
            <w:webHidden/>
            <w:szCs w:val="22"/>
          </w:rPr>
          <w:fldChar w:fldCharType="end"/>
        </w:r>
      </w:hyperlink>
    </w:p>
    <w:p w:rsidR="0004438B" w:rsidRPr="0004438B">
      <w:pPr>
        <w:pStyle w:val="TOC3"/>
        <w:bidi w:val="0"/>
        <w:rPr>
          <w:rFonts w:ascii="Times New Roman" w:hAnsi="Times New Roman" w:eastAsiaTheme="minorEastAsia" w:cs="Times New Roman"/>
          <w:noProof/>
          <w:szCs w:val="22"/>
          <w:lang w:eastAsia="sk-SK"/>
        </w:rPr>
      </w:pPr>
      <w:hyperlink w:anchor="_Toc465258497" w:history="1">
        <w:r w:rsidRPr="0004438B">
          <w:rPr>
            <w:rStyle w:val="Hyperlink"/>
            <w:rFonts w:ascii="Times New Roman" w:hAnsi="Times New Roman" w:cs="Times New Roman"/>
            <w:noProof/>
            <w:szCs w:val="22"/>
          </w:rPr>
          <w:t>3.2.6</w:t>
        </w:r>
        <w:r w:rsidR="00652AE0">
          <w:rPr>
            <w:rStyle w:val="Hyperlink"/>
            <w:rFonts w:ascii="Times New Roman" w:hAnsi="Times New Roman" w:cs="Times New Roman"/>
            <w:noProof/>
            <w:szCs w:val="22"/>
          </w:rPr>
          <w:t>.</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Ostatné zložky čistého bohatstva</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_Toc465258497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42</w:t>
        </w:r>
        <w:r w:rsidRPr="0004438B">
          <w:rPr>
            <w:rFonts w:ascii="Times New Roman" w:hAnsi="Times New Roman" w:cs="Times New Roman"/>
            <w:noProof/>
            <w:webHidden/>
            <w:szCs w:val="22"/>
          </w:rPr>
          <w:fldChar w:fldCharType="end"/>
        </w:r>
      </w:hyperlink>
    </w:p>
    <w:p w:rsidR="0004438B" w:rsidRPr="0004438B">
      <w:pPr>
        <w:pStyle w:val="TOC3"/>
        <w:bidi w:val="0"/>
        <w:rPr>
          <w:rFonts w:ascii="Times New Roman" w:hAnsi="Times New Roman" w:eastAsiaTheme="minorEastAsia" w:cs="Times New Roman"/>
          <w:noProof/>
          <w:szCs w:val="22"/>
          <w:lang w:eastAsia="sk-SK"/>
        </w:rPr>
      </w:pPr>
      <w:hyperlink w:anchor="_Toc465258498" w:history="1">
        <w:r w:rsidRPr="0004438B">
          <w:rPr>
            <w:rStyle w:val="Hyperlink"/>
            <w:rFonts w:ascii="Times New Roman" w:hAnsi="Times New Roman" w:cs="Times New Roman"/>
            <w:noProof/>
            <w:szCs w:val="22"/>
          </w:rPr>
          <w:t>3.2.7</w:t>
        </w:r>
        <w:r w:rsidR="00652AE0">
          <w:rPr>
            <w:rStyle w:val="Hyperlink"/>
            <w:rFonts w:ascii="Times New Roman" w:hAnsi="Times New Roman" w:cs="Times New Roman"/>
            <w:noProof/>
            <w:szCs w:val="22"/>
          </w:rPr>
          <w:t>.</w:t>
        </w:r>
        <w:r w:rsidRPr="0004438B">
          <w:rPr>
            <w:rFonts w:ascii="Times New Roman" w:hAnsi="Times New Roman" w:eastAsiaTheme="minorEastAsia" w:cs="Times New Roman"/>
            <w:noProof/>
            <w:szCs w:val="22"/>
            <w:lang w:eastAsia="sk-SK"/>
          </w:rPr>
          <w:tab/>
        </w:r>
        <w:r w:rsidRPr="0004438B">
          <w:rPr>
            <w:rStyle w:val="Hyperlink"/>
            <w:rFonts w:ascii="Times New Roman" w:hAnsi="Times New Roman" w:cs="Times New Roman"/>
            <w:noProof/>
            <w:szCs w:val="22"/>
          </w:rPr>
          <w:t>Špeciálna kapitola: Podzemné vody SR</w:t>
        </w:r>
        <w:r w:rsidRPr="0004438B">
          <w:rPr>
            <w:rFonts w:ascii="Times New Roman" w:hAnsi="Times New Roman" w:cs="Times New Roman"/>
            <w:noProof/>
            <w:webHidden/>
            <w:szCs w:val="22"/>
          </w:rPr>
          <w:tab/>
        </w:r>
        <w:r w:rsidRPr="0004438B">
          <w:rPr>
            <w:rFonts w:ascii="Times New Roman" w:hAnsi="Times New Roman" w:cs="Times New Roman"/>
            <w:noProof/>
            <w:webHidden/>
            <w:szCs w:val="22"/>
          </w:rPr>
          <w:fldChar w:fldCharType="begin"/>
        </w:r>
        <w:r w:rsidRPr="0004438B">
          <w:rPr>
            <w:rFonts w:ascii="Times New Roman" w:hAnsi="Times New Roman" w:cs="Times New Roman"/>
            <w:noProof/>
            <w:webHidden/>
            <w:szCs w:val="22"/>
          </w:rPr>
          <w:instrText xml:space="preserve"> PAGEREF _Toc465258498 \h </w:instrText>
        </w:r>
        <w:r w:rsidRPr="0004438B">
          <w:rPr>
            <w:rFonts w:ascii="Times New Roman" w:hAnsi="Times New Roman" w:cs="Times New Roman"/>
            <w:noProof/>
            <w:webHidden/>
            <w:szCs w:val="22"/>
          </w:rPr>
          <w:fldChar w:fldCharType="separate"/>
        </w:r>
        <w:r w:rsidR="00725D05">
          <w:rPr>
            <w:rFonts w:ascii="Times New Roman" w:hAnsi="Times New Roman" w:cs="Times New Roman"/>
            <w:noProof/>
            <w:webHidden/>
            <w:szCs w:val="22"/>
          </w:rPr>
          <w:t>43</w:t>
        </w:r>
        <w:r w:rsidRPr="0004438B">
          <w:rPr>
            <w:rFonts w:ascii="Times New Roman" w:hAnsi="Times New Roman" w:cs="Times New Roman"/>
            <w:noProof/>
            <w:webHidden/>
            <w:szCs w:val="22"/>
          </w:rPr>
          <w:fldChar w:fldCharType="end"/>
        </w:r>
      </w:hyperlink>
    </w:p>
    <w:p w:rsidR="0004438B" w:rsidRPr="0004438B">
      <w:pPr>
        <w:pStyle w:val="TOC1"/>
        <w:bidi w:val="0"/>
        <w:rPr>
          <w:rFonts w:ascii="Times New Roman" w:hAnsi="Times New Roman" w:eastAsiaTheme="minorEastAsia" w:cs="Times New Roman"/>
          <w:noProof/>
          <w:sz w:val="22"/>
          <w:szCs w:val="22"/>
          <w:lang w:eastAsia="sk-SK"/>
        </w:rPr>
      </w:pPr>
      <w:hyperlink w:anchor="_Toc465258499" w:history="1">
        <w:r w:rsidRPr="0004438B">
          <w:rPr>
            <w:rStyle w:val="Hyperlink"/>
            <w:rFonts w:ascii="Times New Roman" w:eastAsia="Cambria" w:hAnsi="Times New Roman" w:cs="Times New Roman"/>
            <w:noProof/>
            <w:sz w:val="22"/>
            <w:szCs w:val="22"/>
          </w:rPr>
          <w:t>Zoznam skratiek</w:t>
        </w:r>
        <w:r w:rsidRPr="0004438B">
          <w:rPr>
            <w:rFonts w:ascii="Times New Roman" w:hAnsi="Times New Roman" w:cs="Times New Roman"/>
            <w:noProof/>
            <w:webHidden/>
            <w:sz w:val="22"/>
            <w:szCs w:val="22"/>
          </w:rPr>
          <w:tab/>
        </w:r>
        <w:r w:rsidRPr="0004438B">
          <w:rPr>
            <w:rFonts w:ascii="Times New Roman" w:hAnsi="Times New Roman" w:cs="Times New Roman"/>
            <w:noProof/>
            <w:webHidden/>
            <w:sz w:val="22"/>
            <w:szCs w:val="22"/>
          </w:rPr>
          <w:fldChar w:fldCharType="begin"/>
        </w:r>
        <w:r w:rsidRPr="0004438B">
          <w:rPr>
            <w:rFonts w:ascii="Times New Roman" w:hAnsi="Times New Roman" w:cs="Times New Roman"/>
            <w:noProof/>
            <w:webHidden/>
            <w:sz w:val="22"/>
            <w:szCs w:val="22"/>
          </w:rPr>
          <w:instrText xml:space="preserve"> PAGEREF _Toc465258499 \h </w:instrText>
        </w:r>
        <w:r w:rsidRPr="0004438B">
          <w:rPr>
            <w:rFonts w:ascii="Times New Roman" w:hAnsi="Times New Roman" w:cs="Times New Roman"/>
            <w:noProof/>
            <w:webHidden/>
            <w:sz w:val="22"/>
            <w:szCs w:val="22"/>
          </w:rPr>
          <w:fldChar w:fldCharType="separate"/>
        </w:r>
        <w:r w:rsidR="00725D05">
          <w:rPr>
            <w:rFonts w:ascii="Times New Roman" w:hAnsi="Times New Roman" w:cs="Times New Roman"/>
            <w:noProof/>
            <w:webHidden/>
            <w:sz w:val="22"/>
            <w:szCs w:val="22"/>
          </w:rPr>
          <w:t>47</w:t>
        </w:r>
        <w:r w:rsidRPr="0004438B">
          <w:rPr>
            <w:rFonts w:ascii="Times New Roman" w:hAnsi="Times New Roman" w:cs="Times New Roman"/>
            <w:noProof/>
            <w:webHidden/>
            <w:sz w:val="22"/>
            <w:szCs w:val="22"/>
          </w:rPr>
          <w:fldChar w:fldCharType="end"/>
        </w:r>
      </w:hyperlink>
    </w:p>
    <w:p w:rsidR="0004438B" w:rsidRPr="0004438B">
      <w:pPr>
        <w:pStyle w:val="TOC1"/>
        <w:bidi w:val="0"/>
        <w:rPr>
          <w:rFonts w:ascii="Times New Roman" w:hAnsi="Times New Roman" w:eastAsiaTheme="minorEastAsia" w:cs="Times New Roman"/>
          <w:noProof/>
          <w:sz w:val="22"/>
          <w:szCs w:val="22"/>
          <w:lang w:eastAsia="sk-SK"/>
        </w:rPr>
      </w:pPr>
      <w:hyperlink w:anchor="_Toc465258500" w:history="1">
        <w:r w:rsidRPr="0004438B">
          <w:rPr>
            <w:rStyle w:val="Hyperlink"/>
            <w:rFonts w:ascii="Times New Roman" w:eastAsia="Cambria" w:hAnsi="Times New Roman" w:cs="Times New Roman" w:hint="default"/>
            <w:noProof/>
            <w:sz w:val="22"/>
            <w:szCs w:val="22"/>
          </w:rPr>
          <w:t>Slovní</w:t>
        </w:r>
        <w:r w:rsidRPr="0004438B">
          <w:rPr>
            <w:rStyle w:val="Hyperlink"/>
            <w:rFonts w:ascii="Times New Roman" w:eastAsia="Cambria" w:hAnsi="Times New Roman" w:cs="Times New Roman" w:hint="default"/>
            <w:noProof/>
            <w:sz w:val="22"/>
            <w:szCs w:val="22"/>
          </w:rPr>
          <w:t>k odborný</w:t>
        </w:r>
        <w:r w:rsidRPr="0004438B">
          <w:rPr>
            <w:rStyle w:val="Hyperlink"/>
            <w:rFonts w:ascii="Times New Roman" w:eastAsia="Cambria" w:hAnsi="Times New Roman" w:cs="Times New Roman" w:hint="default"/>
            <w:noProof/>
            <w:sz w:val="22"/>
            <w:szCs w:val="22"/>
          </w:rPr>
          <w:t>ch pojmov</w:t>
        </w:r>
        <w:r w:rsidRPr="0004438B">
          <w:rPr>
            <w:rFonts w:ascii="Times New Roman" w:hAnsi="Times New Roman" w:cs="Times New Roman"/>
            <w:noProof/>
            <w:webHidden/>
            <w:sz w:val="22"/>
            <w:szCs w:val="22"/>
          </w:rPr>
          <w:tab/>
        </w:r>
        <w:r w:rsidRPr="0004438B">
          <w:rPr>
            <w:rFonts w:ascii="Times New Roman" w:hAnsi="Times New Roman" w:cs="Times New Roman"/>
            <w:noProof/>
            <w:webHidden/>
            <w:sz w:val="22"/>
            <w:szCs w:val="22"/>
          </w:rPr>
          <w:fldChar w:fldCharType="begin"/>
        </w:r>
        <w:r w:rsidRPr="0004438B">
          <w:rPr>
            <w:rFonts w:ascii="Times New Roman" w:hAnsi="Times New Roman" w:cs="Times New Roman"/>
            <w:noProof/>
            <w:webHidden/>
            <w:sz w:val="22"/>
            <w:szCs w:val="22"/>
          </w:rPr>
          <w:instrText xml:space="preserve"> PAGEREF _Toc465258500 \h </w:instrText>
        </w:r>
        <w:r w:rsidRPr="0004438B">
          <w:rPr>
            <w:rFonts w:ascii="Times New Roman" w:hAnsi="Times New Roman" w:cs="Times New Roman"/>
            <w:noProof/>
            <w:webHidden/>
            <w:sz w:val="22"/>
            <w:szCs w:val="22"/>
          </w:rPr>
          <w:fldChar w:fldCharType="separate"/>
        </w:r>
        <w:r w:rsidR="00725D05">
          <w:rPr>
            <w:rFonts w:ascii="Times New Roman" w:hAnsi="Times New Roman" w:cs="Times New Roman"/>
            <w:noProof/>
            <w:webHidden/>
            <w:sz w:val="22"/>
            <w:szCs w:val="22"/>
          </w:rPr>
          <w:t>48</w:t>
        </w:r>
        <w:r w:rsidRPr="0004438B">
          <w:rPr>
            <w:rFonts w:ascii="Times New Roman" w:hAnsi="Times New Roman" w:cs="Times New Roman"/>
            <w:noProof/>
            <w:webHidden/>
            <w:sz w:val="22"/>
            <w:szCs w:val="22"/>
          </w:rPr>
          <w:fldChar w:fldCharType="end"/>
        </w:r>
      </w:hyperlink>
    </w:p>
    <w:p w:rsidR="00E94729">
      <w:pPr>
        <w:bidi w:val="0"/>
      </w:pPr>
      <w:r w:rsidRPr="0004438B">
        <w:rPr>
          <w:rFonts w:ascii="Times New Roman" w:hAnsi="Times New Roman" w:cs="Times New Roman"/>
          <w:sz w:val="22"/>
          <w:szCs w:val="22"/>
        </w:rPr>
        <w:fldChar w:fldCharType="end"/>
      </w:r>
    </w:p>
    <w:p w:rsidR="0009732B" w:rsidRPr="006019CC" w:rsidP="0009732B">
      <w:pPr>
        <w:bidi w:val="0"/>
        <w:spacing w:after="0" w:line="336" w:lineRule="auto"/>
        <w:rPr>
          <w:rFonts w:ascii="Times New Roman" w:hAnsi="Times New Roman" w:cs="Times New Roman"/>
          <w:szCs w:val="22"/>
        </w:rPr>
      </w:pPr>
      <w:r w:rsidRPr="006019CC">
        <w:rPr>
          <w:rFonts w:ascii="Times New Roman" w:hAnsi="Times New Roman" w:cs="Times New Roman"/>
          <w:szCs w:val="22"/>
        </w:rPr>
        <w:t>Príloha č. 1 Prehľad hospodárenia podnikov štátnej správy a Fondu národného majetku SR</w:t>
      </w:r>
    </w:p>
    <w:p w:rsidR="00651A0E" w:rsidP="00651A0E">
      <w:pPr>
        <w:bidi w:val="0"/>
        <w:spacing w:after="0" w:line="336" w:lineRule="auto"/>
        <w:rPr>
          <w:rFonts w:ascii="Times New Roman" w:hAnsi="Times New Roman" w:cs="Times New Roman"/>
          <w:szCs w:val="22"/>
        </w:rPr>
      </w:pPr>
      <w:r w:rsidRPr="006019CC" w:rsidR="0009732B">
        <w:rPr>
          <w:rFonts w:ascii="Times New Roman" w:hAnsi="Times New Roman" w:cs="Times New Roman"/>
          <w:szCs w:val="22"/>
        </w:rPr>
        <w:t>Príloha č. 2 Súhrnná účtovná závierk</w:t>
      </w:r>
      <w:r>
        <w:rPr>
          <w:rFonts w:ascii="Times New Roman" w:hAnsi="Times New Roman" w:cs="Times New Roman"/>
          <w:szCs w:val="22"/>
        </w:rPr>
        <w:t>a verejnej správy SR za rok 201</w:t>
      </w:r>
      <w:r w:rsidR="004E1828">
        <w:rPr>
          <w:rFonts w:ascii="Times New Roman" w:hAnsi="Times New Roman" w:cs="Times New Roman"/>
          <w:szCs w:val="22"/>
        </w:rPr>
        <w:t>5</w:t>
      </w:r>
    </w:p>
    <w:p w:rsidR="00651A0E">
      <w:pPr>
        <w:bidi w:val="0"/>
        <w:rPr>
          <w:rFonts w:ascii="Times New Roman" w:hAnsi="Times New Roman" w:cs="Times New Roman"/>
          <w:szCs w:val="22"/>
        </w:rPr>
      </w:pPr>
      <w:r>
        <w:rPr>
          <w:rFonts w:ascii="Times New Roman" w:hAnsi="Times New Roman" w:cs="Times New Roman"/>
          <w:szCs w:val="22"/>
        </w:rPr>
        <w:br w:type="page"/>
      </w:r>
    </w:p>
    <w:p w:rsidR="00712D70" w:rsidRPr="00651A0E" w:rsidP="00651A0E">
      <w:pPr>
        <w:pStyle w:val="Heading1"/>
        <w:numPr>
          <w:numId w:val="0"/>
        </w:numPr>
        <w:bidi w:val="0"/>
        <w:ind w:firstLine="0"/>
      </w:pPr>
      <w:bookmarkStart w:id="2" w:name="_Toc465255005"/>
      <w:bookmarkStart w:id="3" w:name="_Toc465258469"/>
      <w:r w:rsidRPr="00651A0E">
        <w:t>Zhrnutie</w:t>
      </w:r>
      <w:bookmarkEnd w:id="0"/>
      <w:bookmarkEnd w:id="2"/>
      <w:bookmarkEnd w:id="3"/>
      <w:r w:rsidRPr="00651A0E">
        <w:t xml:space="preserve"> </w:t>
      </w:r>
      <w:bookmarkEnd w:id="1"/>
    </w:p>
    <w:p w:rsidR="00A93AD1" w:rsidP="00A93AD1">
      <w:pPr>
        <w:pStyle w:val="ListParagraph"/>
        <w:numPr>
          <w:numId w:val="9"/>
        </w:numPr>
        <w:bidi w:val="0"/>
        <w:spacing w:after="120" w:line="336" w:lineRule="auto"/>
        <w:jc w:val="both"/>
        <w:rPr>
          <w:rFonts w:ascii="Times New Roman" w:hAnsi="Times New Roman"/>
        </w:rPr>
      </w:pPr>
      <w:r w:rsidRPr="00956AE9" w:rsidR="006022EF">
        <w:rPr>
          <w:rFonts w:ascii="Times New Roman" w:hAnsi="Times New Roman"/>
        </w:rPr>
        <w:t xml:space="preserve">Verejná správa Slovenskej republiky hospodárila podľa metodiky ESA 2010 v roku 2015 so </w:t>
      </w:r>
      <w:r w:rsidRPr="00956AE9" w:rsidR="006022EF">
        <w:rPr>
          <w:rFonts w:ascii="Times New Roman" w:hAnsi="Times New Roman"/>
          <w:b/>
        </w:rPr>
        <w:t>schodkom 2 130 307 tis. eur (2,7 % HDP).</w:t>
      </w:r>
      <w:r w:rsidRPr="00956AE9" w:rsidR="006022EF">
        <w:rPr>
          <w:rFonts w:ascii="Times New Roman" w:hAnsi="Times New Roman"/>
        </w:rPr>
        <w:t xml:space="preserve"> Podiel schodku verejnej správy na HDP po revidovaných výsledkoch za roky 2014 a</w:t>
      </w:r>
      <w:r>
        <w:rPr>
          <w:rFonts w:ascii="Times New Roman" w:hAnsi="Times New Roman"/>
        </w:rPr>
        <w:t> </w:t>
      </w:r>
      <w:r w:rsidRPr="00956AE9" w:rsidR="006022EF">
        <w:rPr>
          <w:rFonts w:ascii="Times New Roman" w:hAnsi="Times New Roman"/>
        </w:rPr>
        <w:t>2013</w:t>
      </w:r>
      <w:r>
        <w:rPr>
          <w:rFonts w:ascii="Times New Roman" w:hAnsi="Times New Roman"/>
        </w:rPr>
        <w:t xml:space="preserve"> </w:t>
      </w:r>
      <w:r w:rsidRPr="00956AE9" w:rsidR="006022EF">
        <w:rPr>
          <w:rFonts w:ascii="Times New Roman" w:hAnsi="Times New Roman"/>
        </w:rPr>
        <w:t xml:space="preserve">dosiahol </w:t>
      </w:r>
      <w:r>
        <w:rPr>
          <w:rFonts w:ascii="Times New Roman" w:hAnsi="Times New Roman"/>
        </w:rPr>
        <w:t xml:space="preserve">v porovnaní s predošlým rokom </w:t>
      </w:r>
      <w:r w:rsidRPr="00956AE9" w:rsidR="006022EF">
        <w:rPr>
          <w:rFonts w:ascii="Times New Roman" w:hAnsi="Times New Roman"/>
        </w:rPr>
        <w:t>rovnakú hodnotu 2,7 % HDP.</w:t>
      </w:r>
    </w:p>
    <w:p w:rsidR="006022EF" w:rsidRPr="00A93AD1" w:rsidP="00A93AD1">
      <w:pPr>
        <w:pStyle w:val="ListParagraph"/>
        <w:numPr>
          <w:numId w:val="9"/>
        </w:numPr>
        <w:bidi w:val="0"/>
        <w:spacing w:after="120" w:line="336" w:lineRule="auto"/>
        <w:jc w:val="both"/>
        <w:rPr>
          <w:rFonts w:ascii="Times New Roman" w:hAnsi="Times New Roman"/>
        </w:rPr>
      </w:pPr>
      <w:r w:rsidRPr="00A93AD1">
        <w:rPr>
          <w:rFonts w:ascii="Times New Roman" w:hAnsi="Times New Roman"/>
        </w:rPr>
        <w:t>Celkové príjmy verejnej správy za rok 2015 boli 33 720 112 tis. eur (42,9 % HDP) a celkové výdavky 35 850 419 tis. eur (45,6 % HDP) pri vyčíslenom HDP vo výške 78 685 608 tis. eur.</w:t>
      </w:r>
    </w:p>
    <w:p w:rsidR="006022EF" w:rsidRPr="00756898" w:rsidP="006022EF">
      <w:pPr>
        <w:pStyle w:val="ListParagraph"/>
        <w:numPr>
          <w:numId w:val="9"/>
        </w:numPr>
        <w:bidi w:val="0"/>
        <w:spacing w:after="120" w:line="336" w:lineRule="auto"/>
        <w:ind w:left="357" w:hanging="357"/>
        <w:jc w:val="both"/>
        <w:rPr>
          <w:rFonts w:ascii="Times New Roman" w:hAnsi="Times New Roman"/>
        </w:rPr>
      </w:pPr>
      <w:r w:rsidRPr="00956AE9">
        <w:rPr>
          <w:rFonts w:ascii="Times New Roman" w:hAnsi="Times New Roman"/>
          <w:b/>
        </w:rPr>
        <w:t>Hrubý dlh verejnej správy</w:t>
      </w:r>
      <w:r w:rsidRPr="00956AE9">
        <w:rPr>
          <w:rFonts w:ascii="Times New Roman" w:hAnsi="Times New Roman"/>
        </w:rPr>
        <w:t xml:space="preserve"> podľa metodiky ESA 2010 dosiahol k 31.12.2015 výšku </w:t>
      </w:r>
      <w:r w:rsidRPr="00956AE9">
        <w:rPr>
          <w:rFonts w:ascii="Times New Roman" w:hAnsi="Times New Roman"/>
          <w:b/>
          <w:bCs/>
        </w:rPr>
        <w:t>41</w:t>
      </w:r>
      <w:r>
        <w:rPr>
          <w:rFonts w:ascii="Times New Roman" w:hAnsi="Times New Roman"/>
          <w:b/>
          <w:bCs/>
        </w:rPr>
        <w:t> </w:t>
      </w:r>
      <w:r w:rsidRPr="00956AE9">
        <w:rPr>
          <w:rFonts w:ascii="Times New Roman" w:hAnsi="Times New Roman"/>
          <w:b/>
          <w:bCs/>
        </w:rPr>
        <w:t>293</w:t>
      </w:r>
      <w:r>
        <w:rPr>
          <w:rFonts w:ascii="Times New Roman" w:hAnsi="Times New Roman"/>
          <w:b/>
          <w:bCs/>
        </w:rPr>
        <w:t> </w:t>
      </w:r>
      <w:r w:rsidRPr="00956AE9">
        <w:rPr>
          <w:rFonts w:ascii="Times New Roman" w:hAnsi="Times New Roman"/>
          <w:b/>
          <w:bCs/>
        </w:rPr>
        <w:t>315 </w:t>
      </w:r>
      <w:r w:rsidRPr="00956AE9">
        <w:rPr>
          <w:rFonts w:ascii="Times New Roman" w:hAnsi="Times New Roman"/>
          <w:b/>
        </w:rPr>
        <w:t xml:space="preserve">tis. eur (52,5 % HDP). </w:t>
      </w:r>
      <w:r w:rsidRPr="00956AE9">
        <w:rPr>
          <w:rFonts w:ascii="Times New Roman" w:hAnsi="Times New Roman" w:cs="Times New Roman"/>
          <w:iCs/>
        </w:rPr>
        <w:t>Hrubý dlh v pomere k HDP medziročne opäť klesol, a to o </w:t>
      </w:r>
      <w:r w:rsidR="00BC5992">
        <w:rPr>
          <w:rFonts w:ascii="Times New Roman" w:hAnsi="Times New Roman" w:cs="Times New Roman"/>
          <w:iCs/>
        </w:rPr>
        <w:t>1</w:t>
      </w:r>
      <w:r w:rsidRPr="00956AE9">
        <w:rPr>
          <w:rFonts w:ascii="Times New Roman" w:hAnsi="Times New Roman" w:cs="Times New Roman"/>
          <w:iCs/>
        </w:rPr>
        <w:t>,</w:t>
      </w:r>
      <w:r w:rsidR="00BC5992">
        <w:rPr>
          <w:rFonts w:ascii="Times New Roman" w:hAnsi="Times New Roman" w:cs="Times New Roman"/>
          <w:iCs/>
        </w:rPr>
        <w:t>1</w:t>
      </w:r>
      <w:r>
        <w:rPr>
          <w:rFonts w:ascii="Times New Roman" w:hAnsi="Times New Roman" w:cs="Times New Roman"/>
          <w:iCs/>
        </w:rPr>
        <w:t> </w:t>
      </w:r>
      <w:r w:rsidRPr="00956AE9">
        <w:rPr>
          <w:rFonts w:ascii="Times New Roman" w:hAnsi="Times New Roman" w:cs="Times New Roman"/>
          <w:iCs/>
        </w:rPr>
        <w:t>p.b.</w:t>
      </w:r>
      <w:r w:rsidRPr="00956AE9">
        <w:rPr>
          <w:rFonts w:ascii="Times New Roman" w:hAnsi="Times New Roman" w:cs="Times New Roman"/>
          <w:b/>
          <w:iCs/>
        </w:rPr>
        <w:t xml:space="preserve"> </w:t>
      </w:r>
      <w:r w:rsidRPr="0098231B" w:rsidR="0098231B">
        <w:rPr>
          <w:rFonts w:ascii="Times New Roman" w:hAnsi="Times New Roman" w:cs="Times New Roman"/>
          <w:iCs/>
        </w:rPr>
        <w:t>Zmenu</w:t>
      </w:r>
      <w:r w:rsidR="0098231B">
        <w:rPr>
          <w:rFonts w:ascii="Times New Roman" w:hAnsi="Times New Roman" w:cs="Times New Roman"/>
          <w:iCs/>
        </w:rPr>
        <w:t xml:space="preserve"> výšky dlhu verejnej správy na HDP oproti výsledkom jarnej notifikácie 2015</w:t>
      </w:r>
      <w:r w:rsidRPr="00956AE9">
        <w:rPr>
          <w:rFonts w:ascii="Times New Roman" w:hAnsi="Times New Roman" w:cs="Times New Roman"/>
          <w:iCs/>
        </w:rPr>
        <w:t xml:space="preserve"> spôsob</w:t>
      </w:r>
      <w:r w:rsidR="0098231B">
        <w:rPr>
          <w:rFonts w:ascii="Times New Roman" w:hAnsi="Times New Roman" w:cs="Times New Roman"/>
          <w:iCs/>
        </w:rPr>
        <w:t>il</w:t>
      </w:r>
      <w:r w:rsidRPr="00956AE9">
        <w:rPr>
          <w:rFonts w:ascii="Times New Roman" w:hAnsi="Times New Roman" w:cs="Times New Roman"/>
          <w:iCs/>
        </w:rPr>
        <w:t xml:space="preserve"> na jednej strane rast HDP, ktorého revidovaná hodnota za rok 201</w:t>
      </w:r>
      <w:r>
        <w:rPr>
          <w:rFonts w:ascii="Times New Roman" w:hAnsi="Times New Roman" w:cs="Times New Roman"/>
          <w:iCs/>
        </w:rPr>
        <w:t>5</w:t>
      </w:r>
      <w:r w:rsidRPr="00956AE9">
        <w:rPr>
          <w:rFonts w:ascii="Times New Roman" w:hAnsi="Times New Roman" w:cs="Times New Roman"/>
          <w:iCs/>
        </w:rPr>
        <w:t xml:space="preserve"> na základe jesennej notifikácie dosiahla 78 685 608 tis. eur, čo je oproti aprílovým výsledkom viac o 614 800 tis. eur a na druhej strane najmä aktualizáci</w:t>
      </w:r>
      <w:r w:rsidR="00297A00">
        <w:rPr>
          <w:rFonts w:ascii="Times New Roman" w:hAnsi="Times New Roman" w:cs="Times New Roman"/>
          <w:iCs/>
        </w:rPr>
        <w:t>a</w:t>
      </w:r>
      <w:r w:rsidRPr="00956AE9">
        <w:rPr>
          <w:rFonts w:ascii="Times New Roman" w:hAnsi="Times New Roman" w:cs="Times New Roman"/>
          <w:iCs/>
        </w:rPr>
        <w:t xml:space="preserve"> údajov o úverovom zaťažení dopravných podnikov.</w:t>
      </w:r>
    </w:p>
    <w:p w:rsidR="00756898" w:rsidRPr="00956AE9" w:rsidP="006022EF">
      <w:pPr>
        <w:pStyle w:val="ListParagraph"/>
        <w:numPr>
          <w:numId w:val="9"/>
        </w:numPr>
        <w:bidi w:val="0"/>
        <w:spacing w:after="120" w:line="336" w:lineRule="auto"/>
        <w:ind w:left="357" w:hanging="357"/>
        <w:jc w:val="both"/>
        <w:rPr>
          <w:rFonts w:ascii="Times New Roman" w:hAnsi="Times New Roman"/>
        </w:rPr>
      </w:pPr>
      <w:r>
        <w:rPr>
          <w:rFonts w:ascii="Times New Roman" w:hAnsi="Times New Roman"/>
          <w:b/>
        </w:rPr>
        <w:t>Štrukturálny deficit</w:t>
      </w:r>
      <w:r>
        <w:rPr>
          <w:rFonts w:ascii="Times New Roman" w:hAnsi="Times New Roman"/>
        </w:rPr>
        <w:t xml:space="preserve"> dosiahol v roku 2015 výšku 1,9 % a medziročne klesol o 0,1 % HDP. V roku 2015 bol zaznamenaný jeden jednorazový vplyv zhoršujúci saldo verejnej správy o 0,31 % HDP.</w:t>
      </w:r>
    </w:p>
    <w:p w:rsidR="006022EF" w:rsidRPr="00956AE9" w:rsidP="006022EF">
      <w:pPr>
        <w:pStyle w:val="ListParagraph"/>
        <w:numPr>
          <w:numId w:val="9"/>
        </w:numPr>
        <w:bidi w:val="0"/>
        <w:spacing w:after="120" w:line="336" w:lineRule="auto"/>
        <w:jc w:val="both"/>
        <w:rPr>
          <w:rFonts w:ascii="Times New Roman" w:eastAsia="Calibri" w:hAnsi="Times New Roman" w:cs="Times New Roman"/>
        </w:rPr>
      </w:pPr>
      <w:r w:rsidRPr="00956AE9">
        <w:rPr>
          <w:rFonts w:ascii="Times New Roman" w:hAnsi="Times New Roman"/>
        </w:rPr>
        <w:t>V rámci Európskej únie (28 krajín) v roku 2015 dosiahlo 7 krajín vyšší schodok a 17 krajín dosiahlo vyšší dlh verejnej správy ako Slovenská republika. Priemerný schodok EÚ 28 bol 2,4 % HDP (Slovensko 2,7 % HDP) a priemerný dlh verejnej správy EÚ 28 bol 85,0 % HDP (Slovensko 52,5 % HDP) v roku 2015.</w:t>
      </w:r>
    </w:p>
    <w:p w:rsidR="006022EF" w:rsidRPr="002619EC" w:rsidP="006022EF">
      <w:pPr>
        <w:pStyle w:val="ListParagraph"/>
        <w:numPr>
          <w:numId w:val="9"/>
        </w:numPr>
        <w:bidi w:val="0"/>
        <w:spacing w:after="120" w:line="336" w:lineRule="auto"/>
        <w:jc w:val="both"/>
        <w:rPr>
          <w:rFonts w:ascii="Times New Roman" w:eastAsia="Calibri" w:hAnsi="Times New Roman" w:cs="Times New Roman" w:hint="default"/>
        </w:rPr>
      </w:pPr>
      <w:r w:rsidRPr="002619EC">
        <w:rPr>
          <w:rFonts w:ascii="Times New Roman" w:eastAsia="Calibri" w:hAnsi="Times New Roman" w:cs="Times New Roman" w:hint="default"/>
        </w:rPr>
        <w:t>Č</w:t>
      </w:r>
      <w:r w:rsidRPr="002619EC">
        <w:rPr>
          <w:rFonts w:ascii="Times New Roman" w:eastAsia="Calibri" w:hAnsi="Times New Roman" w:cs="Times New Roman" w:hint="default"/>
        </w:rPr>
        <w:t>isté</w:t>
      </w:r>
      <w:r w:rsidRPr="002619EC">
        <w:rPr>
          <w:rFonts w:ascii="Times New Roman" w:eastAsia="Calibri" w:hAnsi="Times New Roman" w:cs="Times New Roman" w:hint="default"/>
        </w:rPr>
        <w:t xml:space="preserve"> bohatstvo verej</w:t>
      </w:r>
      <w:r w:rsidRPr="002619EC">
        <w:rPr>
          <w:rFonts w:ascii="Times New Roman" w:eastAsia="Calibri" w:hAnsi="Times New Roman" w:cs="Times New Roman" w:hint="default"/>
        </w:rPr>
        <w:t>né</w:t>
      </w:r>
      <w:r w:rsidRPr="002619EC">
        <w:rPr>
          <w:rFonts w:ascii="Times New Roman" w:eastAsia="Calibri" w:hAnsi="Times New Roman" w:cs="Times New Roman" w:hint="default"/>
        </w:rPr>
        <w:t>ho sektora dosiahlo k </w:t>
      </w:r>
      <w:r w:rsidRPr="002619EC">
        <w:rPr>
          <w:rFonts w:ascii="Times New Roman" w:eastAsia="Calibri" w:hAnsi="Times New Roman" w:cs="Times New Roman" w:hint="default"/>
        </w:rPr>
        <w:t>31.12.2015 zá</w:t>
      </w:r>
      <w:r w:rsidRPr="002619EC">
        <w:rPr>
          <w:rFonts w:ascii="Times New Roman" w:eastAsia="Calibri" w:hAnsi="Times New Roman" w:cs="Times New Roman" w:hint="default"/>
        </w:rPr>
        <w:t>pornú</w:t>
      </w:r>
      <w:r w:rsidRPr="002619EC">
        <w:rPr>
          <w:rFonts w:ascii="Times New Roman" w:eastAsia="Calibri" w:hAnsi="Times New Roman" w:cs="Times New Roman" w:hint="default"/>
        </w:rPr>
        <w:t xml:space="preserve"> hodnotu 134 454 304 tis. eur </w:t>
        <w:br/>
      </w:r>
      <w:r w:rsidRPr="002619EC">
        <w:rPr>
          <w:rFonts w:ascii="Times New Roman" w:eastAsia="Calibri" w:hAnsi="Times New Roman" w:cs="Times New Roman" w:hint="default"/>
        </w:rPr>
        <w:t>(-170,9 % HDP). Oproti predchá</w:t>
      </w:r>
      <w:r w:rsidRPr="002619EC">
        <w:rPr>
          <w:rFonts w:ascii="Times New Roman" w:eastAsia="Calibri" w:hAnsi="Times New Roman" w:cs="Times New Roman" w:hint="default"/>
        </w:rPr>
        <w:t>dzajú</w:t>
      </w:r>
      <w:r w:rsidRPr="002619EC">
        <w:rPr>
          <w:rFonts w:ascii="Times New Roman" w:eastAsia="Calibri" w:hAnsi="Times New Roman" w:cs="Times New Roman" w:hint="default"/>
        </w:rPr>
        <w:t>cemu roku sa zníž</w:t>
      </w:r>
      <w:r w:rsidRPr="002619EC">
        <w:rPr>
          <w:rFonts w:ascii="Times New Roman" w:eastAsia="Calibri" w:hAnsi="Times New Roman" w:cs="Times New Roman" w:hint="default"/>
        </w:rPr>
        <w:t>il negatí</w:t>
      </w:r>
      <w:r w:rsidRPr="002619EC">
        <w:rPr>
          <w:rFonts w:ascii="Times New Roman" w:eastAsia="Calibri" w:hAnsi="Times New Roman" w:cs="Times New Roman" w:hint="default"/>
        </w:rPr>
        <w:t>vny podiel na HDP o </w:t>
      </w:r>
      <w:r w:rsidRPr="002619EC">
        <w:rPr>
          <w:rFonts w:ascii="Times New Roman" w:eastAsia="Calibri" w:hAnsi="Times New Roman" w:cs="Times New Roman" w:hint="default"/>
        </w:rPr>
        <w:t>15,0 p.b. Pokles nebol spô</w:t>
      </w:r>
      <w:r w:rsidRPr="002619EC">
        <w:rPr>
          <w:rFonts w:ascii="Times New Roman" w:eastAsia="Calibri" w:hAnsi="Times New Roman" w:cs="Times New Roman" w:hint="default"/>
        </w:rPr>
        <w:t>sobený</w:t>
      </w:r>
      <w:r w:rsidRPr="002619EC">
        <w:rPr>
          <w:rFonts w:ascii="Times New Roman" w:eastAsia="Calibri" w:hAnsi="Times New Roman" w:cs="Times New Roman" w:hint="default"/>
        </w:rPr>
        <w:t xml:space="preserve"> zlepš</w:t>
      </w:r>
      <w:r w:rsidRPr="002619EC">
        <w:rPr>
          <w:rFonts w:ascii="Times New Roman" w:eastAsia="Calibri" w:hAnsi="Times New Roman" w:cs="Times New Roman" w:hint="default"/>
        </w:rPr>
        <w:t>ený</w:t>
      </w:r>
      <w:r w:rsidRPr="002619EC">
        <w:rPr>
          <w:rFonts w:ascii="Times New Roman" w:eastAsia="Calibri" w:hAnsi="Times New Roman" w:cs="Times New Roman" w:hint="default"/>
        </w:rPr>
        <w:t>m hospodá</w:t>
      </w:r>
      <w:r w:rsidRPr="002619EC">
        <w:rPr>
          <w:rFonts w:ascii="Times New Roman" w:eastAsia="Calibri" w:hAnsi="Times New Roman" w:cs="Times New Roman" w:hint="default"/>
        </w:rPr>
        <w:t>rení</w:t>
      </w:r>
      <w:r w:rsidRPr="002619EC">
        <w:rPr>
          <w:rFonts w:ascii="Times New Roman" w:eastAsia="Calibri" w:hAnsi="Times New Roman" w:cs="Times New Roman" w:hint="default"/>
        </w:rPr>
        <w:t>m alebo zmenami polití</w:t>
      </w:r>
      <w:r w:rsidRPr="002619EC">
        <w:rPr>
          <w:rFonts w:ascii="Times New Roman" w:eastAsia="Calibri" w:hAnsi="Times New Roman" w:cs="Times New Roman" w:hint="default"/>
        </w:rPr>
        <w:t>k verejné</w:t>
      </w:r>
      <w:r w:rsidRPr="002619EC">
        <w:rPr>
          <w:rFonts w:ascii="Times New Roman" w:eastAsia="Calibri" w:hAnsi="Times New Roman" w:cs="Times New Roman" w:hint="default"/>
        </w:rPr>
        <w:t>ho sektora (scho</w:t>
      </w:r>
      <w:r w:rsidRPr="002619EC">
        <w:rPr>
          <w:rFonts w:ascii="Times New Roman" w:eastAsia="Calibri" w:hAnsi="Times New Roman" w:cs="Times New Roman" w:hint="default"/>
        </w:rPr>
        <w:t>d</w:t>
      </w:r>
      <w:r w:rsidRPr="002619EC">
        <w:rPr>
          <w:rFonts w:ascii="Times New Roman" w:eastAsia="Calibri" w:hAnsi="Times New Roman" w:cs="Times New Roman" w:hint="default"/>
        </w:rPr>
        <w:t>ok verejnej sprá</w:t>
      </w:r>
      <w:r w:rsidRPr="002619EC">
        <w:rPr>
          <w:rFonts w:ascii="Times New Roman" w:eastAsia="Calibri" w:hAnsi="Times New Roman" w:cs="Times New Roman" w:hint="default"/>
        </w:rPr>
        <w:t>vy, ziskovosť</w:t>
      </w:r>
      <w:r w:rsidRPr="002619EC">
        <w:rPr>
          <w:rFonts w:ascii="Times New Roman" w:eastAsia="Calibri" w:hAnsi="Times New Roman" w:cs="Times New Roman" w:hint="default"/>
        </w:rPr>
        <w:t xml:space="preserve"> podnikov a vý</w:t>
      </w:r>
      <w:r w:rsidRPr="002619EC">
        <w:rPr>
          <w:rFonts w:ascii="Times New Roman" w:eastAsia="Calibri" w:hAnsi="Times New Roman" w:cs="Times New Roman" w:hint="default"/>
        </w:rPr>
        <w:t>plata dividend boli približ</w:t>
      </w:r>
      <w:r w:rsidRPr="002619EC">
        <w:rPr>
          <w:rFonts w:ascii="Times New Roman" w:eastAsia="Calibri" w:hAnsi="Times New Roman" w:cs="Times New Roman" w:hint="default"/>
        </w:rPr>
        <w:t>ne na ú</w:t>
      </w:r>
      <w:r w:rsidRPr="002619EC">
        <w:rPr>
          <w:rFonts w:ascii="Times New Roman" w:eastAsia="Calibri" w:hAnsi="Times New Roman" w:cs="Times New Roman" w:hint="default"/>
        </w:rPr>
        <w:t>rovni predchá</w:t>
      </w:r>
      <w:r w:rsidRPr="002619EC">
        <w:rPr>
          <w:rFonts w:ascii="Times New Roman" w:eastAsia="Calibri" w:hAnsi="Times New Roman" w:cs="Times New Roman" w:hint="default"/>
        </w:rPr>
        <w:t>dzajú</w:t>
      </w:r>
      <w:r w:rsidRPr="002619EC">
        <w:rPr>
          <w:rFonts w:ascii="Times New Roman" w:eastAsia="Calibri" w:hAnsi="Times New Roman" w:cs="Times New Roman" w:hint="default"/>
        </w:rPr>
        <w:t>ceho roka) ale najmä</w:t>
      </w:r>
      <w:r w:rsidRPr="002619EC">
        <w:rPr>
          <w:rFonts w:ascii="Times New Roman" w:eastAsia="Calibri" w:hAnsi="Times New Roman" w:cs="Times New Roman" w:hint="default"/>
        </w:rPr>
        <w:t xml:space="preserve"> skvalitň</w:t>
      </w:r>
      <w:r w:rsidRPr="002619EC">
        <w:rPr>
          <w:rFonts w:ascii="Times New Roman" w:eastAsia="Calibri" w:hAnsi="Times New Roman" w:cs="Times New Roman" w:hint="default"/>
        </w:rPr>
        <w:t>ovaní</w:t>
      </w:r>
      <w:r w:rsidRPr="002619EC">
        <w:rPr>
          <w:rFonts w:ascii="Times New Roman" w:eastAsia="Calibri" w:hAnsi="Times New Roman" w:cs="Times New Roman" w:hint="default"/>
        </w:rPr>
        <w:t>m uplatň</w:t>
      </w:r>
      <w:r w:rsidRPr="002619EC">
        <w:rPr>
          <w:rFonts w:ascii="Times New Roman" w:eastAsia="Calibri" w:hAnsi="Times New Roman" w:cs="Times New Roman" w:hint="default"/>
        </w:rPr>
        <w:t>ovania metodiky (oč</w:t>
      </w:r>
      <w:r w:rsidRPr="002619EC">
        <w:rPr>
          <w:rFonts w:ascii="Times New Roman" w:eastAsia="Calibri" w:hAnsi="Times New Roman" w:cs="Times New Roman" w:hint="default"/>
        </w:rPr>
        <w:t>istenie implicitný</w:t>
      </w:r>
      <w:r w:rsidRPr="002619EC">
        <w:rPr>
          <w:rFonts w:ascii="Times New Roman" w:eastAsia="Calibri" w:hAnsi="Times New Roman" w:cs="Times New Roman" w:hint="default"/>
        </w:rPr>
        <w:t>ch zá</w:t>
      </w:r>
      <w:r w:rsidRPr="002619EC">
        <w:rPr>
          <w:rFonts w:ascii="Times New Roman" w:eastAsia="Calibri" w:hAnsi="Times New Roman" w:cs="Times New Roman" w:hint="default"/>
        </w:rPr>
        <w:t>vä</w:t>
      </w:r>
      <w:r w:rsidRPr="002619EC">
        <w:rPr>
          <w:rFonts w:ascii="Times New Roman" w:eastAsia="Calibri" w:hAnsi="Times New Roman" w:cs="Times New Roman" w:hint="default"/>
        </w:rPr>
        <w:t>zkov o </w:t>
      </w:r>
      <w:r w:rsidRPr="002619EC">
        <w:rPr>
          <w:rFonts w:ascii="Times New Roman" w:eastAsia="Calibri" w:hAnsi="Times New Roman" w:cs="Times New Roman" w:hint="default"/>
        </w:rPr>
        <w:t>vý</w:t>
      </w:r>
      <w:r w:rsidRPr="002619EC">
        <w:rPr>
          <w:rFonts w:ascii="Times New Roman" w:eastAsia="Calibri" w:hAnsi="Times New Roman" w:cs="Times New Roman" w:hint="default"/>
        </w:rPr>
        <w:t>sluhové</w:t>
      </w:r>
      <w:r w:rsidRPr="002619EC">
        <w:rPr>
          <w:rFonts w:ascii="Times New Roman" w:eastAsia="Calibri" w:hAnsi="Times New Roman" w:cs="Times New Roman" w:hint="default"/>
        </w:rPr>
        <w:t xml:space="preserve"> dô</w:t>
      </w:r>
      <w:r w:rsidRPr="002619EC">
        <w:rPr>
          <w:rFonts w:ascii="Times New Roman" w:eastAsia="Calibri" w:hAnsi="Times New Roman" w:cs="Times New Roman" w:hint="default"/>
        </w:rPr>
        <w:t>chodky), </w:t>
      </w:r>
      <w:r w:rsidRPr="002619EC">
        <w:rPr>
          <w:rFonts w:ascii="Times New Roman" w:eastAsia="Calibri" w:hAnsi="Times New Roman" w:cs="Times New Roman" w:hint="default"/>
        </w:rPr>
        <w:t>aktualizá</w:t>
      </w:r>
      <w:r w:rsidRPr="002619EC">
        <w:rPr>
          <w:rFonts w:ascii="Times New Roman" w:eastAsia="Calibri" w:hAnsi="Times New Roman" w:cs="Times New Roman" w:hint="default"/>
        </w:rPr>
        <w:t>ciou ekonomický</w:t>
      </w:r>
      <w:r w:rsidRPr="002619EC">
        <w:rPr>
          <w:rFonts w:ascii="Times New Roman" w:eastAsia="Calibri" w:hAnsi="Times New Roman" w:cs="Times New Roman" w:hint="default"/>
        </w:rPr>
        <w:t>ch prognó</w:t>
      </w:r>
      <w:r w:rsidRPr="002619EC">
        <w:rPr>
          <w:rFonts w:ascii="Times New Roman" w:eastAsia="Calibri" w:hAnsi="Times New Roman" w:cs="Times New Roman" w:hint="default"/>
        </w:rPr>
        <w:t>z a </w:t>
      </w:r>
      <w:r w:rsidRPr="002619EC">
        <w:rPr>
          <w:rFonts w:ascii="Times New Roman" w:eastAsia="Calibri" w:hAnsi="Times New Roman" w:cs="Times New Roman" w:hint="default"/>
        </w:rPr>
        <w:t>precenení</w:t>
      </w:r>
      <w:r w:rsidRPr="002619EC">
        <w:rPr>
          <w:rFonts w:ascii="Times New Roman" w:eastAsia="Calibri" w:hAnsi="Times New Roman" w:cs="Times New Roman" w:hint="default"/>
        </w:rPr>
        <w:t>m</w:t>
      </w:r>
      <w:r w:rsidRPr="002619EC">
        <w:rPr>
          <w:rFonts w:ascii="Times New Roman" w:eastAsia="Calibri" w:hAnsi="Times New Roman" w:cs="Times New Roman" w:hint="default"/>
        </w:rPr>
        <w:t xml:space="preserve"> majetku. </w:t>
      </w:r>
    </w:p>
    <w:p w:rsidR="006022EF" w:rsidRPr="00956AE9" w:rsidP="006022EF">
      <w:pPr>
        <w:pStyle w:val="ListParagraph"/>
        <w:numPr>
          <w:numId w:val="9"/>
        </w:numPr>
        <w:bidi w:val="0"/>
        <w:spacing w:after="120" w:line="336" w:lineRule="auto"/>
        <w:ind w:left="357" w:hanging="357"/>
        <w:jc w:val="both"/>
        <w:rPr>
          <w:rFonts w:ascii="Times New Roman" w:eastAsia="Calibri" w:hAnsi="Times New Roman" w:cs="Times New Roman" w:hint="default"/>
        </w:rPr>
      </w:pPr>
      <w:r w:rsidRPr="00956AE9">
        <w:rPr>
          <w:rFonts w:ascii="Times New Roman" w:eastAsia="Calibri" w:hAnsi="Times New Roman" w:cs="Times New Roman" w:hint="default"/>
        </w:rPr>
        <w:t>Hodnota aktí</w:t>
      </w:r>
      <w:r w:rsidRPr="00956AE9">
        <w:rPr>
          <w:rFonts w:ascii="Times New Roman" w:eastAsia="Calibri" w:hAnsi="Times New Roman" w:cs="Times New Roman" w:hint="default"/>
        </w:rPr>
        <w:t>v ako aj </w:t>
      </w:r>
      <w:r w:rsidRPr="00956AE9">
        <w:rPr>
          <w:rFonts w:ascii="Times New Roman" w:eastAsia="Calibri" w:hAnsi="Times New Roman" w:cs="Times New Roman" w:hint="default"/>
        </w:rPr>
        <w:t>pasí</w:t>
      </w:r>
      <w:r w:rsidRPr="00956AE9">
        <w:rPr>
          <w:rFonts w:ascii="Times New Roman" w:eastAsia="Calibri" w:hAnsi="Times New Roman" w:cs="Times New Roman" w:hint="default"/>
        </w:rPr>
        <w:t>v sú</w:t>
      </w:r>
      <w:r w:rsidRPr="00956AE9">
        <w:rPr>
          <w:rFonts w:ascii="Times New Roman" w:eastAsia="Calibri" w:hAnsi="Times New Roman" w:cs="Times New Roman" w:hint="default"/>
        </w:rPr>
        <w:t>hrnné</w:t>
      </w:r>
      <w:r w:rsidRPr="00956AE9">
        <w:rPr>
          <w:rFonts w:ascii="Times New Roman" w:eastAsia="Calibri" w:hAnsi="Times New Roman" w:cs="Times New Roman" w:hint="default"/>
        </w:rPr>
        <w:t>ho celku verejnej sprá</w:t>
      </w:r>
      <w:r w:rsidRPr="00956AE9">
        <w:rPr>
          <w:rFonts w:ascii="Times New Roman" w:eastAsia="Calibri" w:hAnsi="Times New Roman" w:cs="Times New Roman" w:hint="default"/>
        </w:rPr>
        <w:t>vy k 31.12.2015 bola 63 037 442 tis. eur (80,1 % HDP) a </w:t>
      </w:r>
      <w:r w:rsidRPr="00956AE9">
        <w:rPr>
          <w:rFonts w:ascii="Times New Roman" w:eastAsia="Calibri" w:hAnsi="Times New Roman" w:cs="Times New Roman" w:hint="default"/>
        </w:rPr>
        <w:t>medziroč</w:t>
      </w:r>
      <w:r w:rsidRPr="00956AE9">
        <w:rPr>
          <w:rFonts w:ascii="Times New Roman" w:eastAsia="Calibri" w:hAnsi="Times New Roman" w:cs="Times New Roman" w:hint="default"/>
        </w:rPr>
        <w:t>ne vzrá</w:t>
      </w:r>
      <w:r w:rsidRPr="00956AE9">
        <w:rPr>
          <w:rFonts w:ascii="Times New Roman" w:eastAsia="Calibri" w:hAnsi="Times New Roman" w:cs="Times New Roman" w:hint="default"/>
        </w:rPr>
        <w:t>stla o 2 201 283 tis. eur (2,8 % HDP). Z </w:t>
      </w:r>
      <w:r w:rsidRPr="00956AE9">
        <w:rPr>
          <w:rFonts w:ascii="Times New Roman" w:eastAsia="Calibri" w:hAnsi="Times New Roman" w:cs="Times New Roman" w:hint="default"/>
        </w:rPr>
        <w:t>aktí</w:t>
      </w:r>
      <w:r w:rsidRPr="00956AE9">
        <w:rPr>
          <w:rFonts w:ascii="Times New Roman" w:eastAsia="Calibri" w:hAnsi="Times New Roman" w:cs="Times New Roman" w:hint="default"/>
        </w:rPr>
        <w:t>v vzrá</w:t>
      </w:r>
      <w:r w:rsidRPr="00956AE9">
        <w:rPr>
          <w:rFonts w:ascii="Times New Roman" w:eastAsia="Calibri" w:hAnsi="Times New Roman" w:cs="Times New Roman" w:hint="default"/>
        </w:rPr>
        <w:t>stli najmä</w:t>
      </w:r>
      <w:r w:rsidRPr="00956AE9">
        <w:rPr>
          <w:rFonts w:ascii="Times New Roman" w:eastAsia="Calibri" w:hAnsi="Times New Roman" w:cs="Times New Roman" w:hint="default"/>
        </w:rPr>
        <w:t xml:space="preserve"> dlhodobý</w:t>
      </w:r>
      <w:r w:rsidRPr="00956AE9">
        <w:rPr>
          <w:rFonts w:ascii="Times New Roman" w:eastAsia="Calibri" w:hAnsi="Times New Roman" w:cs="Times New Roman" w:hint="default"/>
        </w:rPr>
        <w:t xml:space="preserve"> hmotný</w:t>
      </w:r>
      <w:r w:rsidRPr="00956AE9">
        <w:rPr>
          <w:rFonts w:ascii="Times New Roman" w:eastAsia="Calibri" w:hAnsi="Times New Roman" w:cs="Times New Roman" w:hint="default"/>
        </w:rPr>
        <w:t xml:space="preserve"> majetok (v podobe cestnej a </w:t>
      </w:r>
      <w:r w:rsidRPr="00956AE9">
        <w:rPr>
          <w:rFonts w:ascii="Times New Roman" w:eastAsia="Calibri" w:hAnsi="Times New Roman" w:cs="Times New Roman" w:hint="default"/>
        </w:rPr>
        <w:t>diaľ</w:t>
      </w:r>
      <w:r w:rsidRPr="00956AE9">
        <w:rPr>
          <w:rFonts w:ascii="Times New Roman" w:eastAsia="Calibri" w:hAnsi="Times New Roman" w:cs="Times New Roman" w:hint="default"/>
        </w:rPr>
        <w:t>nič</w:t>
      </w:r>
      <w:r w:rsidRPr="00956AE9">
        <w:rPr>
          <w:rFonts w:ascii="Times New Roman" w:eastAsia="Calibri" w:hAnsi="Times New Roman" w:cs="Times New Roman" w:hint="default"/>
        </w:rPr>
        <w:t>nej i</w:t>
      </w:r>
      <w:r w:rsidRPr="00956AE9">
        <w:rPr>
          <w:rFonts w:ascii="Times New Roman" w:eastAsia="Calibri" w:hAnsi="Times New Roman" w:cs="Times New Roman" w:hint="default"/>
        </w:rPr>
        <w:t>nfraš</w:t>
      </w:r>
      <w:r w:rsidRPr="00956AE9">
        <w:rPr>
          <w:rFonts w:ascii="Times New Roman" w:eastAsia="Calibri" w:hAnsi="Times New Roman" w:cs="Times New Roman" w:hint="default"/>
        </w:rPr>
        <w:t>truktú</w:t>
      </w:r>
      <w:r w:rsidRPr="00956AE9">
        <w:rPr>
          <w:rFonts w:ascii="Times New Roman" w:eastAsia="Calibri" w:hAnsi="Times New Roman" w:cs="Times New Roman" w:hint="default"/>
        </w:rPr>
        <w:t>ry, pozemkov, dopravný</w:t>
      </w:r>
      <w:r w:rsidRPr="00956AE9">
        <w:rPr>
          <w:rFonts w:ascii="Times New Roman" w:eastAsia="Calibri" w:hAnsi="Times New Roman" w:cs="Times New Roman" w:hint="default"/>
        </w:rPr>
        <w:t>ch prostriedkov a </w:t>
      </w:r>
      <w:r w:rsidRPr="00956AE9">
        <w:rPr>
          <w:rFonts w:ascii="Times New Roman" w:eastAsia="Calibri" w:hAnsi="Times New Roman" w:cs="Times New Roman" w:hint="default"/>
        </w:rPr>
        <w:t>zariadení</w:t>
      </w:r>
      <w:r w:rsidRPr="00956AE9">
        <w:rPr>
          <w:rFonts w:ascii="Times New Roman" w:eastAsia="Calibri" w:hAnsi="Times New Roman" w:cs="Times New Roman" w:hint="default"/>
        </w:rPr>
        <w:t>) a </w:t>
      </w:r>
      <w:r w:rsidRPr="00956AE9">
        <w:rPr>
          <w:rFonts w:ascii="Times New Roman" w:eastAsia="Calibri" w:hAnsi="Times New Roman" w:cs="Times New Roman" w:hint="default"/>
        </w:rPr>
        <w:t>pohľ</w:t>
      </w:r>
      <w:r w:rsidRPr="00956AE9">
        <w:rPr>
          <w:rFonts w:ascii="Times New Roman" w:eastAsia="Calibri" w:hAnsi="Times New Roman" w:cs="Times New Roman" w:hint="default"/>
        </w:rPr>
        <w:t>adá</w:t>
      </w:r>
      <w:r w:rsidRPr="00956AE9">
        <w:rPr>
          <w:rFonts w:ascii="Times New Roman" w:eastAsia="Calibri" w:hAnsi="Times New Roman" w:cs="Times New Roman" w:hint="default"/>
        </w:rPr>
        <w:t>vky. Z </w:t>
      </w:r>
      <w:r w:rsidRPr="00956AE9">
        <w:rPr>
          <w:rFonts w:ascii="Times New Roman" w:eastAsia="Calibri" w:hAnsi="Times New Roman" w:cs="Times New Roman" w:hint="default"/>
        </w:rPr>
        <w:t>pasí</w:t>
      </w:r>
      <w:r w:rsidRPr="00956AE9">
        <w:rPr>
          <w:rFonts w:ascii="Times New Roman" w:eastAsia="Calibri" w:hAnsi="Times New Roman" w:cs="Times New Roman" w:hint="default"/>
        </w:rPr>
        <w:t>v sa medziroč</w:t>
      </w:r>
      <w:r w:rsidRPr="00956AE9">
        <w:rPr>
          <w:rFonts w:ascii="Times New Roman" w:eastAsia="Calibri" w:hAnsi="Times New Roman" w:cs="Times New Roman" w:hint="default"/>
        </w:rPr>
        <w:t>ne zvýš</w:t>
      </w:r>
      <w:r w:rsidRPr="00956AE9">
        <w:rPr>
          <w:rFonts w:ascii="Times New Roman" w:eastAsia="Calibri" w:hAnsi="Times New Roman" w:cs="Times New Roman" w:hint="default"/>
        </w:rPr>
        <w:t>ili bankové</w:t>
      </w:r>
      <w:r w:rsidRPr="00956AE9">
        <w:rPr>
          <w:rFonts w:ascii="Times New Roman" w:eastAsia="Calibri" w:hAnsi="Times New Roman" w:cs="Times New Roman" w:hint="default"/>
        </w:rPr>
        <w:t xml:space="preserve"> ú</w:t>
      </w:r>
      <w:r w:rsidRPr="00956AE9">
        <w:rPr>
          <w:rFonts w:ascii="Times New Roman" w:eastAsia="Calibri" w:hAnsi="Times New Roman" w:cs="Times New Roman" w:hint="default"/>
        </w:rPr>
        <w:t>very, rezervy a </w:t>
      </w:r>
      <w:r w:rsidRPr="00956AE9">
        <w:rPr>
          <w:rFonts w:ascii="Times New Roman" w:eastAsia="Calibri" w:hAnsi="Times New Roman" w:cs="Times New Roman" w:hint="default"/>
        </w:rPr>
        <w:t>krá</w:t>
      </w:r>
      <w:r w:rsidRPr="00956AE9">
        <w:rPr>
          <w:rFonts w:ascii="Times New Roman" w:eastAsia="Calibri" w:hAnsi="Times New Roman" w:cs="Times New Roman" w:hint="default"/>
        </w:rPr>
        <w:t>tkodobé</w:t>
      </w:r>
      <w:r w:rsidRPr="00956AE9">
        <w:rPr>
          <w:rFonts w:ascii="Times New Roman" w:eastAsia="Calibri" w:hAnsi="Times New Roman" w:cs="Times New Roman" w:hint="default"/>
        </w:rPr>
        <w:t xml:space="preserve"> zá</w:t>
      </w:r>
      <w:r w:rsidRPr="00956AE9">
        <w:rPr>
          <w:rFonts w:ascii="Times New Roman" w:eastAsia="Calibri" w:hAnsi="Times New Roman" w:cs="Times New Roman" w:hint="default"/>
        </w:rPr>
        <w:t>vä</w:t>
      </w:r>
      <w:r w:rsidRPr="00956AE9">
        <w:rPr>
          <w:rFonts w:ascii="Times New Roman" w:eastAsia="Calibri" w:hAnsi="Times New Roman" w:cs="Times New Roman" w:hint="default"/>
        </w:rPr>
        <w:t>zky, naopak, vlastné</w:t>
      </w:r>
      <w:r w:rsidRPr="00956AE9">
        <w:rPr>
          <w:rFonts w:ascii="Times New Roman" w:eastAsia="Calibri" w:hAnsi="Times New Roman" w:cs="Times New Roman" w:hint="default"/>
        </w:rPr>
        <w:t xml:space="preserve"> imanie sú</w:t>
      </w:r>
      <w:r w:rsidRPr="00956AE9">
        <w:rPr>
          <w:rFonts w:ascii="Times New Roman" w:eastAsia="Calibri" w:hAnsi="Times New Roman" w:cs="Times New Roman" w:hint="default"/>
        </w:rPr>
        <w:t>hrnné</w:t>
      </w:r>
      <w:r w:rsidRPr="00956AE9">
        <w:rPr>
          <w:rFonts w:ascii="Times New Roman" w:eastAsia="Calibri" w:hAnsi="Times New Roman" w:cs="Times New Roman" w:hint="default"/>
        </w:rPr>
        <w:t>ho celku medziroč</w:t>
      </w:r>
      <w:r w:rsidRPr="00956AE9">
        <w:rPr>
          <w:rFonts w:ascii="Times New Roman" w:eastAsia="Calibri" w:hAnsi="Times New Roman" w:cs="Times New Roman" w:hint="default"/>
        </w:rPr>
        <w:t>ne pokleslo.</w:t>
      </w:r>
    </w:p>
    <w:p w:rsidR="006022EF" w:rsidRPr="00956AE9" w:rsidP="006022EF">
      <w:pPr>
        <w:pStyle w:val="ListParagraph"/>
        <w:numPr>
          <w:numId w:val="9"/>
        </w:numPr>
        <w:bidi w:val="0"/>
        <w:spacing w:after="120" w:line="336" w:lineRule="auto"/>
        <w:ind w:left="357" w:hanging="357"/>
        <w:jc w:val="both"/>
        <w:rPr>
          <w:rFonts w:ascii="Times New Roman" w:eastAsia="Calibri" w:hAnsi="Times New Roman" w:cs="Times New Roman" w:hint="default"/>
        </w:rPr>
      </w:pPr>
      <w:r w:rsidRPr="00956AE9">
        <w:rPr>
          <w:rFonts w:ascii="Times New Roman" w:eastAsia="Calibri" w:hAnsi="Times New Roman" w:cs="Times New Roman" w:hint="default"/>
        </w:rPr>
        <w:t>Celkové</w:t>
      </w:r>
      <w:r w:rsidRPr="00956AE9">
        <w:rPr>
          <w:rFonts w:ascii="Times New Roman" w:eastAsia="Calibri" w:hAnsi="Times New Roman" w:cs="Times New Roman" w:hint="default"/>
        </w:rPr>
        <w:t xml:space="preserve"> ná</w:t>
      </w:r>
      <w:r w:rsidRPr="00956AE9">
        <w:rPr>
          <w:rFonts w:ascii="Times New Roman" w:eastAsia="Calibri" w:hAnsi="Times New Roman" w:cs="Times New Roman" w:hint="default"/>
        </w:rPr>
        <w:t>klady z </w:t>
      </w:r>
      <w:r w:rsidRPr="00956AE9">
        <w:rPr>
          <w:rFonts w:ascii="Times New Roman" w:eastAsia="Calibri" w:hAnsi="Times New Roman" w:cs="Times New Roman" w:hint="default"/>
        </w:rPr>
        <w:t>vý</w:t>
      </w:r>
      <w:r w:rsidRPr="00956AE9">
        <w:rPr>
          <w:rFonts w:ascii="Times New Roman" w:eastAsia="Calibri" w:hAnsi="Times New Roman" w:cs="Times New Roman" w:hint="default"/>
        </w:rPr>
        <w:t>kazu ziskov a </w:t>
      </w:r>
      <w:r w:rsidRPr="00956AE9">
        <w:rPr>
          <w:rFonts w:ascii="Times New Roman" w:eastAsia="Calibri" w:hAnsi="Times New Roman" w:cs="Times New Roman" w:hint="default"/>
        </w:rPr>
        <w:t>strá</w:t>
      </w:r>
      <w:r w:rsidRPr="00956AE9">
        <w:rPr>
          <w:rFonts w:ascii="Times New Roman" w:eastAsia="Calibri" w:hAnsi="Times New Roman" w:cs="Times New Roman" w:hint="default"/>
        </w:rPr>
        <w:t>t sú</w:t>
      </w:r>
      <w:r w:rsidRPr="00956AE9">
        <w:rPr>
          <w:rFonts w:ascii="Times New Roman" w:eastAsia="Calibri" w:hAnsi="Times New Roman" w:cs="Times New Roman" w:hint="default"/>
        </w:rPr>
        <w:t>hrn</w:t>
      </w:r>
      <w:r w:rsidRPr="00956AE9">
        <w:rPr>
          <w:rFonts w:ascii="Times New Roman" w:eastAsia="Calibri" w:hAnsi="Times New Roman" w:cs="Times New Roman" w:hint="default"/>
        </w:rPr>
        <w:t>né</w:t>
      </w:r>
      <w:r w:rsidRPr="00956AE9">
        <w:rPr>
          <w:rFonts w:ascii="Times New Roman" w:eastAsia="Calibri" w:hAnsi="Times New Roman" w:cs="Times New Roman" w:hint="default"/>
        </w:rPr>
        <w:t>ho celku dosiahli 56 217 518 tis. eur a </w:t>
      </w:r>
      <w:r w:rsidRPr="00956AE9">
        <w:rPr>
          <w:rFonts w:ascii="Times New Roman" w:eastAsia="Calibri" w:hAnsi="Times New Roman" w:cs="Times New Roman" w:hint="default"/>
        </w:rPr>
        <w:t>celkové</w:t>
      </w:r>
      <w:r w:rsidRPr="00956AE9">
        <w:rPr>
          <w:rFonts w:ascii="Times New Roman" w:eastAsia="Calibri" w:hAnsi="Times New Roman" w:cs="Times New Roman" w:hint="default"/>
        </w:rPr>
        <w:t xml:space="preserve"> vý</w:t>
      </w:r>
      <w:r w:rsidRPr="00956AE9">
        <w:rPr>
          <w:rFonts w:ascii="Times New Roman" w:eastAsia="Calibri" w:hAnsi="Times New Roman" w:cs="Times New Roman" w:hint="default"/>
        </w:rPr>
        <w:t>nosy dosiahli 54 230 </w:t>
      </w:r>
      <w:r w:rsidRPr="00956AE9">
        <w:rPr>
          <w:rFonts w:ascii="Times New Roman" w:eastAsia="Calibri" w:hAnsi="Times New Roman" w:cs="Times New Roman" w:hint="default"/>
        </w:rPr>
        <w:t>963 tis. eur. Medziroč</w:t>
      </w:r>
      <w:r w:rsidRPr="00956AE9">
        <w:rPr>
          <w:rFonts w:ascii="Times New Roman" w:eastAsia="Calibri" w:hAnsi="Times New Roman" w:cs="Times New Roman" w:hint="default"/>
        </w:rPr>
        <w:t>ne boli vyšš</w:t>
      </w:r>
      <w:r w:rsidRPr="00956AE9">
        <w:rPr>
          <w:rFonts w:ascii="Times New Roman" w:eastAsia="Calibri" w:hAnsi="Times New Roman" w:cs="Times New Roman" w:hint="default"/>
        </w:rPr>
        <w:t>ie ná</w:t>
      </w:r>
      <w:r w:rsidRPr="00956AE9">
        <w:rPr>
          <w:rFonts w:ascii="Times New Roman" w:eastAsia="Calibri" w:hAnsi="Times New Roman" w:cs="Times New Roman" w:hint="default"/>
        </w:rPr>
        <w:t>klady na spotrebované</w:t>
      </w:r>
      <w:r w:rsidRPr="00956AE9">
        <w:rPr>
          <w:rFonts w:ascii="Times New Roman" w:eastAsia="Calibri" w:hAnsi="Times New Roman" w:cs="Times New Roman" w:hint="default"/>
        </w:rPr>
        <w:t xml:space="preserve"> ná</w:t>
      </w:r>
      <w:r w:rsidRPr="00956AE9">
        <w:rPr>
          <w:rFonts w:ascii="Times New Roman" w:eastAsia="Calibri" w:hAnsi="Times New Roman" w:cs="Times New Roman" w:hint="default"/>
        </w:rPr>
        <w:t>kupy a </w:t>
      </w:r>
      <w:r w:rsidRPr="00956AE9">
        <w:rPr>
          <w:rFonts w:ascii="Times New Roman" w:eastAsia="Calibri" w:hAnsi="Times New Roman" w:cs="Times New Roman" w:hint="default"/>
        </w:rPr>
        <w:t>služ</w:t>
      </w:r>
      <w:r w:rsidRPr="00956AE9">
        <w:rPr>
          <w:rFonts w:ascii="Times New Roman" w:eastAsia="Calibri" w:hAnsi="Times New Roman" w:cs="Times New Roman" w:hint="default"/>
        </w:rPr>
        <w:t>by v </w:t>
      </w:r>
      <w:r w:rsidRPr="00956AE9">
        <w:rPr>
          <w:rFonts w:ascii="Times New Roman" w:eastAsia="Calibri" w:hAnsi="Times New Roman" w:cs="Times New Roman" w:hint="default"/>
        </w:rPr>
        <w:t>dô</w:t>
      </w:r>
      <w:r w:rsidRPr="00956AE9">
        <w:rPr>
          <w:rFonts w:ascii="Times New Roman" w:eastAsia="Calibri" w:hAnsi="Times New Roman" w:cs="Times New Roman" w:hint="default"/>
        </w:rPr>
        <w:t>sledku agregá</w:t>
      </w:r>
      <w:r w:rsidRPr="00956AE9">
        <w:rPr>
          <w:rFonts w:ascii="Times New Roman" w:eastAsia="Calibri" w:hAnsi="Times New Roman" w:cs="Times New Roman" w:hint="default"/>
        </w:rPr>
        <w:t>cie ú</w:t>
      </w:r>
      <w:r w:rsidRPr="00956AE9">
        <w:rPr>
          <w:rFonts w:ascii="Times New Roman" w:eastAsia="Calibri" w:hAnsi="Times New Roman" w:cs="Times New Roman" w:hint="default"/>
        </w:rPr>
        <w:t>dajov SPP, a.s., vyšš</w:t>
      </w:r>
      <w:r w:rsidRPr="00956AE9">
        <w:rPr>
          <w:rFonts w:ascii="Times New Roman" w:eastAsia="Calibri" w:hAnsi="Times New Roman" w:cs="Times New Roman" w:hint="default"/>
        </w:rPr>
        <w:t>ie ná</w:t>
      </w:r>
      <w:r w:rsidRPr="00956AE9">
        <w:rPr>
          <w:rFonts w:ascii="Times New Roman" w:eastAsia="Calibri" w:hAnsi="Times New Roman" w:cs="Times New Roman" w:hint="default"/>
        </w:rPr>
        <w:t>klady na transfery a </w:t>
      </w:r>
      <w:r w:rsidRPr="00956AE9">
        <w:rPr>
          <w:rFonts w:ascii="Times New Roman" w:eastAsia="Calibri" w:hAnsi="Times New Roman" w:cs="Times New Roman" w:hint="default"/>
        </w:rPr>
        <w:t>naopak, medziroč</w:t>
      </w:r>
      <w:r w:rsidRPr="00956AE9">
        <w:rPr>
          <w:rFonts w:ascii="Times New Roman" w:eastAsia="Calibri" w:hAnsi="Times New Roman" w:cs="Times New Roman" w:hint="default"/>
        </w:rPr>
        <w:t>ne nižš</w:t>
      </w:r>
      <w:r w:rsidRPr="00956AE9">
        <w:rPr>
          <w:rFonts w:ascii="Times New Roman" w:eastAsia="Calibri" w:hAnsi="Times New Roman" w:cs="Times New Roman" w:hint="default"/>
        </w:rPr>
        <w:t>ie ná</w:t>
      </w:r>
      <w:r w:rsidRPr="00956AE9">
        <w:rPr>
          <w:rFonts w:ascii="Times New Roman" w:eastAsia="Calibri" w:hAnsi="Times New Roman" w:cs="Times New Roman" w:hint="default"/>
        </w:rPr>
        <w:t>klady bo</w:t>
      </w:r>
      <w:r w:rsidRPr="00956AE9">
        <w:rPr>
          <w:rFonts w:ascii="Times New Roman" w:eastAsia="Calibri" w:hAnsi="Times New Roman" w:cs="Times New Roman" w:hint="default"/>
        </w:rPr>
        <w:t>l</w:t>
      </w:r>
      <w:r w:rsidRPr="00956AE9">
        <w:rPr>
          <w:rFonts w:ascii="Times New Roman" w:eastAsia="Calibri" w:hAnsi="Times New Roman" w:cs="Times New Roman" w:hint="default"/>
        </w:rPr>
        <w:t>i na tvorbu úč</w:t>
      </w:r>
      <w:r w:rsidRPr="00956AE9">
        <w:rPr>
          <w:rFonts w:ascii="Times New Roman" w:eastAsia="Calibri" w:hAnsi="Times New Roman" w:cs="Times New Roman" w:hint="default"/>
        </w:rPr>
        <w:t>tovný</w:t>
      </w:r>
      <w:r w:rsidRPr="00956AE9">
        <w:rPr>
          <w:rFonts w:ascii="Times New Roman" w:eastAsia="Calibri" w:hAnsi="Times New Roman" w:cs="Times New Roman" w:hint="default"/>
        </w:rPr>
        <w:t>ch rezerv v </w:t>
      </w:r>
      <w:r w:rsidRPr="00956AE9">
        <w:rPr>
          <w:rFonts w:ascii="Times New Roman" w:eastAsia="Calibri" w:hAnsi="Times New Roman" w:cs="Times New Roman" w:hint="default"/>
        </w:rPr>
        <w:t>ú</w:t>
      </w:r>
      <w:r w:rsidRPr="00956AE9">
        <w:rPr>
          <w:rFonts w:ascii="Times New Roman" w:eastAsia="Calibri" w:hAnsi="Times New Roman" w:cs="Times New Roman" w:hint="default"/>
        </w:rPr>
        <w:t>strednej sprá</w:t>
      </w:r>
      <w:r w:rsidRPr="00956AE9">
        <w:rPr>
          <w:rFonts w:ascii="Times New Roman" w:eastAsia="Calibri" w:hAnsi="Times New Roman" w:cs="Times New Roman" w:hint="default"/>
        </w:rPr>
        <w:t>ve. Vo vý</w:t>
      </w:r>
      <w:r w:rsidRPr="00956AE9">
        <w:rPr>
          <w:rFonts w:ascii="Times New Roman" w:eastAsia="Calibri" w:hAnsi="Times New Roman" w:cs="Times New Roman" w:hint="default"/>
        </w:rPr>
        <w:t>nosoch zaznamenali vý</w:t>
      </w:r>
      <w:r w:rsidRPr="00956AE9">
        <w:rPr>
          <w:rFonts w:ascii="Times New Roman" w:eastAsia="Calibri" w:hAnsi="Times New Roman" w:cs="Times New Roman" w:hint="default"/>
        </w:rPr>
        <w:t>znamný</w:t>
      </w:r>
      <w:r w:rsidRPr="00956AE9">
        <w:rPr>
          <w:rFonts w:ascii="Times New Roman" w:eastAsia="Calibri" w:hAnsi="Times New Roman" w:cs="Times New Roman" w:hint="default"/>
        </w:rPr>
        <w:t xml:space="preserve"> rast trž</w:t>
      </w:r>
      <w:r w:rsidRPr="00956AE9">
        <w:rPr>
          <w:rFonts w:ascii="Times New Roman" w:eastAsia="Calibri" w:hAnsi="Times New Roman" w:cs="Times New Roman" w:hint="default"/>
        </w:rPr>
        <w:t>by za vlastné</w:t>
      </w:r>
      <w:r w:rsidRPr="00956AE9">
        <w:rPr>
          <w:rFonts w:ascii="Times New Roman" w:eastAsia="Calibri" w:hAnsi="Times New Roman" w:cs="Times New Roman" w:hint="default"/>
        </w:rPr>
        <w:t xml:space="preserve"> vý</w:t>
      </w:r>
      <w:r w:rsidRPr="00956AE9">
        <w:rPr>
          <w:rFonts w:ascii="Times New Roman" w:eastAsia="Calibri" w:hAnsi="Times New Roman" w:cs="Times New Roman" w:hint="default"/>
        </w:rPr>
        <w:t>kony a </w:t>
      </w:r>
      <w:r w:rsidRPr="00956AE9">
        <w:rPr>
          <w:rFonts w:ascii="Times New Roman" w:eastAsia="Calibri" w:hAnsi="Times New Roman" w:cs="Times New Roman" w:hint="default"/>
        </w:rPr>
        <w:t>tovar opäť</w:t>
      </w:r>
      <w:r w:rsidRPr="00956AE9">
        <w:rPr>
          <w:rFonts w:ascii="Times New Roman" w:eastAsia="Calibri" w:hAnsi="Times New Roman" w:cs="Times New Roman" w:hint="default"/>
        </w:rPr>
        <w:t xml:space="preserve"> agregá</w:t>
      </w:r>
      <w:r w:rsidRPr="00956AE9">
        <w:rPr>
          <w:rFonts w:ascii="Times New Roman" w:eastAsia="Calibri" w:hAnsi="Times New Roman" w:cs="Times New Roman" w:hint="default"/>
        </w:rPr>
        <w:t>ciou SPP, a.s., vý</w:t>
      </w:r>
      <w:r w:rsidRPr="00956AE9">
        <w:rPr>
          <w:rFonts w:ascii="Times New Roman" w:eastAsia="Calibri" w:hAnsi="Times New Roman" w:cs="Times New Roman" w:hint="default"/>
        </w:rPr>
        <w:t>nosy zo zahranič</w:t>
      </w:r>
      <w:r w:rsidRPr="00956AE9">
        <w:rPr>
          <w:rFonts w:ascii="Times New Roman" w:eastAsia="Calibri" w:hAnsi="Times New Roman" w:cs="Times New Roman" w:hint="default"/>
        </w:rPr>
        <w:t>ný</w:t>
      </w:r>
      <w:r w:rsidRPr="00956AE9">
        <w:rPr>
          <w:rFonts w:ascii="Times New Roman" w:eastAsia="Calibri" w:hAnsi="Times New Roman" w:cs="Times New Roman" w:hint="default"/>
        </w:rPr>
        <w:t>ch (najmä</w:t>
      </w:r>
      <w:r w:rsidRPr="00956AE9">
        <w:rPr>
          <w:rFonts w:ascii="Times New Roman" w:eastAsia="Calibri" w:hAnsi="Times New Roman" w:cs="Times New Roman" w:hint="default"/>
        </w:rPr>
        <w:t xml:space="preserve"> EÚ</w:t>
      </w:r>
      <w:r w:rsidRPr="00956AE9">
        <w:rPr>
          <w:rFonts w:ascii="Times New Roman" w:eastAsia="Calibri" w:hAnsi="Times New Roman" w:cs="Times New Roman" w:hint="default"/>
        </w:rPr>
        <w:t>) transferov, vyšš</w:t>
      </w:r>
      <w:r w:rsidRPr="00956AE9">
        <w:rPr>
          <w:rFonts w:ascii="Times New Roman" w:eastAsia="Calibri" w:hAnsi="Times New Roman" w:cs="Times New Roman" w:hint="default"/>
        </w:rPr>
        <w:t>ie finanč</w:t>
      </w:r>
      <w:r w:rsidRPr="00956AE9">
        <w:rPr>
          <w:rFonts w:ascii="Times New Roman" w:eastAsia="Calibri" w:hAnsi="Times New Roman" w:cs="Times New Roman" w:hint="default"/>
        </w:rPr>
        <w:t>né</w:t>
      </w:r>
      <w:r w:rsidRPr="00956AE9">
        <w:rPr>
          <w:rFonts w:ascii="Times New Roman" w:eastAsia="Calibri" w:hAnsi="Times New Roman" w:cs="Times New Roman" w:hint="default"/>
        </w:rPr>
        <w:t xml:space="preserve"> vý</w:t>
      </w:r>
      <w:r w:rsidRPr="00956AE9">
        <w:rPr>
          <w:rFonts w:ascii="Times New Roman" w:eastAsia="Calibri" w:hAnsi="Times New Roman" w:cs="Times New Roman" w:hint="default"/>
        </w:rPr>
        <w:t>nosy predajom niektorý</w:t>
      </w:r>
      <w:r w:rsidRPr="00956AE9">
        <w:rPr>
          <w:rFonts w:ascii="Times New Roman" w:eastAsia="Calibri" w:hAnsi="Times New Roman" w:cs="Times New Roman" w:hint="default"/>
        </w:rPr>
        <w:t>ch podielov š</w:t>
      </w:r>
      <w:r w:rsidRPr="00956AE9">
        <w:rPr>
          <w:rFonts w:ascii="Times New Roman" w:eastAsia="Calibri" w:hAnsi="Times New Roman" w:cs="Times New Roman" w:hint="default"/>
        </w:rPr>
        <w:t>tá</w:t>
      </w:r>
      <w:r w:rsidRPr="00956AE9">
        <w:rPr>
          <w:rFonts w:ascii="Times New Roman" w:eastAsia="Calibri" w:hAnsi="Times New Roman" w:cs="Times New Roman" w:hint="default"/>
        </w:rPr>
        <w:t>tu v obc</w:t>
      </w:r>
      <w:r w:rsidRPr="00956AE9">
        <w:rPr>
          <w:rFonts w:ascii="Times New Roman" w:eastAsia="Calibri" w:hAnsi="Times New Roman" w:cs="Times New Roman" w:hint="default"/>
        </w:rPr>
        <w:t>h</w:t>
      </w:r>
      <w:r w:rsidRPr="00956AE9">
        <w:rPr>
          <w:rFonts w:ascii="Times New Roman" w:eastAsia="Calibri" w:hAnsi="Times New Roman" w:cs="Times New Roman" w:hint="default"/>
        </w:rPr>
        <w:t>odný</w:t>
      </w:r>
      <w:r w:rsidRPr="00956AE9">
        <w:rPr>
          <w:rFonts w:ascii="Times New Roman" w:eastAsia="Calibri" w:hAnsi="Times New Roman" w:cs="Times New Roman" w:hint="default"/>
        </w:rPr>
        <w:t>ch spoloč</w:t>
      </w:r>
      <w:r w:rsidRPr="00956AE9">
        <w:rPr>
          <w:rFonts w:ascii="Times New Roman" w:eastAsia="Calibri" w:hAnsi="Times New Roman" w:cs="Times New Roman" w:hint="default"/>
        </w:rPr>
        <w:t>nostiach a </w:t>
      </w:r>
      <w:r w:rsidRPr="00956AE9">
        <w:rPr>
          <w:rFonts w:ascii="Times New Roman" w:eastAsia="Calibri" w:hAnsi="Times New Roman" w:cs="Times New Roman" w:hint="default"/>
        </w:rPr>
        <w:t>aj vyšš</w:t>
      </w:r>
      <w:r w:rsidRPr="00956AE9">
        <w:rPr>
          <w:rFonts w:ascii="Times New Roman" w:eastAsia="Calibri" w:hAnsi="Times New Roman" w:cs="Times New Roman" w:hint="default"/>
        </w:rPr>
        <w:t>ie vý</w:t>
      </w:r>
      <w:r w:rsidRPr="00956AE9">
        <w:rPr>
          <w:rFonts w:ascii="Times New Roman" w:eastAsia="Calibri" w:hAnsi="Times New Roman" w:cs="Times New Roman" w:hint="default"/>
        </w:rPr>
        <w:t>nosy z daní.</w:t>
      </w:r>
    </w:p>
    <w:p w:rsidR="009238B3" w:rsidRPr="00712D70" w:rsidP="00712D70">
      <w:pPr>
        <w:bidi w:val="0"/>
        <w:spacing w:after="120" w:line="336" w:lineRule="auto"/>
        <w:jc w:val="both"/>
        <w:rPr>
          <w:rFonts w:ascii="Times New Roman" w:hAnsi="Times New Roman" w:cs="Times New Roman"/>
        </w:rPr>
      </w:pPr>
    </w:p>
    <w:p w:rsidR="0063004E" w:rsidRPr="00A53EAC" w:rsidP="0063004E">
      <w:pPr>
        <w:pStyle w:val="Heading1"/>
        <w:numPr>
          <w:numId w:val="0"/>
        </w:numPr>
        <w:bidi w:val="0"/>
        <w:spacing w:after="120" w:line="336" w:lineRule="auto"/>
        <w:ind w:firstLine="0"/>
      </w:pPr>
      <w:bookmarkStart w:id="4" w:name="_Toc399324355"/>
      <w:bookmarkStart w:id="5" w:name="_Toc401920004"/>
      <w:bookmarkStart w:id="6" w:name="_Toc465255006"/>
      <w:bookmarkStart w:id="7" w:name="_Toc465258470"/>
      <w:r w:rsidRPr="00A53EAC" w:rsidR="000C6BC7">
        <w:rPr>
          <w:rFonts w:hint="default"/>
        </w:rPr>
        <w:t>Ú</w:t>
      </w:r>
      <w:r w:rsidRPr="00A53EAC" w:rsidR="000C6BC7">
        <w:rPr>
          <w:rFonts w:hint="default"/>
        </w:rPr>
        <w:t>vod</w:t>
      </w:r>
      <w:bookmarkStart w:id="8" w:name="_Toc399324356"/>
      <w:bookmarkEnd w:id="4"/>
      <w:bookmarkEnd w:id="5"/>
      <w:bookmarkEnd w:id="6"/>
      <w:bookmarkEnd w:id="7"/>
    </w:p>
    <w:p w:rsidR="006022EF" w:rsidRPr="00A53EAC" w:rsidP="006022EF">
      <w:pPr>
        <w:bidi w:val="0"/>
        <w:spacing w:after="120" w:line="336" w:lineRule="auto"/>
        <w:jc w:val="both"/>
        <w:rPr>
          <w:rFonts w:ascii="Times New Roman" w:hAnsi="Times New Roman" w:cs="Times New Roman"/>
          <w:lang w:eastAsia="cs-CZ"/>
        </w:rPr>
      </w:pPr>
      <w:r w:rsidRPr="00A53EAC">
        <w:rPr>
          <w:rFonts w:ascii="Times New Roman" w:hAnsi="Times New Roman" w:cs="Times New Roman"/>
          <w:b/>
          <w:lang w:eastAsia="cs-CZ"/>
        </w:rPr>
        <w:t>Súhrnná výročná správa Slovenskej republiky (ďalej aj „súhrnná správa“ alebo „správa“)</w:t>
      </w:r>
      <w:r w:rsidRPr="00A53EAC">
        <w:rPr>
          <w:rFonts w:ascii="Times New Roman" w:hAnsi="Times New Roman" w:cs="Times New Roman"/>
          <w:lang w:eastAsia="cs-CZ"/>
        </w:rPr>
        <w:t xml:space="preserve"> je súhrnný dokument o hospodárení verejných financií Slovenska za predchádzajúci</w:t>
      </w:r>
      <w:r>
        <w:rPr>
          <w:rFonts w:ascii="Times New Roman" w:hAnsi="Times New Roman" w:cs="Times New Roman"/>
          <w:lang w:eastAsia="cs-CZ"/>
        </w:rPr>
        <w:t xml:space="preserve"> kalendárny</w:t>
      </w:r>
      <w:r w:rsidRPr="00A53EAC">
        <w:rPr>
          <w:rFonts w:ascii="Times New Roman" w:hAnsi="Times New Roman" w:cs="Times New Roman"/>
          <w:lang w:eastAsia="cs-CZ"/>
        </w:rPr>
        <w:t xml:space="preserve"> rok. Súhrnná správa aktualizuje a dopĺňa údaje obsiahnuté v Štátnom záverečnom účte SR (ďalej len „ŠZÚ“). Hlavným cieľom ŠZÚ je prezentácia údajov o hospodárení verejnej správy v metodike ESA 2010 v najskoršom možnom termíne (apríl). V čase zostavovania súhrnnej správy (október) je už dostupný väčší rozsah údajov a informácií, preto je súhrnná správa oveľa komplexnejší dokument. Okrem údajov </w:t>
      </w:r>
      <w:r w:rsidRPr="00A53EAC">
        <w:rPr>
          <w:rFonts w:ascii="Times New Roman" w:hAnsi="Times New Roman" w:cs="Times New Roman"/>
        </w:rPr>
        <w:t>o</w:t>
      </w:r>
      <w:r w:rsidRPr="00A53EAC">
        <w:rPr>
          <w:rFonts w:ascii="Times New Roman" w:hAnsi="Times New Roman" w:cs="Times New Roman"/>
          <w:lang w:eastAsia="cs-CZ"/>
        </w:rPr>
        <w:t xml:space="preserve"> hospodárení verejnej správy v metodike ESA 2010 prináša </w:t>
      </w:r>
      <w:r w:rsidRPr="00A53EAC">
        <w:rPr>
          <w:rFonts w:ascii="Times New Roman" w:hAnsi="Times New Roman" w:cs="Times New Roman"/>
        </w:rPr>
        <w:t>informácie o čistom bohatstve, hospodárení podnikov štátnej správy, čistom dlhu, jednorazových efektoch, štrukturálnom salde a vyhodnotení stratégie riadenia štátneho dlhu</w:t>
      </w:r>
      <w:r w:rsidRPr="00A53EAC">
        <w:rPr>
          <w:rFonts w:ascii="Times New Roman" w:hAnsi="Times New Roman" w:cs="Times New Roman"/>
          <w:lang w:eastAsia="cs-CZ"/>
        </w:rPr>
        <w:t>. Druhý podstatný rozdiel spočíva v tom, že správa sa zameriava na analýzu vývoja verejných financií oproti predchádzajúcemu roku (medziročné zmeny) a ŠZÚ sa sústreďuje najmä na porovnanie plánu rozpočtu verejnej správy s dosiahnutou skutočnosťou.</w:t>
      </w:r>
    </w:p>
    <w:p w:rsidR="006022EF" w:rsidRPr="00A53EAC" w:rsidP="006022EF">
      <w:pPr>
        <w:bidi w:val="0"/>
        <w:spacing w:after="120" w:line="336" w:lineRule="auto"/>
        <w:jc w:val="both"/>
        <w:rPr>
          <w:rFonts w:ascii="Times New Roman" w:hAnsi="Times New Roman" w:cs="Times New Roman"/>
          <w:lang w:eastAsia="cs-CZ"/>
        </w:rPr>
      </w:pPr>
      <w:r w:rsidRPr="00A53EAC">
        <w:rPr>
          <w:rFonts w:ascii="Times New Roman" w:hAnsi="Times New Roman" w:cs="Times New Roman"/>
          <w:lang w:eastAsia="cs-CZ"/>
        </w:rPr>
        <w:t>Obsah správy je definovaný prostredníctvom troch legislatívnych noriem. Zákon o rozpočtových pravidlách verejnej správy vymedzuje základný rozsah súhrnnej výročnej správy, termíny jej spracovania a predloženia vláde a Národnej rade Slovenskej republiky. Ú</w:t>
      </w:r>
      <w:r w:rsidRPr="00A53EAC">
        <w:rPr>
          <w:rFonts w:ascii="Times New Roman" w:eastAsia="Calibri" w:hAnsi="Times New Roman" w:cs="Times New Roman" w:hint="default"/>
        </w:rPr>
        <w:t>stavný</w:t>
      </w:r>
      <w:r w:rsidRPr="00A53EAC">
        <w:rPr>
          <w:rFonts w:ascii="Times New Roman" w:eastAsia="Calibri" w:hAnsi="Times New Roman" w:cs="Times New Roman" w:hint="default"/>
        </w:rPr>
        <w:t xml:space="preserve"> zá</w:t>
      </w:r>
      <w:r w:rsidRPr="00A53EAC">
        <w:rPr>
          <w:rFonts w:ascii="Times New Roman" w:eastAsia="Calibri" w:hAnsi="Times New Roman" w:cs="Times New Roman" w:hint="default"/>
        </w:rPr>
        <w:t>kon o </w:t>
      </w:r>
      <w:r w:rsidRPr="00A53EAC">
        <w:rPr>
          <w:rFonts w:ascii="Times New Roman" w:eastAsia="Calibri" w:hAnsi="Times New Roman" w:cs="Times New Roman" w:hint="default"/>
        </w:rPr>
        <w:t>rozpoč</w:t>
      </w:r>
      <w:r w:rsidRPr="00A53EAC">
        <w:rPr>
          <w:rFonts w:ascii="Times New Roman" w:eastAsia="Calibri" w:hAnsi="Times New Roman" w:cs="Times New Roman" w:hint="default"/>
        </w:rPr>
        <w:t>tovej zodpovednosti ustanovuje nad rá</w:t>
      </w:r>
      <w:r w:rsidRPr="00A53EAC">
        <w:rPr>
          <w:rFonts w:ascii="Times New Roman" w:eastAsia="Calibri" w:hAnsi="Times New Roman" w:cs="Times New Roman" w:hint="default"/>
        </w:rPr>
        <w:t>mec zá</w:t>
      </w:r>
      <w:r w:rsidRPr="00A53EAC">
        <w:rPr>
          <w:rFonts w:ascii="Times New Roman" w:eastAsia="Calibri" w:hAnsi="Times New Roman" w:cs="Times New Roman" w:hint="default"/>
        </w:rPr>
        <w:t>kona o </w:t>
      </w:r>
      <w:r w:rsidRPr="00A53EAC">
        <w:rPr>
          <w:rFonts w:ascii="Times New Roman" w:eastAsia="Calibri" w:hAnsi="Times New Roman" w:cs="Times New Roman" w:hint="default"/>
        </w:rPr>
        <w:t>rozpoč</w:t>
      </w:r>
      <w:r w:rsidRPr="00A53EAC">
        <w:rPr>
          <w:rFonts w:ascii="Times New Roman" w:eastAsia="Calibri" w:hAnsi="Times New Roman" w:cs="Times New Roman" w:hint="default"/>
        </w:rPr>
        <w:t>tový</w:t>
      </w:r>
      <w:r w:rsidRPr="00A53EAC">
        <w:rPr>
          <w:rFonts w:ascii="Times New Roman" w:eastAsia="Calibri" w:hAnsi="Times New Roman" w:cs="Times New Roman" w:hint="default"/>
        </w:rPr>
        <w:t>ch pravidlá</w:t>
      </w:r>
      <w:r w:rsidRPr="00A53EAC">
        <w:rPr>
          <w:rFonts w:ascii="Times New Roman" w:eastAsia="Calibri" w:hAnsi="Times New Roman" w:cs="Times New Roman" w:hint="default"/>
        </w:rPr>
        <w:t>ch verejnej sprá</w:t>
      </w:r>
      <w:r w:rsidRPr="00A53EAC">
        <w:rPr>
          <w:rFonts w:ascii="Times New Roman" w:eastAsia="Calibri" w:hAnsi="Times New Roman" w:cs="Times New Roman" w:hint="default"/>
        </w:rPr>
        <w:t>vy ď</w:t>
      </w:r>
      <w:r w:rsidRPr="00A53EAC">
        <w:rPr>
          <w:rFonts w:ascii="Times New Roman" w:eastAsia="Calibri" w:hAnsi="Times New Roman" w:cs="Times New Roman" w:hint="default"/>
        </w:rPr>
        <w:t>alš</w:t>
      </w:r>
      <w:r w:rsidRPr="00A53EAC">
        <w:rPr>
          <w:rFonts w:ascii="Times New Roman" w:eastAsia="Calibri" w:hAnsi="Times New Roman" w:cs="Times New Roman" w:hint="default"/>
        </w:rPr>
        <w:t>ie ú</w:t>
      </w:r>
      <w:r w:rsidRPr="00A53EAC">
        <w:rPr>
          <w:rFonts w:ascii="Times New Roman" w:eastAsia="Calibri" w:hAnsi="Times New Roman" w:cs="Times New Roman" w:hint="default"/>
        </w:rPr>
        <w:t>daje a informá</w:t>
      </w:r>
      <w:r w:rsidRPr="00A53EAC">
        <w:rPr>
          <w:rFonts w:ascii="Times New Roman" w:eastAsia="Calibri" w:hAnsi="Times New Roman" w:cs="Times New Roman" w:hint="default"/>
        </w:rPr>
        <w:t>cie, ktoré</w:t>
      </w:r>
      <w:r w:rsidRPr="00A53EAC">
        <w:rPr>
          <w:rFonts w:ascii="Times New Roman" w:eastAsia="Calibri" w:hAnsi="Times New Roman" w:cs="Times New Roman" w:hint="default"/>
        </w:rPr>
        <w:t xml:space="preserve"> má</w:t>
      </w:r>
      <w:r w:rsidRPr="00A53EAC">
        <w:rPr>
          <w:rFonts w:ascii="Times New Roman" w:eastAsia="Calibri" w:hAnsi="Times New Roman" w:cs="Times New Roman" w:hint="default"/>
        </w:rPr>
        <w:t xml:space="preserve"> sú</w:t>
      </w:r>
      <w:r w:rsidRPr="00A53EAC">
        <w:rPr>
          <w:rFonts w:ascii="Times New Roman" w:eastAsia="Calibri" w:hAnsi="Times New Roman" w:cs="Times New Roman" w:hint="default"/>
        </w:rPr>
        <w:t>hrn</w:t>
      </w:r>
      <w:r w:rsidRPr="00A53EAC">
        <w:rPr>
          <w:rFonts w:ascii="Times New Roman" w:eastAsia="Calibri" w:hAnsi="Times New Roman" w:cs="Times New Roman" w:hint="default"/>
        </w:rPr>
        <w:t>ná</w:t>
      </w:r>
      <w:r w:rsidRPr="00A53EAC">
        <w:rPr>
          <w:rFonts w:ascii="Times New Roman" w:eastAsia="Calibri" w:hAnsi="Times New Roman" w:cs="Times New Roman" w:hint="default"/>
        </w:rPr>
        <w:t xml:space="preserve"> sprá</w:t>
      </w:r>
      <w:r w:rsidRPr="00A53EAC">
        <w:rPr>
          <w:rFonts w:ascii="Times New Roman" w:eastAsia="Calibri" w:hAnsi="Times New Roman" w:cs="Times New Roman" w:hint="default"/>
        </w:rPr>
        <w:t>va obsahovať</w:t>
      </w:r>
      <w:r w:rsidRPr="00A53EAC">
        <w:rPr>
          <w:rFonts w:ascii="Times New Roman" w:eastAsia="Calibri" w:hAnsi="Times New Roman" w:cs="Times New Roman" w:hint="default"/>
        </w:rPr>
        <w:t>. Zá</w:t>
      </w:r>
      <w:r w:rsidRPr="00A53EAC">
        <w:rPr>
          <w:rFonts w:ascii="Times New Roman" w:eastAsia="Calibri" w:hAnsi="Times New Roman" w:cs="Times New Roman" w:hint="default"/>
        </w:rPr>
        <w:t>kon o úč</w:t>
      </w:r>
      <w:r w:rsidRPr="00A53EAC">
        <w:rPr>
          <w:rFonts w:ascii="Times New Roman" w:eastAsia="Calibri" w:hAnsi="Times New Roman" w:cs="Times New Roman" w:hint="default"/>
        </w:rPr>
        <w:t>tovní</w:t>
      </w:r>
      <w:r w:rsidRPr="00A53EAC">
        <w:rPr>
          <w:rFonts w:ascii="Times New Roman" w:eastAsia="Calibri" w:hAnsi="Times New Roman" w:cs="Times New Roman" w:hint="default"/>
        </w:rPr>
        <w:t>ctve ustanovuje pre úč</w:t>
      </w:r>
      <w:r w:rsidRPr="00A53EAC">
        <w:rPr>
          <w:rFonts w:ascii="Times New Roman" w:eastAsia="Calibri" w:hAnsi="Times New Roman" w:cs="Times New Roman" w:hint="default"/>
        </w:rPr>
        <w:t>tovné</w:t>
      </w:r>
      <w:r w:rsidRPr="00A53EAC">
        <w:rPr>
          <w:rFonts w:ascii="Times New Roman" w:eastAsia="Calibri" w:hAnsi="Times New Roman" w:cs="Times New Roman" w:hint="default"/>
        </w:rPr>
        <w:t xml:space="preserve"> jednotky verejnej sprá</w:t>
      </w:r>
      <w:r w:rsidRPr="00A53EAC">
        <w:rPr>
          <w:rFonts w:ascii="Times New Roman" w:eastAsia="Calibri" w:hAnsi="Times New Roman" w:cs="Times New Roman" w:hint="default"/>
        </w:rPr>
        <w:t>vy povinnosť</w:t>
      </w:r>
      <w:r w:rsidRPr="00A53EAC">
        <w:rPr>
          <w:rFonts w:ascii="Times New Roman" w:eastAsia="Calibri" w:hAnsi="Times New Roman" w:cs="Times New Roman" w:hint="default"/>
        </w:rPr>
        <w:t xml:space="preserve"> zostaviť</w:t>
      </w:r>
      <w:r w:rsidRPr="00A53EAC">
        <w:rPr>
          <w:rFonts w:ascii="Times New Roman" w:eastAsia="Calibri" w:hAnsi="Times New Roman" w:cs="Times New Roman" w:hint="default"/>
        </w:rPr>
        <w:t xml:space="preserve"> konsolidovanú</w:t>
      </w:r>
      <w:r w:rsidRPr="00A53EAC">
        <w:rPr>
          <w:rFonts w:ascii="Times New Roman" w:eastAsia="Calibri" w:hAnsi="Times New Roman" w:cs="Times New Roman" w:hint="default"/>
        </w:rPr>
        <w:t xml:space="preserve"> úč</w:t>
      </w:r>
      <w:r w:rsidRPr="00A53EAC">
        <w:rPr>
          <w:rFonts w:ascii="Times New Roman" w:eastAsia="Calibri" w:hAnsi="Times New Roman" w:cs="Times New Roman" w:hint="default"/>
        </w:rPr>
        <w:t>tovnú</w:t>
      </w:r>
      <w:r w:rsidRPr="00A53EAC">
        <w:rPr>
          <w:rFonts w:ascii="Times New Roman" w:eastAsia="Calibri" w:hAnsi="Times New Roman" w:cs="Times New Roman" w:hint="default"/>
        </w:rPr>
        <w:t xml:space="preserve"> zá</w:t>
      </w:r>
      <w:r w:rsidRPr="00A53EAC">
        <w:rPr>
          <w:rFonts w:ascii="Times New Roman" w:eastAsia="Calibri" w:hAnsi="Times New Roman" w:cs="Times New Roman" w:hint="default"/>
        </w:rPr>
        <w:t>vierku a pre Ministerstvo financií</w:t>
      </w:r>
      <w:r w:rsidRPr="00A53EAC">
        <w:rPr>
          <w:rFonts w:ascii="Times New Roman" w:eastAsia="Calibri" w:hAnsi="Times New Roman" w:cs="Times New Roman" w:hint="default"/>
        </w:rPr>
        <w:t xml:space="preserve"> Slovenskej republiky povinnosť</w:t>
      </w:r>
      <w:r w:rsidRPr="00A53EAC">
        <w:rPr>
          <w:rFonts w:ascii="Times New Roman" w:eastAsia="Calibri" w:hAnsi="Times New Roman" w:cs="Times New Roman" w:hint="default"/>
        </w:rPr>
        <w:t xml:space="preserve"> zostaviť</w:t>
      </w:r>
      <w:r w:rsidRPr="00A53EAC">
        <w:rPr>
          <w:rFonts w:ascii="Times New Roman" w:eastAsia="Calibri" w:hAnsi="Times New Roman" w:cs="Times New Roman" w:hint="default"/>
        </w:rPr>
        <w:t xml:space="preserve"> konsolidovanú</w:t>
      </w:r>
      <w:r w:rsidRPr="00A53EAC">
        <w:rPr>
          <w:rFonts w:ascii="Times New Roman" w:eastAsia="Calibri" w:hAnsi="Times New Roman" w:cs="Times New Roman" w:hint="default"/>
        </w:rPr>
        <w:t xml:space="preserve"> úč</w:t>
      </w:r>
      <w:r w:rsidRPr="00A53EAC">
        <w:rPr>
          <w:rFonts w:ascii="Times New Roman" w:eastAsia="Calibri" w:hAnsi="Times New Roman" w:cs="Times New Roman" w:hint="default"/>
        </w:rPr>
        <w:t>tovnú</w:t>
      </w:r>
      <w:r w:rsidRPr="00A53EAC">
        <w:rPr>
          <w:rFonts w:ascii="Times New Roman" w:eastAsia="Calibri" w:hAnsi="Times New Roman" w:cs="Times New Roman" w:hint="default"/>
        </w:rPr>
        <w:t xml:space="preserve"> zá</w:t>
      </w:r>
      <w:r w:rsidRPr="00A53EAC">
        <w:rPr>
          <w:rFonts w:ascii="Times New Roman" w:eastAsia="Calibri" w:hAnsi="Times New Roman" w:cs="Times New Roman" w:hint="default"/>
        </w:rPr>
        <w:t>vierku ú</w:t>
      </w:r>
      <w:r w:rsidRPr="00A53EAC">
        <w:rPr>
          <w:rFonts w:ascii="Times New Roman" w:eastAsia="Calibri" w:hAnsi="Times New Roman" w:cs="Times New Roman" w:hint="default"/>
        </w:rPr>
        <w:t>strednej sprá</w:t>
      </w:r>
      <w:r w:rsidRPr="00A53EAC">
        <w:rPr>
          <w:rFonts w:ascii="Times New Roman" w:eastAsia="Calibri" w:hAnsi="Times New Roman" w:cs="Times New Roman" w:hint="default"/>
        </w:rPr>
        <w:t xml:space="preserve">vy </w:t>
      </w:r>
      <w:r w:rsidRPr="00A53EAC">
        <w:rPr>
          <w:rFonts w:ascii="Times New Roman" w:eastAsia="Calibri" w:hAnsi="Times New Roman" w:cs="Times New Roman" w:hint="default"/>
        </w:rPr>
        <w:t>a</w:t>
      </w:r>
      <w:r w:rsidRPr="00A53EAC">
        <w:rPr>
          <w:rFonts w:ascii="Times New Roman" w:eastAsia="Calibri" w:hAnsi="Times New Roman" w:cs="Times New Roman" w:hint="default"/>
        </w:rPr>
        <w:t xml:space="preserve"> sú</w:t>
      </w:r>
      <w:r w:rsidRPr="00A53EAC">
        <w:rPr>
          <w:rFonts w:ascii="Times New Roman" w:eastAsia="Calibri" w:hAnsi="Times New Roman" w:cs="Times New Roman" w:hint="default"/>
        </w:rPr>
        <w:t>hrnnú</w:t>
      </w:r>
      <w:r w:rsidRPr="00A53EAC">
        <w:rPr>
          <w:rFonts w:ascii="Times New Roman" w:eastAsia="Calibri" w:hAnsi="Times New Roman" w:cs="Times New Roman" w:hint="default"/>
        </w:rPr>
        <w:t xml:space="preserve"> úč</w:t>
      </w:r>
      <w:r w:rsidRPr="00A53EAC">
        <w:rPr>
          <w:rFonts w:ascii="Times New Roman" w:eastAsia="Calibri" w:hAnsi="Times New Roman" w:cs="Times New Roman" w:hint="default"/>
        </w:rPr>
        <w:t>tovnú</w:t>
      </w:r>
      <w:r w:rsidRPr="00A53EAC">
        <w:rPr>
          <w:rFonts w:ascii="Times New Roman" w:eastAsia="Calibri" w:hAnsi="Times New Roman" w:cs="Times New Roman" w:hint="default"/>
        </w:rPr>
        <w:t xml:space="preserve"> zá</w:t>
      </w:r>
      <w:r w:rsidRPr="00A53EAC">
        <w:rPr>
          <w:rFonts w:ascii="Times New Roman" w:eastAsia="Calibri" w:hAnsi="Times New Roman" w:cs="Times New Roman" w:hint="default"/>
        </w:rPr>
        <w:t>vierku verejnej sprá</w:t>
      </w:r>
      <w:r w:rsidRPr="00A53EAC">
        <w:rPr>
          <w:rFonts w:ascii="Times New Roman" w:eastAsia="Calibri" w:hAnsi="Times New Roman" w:cs="Times New Roman" w:hint="default"/>
        </w:rPr>
        <w:t>vy.</w:t>
      </w:r>
    </w:p>
    <w:p w:rsidR="006022EF" w:rsidP="006022EF">
      <w:pPr>
        <w:bidi w:val="0"/>
        <w:spacing w:after="120" w:line="336" w:lineRule="auto"/>
        <w:jc w:val="both"/>
        <w:rPr>
          <w:rFonts w:ascii="Times New Roman" w:hAnsi="Times New Roman" w:cs="Times New Roman"/>
          <w:lang w:eastAsia="cs-CZ"/>
        </w:rPr>
      </w:pPr>
      <w:r w:rsidRPr="00A53EAC">
        <w:rPr>
          <w:rFonts w:ascii="Times New Roman" w:hAnsi="Times New Roman" w:cs="Times New Roman"/>
          <w:lang w:eastAsia="cs-CZ"/>
        </w:rPr>
        <w:t>Súhrnná správa za rok 201</w:t>
      </w:r>
      <w:r>
        <w:rPr>
          <w:rFonts w:ascii="Times New Roman" w:hAnsi="Times New Roman" w:cs="Times New Roman"/>
          <w:lang w:eastAsia="cs-CZ"/>
        </w:rPr>
        <w:t>5</w:t>
      </w:r>
      <w:r w:rsidRPr="00A53EAC">
        <w:rPr>
          <w:rFonts w:ascii="Times New Roman" w:hAnsi="Times New Roman" w:cs="Times New Roman"/>
          <w:lang w:eastAsia="cs-CZ"/>
        </w:rPr>
        <w:t xml:space="preserve"> prináša skvalitnenie informácií o čistom bohatstve za oblasť podnikov štátnej správy</w:t>
      </w:r>
      <w:r>
        <w:rPr>
          <w:rFonts w:ascii="Times New Roman" w:hAnsi="Times New Roman" w:cs="Times New Roman"/>
          <w:lang w:eastAsia="cs-CZ"/>
        </w:rPr>
        <w:t xml:space="preserve"> a prvú čiastkovú analýzu ďalšej súčasti bohatstva našej krajiny – zásobách podzemnej vody</w:t>
      </w:r>
      <w:r w:rsidRPr="00A53EAC">
        <w:rPr>
          <w:rFonts w:ascii="Times New Roman" w:hAnsi="Times New Roman" w:cs="Times New Roman"/>
          <w:lang w:eastAsia="cs-CZ"/>
        </w:rPr>
        <w:t xml:space="preserve">. </w:t>
      </w:r>
      <w:r>
        <w:rPr>
          <w:rFonts w:ascii="Times New Roman" w:hAnsi="Times New Roman" w:cs="Times New Roman"/>
          <w:lang w:eastAsia="cs-CZ"/>
        </w:rPr>
        <w:t>Cieľom je postupne, za predpokladu dostupných údajov, analyzovať také časti bohatstva krajiny, ktoré nie sú vykázané v účtovných výkazoch z dôvodu náročnosti ich kvantifikácie a ocenenia (ďalšie sú nerastné suroviny, lesy a podobne). Na druhej strane stojí ich pomerne jasná definícia a definícia vlastníctva štátu z pohľadu legislatívy, preto bude veľmi dôležité po analýze východiskového stavu použiť vhodné metódy na ich meranie a ocenenie, a tak ich imputovať do čistého bohatstva.</w:t>
      </w:r>
    </w:p>
    <w:p w:rsidR="006022EF" w:rsidRPr="00A53EAC" w:rsidP="006022EF">
      <w:pPr>
        <w:bidi w:val="0"/>
        <w:spacing w:after="120" w:line="336" w:lineRule="auto"/>
        <w:jc w:val="both"/>
        <w:rPr>
          <w:rFonts w:ascii="Times New Roman" w:hAnsi="Times New Roman" w:cs="Times New Roman"/>
          <w:lang w:eastAsia="cs-CZ"/>
        </w:rPr>
      </w:pPr>
      <w:r>
        <w:rPr>
          <w:rFonts w:ascii="Times New Roman" w:hAnsi="Times New Roman" w:cs="Times New Roman"/>
          <w:lang w:eastAsia="cs-CZ"/>
        </w:rPr>
        <w:t xml:space="preserve">Zároveň došlo k úprave rozsahu správy v tom zmysle, že doteraz písaný komentár k súhrnnej účtovnej závierke prestal byť samostatnou kapitolou a informácie z neho sa použili na rozšírenie samotnej prílohy č. 2 - Súhrnnej účtovnej závierky a informácie týkajúce sa zmien vlastného imania súhrnného celku boli začlenené do kapitoly o čistom bohatstve. Odstránila sa tým určitá duplicita v poskytovaní informácií a zároveň sú niektoré podávané informácie podrobnejšie z tzv. účtovného pohľadu.  </w:t>
      </w:r>
    </w:p>
    <w:p w:rsidR="006022EF" w:rsidP="006022EF">
      <w:pPr>
        <w:bidi w:val="0"/>
        <w:rPr>
          <w:rFonts w:ascii="Times New Roman" w:eastAsia="Calibri" w:hAnsi="Times New Roman" w:cs="Times New Roman"/>
          <w:b/>
        </w:rPr>
      </w:pPr>
      <w:bookmarkStart w:id="9" w:name="f_5629755"/>
      <w:bookmarkStart w:id="10" w:name="f_5629756"/>
      <w:bookmarkStart w:id="11" w:name="f_5629757"/>
      <w:bookmarkEnd w:id="9"/>
      <w:bookmarkEnd w:id="10"/>
      <w:bookmarkEnd w:id="11"/>
      <w:r>
        <w:rPr>
          <w:rFonts w:ascii="Times New Roman" w:eastAsia="Calibri" w:hAnsi="Times New Roman" w:cs="Times New Roman"/>
          <w:b/>
        </w:rPr>
        <w:br w:type="page"/>
      </w:r>
    </w:p>
    <w:p w:rsidR="006022EF" w:rsidRPr="00A53EAC" w:rsidP="006022EF">
      <w:pPr>
        <w:bidi w:val="0"/>
        <w:spacing w:after="120" w:line="336" w:lineRule="auto"/>
        <w:jc w:val="both"/>
        <w:rPr>
          <w:rFonts w:ascii="Times New Roman" w:eastAsia="Calibri" w:hAnsi="Times New Roman" w:cs="Times New Roman" w:hint="default"/>
          <w:b/>
        </w:rPr>
      </w:pPr>
      <w:r w:rsidRPr="00A53EAC">
        <w:rPr>
          <w:rFonts w:ascii="Times New Roman" w:eastAsia="Calibri" w:hAnsi="Times New Roman" w:cs="Times New Roman" w:hint="default"/>
          <w:b/>
        </w:rPr>
        <w:t>Sú</w:t>
      </w:r>
      <w:r w:rsidRPr="00A53EAC">
        <w:rPr>
          <w:rFonts w:ascii="Times New Roman" w:eastAsia="Calibri" w:hAnsi="Times New Roman" w:cs="Times New Roman" w:hint="default"/>
          <w:b/>
        </w:rPr>
        <w:t>hrnná</w:t>
      </w:r>
      <w:r w:rsidRPr="00A53EAC">
        <w:rPr>
          <w:rFonts w:ascii="Times New Roman" w:eastAsia="Calibri" w:hAnsi="Times New Roman" w:cs="Times New Roman" w:hint="default"/>
          <w:b/>
        </w:rPr>
        <w:t xml:space="preserve"> vý</w:t>
      </w:r>
      <w:r w:rsidRPr="00A53EAC">
        <w:rPr>
          <w:rFonts w:ascii="Times New Roman" w:eastAsia="Calibri" w:hAnsi="Times New Roman" w:cs="Times New Roman" w:hint="default"/>
          <w:b/>
        </w:rPr>
        <w:t>roč</w:t>
      </w:r>
      <w:r w:rsidRPr="00A53EAC">
        <w:rPr>
          <w:rFonts w:ascii="Times New Roman" w:eastAsia="Calibri" w:hAnsi="Times New Roman" w:cs="Times New Roman" w:hint="default"/>
          <w:b/>
        </w:rPr>
        <w:t>ná</w:t>
      </w:r>
      <w:r w:rsidRPr="00A53EAC">
        <w:rPr>
          <w:rFonts w:ascii="Times New Roman" w:eastAsia="Calibri" w:hAnsi="Times New Roman" w:cs="Times New Roman" w:hint="default"/>
          <w:b/>
        </w:rPr>
        <w:t xml:space="preserve"> sprá</w:t>
      </w:r>
      <w:r w:rsidRPr="00A53EAC">
        <w:rPr>
          <w:rFonts w:ascii="Times New Roman" w:eastAsia="Calibri" w:hAnsi="Times New Roman" w:cs="Times New Roman" w:hint="default"/>
          <w:b/>
        </w:rPr>
        <w:t>va Slovenskej republiky za rok 201</w:t>
      </w:r>
      <w:r>
        <w:rPr>
          <w:rFonts w:ascii="Times New Roman" w:eastAsia="Calibri" w:hAnsi="Times New Roman" w:cs="Times New Roman"/>
          <w:b/>
        </w:rPr>
        <w:t>5</w:t>
      </w:r>
      <w:r w:rsidRPr="00A53EAC">
        <w:rPr>
          <w:rFonts w:ascii="Times New Roman" w:eastAsia="Calibri" w:hAnsi="Times New Roman" w:cs="Times New Roman" w:hint="default"/>
          <w:b/>
        </w:rPr>
        <w:t xml:space="preserve"> je č</w:t>
      </w:r>
      <w:r w:rsidRPr="00A53EAC">
        <w:rPr>
          <w:rFonts w:ascii="Times New Roman" w:eastAsia="Calibri" w:hAnsi="Times New Roman" w:cs="Times New Roman" w:hint="default"/>
          <w:b/>
        </w:rPr>
        <w:t>lenená</w:t>
      </w:r>
      <w:r w:rsidRPr="00A53EAC">
        <w:rPr>
          <w:rFonts w:ascii="Times New Roman" w:eastAsia="Calibri" w:hAnsi="Times New Roman" w:cs="Times New Roman" w:hint="default"/>
          <w:b/>
        </w:rPr>
        <w:t xml:space="preserve"> nasledovne:</w:t>
      </w:r>
    </w:p>
    <w:p w:rsidR="006022EF" w:rsidRPr="00A53EAC" w:rsidP="006022EF">
      <w:pPr>
        <w:numPr>
          <w:numId w:val="8"/>
        </w:numPr>
        <w:bidi w:val="0"/>
        <w:spacing w:after="120" w:line="336" w:lineRule="auto"/>
        <w:ind w:left="426" w:hanging="426"/>
        <w:jc w:val="both"/>
        <w:rPr>
          <w:rFonts w:ascii="Times New Roman" w:hAnsi="Times New Roman" w:cs="Book Antiqua"/>
          <w:lang w:eastAsia="sk-SK"/>
        </w:rPr>
      </w:pPr>
      <w:r w:rsidRPr="00A53EAC">
        <w:rPr>
          <w:rFonts w:ascii="Times New Roman" w:hAnsi="Times New Roman" w:cs="Book Antiqua"/>
          <w:i/>
          <w:lang w:eastAsia="sk-SK"/>
        </w:rPr>
        <w:t>Zhrnutie</w:t>
      </w:r>
      <w:r w:rsidRPr="00A53EAC">
        <w:rPr>
          <w:rFonts w:ascii="Times New Roman" w:hAnsi="Times New Roman" w:cs="Book Antiqua"/>
          <w:lang w:eastAsia="sk-SK"/>
        </w:rPr>
        <w:t xml:space="preserve"> prezentuje najdôležitejšie údaje o hospodárení verejných financií Slovenskej republiky za rok 201</w:t>
      </w:r>
      <w:r>
        <w:rPr>
          <w:rFonts w:ascii="Times New Roman" w:hAnsi="Times New Roman" w:cs="Book Antiqua"/>
          <w:lang w:eastAsia="sk-SK"/>
        </w:rPr>
        <w:t>5</w:t>
      </w:r>
      <w:r w:rsidRPr="00A53EAC">
        <w:rPr>
          <w:rFonts w:ascii="Times New Roman" w:hAnsi="Times New Roman" w:cs="Book Antiqua"/>
          <w:lang w:eastAsia="sk-SK"/>
        </w:rPr>
        <w:t xml:space="preserve">. Detailnejšie informácie možno nájsť v jednotlivých kapitolách správy. </w:t>
      </w:r>
    </w:p>
    <w:p w:rsidR="006022EF" w:rsidRPr="00A53EAC" w:rsidP="006022EF">
      <w:pPr>
        <w:numPr>
          <w:numId w:val="8"/>
        </w:numPr>
        <w:bidi w:val="0"/>
        <w:spacing w:after="120" w:line="336" w:lineRule="auto"/>
        <w:ind w:left="426" w:hanging="426"/>
        <w:jc w:val="both"/>
        <w:rPr>
          <w:rFonts w:ascii="Times New Roman" w:hAnsi="Times New Roman" w:cs="Book Antiqua"/>
          <w:lang w:eastAsia="sk-SK"/>
        </w:rPr>
      </w:pPr>
      <w:r w:rsidRPr="00A53EAC">
        <w:rPr>
          <w:rFonts w:ascii="Times New Roman" w:hAnsi="Times New Roman" w:cs="Book Antiqua"/>
          <w:i/>
          <w:lang w:eastAsia="sk-SK"/>
        </w:rPr>
        <w:t>Prvá kapitola</w:t>
      </w:r>
      <w:r w:rsidRPr="00A53EAC">
        <w:rPr>
          <w:rFonts w:ascii="Times New Roman" w:hAnsi="Times New Roman" w:cs="Book Antiqua"/>
          <w:lang w:eastAsia="sk-SK"/>
        </w:rPr>
        <w:t xml:space="preserve"> prezentuje verejné financie z pohľadu sektorového členenia verejnej správy podľa metodiky ESA 2010. Dôraz sa kladie na príspevok jednotlivých skupín subjektov verejnej správy k výsledku rozpočtového hospodárenia verejnej správy. Hlavnými údajmi tejto časti sú saldo a dlh verejnej správy</w:t>
      </w:r>
      <w:r>
        <w:rPr>
          <w:rFonts w:ascii="Times New Roman" w:hAnsi="Times New Roman" w:cs="Book Antiqua"/>
          <w:lang w:eastAsia="sk-SK"/>
        </w:rPr>
        <w:t xml:space="preserve"> podľa maastrichtských kritérií</w:t>
      </w:r>
      <w:r w:rsidRPr="00A53EAC">
        <w:rPr>
          <w:rFonts w:ascii="Times New Roman" w:hAnsi="Times New Roman" w:cs="Book Antiqua"/>
          <w:lang w:eastAsia="sk-SK"/>
        </w:rPr>
        <w:t>.</w:t>
      </w:r>
    </w:p>
    <w:p w:rsidR="006022EF" w:rsidRPr="00A53EAC" w:rsidP="006022EF">
      <w:pPr>
        <w:numPr>
          <w:numId w:val="8"/>
        </w:numPr>
        <w:bidi w:val="0"/>
        <w:spacing w:after="120" w:line="336" w:lineRule="auto"/>
        <w:ind w:left="426" w:hanging="426"/>
        <w:jc w:val="both"/>
        <w:rPr>
          <w:rFonts w:ascii="Times New Roman" w:hAnsi="Times New Roman" w:cs="Book Antiqua"/>
          <w:lang w:eastAsia="sk-SK"/>
        </w:rPr>
      </w:pPr>
      <w:r w:rsidRPr="00A53EAC">
        <w:rPr>
          <w:rFonts w:ascii="Times New Roman" w:hAnsi="Times New Roman" w:cs="Book Antiqua"/>
          <w:i/>
          <w:lang w:eastAsia="sk-SK"/>
        </w:rPr>
        <w:t>Druhá kapitola</w:t>
      </w:r>
      <w:r w:rsidRPr="00A53EAC">
        <w:rPr>
          <w:rFonts w:ascii="Times New Roman" w:hAnsi="Times New Roman" w:cs="Book Antiqua"/>
          <w:lang w:eastAsia="sk-SK"/>
        </w:rPr>
        <w:t xml:space="preserve"> nadväzuje na </w:t>
      </w:r>
      <w:r>
        <w:rPr>
          <w:rFonts w:ascii="Times New Roman" w:hAnsi="Times New Roman" w:cs="Book Antiqua"/>
          <w:lang w:eastAsia="sk-SK"/>
        </w:rPr>
        <w:t>prvú</w:t>
      </w:r>
      <w:r w:rsidRPr="00A53EAC">
        <w:rPr>
          <w:rFonts w:ascii="Times New Roman" w:hAnsi="Times New Roman" w:cs="Book Antiqua"/>
          <w:lang w:eastAsia="sk-SK"/>
        </w:rPr>
        <w:t xml:space="preserve"> v hodnotení verejných financií z pohľadu sektora verejnej správy. Pokiaľ sa však prvá kapitola zameriava striktne na údaje v metodike ESA 2010, ktoré sú obsahom októbrovej notifikácie, druhá kapitola hodnotí vývoj verejnej správy najmä z pohľadu údajov, ktoré má obsahovať súhrnná správa na základe ústavného zákona o rozpočtovej zodpovednosti. Tieto údaje prehlbujú analytický pohľad na hospodárenie verejnej správy.</w:t>
      </w:r>
    </w:p>
    <w:p w:rsidR="006022EF" w:rsidRPr="00A53EAC" w:rsidP="006022EF">
      <w:pPr>
        <w:numPr>
          <w:numId w:val="8"/>
        </w:numPr>
        <w:bidi w:val="0"/>
        <w:spacing w:after="120" w:line="336" w:lineRule="auto"/>
        <w:ind w:left="426" w:hanging="426"/>
        <w:jc w:val="both"/>
        <w:rPr>
          <w:rFonts w:ascii="Times New Roman" w:hAnsi="Times New Roman" w:cs="Book Antiqua"/>
          <w:lang w:eastAsia="sk-SK"/>
        </w:rPr>
      </w:pPr>
      <w:r w:rsidRPr="00A53EAC">
        <w:rPr>
          <w:rFonts w:ascii="Times New Roman" w:hAnsi="Times New Roman" w:cs="Book Antiqua"/>
          <w:i/>
          <w:lang w:eastAsia="sk-SK"/>
        </w:rPr>
        <w:t xml:space="preserve">Tretia </w:t>
      </w:r>
      <w:r w:rsidRPr="00A53EAC">
        <w:rPr>
          <w:rFonts w:ascii="Times New Roman" w:eastAsia="Cambria" w:hAnsi="Times New Roman" w:cs="Book Antiqua"/>
          <w:i/>
          <w:lang w:eastAsia="sk-SK"/>
        </w:rPr>
        <w:t>kapitola</w:t>
      </w:r>
      <w:r w:rsidRPr="00A53EAC">
        <w:rPr>
          <w:rFonts w:ascii="Times New Roman" w:eastAsia="Cambria" w:hAnsi="Times New Roman" w:cs="Book Antiqua" w:hint="default"/>
          <w:lang w:eastAsia="sk-SK"/>
        </w:rPr>
        <w:t xml:space="preserve"> rozš</w:t>
      </w:r>
      <w:r w:rsidRPr="00A53EAC">
        <w:rPr>
          <w:rFonts w:ascii="Times New Roman" w:eastAsia="Cambria" w:hAnsi="Times New Roman" w:cs="Book Antiqua" w:hint="default"/>
          <w:lang w:eastAsia="sk-SK"/>
        </w:rPr>
        <w:t>iruje pohľ</w:t>
      </w:r>
      <w:r w:rsidRPr="00A53EAC">
        <w:rPr>
          <w:rFonts w:ascii="Times New Roman" w:eastAsia="Cambria" w:hAnsi="Times New Roman" w:cs="Book Antiqua" w:hint="default"/>
          <w:lang w:eastAsia="sk-SK"/>
        </w:rPr>
        <w:t>ad na verejné</w:t>
      </w:r>
      <w:r w:rsidRPr="00A53EAC">
        <w:rPr>
          <w:rFonts w:ascii="Times New Roman" w:eastAsia="Cambria" w:hAnsi="Times New Roman" w:cs="Book Antiqua" w:hint="default"/>
          <w:lang w:eastAsia="sk-SK"/>
        </w:rPr>
        <w:t xml:space="preserve"> financie z </w:t>
      </w:r>
      <w:r w:rsidRPr="00A53EAC">
        <w:rPr>
          <w:rFonts w:ascii="Times New Roman" w:eastAsia="Cambria" w:hAnsi="Times New Roman" w:cs="Book Antiqua" w:hint="default"/>
          <w:lang w:eastAsia="sk-SK"/>
        </w:rPr>
        <w:t>verejnej sprá</w:t>
      </w:r>
      <w:r w:rsidRPr="00A53EAC">
        <w:rPr>
          <w:rFonts w:ascii="Times New Roman" w:eastAsia="Cambria" w:hAnsi="Times New Roman" w:cs="Book Antiqua" w:hint="default"/>
          <w:lang w:eastAsia="sk-SK"/>
        </w:rPr>
        <w:t>vy na verejný</w:t>
      </w:r>
      <w:r w:rsidRPr="00A53EAC">
        <w:rPr>
          <w:rFonts w:ascii="Times New Roman" w:eastAsia="Cambria" w:hAnsi="Times New Roman" w:cs="Book Antiqua" w:hint="default"/>
          <w:lang w:eastAsia="sk-SK"/>
        </w:rPr>
        <w:t xml:space="preserve"> sektor a </w:t>
      </w:r>
      <w:r w:rsidRPr="00A53EAC">
        <w:rPr>
          <w:rFonts w:ascii="Times New Roman" w:eastAsia="Cambria" w:hAnsi="Times New Roman" w:cs="Book Antiqua" w:hint="default"/>
          <w:lang w:eastAsia="sk-SK"/>
        </w:rPr>
        <w:t>jeho hlavný</w:t>
      </w:r>
      <w:r w:rsidRPr="00A53EAC">
        <w:rPr>
          <w:rFonts w:ascii="Times New Roman" w:eastAsia="Cambria" w:hAnsi="Times New Roman" w:cs="Book Antiqua" w:hint="default"/>
          <w:lang w:eastAsia="sk-SK"/>
        </w:rPr>
        <w:t xml:space="preserve"> ukazovateľ</w:t>
      </w:r>
      <w:r w:rsidRPr="00A53EAC">
        <w:rPr>
          <w:rFonts w:ascii="Times New Roman" w:eastAsia="Cambria" w:hAnsi="Times New Roman" w:cs="Book Antiqua" w:hint="default"/>
          <w:lang w:eastAsia="sk-SK"/>
        </w:rPr>
        <w:t xml:space="preserve"> č</w:t>
      </w:r>
      <w:r w:rsidRPr="00A53EAC">
        <w:rPr>
          <w:rFonts w:ascii="Times New Roman" w:eastAsia="Cambria" w:hAnsi="Times New Roman" w:cs="Book Antiqua" w:hint="default"/>
          <w:lang w:eastAsia="sk-SK"/>
        </w:rPr>
        <w:t>isté</w:t>
      </w:r>
      <w:r w:rsidRPr="00A53EAC">
        <w:rPr>
          <w:rFonts w:ascii="Times New Roman" w:eastAsia="Cambria" w:hAnsi="Times New Roman" w:cs="Book Antiqua" w:hint="default"/>
          <w:lang w:eastAsia="sk-SK"/>
        </w:rPr>
        <w:t xml:space="preserve"> bohatstvo.</w:t>
      </w:r>
      <w:r w:rsidRPr="00A53EAC">
        <w:rPr>
          <w:rFonts w:ascii="Times New Roman" w:hAnsi="Times New Roman" w:cs="Book Antiqua"/>
          <w:lang w:eastAsia="sk-SK"/>
        </w:rPr>
        <w:t xml:space="preserve"> V tejto časti je popísaná štruktúra a medziročné zmeny čistého bohatstva, v súlade s ústavným zákonom o rozpočtovej zodpovednosti je dôraz kladený na popis hospodárenia podnikov štátnej správy.</w:t>
      </w:r>
    </w:p>
    <w:p w:rsidR="006022EF" w:rsidRPr="00A53EAC" w:rsidP="006022EF">
      <w:pPr>
        <w:numPr>
          <w:numId w:val="8"/>
        </w:numPr>
        <w:bidi w:val="0"/>
        <w:spacing w:after="120" w:line="336" w:lineRule="auto"/>
        <w:ind w:left="426" w:hanging="426"/>
        <w:jc w:val="both"/>
        <w:rPr>
          <w:rFonts w:ascii="Times New Roman" w:hAnsi="Times New Roman" w:cs="Book Antiqua"/>
          <w:lang w:eastAsia="sk-SK"/>
        </w:rPr>
      </w:pPr>
      <w:r w:rsidRPr="00A53EAC">
        <w:rPr>
          <w:rFonts w:ascii="Times New Roman" w:hAnsi="Times New Roman" w:cs="Book Antiqua"/>
          <w:i/>
          <w:lang w:eastAsia="sk-SK"/>
        </w:rPr>
        <w:t>Príloha č. 1</w:t>
      </w:r>
      <w:r w:rsidRPr="00A53EAC">
        <w:rPr>
          <w:rFonts w:ascii="Times New Roman" w:hAnsi="Times New Roman" w:cs="Book Antiqua"/>
          <w:lang w:eastAsia="sk-SK"/>
        </w:rPr>
        <w:t xml:space="preserve"> má tabuľkovú podobu a viaže sa k tretej kapitole. Obsahuje zoznam podnikov štátnej správy s údajmi o ich výsledku hospodárenia</w:t>
      </w:r>
      <w:r>
        <w:rPr>
          <w:rFonts w:ascii="Times New Roman" w:hAnsi="Times New Roman" w:cs="Book Antiqua"/>
          <w:lang w:eastAsia="sk-SK"/>
        </w:rPr>
        <w:t>,</w:t>
      </w:r>
      <w:r w:rsidRPr="00A53EAC">
        <w:rPr>
          <w:rFonts w:ascii="Times New Roman" w:hAnsi="Times New Roman" w:cs="Book Antiqua"/>
          <w:lang w:eastAsia="sk-SK"/>
        </w:rPr>
        <w:t> výške vlastné</w:t>
      </w:r>
      <w:r>
        <w:rPr>
          <w:rFonts w:ascii="Times New Roman" w:hAnsi="Times New Roman" w:cs="Book Antiqua"/>
          <w:lang w:eastAsia="sk-SK"/>
        </w:rPr>
        <w:t xml:space="preserve">ho imania za posledné tri roky a </w:t>
      </w:r>
      <w:r w:rsidRPr="00A53EAC">
        <w:rPr>
          <w:rFonts w:ascii="Times New Roman" w:hAnsi="Times New Roman" w:cs="Book Antiqua"/>
          <w:lang w:eastAsia="sk-SK"/>
        </w:rPr>
        <w:t>o výške vlastníckeho podielu štátu v</w:t>
      </w:r>
      <w:r>
        <w:rPr>
          <w:rFonts w:ascii="Times New Roman" w:hAnsi="Times New Roman" w:cs="Book Antiqua"/>
          <w:lang w:eastAsia="sk-SK"/>
        </w:rPr>
        <w:t> </w:t>
      </w:r>
      <w:r w:rsidRPr="00A53EAC">
        <w:rPr>
          <w:rFonts w:ascii="Times New Roman" w:hAnsi="Times New Roman" w:cs="Book Antiqua"/>
          <w:lang w:eastAsia="sk-SK"/>
        </w:rPr>
        <w:t>podnikoch</w:t>
      </w:r>
      <w:r>
        <w:rPr>
          <w:rFonts w:ascii="Times New Roman" w:hAnsi="Times New Roman" w:cs="Book Antiqua"/>
          <w:lang w:eastAsia="sk-SK"/>
        </w:rPr>
        <w:t>.</w:t>
      </w:r>
    </w:p>
    <w:p w:rsidR="006022EF" w:rsidRPr="00A53EAC" w:rsidP="006022EF">
      <w:pPr>
        <w:numPr>
          <w:numId w:val="8"/>
        </w:numPr>
        <w:bidi w:val="0"/>
        <w:spacing w:after="120" w:line="336" w:lineRule="auto"/>
        <w:ind w:left="426" w:hanging="426"/>
        <w:jc w:val="both"/>
        <w:rPr>
          <w:rFonts w:ascii="Times New Roman" w:hAnsi="Times New Roman" w:cs="Times New Roman"/>
          <w:lang w:eastAsia="cs-CZ"/>
        </w:rPr>
      </w:pPr>
      <w:r w:rsidRPr="00A53EAC">
        <w:rPr>
          <w:rFonts w:ascii="Times New Roman" w:hAnsi="Times New Roman" w:cs="Book Antiqua"/>
          <w:i/>
          <w:lang w:eastAsia="sk-SK"/>
        </w:rPr>
        <w:t>Príloha č. 2</w:t>
      </w:r>
      <w:r w:rsidRPr="00A53EAC">
        <w:rPr>
          <w:rFonts w:ascii="Times New Roman" w:hAnsi="Times New Roman" w:cs="Book Antiqua"/>
          <w:lang w:eastAsia="sk-SK"/>
        </w:rPr>
        <w:t xml:space="preserve"> </w:t>
      </w:r>
      <w:r>
        <w:rPr>
          <w:rFonts w:ascii="Times New Roman" w:hAnsi="Times New Roman" w:cs="Book Antiqua"/>
          <w:lang w:eastAsia="sk-SK"/>
        </w:rPr>
        <w:t>predstavuje súhrnnú účtovnú</w:t>
      </w:r>
      <w:r w:rsidRPr="00A53EAC">
        <w:rPr>
          <w:rFonts w:ascii="Times New Roman" w:hAnsi="Times New Roman" w:cs="Book Antiqua"/>
          <w:lang w:eastAsia="sk-SK"/>
        </w:rPr>
        <w:t xml:space="preserve"> závierku verejnej správy </w:t>
      </w:r>
      <w:r>
        <w:rPr>
          <w:rFonts w:ascii="Times New Roman" w:hAnsi="Times New Roman" w:cs="Book Antiqua"/>
          <w:lang w:eastAsia="sk-SK"/>
        </w:rPr>
        <w:t>Slovenskej republiky za rok 2015, ktorá je povinnou súčasťou tejto správy v súlade so zákonom o rozpočtových pravidlách.</w:t>
      </w:r>
    </w:p>
    <w:p w:rsidR="006022EF" w:rsidRPr="00A53EAC" w:rsidP="006022EF">
      <w:pPr>
        <w:bidi w:val="0"/>
        <w:spacing w:after="120" w:line="336" w:lineRule="auto"/>
        <w:jc w:val="both"/>
        <w:rPr>
          <w:rFonts w:ascii="Times New Roman" w:hAnsi="Times New Roman" w:cs="Times New Roman"/>
          <w:lang w:eastAsia="cs-CZ"/>
        </w:rPr>
      </w:pPr>
      <w:r>
        <w:rPr>
          <w:rFonts w:ascii="Times New Roman" w:hAnsi="Times New Roman" w:cs="Times New Roman"/>
          <w:lang w:eastAsia="cs-CZ"/>
        </w:rPr>
        <w:t>Ďalej je s</w:t>
      </w:r>
      <w:r w:rsidRPr="00A53EAC">
        <w:rPr>
          <w:rFonts w:ascii="Times New Roman" w:hAnsi="Times New Roman" w:cs="Times New Roman"/>
          <w:lang w:eastAsia="cs-CZ"/>
        </w:rPr>
        <w:t xml:space="preserve">účasťou správy </w:t>
      </w:r>
      <w:r w:rsidRPr="00A53EAC">
        <w:rPr>
          <w:rFonts w:ascii="Times New Roman" w:hAnsi="Times New Roman" w:cs="Book Antiqua"/>
          <w:i/>
          <w:lang w:eastAsia="sk-SK"/>
        </w:rPr>
        <w:t>slovník odborných pojmov</w:t>
      </w:r>
      <w:r w:rsidRPr="00A53EAC">
        <w:rPr>
          <w:rFonts w:ascii="Times New Roman" w:hAnsi="Times New Roman" w:cs="Times New Roman"/>
          <w:lang w:eastAsia="cs-CZ"/>
        </w:rPr>
        <w:t>, ktorý detailne</w:t>
      </w:r>
      <w:r>
        <w:rPr>
          <w:rFonts w:ascii="Times New Roman" w:hAnsi="Times New Roman" w:cs="Times New Roman"/>
          <w:lang w:eastAsia="cs-CZ"/>
        </w:rPr>
        <w:t>,</w:t>
      </w:r>
      <w:r w:rsidRPr="00A53EAC">
        <w:rPr>
          <w:rFonts w:ascii="Times New Roman" w:hAnsi="Times New Roman" w:cs="Times New Roman"/>
          <w:lang w:eastAsia="cs-CZ"/>
        </w:rPr>
        <w:t xml:space="preserve"> ale zároveň zrozumiteľne vysvetľuje hlavné pojmy obsiahnuté v správe. V dokumente sa uvádza množstvo názvov a viacero zákonov v skrátenej podobe, preto je priložený aj </w:t>
      </w:r>
      <w:r w:rsidRPr="00A53EAC">
        <w:rPr>
          <w:rFonts w:ascii="Times New Roman" w:hAnsi="Times New Roman" w:cs="Book Antiqua"/>
          <w:i/>
          <w:lang w:eastAsia="sk-SK"/>
        </w:rPr>
        <w:t>zoznam skratiek</w:t>
      </w:r>
      <w:r w:rsidRPr="00A53EAC">
        <w:rPr>
          <w:rFonts w:ascii="Times New Roman" w:hAnsi="Times New Roman" w:cs="Times New Roman"/>
          <w:lang w:eastAsia="cs-CZ"/>
        </w:rPr>
        <w:t>.</w:t>
      </w:r>
    </w:p>
    <w:p w:rsidR="006022EF" w:rsidRPr="00A53EAC" w:rsidP="006022EF">
      <w:pPr>
        <w:bidi w:val="0"/>
        <w:spacing w:after="120" w:line="336" w:lineRule="auto"/>
        <w:jc w:val="both"/>
        <w:rPr>
          <w:rFonts w:ascii="Times New Roman" w:hAnsi="Times New Roman" w:cs="Times New Roman"/>
          <w:lang w:eastAsia="cs-CZ"/>
        </w:rPr>
      </w:pPr>
      <w:r w:rsidRPr="00A53EAC">
        <w:rPr>
          <w:rFonts w:ascii="Times New Roman" w:hAnsi="Times New Roman" w:cs="Times New Roman"/>
          <w:lang w:eastAsia="cs-CZ"/>
        </w:rPr>
        <w:t xml:space="preserve">K správe je priložená aj </w:t>
      </w:r>
      <w:r w:rsidRPr="00A53EAC">
        <w:rPr>
          <w:rFonts w:ascii="Times New Roman" w:hAnsi="Times New Roman" w:cs="Book Antiqua"/>
          <w:i/>
          <w:lang w:eastAsia="sk-SK"/>
        </w:rPr>
        <w:t>elektronická príloha</w:t>
      </w:r>
      <w:r w:rsidRPr="00A53EAC">
        <w:rPr>
          <w:rFonts w:ascii="Times New Roman" w:hAnsi="Times New Roman" w:cs="Times New Roman"/>
          <w:lang w:eastAsia="cs-CZ"/>
        </w:rPr>
        <w:t>, ktorá sa viaže k prvej kapitole a je zverejnená len na internetovej stránke MF SR spolu s hlavným dokumentom. Elektronická príloha obsahuje štruktúru schodku verejnej správy a jeho financovanie v roku 201</w:t>
      </w:r>
      <w:r>
        <w:rPr>
          <w:rFonts w:ascii="Times New Roman" w:hAnsi="Times New Roman" w:cs="Times New Roman"/>
          <w:lang w:eastAsia="cs-CZ"/>
        </w:rPr>
        <w:t>5</w:t>
      </w:r>
      <w:r w:rsidRPr="00A53EAC">
        <w:rPr>
          <w:rFonts w:ascii="Times New Roman" w:hAnsi="Times New Roman" w:cs="Times New Roman"/>
          <w:lang w:eastAsia="cs-CZ"/>
        </w:rPr>
        <w:t xml:space="preserve"> podľa jednotlivých skupín subjektov v metodike ESA 2010 (prechod od hotovostného schodku ku schodku v metodike ESA 2010).</w:t>
      </w:r>
    </w:p>
    <w:p w:rsidR="0000435D" w:rsidRPr="00A53EAC" w:rsidP="006022EF">
      <w:pPr>
        <w:bidi w:val="0"/>
        <w:spacing w:after="120" w:line="336" w:lineRule="auto"/>
        <w:jc w:val="both"/>
        <w:rPr>
          <w:rFonts w:ascii="Times New Roman" w:hAnsi="Times New Roman" w:cs="Times New Roman"/>
          <w:lang w:eastAsia="cs-CZ"/>
        </w:rPr>
      </w:pPr>
      <w:r w:rsidRPr="00A53EAC" w:rsidR="006022EF">
        <w:rPr>
          <w:rFonts w:ascii="Times New Roman" w:hAnsi="Times New Roman" w:cs="Times New Roman"/>
          <w:lang w:eastAsia="cs-CZ"/>
        </w:rPr>
        <w:t xml:space="preserve">Pri výpočte podielových ukazovateľov verejných financií boli použité údaje o HDP v bežných cenách, ktoré boli notifikované v rámci októbrovej notifikácie: </w:t>
      </w:r>
      <w:r w:rsidR="006022EF">
        <w:rPr>
          <w:rFonts w:ascii="Times New Roman" w:hAnsi="Times New Roman" w:cs="Times New Roman"/>
          <w:lang w:eastAsia="cs-CZ"/>
        </w:rPr>
        <w:t xml:space="preserve">2015: 78 685 608 tis. eur, </w:t>
      </w:r>
      <w:r w:rsidRPr="00A53EAC" w:rsidR="006022EF">
        <w:rPr>
          <w:rFonts w:ascii="Times New Roman" w:hAnsi="Times New Roman" w:cs="Times New Roman"/>
          <w:lang w:eastAsia="cs-CZ"/>
        </w:rPr>
        <w:t>2014</w:t>
      </w:r>
      <w:r w:rsidR="006022EF">
        <w:rPr>
          <w:rFonts w:ascii="Times New Roman" w:hAnsi="Times New Roman" w:cs="Times New Roman"/>
          <w:lang w:eastAsia="cs-CZ"/>
        </w:rPr>
        <w:t xml:space="preserve">: </w:t>
      </w:r>
      <w:r w:rsidRPr="00A53EAC" w:rsidR="006022EF">
        <w:rPr>
          <w:rFonts w:ascii="Times New Roman" w:hAnsi="Times New Roman" w:cs="Times New Roman"/>
          <w:lang w:eastAsia="cs-CZ"/>
        </w:rPr>
        <w:t xml:space="preserve">75 </w:t>
      </w:r>
      <w:r w:rsidR="006022EF">
        <w:rPr>
          <w:rFonts w:ascii="Times New Roman" w:hAnsi="Times New Roman" w:cs="Times New Roman"/>
          <w:lang w:eastAsia="cs-CZ"/>
        </w:rPr>
        <w:t>946</w:t>
      </w:r>
      <w:r w:rsidRPr="00A53EAC" w:rsidR="006022EF">
        <w:rPr>
          <w:rFonts w:ascii="Times New Roman" w:hAnsi="Times New Roman" w:cs="Times New Roman"/>
          <w:lang w:eastAsia="cs-CZ"/>
        </w:rPr>
        <w:t xml:space="preserve"> </w:t>
      </w:r>
      <w:r w:rsidR="006022EF">
        <w:rPr>
          <w:rFonts w:ascii="Times New Roman" w:hAnsi="Times New Roman" w:cs="Times New Roman"/>
          <w:lang w:eastAsia="cs-CZ"/>
        </w:rPr>
        <w:t>359</w:t>
      </w:r>
      <w:r w:rsidRPr="00A53EAC" w:rsidR="006022EF">
        <w:rPr>
          <w:rFonts w:ascii="Times New Roman" w:hAnsi="Times New Roman" w:cs="Times New Roman"/>
          <w:lang w:eastAsia="cs-CZ"/>
        </w:rPr>
        <w:t> tis. eur, 2013</w:t>
      </w:r>
      <w:r w:rsidR="006022EF">
        <w:rPr>
          <w:rFonts w:ascii="Times New Roman" w:hAnsi="Times New Roman" w:cs="Times New Roman"/>
          <w:lang w:eastAsia="cs-CZ"/>
        </w:rPr>
        <w:t>:</w:t>
      </w:r>
      <w:r w:rsidRPr="00A53EAC" w:rsidR="006022EF">
        <w:rPr>
          <w:rFonts w:ascii="Times New Roman" w:hAnsi="Times New Roman" w:cs="Times New Roman"/>
          <w:lang w:eastAsia="cs-CZ"/>
        </w:rPr>
        <w:t xml:space="preserve"> 7</w:t>
      </w:r>
      <w:r w:rsidR="006022EF">
        <w:rPr>
          <w:rFonts w:ascii="Times New Roman" w:hAnsi="Times New Roman" w:cs="Times New Roman"/>
          <w:lang w:eastAsia="cs-CZ"/>
        </w:rPr>
        <w:t>4 169 873</w:t>
      </w:r>
      <w:r w:rsidRPr="00A53EAC" w:rsidR="006022EF">
        <w:rPr>
          <w:rFonts w:ascii="Times New Roman" w:hAnsi="Times New Roman" w:cs="Times New Roman"/>
          <w:lang w:eastAsia="cs-CZ"/>
        </w:rPr>
        <w:t> tis. eur</w:t>
      </w:r>
      <w:r w:rsidR="006022EF">
        <w:rPr>
          <w:rFonts w:ascii="Times New Roman" w:hAnsi="Times New Roman" w:cs="Times New Roman"/>
          <w:lang w:eastAsia="cs-CZ"/>
        </w:rPr>
        <w:t>.</w:t>
      </w:r>
      <w:r w:rsidRPr="00A53EAC" w:rsidR="006022EF">
        <w:rPr>
          <w:rFonts w:ascii="Times New Roman" w:hAnsi="Times New Roman" w:cs="Times New Roman"/>
          <w:lang w:eastAsia="cs-CZ"/>
        </w:rPr>
        <w:t xml:space="preserve"> Oproti minuloročnej správe sa zmenili hodnoty HDP za roky 201</w:t>
      </w:r>
      <w:r w:rsidR="006022EF">
        <w:rPr>
          <w:rFonts w:ascii="Times New Roman" w:hAnsi="Times New Roman" w:cs="Times New Roman"/>
          <w:lang w:eastAsia="cs-CZ"/>
        </w:rPr>
        <w:t>3</w:t>
      </w:r>
      <w:r w:rsidRPr="00A53EAC" w:rsidR="006022EF">
        <w:rPr>
          <w:rFonts w:ascii="Times New Roman" w:hAnsi="Times New Roman" w:cs="Times New Roman"/>
          <w:lang w:eastAsia="cs-CZ"/>
        </w:rPr>
        <w:t xml:space="preserve"> aj 201</w:t>
      </w:r>
      <w:r w:rsidR="006022EF">
        <w:rPr>
          <w:rFonts w:ascii="Times New Roman" w:hAnsi="Times New Roman" w:cs="Times New Roman"/>
          <w:lang w:eastAsia="cs-CZ"/>
        </w:rPr>
        <w:t>4</w:t>
      </w:r>
      <w:r w:rsidRPr="00A53EAC" w:rsidR="006022EF">
        <w:rPr>
          <w:rFonts w:ascii="Times New Roman" w:hAnsi="Times New Roman" w:cs="Times New Roman"/>
          <w:lang w:eastAsia="cs-CZ"/>
        </w:rPr>
        <w:t>, čo mohlo mať dopad na zmenu veľkosti podielových ukazovateľov na HDP v týchto rokoch.</w:t>
      </w:r>
    </w:p>
    <w:p w:rsidR="00472200" w:rsidRPr="00A53EAC">
      <w:pPr>
        <w:bidi w:val="0"/>
        <w:rPr>
          <w:rFonts w:ascii="Times New Roman" w:hAnsi="Times New Roman" w:cs="Times New Roman"/>
          <w:b/>
          <w:bCs/>
          <w:sz w:val="26"/>
          <w:szCs w:val="26"/>
        </w:rPr>
      </w:pPr>
      <w:bookmarkStart w:id="12" w:name="_Toc401920005"/>
      <w:r w:rsidRPr="00A53EAC">
        <w:rPr>
          <w:rFonts w:eastAsia="Times New Roman"/>
        </w:rPr>
        <w:br w:type="page"/>
      </w:r>
    </w:p>
    <w:p w:rsidR="003A760D" w:rsidRPr="00A53EAC" w:rsidP="0080190B">
      <w:pPr>
        <w:pStyle w:val="Heading1"/>
        <w:bidi w:val="0"/>
        <w:spacing w:line="336" w:lineRule="auto"/>
        <w:ind w:left="425" w:hanging="425"/>
        <w:rPr>
          <w:rFonts w:eastAsia="Times New Roman"/>
          <w:szCs w:val="22"/>
        </w:rPr>
      </w:pPr>
      <w:bookmarkStart w:id="13" w:name="_Toc465255007"/>
      <w:bookmarkStart w:id="14" w:name="_Toc465258471"/>
      <w:r w:rsidRPr="00A53EAC">
        <w:rPr>
          <w:rFonts w:eastAsia="Times New Roman"/>
        </w:rPr>
        <w:t xml:space="preserve">Hospodárenie verejnej správy v metodike ESA </w:t>
      </w:r>
      <w:bookmarkEnd w:id="8"/>
      <w:r w:rsidRPr="00A53EAC" w:rsidR="008F1C12">
        <w:rPr>
          <w:rFonts w:eastAsia="Times New Roman"/>
        </w:rPr>
        <w:t>2010</w:t>
      </w:r>
      <w:bookmarkEnd w:id="12"/>
      <w:bookmarkEnd w:id="13"/>
      <w:bookmarkEnd w:id="14"/>
      <w:r w:rsidRPr="00A53EAC">
        <w:rPr>
          <w:rFonts w:eastAsia="Times New Roman"/>
        </w:rPr>
        <w:t xml:space="preserve"> </w:t>
      </w:r>
    </w:p>
    <w:p w:rsidR="006F14B2" w:rsidP="006F14B2">
      <w:pPr>
        <w:bidi w:val="0"/>
        <w:spacing w:after="120" w:line="336" w:lineRule="auto"/>
        <w:jc w:val="both"/>
        <w:rPr>
          <w:rFonts w:ascii="Times New Roman" w:hAnsi="Times New Roman" w:cs="Times New Roman"/>
          <w:szCs w:val="22"/>
        </w:rPr>
      </w:pPr>
      <w:bookmarkStart w:id="15" w:name="_Toc399324357"/>
      <w:r w:rsidRPr="00A53EAC">
        <w:rPr>
          <w:rFonts w:ascii="Times New Roman" w:hAnsi="Times New Roman" w:cs="Times New Roman"/>
          <w:szCs w:val="22"/>
        </w:rPr>
        <w:t>V tejto časti sú prezentované verejné financie z pohľadu verejnej správy podľa metodiky ESA 2010</w:t>
      </w:r>
      <w:r>
        <w:rPr>
          <w:rFonts w:ascii="Times New Roman" w:hAnsi="Times New Roman" w:cs="Times New Roman"/>
          <w:szCs w:val="22"/>
        </w:rPr>
        <w:t>, uplatňovanej pre členské štáty EÚ</w:t>
      </w:r>
      <w:r w:rsidRPr="00A53EAC">
        <w:rPr>
          <w:rFonts w:ascii="Times New Roman" w:hAnsi="Times New Roman" w:cs="Times New Roman"/>
          <w:szCs w:val="22"/>
        </w:rPr>
        <w:t>. Kapitola obsahuje údaje, ktoré sú predmetom októbrovej notifikácie</w:t>
      </w:r>
      <w:r>
        <w:rPr>
          <w:rFonts w:ascii="Times New Roman" w:hAnsi="Times New Roman" w:cs="Times New Roman"/>
          <w:szCs w:val="22"/>
        </w:rPr>
        <w:t xml:space="preserve"> zo strany Eurostatu, a to</w:t>
      </w:r>
      <w:r w:rsidRPr="00A53EAC">
        <w:rPr>
          <w:rFonts w:ascii="Times New Roman" w:hAnsi="Times New Roman" w:cs="Times New Roman"/>
          <w:szCs w:val="22"/>
        </w:rPr>
        <w:t xml:space="preserve"> najmä saldo a hrubý dlh verejnej správy. Pri analýze salda sa kladie dôraz na príspevok jednotlivých skupín subjektov verejnej správy k výslednému saldu verejnej správy. Analýza dlhu sa zameriava na príspevok faktorov, ktoré vysvetľujú jeho medziročnú zmenu. Kapitola tiež obsahuje porovnanie notifikovaných údajov o salde a dlhu verejnej správy za všetky </w:t>
      </w:r>
      <w:r>
        <w:rPr>
          <w:rFonts w:ascii="Times New Roman" w:hAnsi="Times New Roman" w:cs="Times New Roman"/>
          <w:szCs w:val="22"/>
        </w:rPr>
        <w:t xml:space="preserve">členské </w:t>
      </w:r>
      <w:r w:rsidRPr="00A53EAC">
        <w:rPr>
          <w:rFonts w:ascii="Times New Roman" w:hAnsi="Times New Roman" w:cs="Times New Roman"/>
          <w:szCs w:val="22"/>
        </w:rPr>
        <w:t xml:space="preserve">krajiny Európskej únie. </w:t>
      </w:r>
    </w:p>
    <w:p w:rsidR="008556AF" w:rsidRPr="00A53EAC" w:rsidP="006F14B2">
      <w:pPr>
        <w:bidi w:val="0"/>
        <w:spacing w:after="120" w:line="336" w:lineRule="auto"/>
        <w:jc w:val="both"/>
        <w:rPr>
          <w:rFonts w:ascii="Times New Roman" w:hAnsi="Times New Roman" w:cs="Times New Roman"/>
          <w:szCs w:val="22"/>
        </w:rPr>
      </w:pPr>
      <w:r w:rsidRPr="00056F00" w:rsidR="006F14B2">
        <w:rPr>
          <w:rFonts w:ascii="Times New Roman" w:hAnsi="Times New Roman" w:cs="Times New Roman"/>
          <w:szCs w:val="22"/>
        </w:rPr>
        <w:t xml:space="preserve">Pre potreby jesennej notifikácie deficitu a dlhu Eurostatu uskutočnil Štatistický úrad Slovenskej republiky pravidelnú spätnú revíziu národných účtov, ktorá výrazne ovplyvnila </w:t>
      </w:r>
      <w:r w:rsidR="006F14B2">
        <w:rPr>
          <w:rFonts w:ascii="Times New Roman" w:hAnsi="Times New Roman" w:cs="Times New Roman"/>
          <w:szCs w:val="22"/>
        </w:rPr>
        <w:t>výšku</w:t>
      </w:r>
      <w:r w:rsidRPr="00056F00" w:rsidR="006F14B2">
        <w:rPr>
          <w:rFonts w:ascii="Times New Roman" w:hAnsi="Times New Roman" w:cs="Times New Roman"/>
          <w:szCs w:val="22"/>
        </w:rPr>
        <w:t xml:space="preserve"> </w:t>
      </w:r>
      <w:r w:rsidRPr="00D8198C" w:rsidR="006F14B2">
        <w:rPr>
          <w:rFonts w:ascii="Times New Roman" w:hAnsi="Times New Roman" w:cs="Times New Roman"/>
          <w:szCs w:val="22"/>
        </w:rPr>
        <w:t>HDP. Hlavným faktorom revízie bolo preradenie Železničnej spoločnosti Slovensko, a.s. a Jadrovej a vyraďovacej spoločnosti, a.s. do sektora VS, čo zvýšilo úroveň nominálneho HDP na celom notifikovanom horizonte.</w:t>
      </w:r>
      <w:r w:rsidR="00ED0E02">
        <w:rPr>
          <w:rFonts w:ascii="Times New Roman" w:hAnsi="Times New Roman" w:cs="Times New Roman"/>
          <w:szCs w:val="22"/>
        </w:rPr>
        <w:t xml:space="preserve"> Dôvodom je, že pre jednotky, ktoré sú súčasťou verejnej správy sa výška HDP vypočítava nákladovou metódou na rozdiel od jednotiek v sektore nefinančných korporácií, v ktorom boli tieto spoločnosti zaradené v predchádzajúcom období.</w:t>
      </w:r>
    </w:p>
    <w:p w:rsidR="003A760D" w:rsidRPr="00652AE0" w:rsidP="00652AE0">
      <w:pPr>
        <w:pStyle w:val="Heading2"/>
        <w:numPr>
          <w:numId w:val="48"/>
        </w:numPr>
        <w:bidi w:val="0"/>
        <w:spacing w:after="120"/>
        <w:ind w:left="357" w:hanging="357"/>
        <w:rPr>
          <w:rFonts w:eastAsiaTheme="minorHAnsi"/>
        </w:rPr>
      </w:pPr>
      <w:bookmarkStart w:id="16" w:name="_Toc401920006"/>
      <w:bookmarkStart w:id="17" w:name="_Toc465255008"/>
      <w:bookmarkStart w:id="18" w:name="_Toc465258472"/>
      <w:r w:rsidRPr="00652AE0">
        <w:rPr>
          <w:rFonts w:eastAsiaTheme="minorHAnsi"/>
        </w:rPr>
        <w:t>Saldo verejnej správy</w:t>
      </w:r>
      <w:bookmarkEnd w:id="15"/>
      <w:bookmarkEnd w:id="16"/>
      <w:bookmarkEnd w:id="17"/>
      <w:bookmarkEnd w:id="18"/>
    </w:p>
    <w:p w:rsidR="006F14B2" w:rsidRPr="00A53EAC" w:rsidP="00756898">
      <w:pPr>
        <w:bidi w:val="0"/>
        <w:spacing w:after="120" w:line="336" w:lineRule="auto"/>
        <w:jc w:val="both"/>
        <w:rPr>
          <w:rFonts w:ascii="Times New Roman" w:hAnsi="Times New Roman" w:cs="Times New Roman"/>
          <w:szCs w:val="22"/>
        </w:rPr>
      </w:pPr>
      <w:r w:rsidRPr="00A53EAC">
        <w:rPr>
          <w:rFonts w:ascii="Times New Roman" w:hAnsi="Times New Roman" w:cs="Times New Roman"/>
          <w:szCs w:val="22"/>
        </w:rPr>
        <w:t>Verejná správa Slovenskej republiky</w:t>
      </w:r>
      <w:r>
        <w:rPr>
          <w:rFonts w:ascii="Times New Roman" w:hAnsi="Times New Roman" w:cs="Times New Roman"/>
          <w:szCs w:val="22"/>
        </w:rPr>
        <w:t xml:space="preserve"> na základe výsledkov jesennej notifikácie zo strany Eurostatu</w:t>
      </w:r>
      <w:r w:rsidRPr="00A53EAC">
        <w:rPr>
          <w:rFonts w:ascii="Times New Roman" w:hAnsi="Times New Roman" w:cs="Times New Roman"/>
          <w:szCs w:val="22"/>
        </w:rPr>
        <w:t xml:space="preserve"> hospodárila v roku 201</w:t>
      </w:r>
      <w:r>
        <w:rPr>
          <w:rFonts w:ascii="Times New Roman" w:hAnsi="Times New Roman" w:cs="Times New Roman"/>
          <w:szCs w:val="22"/>
        </w:rPr>
        <w:t>5</w:t>
      </w:r>
      <w:r w:rsidRPr="00A53EAC">
        <w:rPr>
          <w:rFonts w:ascii="Times New Roman" w:hAnsi="Times New Roman" w:cs="Times New Roman"/>
          <w:szCs w:val="22"/>
        </w:rPr>
        <w:t xml:space="preserve"> podľa metodiky ESA 2010</w:t>
      </w:r>
      <w:r>
        <w:rPr>
          <w:rFonts w:ascii="Times New Roman" w:hAnsi="Times New Roman" w:cs="Times New Roman"/>
          <w:szCs w:val="22"/>
        </w:rPr>
        <w:t xml:space="preserve"> </w:t>
      </w:r>
      <w:r w:rsidRPr="00A53EAC">
        <w:rPr>
          <w:rFonts w:ascii="Times New Roman" w:hAnsi="Times New Roman" w:cs="Times New Roman"/>
          <w:szCs w:val="22"/>
        </w:rPr>
        <w:t xml:space="preserve">so </w:t>
      </w:r>
      <w:r w:rsidRPr="00A53EAC">
        <w:rPr>
          <w:rFonts w:ascii="Times New Roman" w:hAnsi="Times New Roman" w:cs="Times New Roman"/>
          <w:b/>
          <w:szCs w:val="22"/>
        </w:rPr>
        <w:t xml:space="preserve">schodkom 2 </w:t>
      </w:r>
      <w:r>
        <w:rPr>
          <w:rFonts w:ascii="Times New Roman" w:hAnsi="Times New Roman" w:cs="Times New Roman"/>
          <w:b/>
          <w:szCs w:val="22"/>
        </w:rPr>
        <w:t>130</w:t>
      </w:r>
      <w:r w:rsidRPr="00A53EAC">
        <w:rPr>
          <w:rFonts w:ascii="Times New Roman" w:hAnsi="Times New Roman" w:cs="Times New Roman"/>
          <w:b/>
          <w:szCs w:val="22"/>
        </w:rPr>
        <w:t> </w:t>
      </w:r>
      <w:r>
        <w:rPr>
          <w:rFonts w:ascii="Times New Roman" w:hAnsi="Times New Roman" w:cs="Times New Roman"/>
          <w:b/>
          <w:szCs w:val="22"/>
        </w:rPr>
        <w:t>307</w:t>
      </w:r>
      <w:r w:rsidRPr="00A53EAC">
        <w:rPr>
          <w:rFonts w:ascii="Times New Roman" w:hAnsi="Times New Roman" w:cs="Times New Roman"/>
          <w:b/>
          <w:szCs w:val="22"/>
        </w:rPr>
        <w:t> tis. eur</w:t>
      </w:r>
      <w:r>
        <w:rPr>
          <w:rFonts w:ascii="Times New Roman" w:hAnsi="Times New Roman" w:cs="Times New Roman"/>
          <w:b/>
          <w:szCs w:val="22"/>
        </w:rPr>
        <w:t xml:space="preserve"> </w:t>
      </w:r>
      <w:r w:rsidRPr="00A53EAC">
        <w:rPr>
          <w:rFonts w:ascii="Times New Roman" w:hAnsi="Times New Roman" w:cs="Times New Roman"/>
          <w:b/>
          <w:szCs w:val="22"/>
        </w:rPr>
        <w:t>(2,</w:t>
      </w:r>
      <w:r>
        <w:rPr>
          <w:rFonts w:ascii="Times New Roman" w:hAnsi="Times New Roman" w:cs="Times New Roman"/>
          <w:b/>
          <w:szCs w:val="22"/>
        </w:rPr>
        <w:t>7</w:t>
      </w:r>
      <w:r w:rsidRPr="00A53EAC">
        <w:rPr>
          <w:rFonts w:ascii="Times New Roman" w:hAnsi="Times New Roman" w:cs="Times New Roman"/>
          <w:b/>
          <w:szCs w:val="22"/>
        </w:rPr>
        <w:t xml:space="preserve"> % HDP)</w:t>
      </w:r>
      <w:r w:rsidRPr="00A53EAC">
        <w:rPr>
          <w:rFonts w:ascii="Times New Roman" w:hAnsi="Times New Roman" w:cs="Times New Roman"/>
          <w:szCs w:val="22"/>
        </w:rPr>
        <w:t xml:space="preserve">. </w:t>
      </w:r>
      <w:r>
        <w:rPr>
          <w:rFonts w:ascii="Times New Roman" w:hAnsi="Times New Roman" w:cs="Times New Roman"/>
          <w:szCs w:val="22"/>
        </w:rPr>
        <w:t xml:space="preserve">Schodok v pomere na HDP za rok 2015 sa oproti roku 2014 nezmenil. </w:t>
      </w:r>
      <w:r w:rsidR="00756898">
        <w:rPr>
          <w:rFonts w:ascii="Times New Roman" w:hAnsi="Times New Roman" w:cs="Times New Roman"/>
          <w:szCs w:val="22"/>
        </w:rPr>
        <w:t xml:space="preserve">Oproti jarnej notifikácii, kedy bol schodok verejnej správy predbežne vyčíslený na úrovni 3,0 % HDP, došlo k jeho zníženiu o 0,3 % HDP (bližšie </w:t>
      </w:r>
      <w:r>
        <w:rPr>
          <w:rFonts w:ascii="Times New Roman" w:hAnsi="Times New Roman" w:cs="Times New Roman"/>
          <w:szCs w:val="22"/>
        </w:rPr>
        <w:t>v časti 1.4</w:t>
      </w:r>
      <w:r w:rsidR="00756898">
        <w:rPr>
          <w:rFonts w:ascii="Times New Roman" w:hAnsi="Times New Roman" w:cs="Times New Roman"/>
          <w:szCs w:val="22"/>
        </w:rPr>
        <w:t>)</w:t>
      </w:r>
      <w:r>
        <w:rPr>
          <w:rFonts w:ascii="Times New Roman" w:hAnsi="Times New Roman" w:cs="Times New Roman"/>
          <w:szCs w:val="22"/>
        </w:rPr>
        <w:t>.</w:t>
      </w:r>
      <w:r w:rsidRPr="00A53EAC">
        <w:rPr>
          <w:rFonts w:ascii="Times New Roman" w:hAnsi="Times New Roman" w:cs="Times New Roman"/>
          <w:szCs w:val="22"/>
        </w:rPr>
        <w:t xml:space="preserve"> </w:t>
      </w:r>
    </w:p>
    <w:tbl>
      <w:tblPr>
        <w:tblStyle w:val="TableNormal"/>
        <w:tblW w:w="5000" w:type="pct"/>
        <w:tblCellMar>
          <w:left w:w="70" w:type="dxa"/>
          <w:right w:w="70" w:type="dxa"/>
        </w:tblCellMar>
        <w:tblLook w:val="04A0"/>
      </w:tblPr>
      <w:tblGrid>
        <w:gridCol w:w="3601"/>
        <w:gridCol w:w="1251"/>
        <w:gridCol w:w="1033"/>
        <w:gridCol w:w="1033"/>
        <w:gridCol w:w="1033"/>
        <w:gridCol w:w="1260"/>
      </w:tblGrid>
      <w:tr>
        <w:tblPrEx>
          <w:tblW w:w="5000" w:type="pct"/>
          <w:tblCellMar>
            <w:left w:w="70" w:type="dxa"/>
            <w:right w:w="70" w:type="dxa"/>
          </w:tblCellMar>
          <w:tblLook w:val="04A0"/>
        </w:tblPrEx>
        <w:trPr>
          <w:trHeight w:val="315"/>
        </w:trPr>
        <w:tc>
          <w:tcPr>
            <w:tcW w:w="4315" w:type="pct"/>
            <w:gridSpan w:val="5"/>
            <w:tcBorders>
              <w:top w:val="nil"/>
              <w:left w:val="nil"/>
              <w:bottom w:val="nil"/>
              <w:right w:val="nil"/>
            </w:tcBorders>
            <w:shd w:val="clear" w:color="000000" w:fill="000000"/>
            <w:noWrap/>
            <w:textDirection w:val="lrTb"/>
            <w:vAlign w:val="bottom"/>
            <w:hideMark/>
          </w:tcPr>
          <w:p w:rsidR="006F14B2" w:rsidRPr="00684F3A" w:rsidP="000B4414">
            <w:pPr>
              <w:bidi w:val="0"/>
              <w:spacing w:after="0" w:line="240" w:lineRule="auto"/>
              <w:rPr>
                <w:rFonts w:ascii="Times New Roman" w:hAnsi="Times New Roman" w:cs="Times New Roman"/>
                <w:b/>
                <w:bCs/>
                <w:color w:val="FFFFFF"/>
                <w:sz w:val="20"/>
                <w:szCs w:val="20"/>
                <w:lang w:eastAsia="sk-SK"/>
              </w:rPr>
            </w:pPr>
            <w:r w:rsidRPr="00684F3A">
              <w:rPr>
                <w:rFonts w:ascii="Times New Roman" w:hAnsi="Times New Roman" w:cs="Times New Roman"/>
                <w:b/>
                <w:bCs/>
                <w:color w:val="FFFFFF"/>
                <w:sz w:val="20"/>
                <w:szCs w:val="20"/>
                <w:lang w:eastAsia="sk-SK"/>
              </w:rPr>
              <w:t>Saldo verejnej správy podľa podsektorov verejnej správy (ESA 2010)</w:t>
            </w:r>
          </w:p>
        </w:tc>
        <w:tc>
          <w:tcPr>
            <w:tcW w:w="685" w:type="pct"/>
            <w:tcBorders>
              <w:top w:val="nil"/>
              <w:left w:val="nil"/>
              <w:bottom w:val="nil"/>
              <w:right w:val="nil"/>
            </w:tcBorders>
            <w:shd w:val="clear" w:color="000000" w:fill="000000"/>
            <w:noWrap/>
            <w:textDirection w:val="lrTb"/>
            <w:vAlign w:val="bottom"/>
            <w:hideMark/>
          </w:tcPr>
          <w:p w:rsidR="006F14B2" w:rsidRPr="00684F3A" w:rsidP="000B4414">
            <w:pPr>
              <w:bidi w:val="0"/>
              <w:spacing w:after="0" w:line="240" w:lineRule="auto"/>
              <w:rPr>
                <w:rFonts w:ascii="Times New Roman" w:hAnsi="Times New Roman" w:cs="Times New Roman"/>
                <w:b/>
                <w:bCs/>
                <w:color w:val="FFFFFF"/>
                <w:sz w:val="20"/>
                <w:szCs w:val="20"/>
                <w:lang w:eastAsia="sk-SK"/>
              </w:rPr>
            </w:pPr>
            <w:r w:rsidRPr="00684F3A">
              <w:rPr>
                <w:rFonts w:ascii="Times New Roman" w:hAnsi="Times New Roman" w:cs="Times New Roman"/>
                <w:b/>
                <w:bCs/>
                <w:color w:val="FFFFFF"/>
                <w:sz w:val="20"/>
                <w:szCs w:val="20"/>
                <w:lang w:eastAsia="sk-SK"/>
              </w:rPr>
              <w:t> </w:t>
            </w:r>
          </w:p>
        </w:tc>
      </w:tr>
      <w:tr>
        <w:tblPrEx>
          <w:tblW w:w="5000" w:type="pct"/>
          <w:tblCellMar>
            <w:left w:w="70" w:type="dxa"/>
            <w:right w:w="70" w:type="dxa"/>
          </w:tblCellMar>
          <w:tblLook w:val="04A0"/>
        </w:tblPrEx>
        <w:trPr>
          <w:trHeight w:val="255"/>
        </w:trPr>
        <w:tc>
          <w:tcPr>
            <w:tcW w:w="1954" w:type="pct"/>
            <w:tcBorders>
              <w:top w:val="nil"/>
              <w:left w:val="nil"/>
              <w:bottom w:val="nil"/>
              <w:right w:val="nil"/>
            </w:tcBorders>
            <w:shd w:val="clear" w:color="000000" w:fill="C0C0C0"/>
            <w:textDirection w:val="lrTb"/>
            <w:vAlign w:val="top"/>
            <w:hideMark/>
          </w:tcPr>
          <w:p w:rsidR="006F14B2" w:rsidRPr="00684F3A" w:rsidP="000B4414">
            <w:pPr>
              <w:bidi w:val="0"/>
              <w:spacing w:after="0" w:line="240" w:lineRule="auto"/>
              <w:rPr>
                <w:rFonts w:ascii="Times New Roman" w:hAnsi="Times New Roman" w:cs="Times New Roman"/>
                <w:sz w:val="20"/>
                <w:szCs w:val="20"/>
                <w:lang w:eastAsia="sk-SK"/>
              </w:rPr>
            </w:pPr>
            <w:r w:rsidRPr="00684F3A">
              <w:rPr>
                <w:rFonts w:ascii="Times New Roman" w:hAnsi="Times New Roman" w:cs="Times New Roman"/>
                <w:sz w:val="20"/>
                <w:szCs w:val="20"/>
                <w:lang w:eastAsia="sk-SK"/>
              </w:rPr>
              <w:t> </w:t>
            </w:r>
          </w:p>
        </w:tc>
        <w:tc>
          <w:tcPr>
            <w:tcW w:w="679" w:type="pct"/>
            <w:vMerge w:val="restart"/>
            <w:tcBorders>
              <w:top w:val="nil"/>
              <w:left w:val="nil"/>
              <w:bottom w:val="single" w:sz="4" w:space="0" w:color="000000"/>
              <w:right w:val="nil"/>
            </w:tcBorders>
            <w:shd w:val="clear" w:color="000000" w:fill="C0C0C0"/>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ESA kód</w:t>
            </w:r>
          </w:p>
        </w:tc>
        <w:tc>
          <w:tcPr>
            <w:tcW w:w="561" w:type="pct"/>
            <w:tcBorders>
              <w:top w:val="nil"/>
              <w:left w:val="nil"/>
              <w:bottom w:val="nil"/>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b/>
                <w:bCs/>
                <w:sz w:val="20"/>
                <w:szCs w:val="20"/>
                <w:lang w:eastAsia="sk-SK"/>
              </w:rPr>
            </w:pPr>
            <w:r w:rsidRPr="00684F3A">
              <w:rPr>
                <w:rFonts w:ascii="Times New Roman" w:hAnsi="Times New Roman" w:cs="Times New Roman"/>
                <w:b/>
                <w:bCs/>
                <w:sz w:val="20"/>
                <w:szCs w:val="20"/>
                <w:lang w:eastAsia="sk-SK"/>
              </w:rPr>
              <w:t>2013</w:t>
            </w:r>
          </w:p>
        </w:tc>
        <w:tc>
          <w:tcPr>
            <w:tcW w:w="561" w:type="pct"/>
            <w:tcBorders>
              <w:top w:val="nil"/>
              <w:left w:val="nil"/>
              <w:bottom w:val="nil"/>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b/>
                <w:bCs/>
                <w:sz w:val="20"/>
                <w:szCs w:val="20"/>
                <w:lang w:eastAsia="sk-SK"/>
              </w:rPr>
            </w:pPr>
            <w:r w:rsidRPr="00684F3A">
              <w:rPr>
                <w:rFonts w:ascii="Times New Roman" w:hAnsi="Times New Roman" w:cs="Times New Roman"/>
                <w:b/>
                <w:bCs/>
                <w:sz w:val="20"/>
                <w:szCs w:val="20"/>
                <w:lang w:eastAsia="sk-SK"/>
              </w:rPr>
              <w:t>2014</w:t>
            </w:r>
          </w:p>
        </w:tc>
        <w:tc>
          <w:tcPr>
            <w:tcW w:w="561" w:type="pct"/>
            <w:tcBorders>
              <w:top w:val="nil"/>
              <w:left w:val="nil"/>
              <w:bottom w:val="nil"/>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b/>
                <w:bCs/>
                <w:sz w:val="20"/>
                <w:szCs w:val="20"/>
                <w:lang w:eastAsia="sk-SK"/>
              </w:rPr>
            </w:pPr>
            <w:r w:rsidRPr="00684F3A">
              <w:rPr>
                <w:rFonts w:ascii="Times New Roman" w:hAnsi="Times New Roman" w:cs="Times New Roman"/>
                <w:b/>
                <w:bCs/>
                <w:sz w:val="20"/>
                <w:szCs w:val="20"/>
                <w:lang w:eastAsia="sk-SK"/>
              </w:rPr>
              <w:t>2015</w:t>
            </w:r>
          </w:p>
        </w:tc>
        <w:tc>
          <w:tcPr>
            <w:tcW w:w="685" w:type="pct"/>
            <w:tcBorders>
              <w:top w:val="nil"/>
              <w:left w:val="nil"/>
              <w:bottom w:val="nil"/>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b/>
                <w:bCs/>
                <w:sz w:val="20"/>
                <w:szCs w:val="20"/>
                <w:lang w:eastAsia="sk-SK"/>
              </w:rPr>
            </w:pPr>
            <w:r w:rsidRPr="00684F3A">
              <w:rPr>
                <w:rFonts w:ascii="Times New Roman" w:hAnsi="Times New Roman" w:cs="Times New Roman"/>
                <w:b/>
                <w:bCs/>
                <w:sz w:val="20"/>
                <w:szCs w:val="20"/>
                <w:lang w:eastAsia="sk-SK"/>
              </w:rPr>
              <w:t>2015</w:t>
            </w:r>
          </w:p>
        </w:tc>
      </w:tr>
      <w:tr>
        <w:tblPrEx>
          <w:tblW w:w="5000" w:type="pct"/>
          <w:tblCellMar>
            <w:left w:w="70" w:type="dxa"/>
            <w:right w:w="70" w:type="dxa"/>
          </w:tblCellMar>
          <w:tblLook w:val="04A0"/>
        </w:tblPrEx>
        <w:trPr>
          <w:trHeight w:val="255"/>
        </w:trPr>
        <w:tc>
          <w:tcPr>
            <w:tcW w:w="1954" w:type="pct"/>
            <w:tcBorders>
              <w:top w:val="nil"/>
              <w:left w:val="nil"/>
              <w:bottom w:val="single" w:sz="4" w:space="0" w:color="auto"/>
              <w:right w:val="nil"/>
            </w:tcBorders>
            <w:shd w:val="clear" w:color="000000" w:fill="C0C0C0"/>
            <w:textDirection w:val="lrTb"/>
            <w:vAlign w:val="top"/>
            <w:hideMark/>
          </w:tcPr>
          <w:p w:rsidR="006F14B2" w:rsidRPr="00684F3A" w:rsidP="000B4414">
            <w:pPr>
              <w:bidi w:val="0"/>
              <w:spacing w:after="0" w:line="240" w:lineRule="auto"/>
              <w:rPr>
                <w:rFonts w:ascii="Times New Roman" w:hAnsi="Times New Roman" w:cs="Times New Roman"/>
                <w:sz w:val="20"/>
                <w:szCs w:val="20"/>
                <w:lang w:eastAsia="sk-SK"/>
              </w:rPr>
            </w:pPr>
            <w:r w:rsidRPr="00684F3A">
              <w:rPr>
                <w:rFonts w:ascii="Times New Roman" w:hAnsi="Times New Roman" w:cs="Times New Roman"/>
                <w:sz w:val="20"/>
                <w:szCs w:val="20"/>
                <w:lang w:eastAsia="sk-SK"/>
              </w:rPr>
              <w:t> </w:t>
            </w:r>
          </w:p>
        </w:tc>
        <w:tc>
          <w:tcPr>
            <w:tcW w:w="679" w:type="pct"/>
            <w:vMerge/>
            <w:tcBorders>
              <w:top w:val="nil"/>
              <w:left w:val="nil"/>
              <w:bottom w:val="single" w:sz="4" w:space="0" w:color="000000"/>
              <w:right w:val="nil"/>
            </w:tcBorders>
            <w:textDirection w:val="lrTb"/>
            <w:vAlign w:val="center"/>
            <w:hideMark/>
          </w:tcPr>
          <w:p w:rsidR="006F14B2" w:rsidRPr="00684F3A" w:rsidP="000B4414">
            <w:pPr>
              <w:bidi w:val="0"/>
              <w:spacing w:after="0" w:line="240" w:lineRule="auto"/>
              <w:rPr>
                <w:rFonts w:ascii="Times New Roman" w:hAnsi="Times New Roman" w:cs="Times New Roman"/>
                <w:sz w:val="20"/>
                <w:szCs w:val="20"/>
                <w:lang w:eastAsia="sk-SK"/>
              </w:rPr>
            </w:pPr>
          </w:p>
        </w:tc>
        <w:tc>
          <w:tcPr>
            <w:tcW w:w="561" w:type="pct"/>
            <w:tcBorders>
              <w:top w:val="nil"/>
              <w:left w:val="nil"/>
              <w:bottom w:val="single" w:sz="4" w:space="0" w:color="auto"/>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 HDP</w:t>
            </w:r>
          </w:p>
        </w:tc>
        <w:tc>
          <w:tcPr>
            <w:tcW w:w="561" w:type="pct"/>
            <w:tcBorders>
              <w:top w:val="nil"/>
              <w:left w:val="nil"/>
              <w:bottom w:val="single" w:sz="4" w:space="0" w:color="auto"/>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 HDP</w:t>
            </w:r>
          </w:p>
        </w:tc>
        <w:tc>
          <w:tcPr>
            <w:tcW w:w="561" w:type="pct"/>
            <w:tcBorders>
              <w:top w:val="nil"/>
              <w:left w:val="nil"/>
              <w:bottom w:val="single" w:sz="4" w:space="0" w:color="auto"/>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 HDP</w:t>
            </w:r>
          </w:p>
        </w:tc>
        <w:tc>
          <w:tcPr>
            <w:tcW w:w="685" w:type="pct"/>
            <w:tcBorders>
              <w:top w:val="nil"/>
              <w:left w:val="nil"/>
              <w:bottom w:val="single" w:sz="4" w:space="0" w:color="auto"/>
              <w:right w:val="nil"/>
            </w:tcBorders>
            <w:shd w:val="clear" w:color="000000" w:fill="C0C0C0"/>
            <w:textDirection w:val="lrTb"/>
            <w:vAlign w:val="top"/>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tis. eur</w:t>
            </w:r>
          </w:p>
        </w:tc>
      </w:tr>
      <w:tr>
        <w:tblPrEx>
          <w:tblW w:w="5000" w:type="pct"/>
          <w:tblCellMar>
            <w:left w:w="70" w:type="dxa"/>
            <w:right w:w="70" w:type="dxa"/>
          </w:tblCellMar>
          <w:tblLook w:val="04A0"/>
        </w:tblPrEx>
        <w:trPr>
          <w:trHeight w:val="330"/>
        </w:trPr>
        <w:tc>
          <w:tcPr>
            <w:tcW w:w="1954" w:type="pct"/>
            <w:tcBorders>
              <w:top w:val="nil"/>
              <w:left w:val="nil"/>
              <w:bottom w:val="nil"/>
              <w:right w:val="nil"/>
            </w:tcBorders>
            <w:textDirection w:val="lrTb"/>
            <w:vAlign w:val="center"/>
            <w:hideMark/>
          </w:tcPr>
          <w:p w:rsidR="006F14B2" w:rsidRPr="00684F3A" w:rsidP="000B4414">
            <w:pPr>
              <w:bidi w:val="0"/>
              <w:spacing w:after="0" w:line="240" w:lineRule="auto"/>
              <w:rPr>
                <w:rFonts w:ascii="Times New Roman" w:hAnsi="Times New Roman" w:cs="Times New Roman"/>
                <w:sz w:val="20"/>
                <w:szCs w:val="20"/>
                <w:lang w:eastAsia="sk-SK"/>
              </w:rPr>
            </w:pPr>
            <w:r w:rsidRPr="00684F3A">
              <w:rPr>
                <w:rFonts w:ascii="Times New Roman" w:hAnsi="Times New Roman" w:cs="Times New Roman"/>
                <w:sz w:val="20"/>
                <w:szCs w:val="20"/>
                <w:lang w:eastAsia="sk-SK"/>
              </w:rPr>
              <w:t>1. Verejná správa</w:t>
            </w:r>
          </w:p>
        </w:tc>
        <w:tc>
          <w:tcPr>
            <w:tcW w:w="679"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S.13</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-2,7</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-2,7</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-2,7</w:t>
            </w:r>
          </w:p>
        </w:tc>
        <w:tc>
          <w:tcPr>
            <w:tcW w:w="685" w:type="pct"/>
            <w:tcBorders>
              <w:top w:val="nil"/>
              <w:left w:val="nil"/>
              <w:bottom w:val="nil"/>
              <w:right w:val="nil"/>
            </w:tcBorders>
            <w:textDirection w:val="lrTb"/>
            <w:vAlign w:val="center"/>
            <w:hideMark/>
          </w:tcPr>
          <w:p w:rsidR="006F14B2" w:rsidRPr="00684F3A" w:rsidP="000B4414">
            <w:pPr>
              <w:bidi w:val="0"/>
              <w:spacing w:after="0" w:line="240" w:lineRule="auto"/>
              <w:jc w:val="right"/>
              <w:rPr>
                <w:rFonts w:ascii="Times New Roman" w:hAnsi="Times New Roman" w:cs="Times New Roman"/>
                <w:sz w:val="20"/>
                <w:szCs w:val="20"/>
                <w:lang w:eastAsia="sk-SK"/>
              </w:rPr>
            </w:pPr>
            <w:r w:rsidRPr="00684F3A">
              <w:rPr>
                <w:rFonts w:ascii="Times New Roman" w:hAnsi="Times New Roman" w:cs="Times New Roman"/>
                <w:sz w:val="20"/>
                <w:szCs w:val="20"/>
                <w:lang w:eastAsia="sk-SK"/>
              </w:rPr>
              <w:t>-2 130 307</w:t>
            </w:r>
          </w:p>
        </w:tc>
      </w:tr>
      <w:tr>
        <w:tblPrEx>
          <w:tblW w:w="5000" w:type="pct"/>
          <w:tblCellMar>
            <w:left w:w="70" w:type="dxa"/>
            <w:right w:w="70" w:type="dxa"/>
          </w:tblCellMar>
          <w:tblLook w:val="04A0"/>
        </w:tblPrEx>
        <w:trPr>
          <w:trHeight w:val="330"/>
        </w:trPr>
        <w:tc>
          <w:tcPr>
            <w:tcW w:w="1954" w:type="pct"/>
            <w:tcBorders>
              <w:top w:val="nil"/>
              <w:left w:val="nil"/>
              <w:bottom w:val="nil"/>
              <w:right w:val="nil"/>
            </w:tcBorders>
            <w:textDirection w:val="lrTb"/>
            <w:vAlign w:val="center"/>
            <w:hideMark/>
          </w:tcPr>
          <w:p w:rsidR="006F14B2" w:rsidRPr="00684F3A" w:rsidP="000B4414">
            <w:pPr>
              <w:bidi w:val="0"/>
              <w:spacing w:after="0" w:line="240" w:lineRule="auto"/>
              <w:rPr>
                <w:rFonts w:ascii="Times New Roman" w:hAnsi="Times New Roman" w:cs="Times New Roman"/>
                <w:sz w:val="20"/>
                <w:szCs w:val="20"/>
                <w:lang w:eastAsia="sk-SK"/>
              </w:rPr>
            </w:pPr>
            <w:r w:rsidRPr="00684F3A">
              <w:rPr>
                <w:rFonts w:ascii="Times New Roman" w:hAnsi="Times New Roman" w:cs="Times New Roman"/>
                <w:sz w:val="20"/>
                <w:szCs w:val="20"/>
                <w:lang w:eastAsia="sk-SK"/>
              </w:rPr>
              <w:t>2. Ústredná štátna správa</w:t>
            </w:r>
          </w:p>
        </w:tc>
        <w:tc>
          <w:tcPr>
            <w:tcW w:w="679"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S.1311</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-2,7</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-2,5</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-2,6</w:t>
            </w:r>
          </w:p>
        </w:tc>
        <w:tc>
          <w:tcPr>
            <w:tcW w:w="685" w:type="pct"/>
            <w:tcBorders>
              <w:top w:val="nil"/>
              <w:left w:val="nil"/>
              <w:bottom w:val="nil"/>
              <w:right w:val="nil"/>
            </w:tcBorders>
            <w:textDirection w:val="lrTb"/>
            <w:vAlign w:val="center"/>
            <w:hideMark/>
          </w:tcPr>
          <w:p w:rsidR="006F14B2" w:rsidRPr="00684F3A" w:rsidP="000B4414">
            <w:pPr>
              <w:bidi w:val="0"/>
              <w:spacing w:after="0" w:line="240" w:lineRule="auto"/>
              <w:jc w:val="right"/>
              <w:rPr>
                <w:rFonts w:ascii="Times New Roman" w:hAnsi="Times New Roman" w:cs="Times New Roman"/>
                <w:sz w:val="20"/>
                <w:szCs w:val="20"/>
                <w:lang w:eastAsia="sk-SK"/>
              </w:rPr>
            </w:pPr>
            <w:r w:rsidRPr="00684F3A">
              <w:rPr>
                <w:rFonts w:ascii="Times New Roman" w:hAnsi="Times New Roman" w:cs="Times New Roman"/>
                <w:sz w:val="20"/>
                <w:szCs w:val="20"/>
                <w:lang w:eastAsia="sk-SK"/>
              </w:rPr>
              <w:t>-2 081 189</w:t>
            </w:r>
          </w:p>
        </w:tc>
      </w:tr>
      <w:tr>
        <w:tblPrEx>
          <w:tblW w:w="5000" w:type="pct"/>
          <w:tblCellMar>
            <w:left w:w="70" w:type="dxa"/>
            <w:right w:w="70" w:type="dxa"/>
          </w:tblCellMar>
          <w:tblLook w:val="04A0"/>
        </w:tblPrEx>
        <w:trPr>
          <w:trHeight w:val="330"/>
        </w:trPr>
        <w:tc>
          <w:tcPr>
            <w:tcW w:w="1954" w:type="pct"/>
            <w:tcBorders>
              <w:top w:val="nil"/>
              <w:left w:val="nil"/>
              <w:bottom w:val="nil"/>
              <w:right w:val="nil"/>
            </w:tcBorders>
            <w:textDirection w:val="lrTb"/>
            <w:vAlign w:val="center"/>
            <w:hideMark/>
          </w:tcPr>
          <w:p w:rsidR="006F14B2" w:rsidRPr="00684F3A" w:rsidP="000B4414">
            <w:pPr>
              <w:bidi w:val="0"/>
              <w:spacing w:after="0" w:line="240" w:lineRule="auto"/>
              <w:rPr>
                <w:rFonts w:ascii="Times New Roman" w:hAnsi="Times New Roman" w:cs="Times New Roman"/>
                <w:sz w:val="20"/>
                <w:szCs w:val="20"/>
                <w:lang w:eastAsia="sk-SK"/>
              </w:rPr>
            </w:pPr>
            <w:r w:rsidRPr="00684F3A">
              <w:rPr>
                <w:rFonts w:ascii="Times New Roman" w:hAnsi="Times New Roman" w:cs="Times New Roman"/>
                <w:sz w:val="20"/>
                <w:szCs w:val="20"/>
                <w:lang w:eastAsia="sk-SK"/>
              </w:rPr>
              <w:t xml:space="preserve">3. Miestna </w:t>
            </w:r>
            <w:r>
              <w:rPr>
                <w:rFonts w:ascii="Times New Roman" w:hAnsi="Times New Roman" w:cs="Times New Roman"/>
                <w:sz w:val="20"/>
                <w:szCs w:val="20"/>
                <w:lang w:eastAsia="sk-SK"/>
              </w:rPr>
              <w:t>samospráva</w:t>
            </w:r>
          </w:p>
        </w:tc>
        <w:tc>
          <w:tcPr>
            <w:tcW w:w="679"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S.1313</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0,2</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-0,1</w:t>
            </w:r>
          </w:p>
        </w:tc>
        <w:tc>
          <w:tcPr>
            <w:tcW w:w="561" w:type="pct"/>
            <w:tcBorders>
              <w:top w:val="nil"/>
              <w:left w:val="nil"/>
              <w:bottom w:val="nil"/>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0,2</w:t>
            </w:r>
          </w:p>
        </w:tc>
        <w:tc>
          <w:tcPr>
            <w:tcW w:w="685" w:type="pct"/>
            <w:tcBorders>
              <w:top w:val="nil"/>
              <w:left w:val="nil"/>
              <w:bottom w:val="nil"/>
              <w:right w:val="nil"/>
            </w:tcBorders>
            <w:textDirection w:val="lrTb"/>
            <w:vAlign w:val="center"/>
            <w:hideMark/>
          </w:tcPr>
          <w:p w:rsidR="006F14B2" w:rsidRPr="00684F3A" w:rsidP="000B4414">
            <w:pPr>
              <w:bidi w:val="0"/>
              <w:spacing w:after="0" w:line="240" w:lineRule="auto"/>
              <w:jc w:val="right"/>
              <w:rPr>
                <w:rFonts w:ascii="Times New Roman" w:hAnsi="Times New Roman" w:cs="Times New Roman"/>
                <w:sz w:val="20"/>
                <w:szCs w:val="20"/>
                <w:lang w:eastAsia="sk-SK"/>
              </w:rPr>
            </w:pPr>
            <w:r w:rsidRPr="00684F3A">
              <w:rPr>
                <w:rFonts w:ascii="Times New Roman" w:hAnsi="Times New Roman" w:cs="Times New Roman"/>
                <w:sz w:val="20"/>
                <w:szCs w:val="20"/>
                <w:lang w:eastAsia="sk-SK"/>
              </w:rPr>
              <w:t>121 252</w:t>
            </w:r>
          </w:p>
        </w:tc>
      </w:tr>
      <w:tr>
        <w:tblPrEx>
          <w:tblW w:w="5000" w:type="pct"/>
          <w:tblCellMar>
            <w:left w:w="70" w:type="dxa"/>
            <w:right w:w="70" w:type="dxa"/>
          </w:tblCellMar>
          <w:tblLook w:val="04A0"/>
        </w:tblPrEx>
        <w:trPr>
          <w:trHeight w:val="330"/>
        </w:trPr>
        <w:tc>
          <w:tcPr>
            <w:tcW w:w="1954" w:type="pct"/>
            <w:tcBorders>
              <w:top w:val="nil"/>
              <w:left w:val="nil"/>
              <w:bottom w:val="single" w:sz="4" w:space="0" w:color="auto"/>
              <w:right w:val="nil"/>
            </w:tcBorders>
            <w:textDirection w:val="lrTb"/>
            <w:vAlign w:val="center"/>
            <w:hideMark/>
          </w:tcPr>
          <w:p w:rsidR="006F14B2" w:rsidRPr="00684F3A" w:rsidP="000B4414">
            <w:pPr>
              <w:bidi w:val="0"/>
              <w:spacing w:after="0" w:line="240" w:lineRule="auto"/>
              <w:rPr>
                <w:rFonts w:ascii="Times New Roman" w:hAnsi="Times New Roman" w:cs="Times New Roman"/>
                <w:sz w:val="20"/>
                <w:szCs w:val="20"/>
                <w:lang w:eastAsia="sk-SK"/>
              </w:rPr>
            </w:pPr>
            <w:r w:rsidRPr="00684F3A">
              <w:rPr>
                <w:rFonts w:ascii="Times New Roman" w:hAnsi="Times New Roman" w:cs="Times New Roman"/>
                <w:sz w:val="20"/>
                <w:szCs w:val="20"/>
                <w:lang w:eastAsia="sk-SK"/>
              </w:rPr>
              <w:t>4. Fondy sociálneho zabezpečenia</w:t>
            </w:r>
          </w:p>
        </w:tc>
        <w:tc>
          <w:tcPr>
            <w:tcW w:w="679" w:type="pct"/>
            <w:tcBorders>
              <w:top w:val="nil"/>
              <w:left w:val="nil"/>
              <w:bottom w:val="single" w:sz="4" w:space="0" w:color="auto"/>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S.1314</w:t>
            </w:r>
          </w:p>
        </w:tc>
        <w:tc>
          <w:tcPr>
            <w:tcW w:w="561" w:type="pct"/>
            <w:tcBorders>
              <w:top w:val="nil"/>
              <w:left w:val="nil"/>
              <w:bottom w:val="single" w:sz="4" w:space="0" w:color="auto"/>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-0,3</w:t>
            </w:r>
          </w:p>
        </w:tc>
        <w:tc>
          <w:tcPr>
            <w:tcW w:w="561" w:type="pct"/>
            <w:tcBorders>
              <w:top w:val="nil"/>
              <w:left w:val="nil"/>
              <w:bottom w:val="single" w:sz="4" w:space="0" w:color="auto"/>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-0,1</w:t>
            </w:r>
          </w:p>
        </w:tc>
        <w:tc>
          <w:tcPr>
            <w:tcW w:w="561" w:type="pct"/>
            <w:tcBorders>
              <w:top w:val="nil"/>
              <w:left w:val="nil"/>
              <w:bottom w:val="single" w:sz="4" w:space="0" w:color="auto"/>
              <w:right w:val="nil"/>
            </w:tcBorders>
            <w:textDirection w:val="lrTb"/>
            <w:vAlign w:val="center"/>
            <w:hideMark/>
          </w:tcPr>
          <w:p w:rsidR="006F14B2" w:rsidRPr="00684F3A" w:rsidP="000B4414">
            <w:pPr>
              <w:bidi w:val="0"/>
              <w:spacing w:after="0" w:line="240" w:lineRule="auto"/>
              <w:jc w:val="center"/>
              <w:rPr>
                <w:rFonts w:ascii="Times New Roman" w:hAnsi="Times New Roman" w:cs="Times New Roman"/>
                <w:sz w:val="20"/>
                <w:szCs w:val="20"/>
                <w:lang w:eastAsia="sk-SK"/>
              </w:rPr>
            </w:pPr>
            <w:r w:rsidRPr="00684F3A">
              <w:rPr>
                <w:rFonts w:ascii="Times New Roman" w:hAnsi="Times New Roman" w:cs="Times New Roman"/>
                <w:sz w:val="20"/>
                <w:szCs w:val="20"/>
                <w:lang w:eastAsia="sk-SK"/>
              </w:rPr>
              <w:t>-0,2</w:t>
            </w:r>
          </w:p>
        </w:tc>
        <w:tc>
          <w:tcPr>
            <w:tcW w:w="685" w:type="pct"/>
            <w:tcBorders>
              <w:top w:val="nil"/>
              <w:left w:val="nil"/>
              <w:bottom w:val="single" w:sz="4" w:space="0" w:color="auto"/>
              <w:right w:val="nil"/>
            </w:tcBorders>
            <w:textDirection w:val="lrTb"/>
            <w:vAlign w:val="center"/>
            <w:hideMark/>
          </w:tcPr>
          <w:p w:rsidR="006F14B2" w:rsidRPr="00684F3A" w:rsidP="000B4414">
            <w:pPr>
              <w:bidi w:val="0"/>
              <w:spacing w:after="0" w:line="240" w:lineRule="auto"/>
              <w:jc w:val="right"/>
              <w:rPr>
                <w:rFonts w:ascii="Times New Roman" w:hAnsi="Times New Roman" w:cs="Times New Roman"/>
                <w:sz w:val="20"/>
                <w:szCs w:val="20"/>
                <w:lang w:eastAsia="sk-SK"/>
              </w:rPr>
            </w:pPr>
            <w:r w:rsidRPr="00684F3A">
              <w:rPr>
                <w:rFonts w:ascii="Times New Roman" w:hAnsi="Times New Roman" w:cs="Times New Roman"/>
                <w:sz w:val="20"/>
                <w:szCs w:val="20"/>
                <w:lang w:eastAsia="sk-SK"/>
              </w:rPr>
              <w:t>-170 370</w:t>
            </w:r>
          </w:p>
        </w:tc>
      </w:tr>
      <w:tr>
        <w:tblPrEx>
          <w:tblW w:w="5000" w:type="pct"/>
          <w:tblCellMar>
            <w:left w:w="70" w:type="dxa"/>
            <w:right w:w="70" w:type="dxa"/>
          </w:tblCellMar>
          <w:tblLook w:val="04A0"/>
        </w:tblPrEx>
        <w:trPr>
          <w:trHeight w:val="330"/>
        </w:trPr>
        <w:tc>
          <w:tcPr>
            <w:tcW w:w="1954" w:type="pct"/>
            <w:tcBorders>
              <w:top w:val="nil"/>
              <w:left w:val="nil"/>
              <w:bottom w:val="nil"/>
              <w:right w:val="nil"/>
            </w:tcBorders>
            <w:noWrap/>
            <w:textDirection w:val="lrTb"/>
            <w:vAlign w:val="bottom"/>
            <w:hideMark/>
          </w:tcPr>
          <w:p w:rsidR="006F14B2" w:rsidRPr="00684F3A" w:rsidP="000B4414">
            <w:pPr>
              <w:bidi w:val="0"/>
              <w:spacing w:after="0" w:line="240" w:lineRule="auto"/>
              <w:jc w:val="center"/>
              <w:rPr>
                <w:rFonts w:ascii="Times New Roman" w:hAnsi="Times New Roman" w:cs="Times New Roman"/>
                <w:sz w:val="20"/>
                <w:szCs w:val="20"/>
                <w:lang w:eastAsia="sk-SK"/>
              </w:rPr>
            </w:pPr>
          </w:p>
        </w:tc>
        <w:tc>
          <w:tcPr>
            <w:tcW w:w="679" w:type="pct"/>
            <w:tcBorders>
              <w:top w:val="nil"/>
              <w:left w:val="nil"/>
              <w:bottom w:val="nil"/>
              <w:right w:val="nil"/>
            </w:tcBorders>
            <w:noWrap/>
            <w:textDirection w:val="lrTb"/>
            <w:vAlign w:val="bottom"/>
            <w:hideMark/>
          </w:tcPr>
          <w:p w:rsidR="006F14B2" w:rsidRPr="00684F3A" w:rsidP="000B4414">
            <w:pPr>
              <w:bidi w:val="0"/>
              <w:spacing w:after="0" w:line="240" w:lineRule="auto"/>
              <w:rPr>
                <w:rFonts w:ascii="Times New Roman" w:hAnsi="Times New Roman" w:cs="Times New Roman"/>
                <w:sz w:val="20"/>
                <w:szCs w:val="20"/>
                <w:lang w:eastAsia="sk-SK"/>
              </w:rPr>
            </w:pPr>
          </w:p>
        </w:tc>
        <w:tc>
          <w:tcPr>
            <w:tcW w:w="561" w:type="pct"/>
            <w:tcBorders>
              <w:top w:val="nil"/>
              <w:left w:val="nil"/>
              <w:bottom w:val="nil"/>
              <w:right w:val="nil"/>
            </w:tcBorders>
            <w:noWrap/>
            <w:textDirection w:val="lrTb"/>
            <w:vAlign w:val="bottom"/>
            <w:hideMark/>
          </w:tcPr>
          <w:p w:rsidR="006F14B2" w:rsidRPr="00684F3A" w:rsidP="000B4414">
            <w:pPr>
              <w:bidi w:val="0"/>
              <w:spacing w:after="0" w:line="240" w:lineRule="auto"/>
              <w:rPr>
                <w:rFonts w:ascii="Times New Roman" w:hAnsi="Times New Roman" w:cs="Times New Roman"/>
                <w:i/>
                <w:iCs/>
                <w:sz w:val="16"/>
                <w:szCs w:val="16"/>
                <w:lang w:eastAsia="sk-SK"/>
              </w:rPr>
            </w:pPr>
            <w:r w:rsidRPr="00684F3A">
              <w:rPr>
                <w:rFonts w:ascii="Times New Roman" w:hAnsi="Times New Roman" w:cs="Times New Roman"/>
                <w:i/>
                <w:iCs/>
                <w:sz w:val="16"/>
                <w:szCs w:val="16"/>
                <w:lang w:eastAsia="sk-SK"/>
              </w:rPr>
              <w:t> </w:t>
            </w:r>
          </w:p>
        </w:tc>
        <w:tc>
          <w:tcPr>
            <w:tcW w:w="561" w:type="pct"/>
            <w:tcBorders>
              <w:top w:val="nil"/>
              <w:left w:val="nil"/>
              <w:bottom w:val="nil"/>
              <w:right w:val="nil"/>
            </w:tcBorders>
            <w:noWrap/>
            <w:textDirection w:val="lrTb"/>
            <w:vAlign w:val="bottom"/>
            <w:hideMark/>
          </w:tcPr>
          <w:p w:rsidR="006F14B2" w:rsidRPr="00684F3A" w:rsidP="000B4414">
            <w:pPr>
              <w:bidi w:val="0"/>
              <w:spacing w:after="0" w:line="240" w:lineRule="auto"/>
              <w:rPr>
                <w:rFonts w:ascii="Times New Roman" w:hAnsi="Times New Roman" w:cs="Times New Roman"/>
                <w:i/>
                <w:iCs/>
                <w:sz w:val="16"/>
                <w:szCs w:val="16"/>
                <w:lang w:eastAsia="sk-SK"/>
              </w:rPr>
            </w:pPr>
            <w:r w:rsidRPr="00684F3A">
              <w:rPr>
                <w:rFonts w:ascii="Times New Roman" w:hAnsi="Times New Roman" w:cs="Times New Roman"/>
                <w:i/>
                <w:iCs/>
                <w:sz w:val="16"/>
                <w:szCs w:val="16"/>
                <w:lang w:eastAsia="sk-SK"/>
              </w:rPr>
              <w:t> </w:t>
            </w:r>
          </w:p>
        </w:tc>
        <w:tc>
          <w:tcPr>
            <w:tcW w:w="1246" w:type="pct"/>
            <w:gridSpan w:val="2"/>
            <w:tcBorders>
              <w:top w:val="single" w:sz="4" w:space="0" w:color="auto"/>
              <w:left w:val="nil"/>
              <w:bottom w:val="nil"/>
              <w:right w:val="nil"/>
            </w:tcBorders>
            <w:noWrap/>
            <w:textDirection w:val="lrTb"/>
            <w:vAlign w:val="bottom"/>
            <w:hideMark/>
          </w:tcPr>
          <w:p w:rsidR="006F14B2" w:rsidRPr="00684F3A" w:rsidP="000B4414">
            <w:pPr>
              <w:bidi w:val="0"/>
              <w:spacing w:after="0" w:line="240" w:lineRule="auto"/>
              <w:jc w:val="right"/>
              <w:rPr>
                <w:rFonts w:ascii="Times New Roman" w:hAnsi="Times New Roman" w:cs="Times New Roman"/>
                <w:i/>
                <w:iCs/>
                <w:sz w:val="16"/>
                <w:szCs w:val="16"/>
                <w:lang w:eastAsia="sk-SK"/>
              </w:rPr>
            </w:pPr>
            <w:r w:rsidRPr="00684F3A">
              <w:rPr>
                <w:rFonts w:ascii="Times New Roman" w:hAnsi="Times New Roman" w:cs="Times New Roman"/>
                <w:i/>
                <w:iCs/>
                <w:sz w:val="16"/>
                <w:szCs w:val="16"/>
                <w:lang w:eastAsia="sk-SK"/>
              </w:rPr>
              <w:t>Zdroj: Štatistický úrad SR</w:t>
            </w:r>
          </w:p>
        </w:tc>
      </w:tr>
    </w:tbl>
    <w:p w:rsidR="006F14B2" w:rsidP="006F14B2">
      <w:pPr>
        <w:bidi w:val="0"/>
        <w:spacing w:before="120" w:after="120" w:line="336" w:lineRule="auto"/>
        <w:jc w:val="both"/>
        <w:rPr>
          <w:rFonts w:ascii="Times New Roman" w:hAnsi="Times New Roman" w:cs="Times New Roman"/>
        </w:rPr>
      </w:pPr>
      <w:r w:rsidRPr="00A53EAC">
        <w:rPr>
          <w:rFonts w:ascii="Times New Roman" w:hAnsi="Times New Roman" w:cs="Times New Roman"/>
        </w:rPr>
        <w:t xml:space="preserve">Z pohľadu sektorového členenia sa na schodku najviac podieľala ústredná správa a v rámci nej štátny rozpočet so schodkom 1 </w:t>
      </w:r>
      <w:r>
        <w:rPr>
          <w:rFonts w:ascii="Times New Roman" w:hAnsi="Times New Roman" w:cs="Times New Roman"/>
        </w:rPr>
        <w:t>467</w:t>
      </w:r>
      <w:r w:rsidRPr="00A53EAC">
        <w:rPr>
          <w:rFonts w:ascii="Times New Roman" w:hAnsi="Times New Roman" w:cs="Times New Roman"/>
        </w:rPr>
        <w:t xml:space="preserve"> </w:t>
      </w:r>
      <w:r>
        <w:rPr>
          <w:rFonts w:ascii="Times New Roman" w:hAnsi="Times New Roman" w:cs="Times New Roman"/>
        </w:rPr>
        <w:t>215</w:t>
      </w:r>
      <w:r w:rsidRPr="00A53EAC">
        <w:rPr>
          <w:rFonts w:ascii="Times New Roman" w:hAnsi="Times New Roman" w:cs="Times New Roman"/>
        </w:rPr>
        <w:t> tis. eur</w:t>
      </w:r>
      <w:r w:rsidR="004947F4">
        <w:rPr>
          <w:rFonts w:ascii="Times New Roman" w:hAnsi="Times New Roman" w:cs="Times New Roman"/>
        </w:rPr>
        <w:t xml:space="preserve">, pričom dosiahnutý schodok štátneho </w:t>
      </w:r>
      <w:r w:rsidRPr="003C5D10" w:rsidR="004947F4">
        <w:rPr>
          <w:rFonts w:ascii="Times New Roman" w:hAnsi="Times New Roman" w:cs="Times New Roman"/>
        </w:rPr>
        <w:t xml:space="preserve">rozpočtu bol najnižší </w:t>
      </w:r>
      <w:r w:rsidRPr="003C5D10" w:rsidR="003C5D10">
        <w:rPr>
          <w:rFonts w:ascii="Times New Roman" w:hAnsi="Times New Roman" w:cs="Times New Roman"/>
        </w:rPr>
        <w:t>od vypuknutia finančnej krízy v roku 2008</w:t>
      </w:r>
      <w:r w:rsidRPr="003C5D10">
        <w:rPr>
          <w:rFonts w:ascii="Times New Roman" w:hAnsi="Times New Roman" w:cs="Times New Roman"/>
        </w:rPr>
        <w:t>. Miestna samospráva hospodárila v roku 2014</w:t>
      </w:r>
      <w:r w:rsidRPr="00A53EAC">
        <w:rPr>
          <w:rFonts w:ascii="Times New Roman" w:hAnsi="Times New Roman" w:cs="Times New Roman"/>
        </w:rPr>
        <w:t xml:space="preserve"> s</w:t>
      </w:r>
      <w:r>
        <w:rPr>
          <w:rFonts w:ascii="Times New Roman" w:hAnsi="Times New Roman" w:cs="Times New Roman"/>
        </w:rPr>
        <w:t>o schodkom 42</w:t>
      </w:r>
      <w:r w:rsidRPr="00A53EAC">
        <w:rPr>
          <w:rFonts w:ascii="Times New Roman" w:hAnsi="Times New Roman" w:cs="Times New Roman"/>
        </w:rPr>
        <w:t> </w:t>
      </w:r>
      <w:r>
        <w:rPr>
          <w:rFonts w:ascii="Times New Roman" w:hAnsi="Times New Roman" w:cs="Times New Roman"/>
        </w:rPr>
        <w:t>892</w:t>
      </w:r>
      <w:r w:rsidRPr="00A53EAC">
        <w:rPr>
          <w:rFonts w:ascii="Times New Roman" w:hAnsi="Times New Roman" w:cs="Times New Roman"/>
        </w:rPr>
        <w:t> tis. eur</w:t>
      </w:r>
      <w:r>
        <w:rPr>
          <w:rFonts w:ascii="Times New Roman" w:hAnsi="Times New Roman" w:cs="Times New Roman"/>
        </w:rPr>
        <w:t>,</w:t>
      </w:r>
      <w:r w:rsidRPr="00A53EAC">
        <w:rPr>
          <w:rFonts w:ascii="Times New Roman" w:hAnsi="Times New Roman" w:cs="Times New Roman"/>
        </w:rPr>
        <w:t xml:space="preserve"> ale v roku 201</w:t>
      </w:r>
      <w:r>
        <w:rPr>
          <w:rFonts w:ascii="Times New Roman" w:hAnsi="Times New Roman" w:cs="Times New Roman"/>
        </w:rPr>
        <w:t>5</w:t>
      </w:r>
      <w:r w:rsidRPr="00A53EAC">
        <w:rPr>
          <w:rFonts w:ascii="Times New Roman" w:hAnsi="Times New Roman" w:cs="Times New Roman"/>
        </w:rPr>
        <w:t xml:space="preserve"> už vykázala </w:t>
      </w:r>
      <w:r>
        <w:rPr>
          <w:rFonts w:ascii="Times New Roman" w:hAnsi="Times New Roman" w:cs="Times New Roman"/>
        </w:rPr>
        <w:t>prebytok</w:t>
      </w:r>
      <w:r w:rsidRPr="00A53EAC">
        <w:rPr>
          <w:rFonts w:ascii="Times New Roman" w:hAnsi="Times New Roman" w:cs="Times New Roman"/>
        </w:rPr>
        <w:t xml:space="preserve"> </w:t>
      </w:r>
      <w:r>
        <w:rPr>
          <w:rFonts w:ascii="Times New Roman" w:hAnsi="Times New Roman" w:cs="Times New Roman"/>
        </w:rPr>
        <w:t>121</w:t>
      </w:r>
      <w:r w:rsidRPr="00A53EAC">
        <w:rPr>
          <w:rFonts w:ascii="Times New Roman" w:hAnsi="Times New Roman" w:cs="Times New Roman"/>
        </w:rPr>
        <w:t> </w:t>
      </w:r>
      <w:r>
        <w:rPr>
          <w:rFonts w:ascii="Times New Roman" w:hAnsi="Times New Roman" w:cs="Times New Roman"/>
        </w:rPr>
        <w:t>252</w:t>
      </w:r>
      <w:r w:rsidRPr="00A53EAC">
        <w:rPr>
          <w:rFonts w:ascii="Times New Roman" w:hAnsi="Times New Roman" w:cs="Times New Roman"/>
        </w:rPr>
        <w:t> tis. eur (medziročné z</w:t>
      </w:r>
      <w:r>
        <w:rPr>
          <w:rFonts w:ascii="Times New Roman" w:hAnsi="Times New Roman" w:cs="Times New Roman"/>
        </w:rPr>
        <w:t>lepšenie</w:t>
      </w:r>
      <w:r w:rsidRPr="00A53EAC">
        <w:rPr>
          <w:rFonts w:ascii="Times New Roman" w:hAnsi="Times New Roman" w:cs="Times New Roman"/>
        </w:rPr>
        <w:t xml:space="preserve"> na HDP o 0,3 p.b.).</w:t>
      </w:r>
      <w:r>
        <w:rPr>
          <w:rFonts w:ascii="Times New Roman" w:hAnsi="Times New Roman" w:cs="Times New Roman"/>
        </w:rPr>
        <w:t xml:space="preserve"> </w:t>
      </w:r>
    </w:p>
    <w:p w:rsidR="006F14B2" w:rsidRPr="00A53EAC" w:rsidP="006F14B2">
      <w:pPr>
        <w:bidi w:val="0"/>
        <w:spacing w:before="120" w:after="120" w:line="336" w:lineRule="auto"/>
        <w:jc w:val="both"/>
        <w:rPr>
          <w:rFonts w:ascii="Times New Roman" w:hAnsi="Times New Roman" w:cs="Times New Roman"/>
        </w:rPr>
      </w:pPr>
      <w:r w:rsidRPr="00A53EAC">
        <w:rPr>
          <w:rFonts w:ascii="Times New Roman" w:hAnsi="Times New Roman" w:cs="Times New Roman"/>
        </w:rPr>
        <w:t xml:space="preserve">Z jednotlivých subjektov verejnej správy (okrem štátneho rozpočtu) prispel najvýraznejšie ku schodku Fond národného majetku SR so schodkom </w:t>
      </w:r>
      <w:r>
        <w:rPr>
          <w:rFonts w:ascii="Times New Roman" w:hAnsi="Times New Roman" w:cs="Times New Roman"/>
        </w:rPr>
        <w:t>849</w:t>
      </w:r>
      <w:r w:rsidRPr="00A53EAC">
        <w:rPr>
          <w:rFonts w:ascii="Times New Roman" w:hAnsi="Times New Roman" w:cs="Times New Roman"/>
        </w:rPr>
        <w:t> </w:t>
      </w:r>
      <w:r>
        <w:rPr>
          <w:rFonts w:ascii="Times New Roman" w:hAnsi="Times New Roman" w:cs="Times New Roman"/>
        </w:rPr>
        <w:t>265</w:t>
      </w:r>
      <w:r w:rsidRPr="00A53EAC">
        <w:rPr>
          <w:rFonts w:ascii="Times New Roman" w:hAnsi="Times New Roman" w:cs="Times New Roman"/>
        </w:rPr>
        <w:t xml:space="preserve"> tis. eur. Výrazný schodok a jeho medziročné zhoršenie o </w:t>
      </w:r>
      <w:r>
        <w:rPr>
          <w:rFonts w:ascii="Times New Roman" w:hAnsi="Times New Roman" w:cs="Times New Roman"/>
        </w:rPr>
        <w:t>632 496</w:t>
      </w:r>
      <w:r w:rsidRPr="00A53EAC">
        <w:rPr>
          <w:rFonts w:ascii="Times New Roman" w:hAnsi="Times New Roman" w:cs="Times New Roman"/>
        </w:rPr>
        <w:t xml:space="preserve"> tis. eur bolo spôsobené </w:t>
      </w:r>
      <w:r>
        <w:rPr>
          <w:rFonts w:ascii="Times New Roman" w:hAnsi="Times New Roman" w:cs="Times New Roman"/>
        </w:rPr>
        <w:t>najmä transferom</w:t>
      </w:r>
      <w:r w:rsidRPr="00A53EAC">
        <w:rPr>
          <w:rFonts w:ascii="Times New Roman" w:hAnsi="Times New Roman" w:cs="Times New Roman"/>
        </w:rPr>
        <w:t xml:space="preserve"> príjm</w:t>
      </w:r>
      <w:r>
        <w:rPr>
          <w:rFonts w:ascii="Times New Roman" w:hAnsi="Times New Roman" w:cs="Times New Roman"/>
        </w:rPr>
        <w:t>u</w:t>
      </w:r>
      <w:r w:rsidRPr="00A53EAC">
        <w:rPr>
          <w:rFonts w:ascii="Times New Roman" w:hAnsi="Times New Roman" w:cs="Times New Roman"/>
        </w:rPr>
        <w:t xml:space="preserve"> </w:t>
      </w:r>
      <w:r>
        <w:rPr>
          <w:rFonts w:ascii="Times New Roman" w:hAnsi="Times New Roman" w:cs="Times New Roman"/>
        </w:rPr>
        <w:t xml:space="preserve">z privatizácie 49% podielu štátu v spoločnosti Slovak Telekom, a.s. </w:t>
      </w:r>
      <w:r w:rsidRPr="00A53EAC">
        <w:rPr>
          <w:rFonts w:ascii="Times New Roman" w:hAnsi="Times New Roman" w:cs="Times New Roman"/>
        </w:rPr>
        <w:t xml:space="preserve"> v roku 201</w:t>
      </w:r>
      <w:r>
        <w:rPr>
          <w:rFonts w:ascii="Times New Roman" w:hAnsi="Times New Roman" w:cs="Times New Roman"/>
        </w:rPr>
        <w:t>5 vo výške 800 000 tis. eur do Štátnych finančných aktív. Tento negatívny vplyv na schodok Fondu národného majetku SR bol na druhej strane kompenzovaný príjmom štátnych finančných aktív.</w:t>
      </w:r>
    </w:p>
    <w:p w:rsidR="006F14B2" w:rsidRPr="00A53EAC" w:rsidP="006F14B2">
      <w:pPr>
        <w:bidi w:val="0"/>
        <w:spacing w:before="120" w:after="120" w:line="336" w:lineRule="auto"/>
        <w:jc w:val="both"/>
        <w:rPr>
          <w:rFonts w:ascii="Times New Roman" w:hAnsi="Times New Roman" w:cs="Times New Roman"/>
        </w:rPr>
      </w:pPr>
      <w:r w:rsidRPr="005D0B2F">
        <w:rPr>
          <w:rFonts w:ascii="Times New Roman" w:hAnsi="Times New Roman" w:cs="Times New Roman"/>
        </w:rPr>
        <w:t>V sektore zdravotníctva v roku 201</w:t>
      </w:r>
      <w:r>
        <w:rPr>
          <w:rFonts w:ascii="Times New Roman" w:hAnsi="Times New Roman" w:cs="Times New Roman"/>
        </w:rPr>
        <w:t>5</w:t>
      </w:r>
      <w:r w:rsidRPr="005D0B2F">
        <w:rPr>
          <w:rFonts w:ascii="Times New Roman" w:hAnsi="Times New Roman" w:cs="Times New Roman"/>
        </w:rPr>
        <w:t xml:space="preserve"> subjekty verejného zdravotného poistenia a nemocni</w:t>
      </w:r>
      <w:r>
        <w:rPr>
          <w:rFonts w:ascii="Times New Roman" w:hAnsi="Times New Roman" w:cs="Times New Roman"/>
        </w:rPr>
        <w:t>ce</w:t>
      </w:r>
      <w:r w:rsidRPr="005D0B2F">
        <w:rPr>
          <w:rFonts w:ascii="Times New Roman" w:hAnsi="Times New Roman" w:cs="Times New Roman"/>
        </w:rPr>
        <w:t xml:space="preserve"> vykázali spolu schodok </w:t>
      </w:r>
      <w:r>
        <w:rPr>
          <w:rFonts w:ascii="Times New Roman" w:hAnsi="Times New Roman" w:cs="Times New Roman"/>
        </w:rPr>
        <w:t>14 067</w:t>
      </w:r>
      <w:r w:rsidRPr="005D0B2F">
        <w:rPr>
          <w:rFonts w:ascii="Times New Roman" w:hAnsi="Times New Roman" w:cs="Times New Roman"/>
        </w:rPr>
        <w:t xml:space="preserve"> tis. eur</w:t>
      </w:r>
      <w:r>
        <w:rPr>
          <w:rFonts w:ascii="Times New Roman" w:hAnsi="Times New Roman" w:cs="Times New Roman"/>
        </w:rPr>
        <w:t>, z toho zdravotnícke zariadenia dosiahli schodok 67 731 tis. eur</w:t>
      </w:r>
      <w:r w:rsidRPr="00A53EAC">
        <w:rPr>
          <w:rFonts w:ascii="Times New Roman" w:hAnsi="Times New Roman" w:cs="Times New Roman"/>
        </w:rPr>
        <w:t xml:space="preserve"> Výdavky zdravotných poisťovní rástli rýchlejšie ako príjmy z</w:t>
      </w:r>
      <w:r>
        <w:rPr>
          <w:rFonts w:ascii="Times New Roman" w:hAnsi="Times New Roman" w:cs="Times New Roman"/>
        </w:rPr>
        <w:t> </w:t>
      </w:r>
      <w:r w:rsidRPr="00A53EAC">
        <w:rPr>
          <w:rFonts w:ascii="Times New Roman" w:hAnsi="Times New Roman" w:cs="Times New Roman"/>
        </w:rPr>
        <w:t>odvodov</w:t>
      </w:r>
      <w:r>
        <w:rPr>
          <w:rFonts w:ascii="Times New Roman" w:hAnsi="Times New Roman" w:cs="Times New Roman"/>
        </w:rPr>
        <w:t>,</w:t>
      </w:r>
      <w:r w:rsidRPr="00A53EAC">
        <w:rPr>
          <w:rFonts w:ascii="Times New Roman" w:hAnsi="Times New Roman" w:cs="Times New Roman"/>
        </w:rPr>
        <w:t xml:space="preserve"> nemocniciam a iným zdravotníckym zariadeniam napriek vyšším zdrojom od poisťovní o viac ako </w:t>
      </w:r>
      <w:r>
        <w:rPr>
          <w:rFonts w:ascii="Times New Roman" w:hAnsi="Times New Roman" w:cs="Times New Roman"/>
        </w:rPr>
        <w:t>3</w:t>
      </w:r>
      <w:r w:rsidRPr="00A53EAC">
        <w:rPr>
          <w:rFonts w:ascii="Times New Roman" w:hAnsi="Times New Roman" w:cs="Times New Roman"/>
        </w:rPr>
        <w:t> % narástli najmä záväzky z</w:t>
      </w:r>
      <w:r>
        <w:rPr>
          <w:rFonts w:ascii="Times New Roman" w:hAnsi="Times New Roman" w:cs="Times New Roman"/>
        </w:rPr>
        <w:t> </w:t>
      </w:r>
      <w:r w:rsidRPr="00A53EAC">
        <w:rPr>
          <w:rFonts w:ascii="Times New Roman" w:hAnsi="Times New Roman" w:cs="Times New Roman"/>
        </w:rPr>
        <w:t>neuhradených faktúr</w:t>
      </w:r>
      <w:r>
        <w:rPr>
          <w:rFonts w:ascii="Times New Roman" w:hAnsi="Times New Roman" w:cs="Times New Roman"/>
        </w:rPr>
        <w:t xml:space="preserve"> dodávateľom</w:t>
      </w:r>
      <w:r w:rsidRPr="00A53EAC">
        <w:rPr>
          <w:rFonts w:ascii="Times New Roman" w:hAnsi="Times New Roman" w:cs="Times New Roman"/>
        </w:rPr>
        <w:t xml:space="preserve">. </w:t>
      </w:r>
    </w:p>
    <w:p w:rsidR="006F14B2" w:rsidRPr="00E43363" w:rsidP="006F14B2">
      <w:pPr>
        <w:bidi w:val="0"/>
        <w:spacing w:before="120" w:after="120" w:line="336" w:lineRule="auto"/>
        <w:jc w:val="both"/>
        <w:rPr>
          <w:rFonts w:ascii="Times New Roman" w:hAnsi="Times New Roman" w:cs="Times New Roman"/>
        </w:rPr>
      </w:pPr>
      <w:r w:rsidRPr="00E43363">
        <w:rPr>
          <w:rFonts w:ascii="Times New Roman" w:hAnsi="Times New Roman" w:cs="Times New Roman"/>
        </w:rPr>
        <w:t>Na schodok Sociálnej poisťovne vo výške 224 034 tis. eur pôsobil</w:t>
      </w:r>
      <w:r w:rsidRPr="00E43363" w:rsidR="00E43363">
        <w:rPr>
          <w:rFonts w:ascii="Times New Roman" w:hAnsi="Times New Roman" w:cs="Times New Roman"/>
        </w:rPr>
        <w:t>a</w:t>
      </w:r>
      <w:r w:rsidRPr="00E43363">
        <w:rPr>
          <w:rFonts w:ascii="Times New Roman" w:hAnsi="Times New Roman" w:cs="Times New Roman"/>
        </w:rPr>
        <w:t xml:space="preserve"> negatívne</w:t>
      </w:r>
      <w:r w:rsidRPr="00E43363" w:rsidR="00E43363">
        <w:rPr>
          <w:rFonts w:ascii="Times New Roman" w:hAnsi="Times New Roman" w:cs="Times New Roman"/>
        </w:rPr>
        <w:t xml:space="preserve"> skutočnosť, že podľa metodiky ESA 2010 sa prestali považovať príjmy z presunu</w:t>
      </w:r>
      <w:r w:rsidRPr="00E43363">
        <w:rPr>
          <w:rFonts w:ascii="Times New Roman" w:hAnsi="Times New Roman" w:cs="Times New Roman"/>
        </w:rPr>
        <w:t xml:space="preserve"> </w:t>
      </w:r>
      <w:r w:rsidRPr="00E43363" w:rsidR="00E43363">
        <w:rPr>
          <w:rFonts w:ascii="Times New Roman" w:hAnsi="Times New Roman" w:cs="Times New Roman"/>
        </w:rPr>
        <w:t xml:space="preserve">z </w:t>
      </w:r>
      <w:r w:rsidRPr="00E43363">
        <w:rPr>
          <w:rFonts w:ascii="Times New Roman" w:hAnsi="Times New Roman" w:cs="Times New Roman"/>
        </w:rPr>
        <w:t>II. piliera</w:t>
      </w:r>
      <w:r w:rsidRPr="00E43363" w:rsidR="00E43363">
        <w:rPr>
          <w:rFonts w:ascii="Times New Roman" w:hAnsi="Times New Roman" w:cs="Times New Roman"/>
        </w:rPr>
        <w:t xml:space="preserve"> za ESA príjmy (považujú sa len za hotovostné príjmy).</w:t>
      </w:r>
      <w:r w:rsidRPr="00E43363">
        <w:rPr>
          <w:rFonts w:ascii="Times New Roman" w:hAnsi="Times New Roman" w:cs="Times New Roman"/>
        </w:rPr>
        <w:t xml:space="preserve"> </w:t>
      </w:r>
    </w:p>
    <w:p w:rsidR="006F14B2" w:rsidRPr="00A53EAC" w:rsidP="006F14B2">
      <w:pPr>
        <w:bidi w:val="0"/>
        <w:spacing w:before="120" w:after="120" w:line="336" w:lineRule="auto"/>
        <w:jc w:val="both"/>
        <w:rPr>
          <w:rFonts w:ascii="Times New Roman" w:hAnsi="Times New Roman" w:cs="Times New Roman"/>
        </w:rPr>
      </w:pPr>
      <w:r w:rsidRPr="00A53EAC">
        <w:rPr>
          <w:rFonts w:ascii="Times New Roman" w:hAnsi="Times New Roman" w:cs="Times New Roman"/>
        </w:rPr>
        <w:t xml:space="preserve">Novo zaradené subjekty do sektora verejnej správy podľa metodiky ESA 2010 </w:t>
      </w:r>
      <w:r>
        <w:rPr>
          <w:rFonts w:ascii="Times New Roman" w:hAnsi="Times New Roman" w:cs="Times New Roman"/>
        </w:rPr>
        <w:t>(JAVYS, a.s., Železničná spoločnosť Slovensko, a.s.) v roku 2015</w:t>
      </w:r>
      <w:r w:rsidRPr="00A53EAC">
        <w:rPr>
          <w:rFonts w:ascii="Times New Roman" w:hAnsi="Times New Roman" w:cs="Times New Roman"/>
        </w:rPr>
        <w:t xml:space="preserve"> prispeli spolu k z</w:t>
      </w:r>
      <w:r>
        <w:rPr>
          <w:rFonts w:ascii="Times New Roman" w:hAnsi="Times New Roman" w:cs="Times New Roman"/>
        </w:rPr>
        <w:t>níženiu</w:t>
      </w:r>
      <w:r w:rsidRPr="00A53EAC">
        <w:rPr>
          <w:rFonts w:ascii="Times New Roman" w:hAnsi="Times New Roman" w:cs="Times New Roman"/>
        </w:rPr>
        <w:t xml:space="preserve"> schodku verejnej správy o </w:t>
      </w:r>
      <w:r>
        <w:rPr>
          <w:rFonts w:ascii="Times New Roman" w:hAnsi="Times New Roman" w:cs="Times New Roman"/>
        </w:rPr>
        <w:t>40 196</w:t>
      </w:r>
      <w:r w:rsidRPr="00A53EAC">
        <w:rPr>
          <w:rFonts w:ascii="Times New Roman" w:hAnsi="Times New Roman" w:cs="Times New Roman"/>
        </w:rPr>
        <w:t xml:space="preserve"> tis. </w:t>
      </w:r>
      <w:r w:rsidRPr="009A4C5C">
        <w:rPr>
          <w:rFonts w:ascii="Times New Roman" w:hAnsi="Times New Roman" w:cs="Times New Roman"/>
        </w:rPr>
        <w:t>eur (0,1 % HDP).</w:t>
      </w:r>
    </w:p>
    <w:p w:rsidR="006F14B2" w:rsidP="006F14B2">
      <w:pPr>
        <w:bidi w:val="0"/>
        <w:spacing w:before="120" w:after="0" w:line="336" w:lineRule="auto"/>
        <w:jc w:val="both"/>
        <w:rPr>
          <w:rFonts w:ascii="Times New Roman" w:hAnsi="Times New Roman" w:cs="Times New Roman"/>
        </w:rPr>
      </w:pPr>
      <w:r w:rsidRPr="00A53EAC">
        <w:rPr>
          <w:rFonts w:ascii="Times New Roman" w:hAnsi="Times New Roman" w:cs="Times New Roman"/>
        </w:rPr>
        <w:t xml:space="preserve">Subjekty, ktoré pomohli schodok verejnej správy najviac znížiť, boli </w:t>
      </w:r>
      <w:r>
        <w:rPr>
          <w:rFonts w:ascii="Times New Roman" w:hAnsi="Times New Roman" w:cs="Times New Roman"/>
        </w:rPr>
        <w:t xml:space="preserve">opäť </w:t>
      </w:r>
      <w:r w:rsidRPr="00A53EAC">
        <w:rPr>
          <w:rFonts w:ascii="Times New Roman" w:hAnsi="Times New Roman" w:cs="Times New Roman"/>
        </w:rPr>
        <w:t xml:space="preserve">štátne fondy s prebytkom </w:t>
      </w:r>
      <w:r>
        <w:rPr>
          <w:rFonts w:ascii="Times New Roman" w:hAnsi="Times New Roman" w:cs="Times New Roman"/>
        </w:rPr>
        <w:t>232</w:t>
      </w:r>
      <w:r w:rsidRPr="00A53EAC">
        <w:rPr>
          <w:rFonts w:ascii="Times New Roman" w:hAnsi="Times New Roman" w:cs="Times New Roman"/>
        </w:rPr>
        <w:t> </w:t>
      </w:r>
      <w:r>
        <w:rPr>
          <w:rFonts w:ascii="Times New Roman" w:hAnsi="Times New Roman" w:cs="Times New Roman"/>
        </w:rPr>
        <w:t>756</w:t>
      </w:r>
      <w:r w:rsidRPr="00A53EAC">
        <w:rPr>
          <w:rFonts w:ascii="Times New Roman" w:hAnsi="Times New Roman" w:cs="Times New Roman"/>
        </w:rPr>
        <w:t xml:space="preserve"> tis. eur. Pomerne vysoké kladné saldo štátnych fondov je spôsobené najmä Národným jadrovým fondom, ktorý </w:t>
      </w:r>
      <w:r>
        <w:rPr>
          <w:rFonts w:ascii="Times New Roman" w:hAnsi="Times New Roman" w:cs="Times New Roman"/>
        </w:rPr>
        <w:t xml:space="preserve">tak ako v predchádzajúcich rokoch aj v roku 2015 </w:t>
      </w:r>
      <w:r w:rsidRPr="00A53EAC">
        <w:rPr>
          <w:rFonts w:ascii="Times New Roman" w:hAnsi="Times New Roman" w:cs="Times New Roman"/>
        </w:rPr>
        <w:t>kumul</w:t>
      </w:r>
      <w:r>
        <w:rPr>
          <w:rFonts w:ascii="Times New Roman" w:hAnsi="Times New Roman" w:cs="Times New Roman"/>
        </w:rPr>
        <w:t>oval</w:t>
      </w:r>
      <w:r w:rsidRPr="00A53EAC">
        <w:rPr>
          <w:rFonts w:ascii="Times New Roman" w:hAnsi="Times New Roman" w:cs="Times New Roman"/>
        </w:rPr>
        <w:t xml:space="preserve"> prostriedky určené na skladovanie a budúcu likvidáciu jadrového odpadu. </w:t>
      </w:r>
    </w:p>
    <w:tbl>
      <w:tblPr>
        <w:tblStyle w:val="TableNormal"/>
        <w:tblW w:w="5000" w:type="pct"/>
        <w:tblCellMar>
          <w:left w:w="70" w:type="dxa"/>
          <w:right w:w="70" w:type="dxa"/>
        </w:tblCellMar>
        <w:tblLook w:val="04A0"/>
      </w:tblPr>
      <w:tblGrid>
        <w:gridCol w:w="5787"/>
        <w:gridCol w:w="1142"/>
        <w:gridCol w:w="1142"/>
        <w:gridCol w:w="1140"/>
      </w:tblGrid>
      <w:tr>
        <w:tblPrEx>
          <w:tblW w:w="5000" w:type="pct"/>
          <w:tblCellMar>
            <w:left w:w="70" w:type="dxa"/>
            <w:right w:w="70" w:type="dxa"/>
          </w:tblCellMar>
          <w:tblLook w:val="04A0"/>
        </w:tblPrEx>
        <w:trPr>
          <w:trHeight w:val="255"/>
        </w:trPr>
        <w:tc>
          <w:tcPr>
            <w:tcW w:w="4381" w:type="pct"/>
            <w:gridSpan w:val="3"/>
            <w:tcBorders>
              <w:top w:val="single" w:sz="4" w:space="0" w:color="auto"/>
              <w:left w:val="nil"/>
              <w:bottom w:val="single" w:sz="4" w:space="0" w:color="auto"/>
              <w:right w:val="nil"/>
            </w:tcBorders>
            <w:shd w:val="clear" w:color="000000" w:fill="000000"/>
            <w:noWrap/>
            <w:textDirection w:val="lrTb"/>
            <w:vAlign w:val="center"/>
            <w:hideMark/>
          </w:tcPr>
          <w:p w:rsidR="006F14B2" w:rsidRPr="008C0943" w:rsidP="000B4414">
            <w:pPr>
              <w:bidi w:val="0"/>
              <w:spacing w:after="0" w:line="240" w:lineRule="auto"/>
              <w:rPr>
                <w:rFonts w:ascii="Times New Roman" w:hAnsi="Times New Roman" w:cs="Times New Roman"/>
                <w:b/>
                <w:bCs/>
                <w:color w:val="FFFFFF"/>
                <w:sz w:val="20"/>
                <w:szCs w:val="20"/>
                <w:lang w:eastAsia="sk-SK"/>
              </w:rPr>
            </w:pPr>
            <w:r w:rsidRPr="008C0943">
              <w:rPr>
                <w:rFonts w:ascii="Times New Roman" w:hAnsi="Times New Roman" w:cs="Times New Roman"/>
                <w:b/>
                <w:bCs/>
                <w:color w:val="FFFFFF"/>
                <w:sz w:val="20"/>
                <w:szCs w:val="20"/>
                <w:lang w:eastAsia="sk-SK"/>
              </w:rPr>
              <w:t>Schodok verejnej správy podľa jednotlivých subjektov (ESA 2010)</w:t>
            </w:r>
          </w:p>
        </w:tc>
        <w:tc>
          <w:tcPr>
            <w:tcW w:w="619" w:type="pct"/>
            <w:tcBorders>
              <w:top w:val="nil"/>
              <w:left w:val="nil"/>
              <w:bottom w:val="nil"/>
              <w:right w:val="single" w:sz="8" w:space="0" w:color="auto"/>
            </w:tcBorders>
            <w:shd w:val="clear" w:color="000000" w:fill="000000"/>
            <w:noWrap/>
            <w:textDirection w:val="lrTb"/>
            <w:vAlign w:val="center"/>
            <w:hideMark/>
          </w:tcPr>
          <w:p w:rsidR="006F14B2" w:rsidRPr="008C0943" w:rsidP="000B4414">
            <w:pPr>
              <w:bidi w:val="0"/>
              <w:spacing w:after="0" w:line="240" w:lineRule="auto"/>
              <w:jc w:val="right"/>
              <w:rPr>
                <w:rFonts w:ascii="Times New Roman" w:hAnsi="Times New Roman" w:cs="Times New Roman"/>
                <w:b/>
                <w:bCs/>
                <w:color w:val="FFFFFF"/>
                <w:sz w:val="20"/>
                <w:szCs w:val="20"/>
                <w:lang w:eastAsia="sk-SK"/>
              </w:rPr>
            </w:pPr>
            <w:r w:rsidRPr="008C0943">
              <w:rPr>
                <w:rFonts w:ascii="Times New Roman" w:hAnsi="Times New Roman" w:cs="Times New Roman"/>
                <w:b/>
                <w:bCs/>
                <w:color w:val="FFFFFF"/>
                <w:sz w:val="20"/>
                <w:szCs w:val="20"/>
                <w:lang w:eastAsia="sk-SK"/>
              </w:rPr>
              <w:t>v tis. eur</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 </w:t>
            </w:r>
          </w:p>
        </w:tc>
        <w:tc>
          <w:tcPr>
            <w:tcW w:w="620" w:type="pct"/>
            <w:tcBorders>
              <w:top w:val="nil"/>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2013</w:t>
            </w:r>
          </w:p>
        </w:tc>
        <w:tc>
          <w:tcPr>
            <w:tcW w:w="620" w:type="pct"/>
            <w:tcBorders>
              <w:top w:val="nil"/>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2014</w:t>
            </w:r>
          </w:p>
        </w:tc>
        <w:tc>
          <w:tcPr>
            <w:tcW w:w="619" w:type="pct"/>
            <w:tcBorders>
              <w:top w:val="single" w:sz="4" w:space="0" w:color="auto"/>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2015</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 </w:t>
            </w:r>
          </w:p>
        </w:tc>
        <w:tc>
          <w:tcPr>
            <w:tcW w:w="620" w:type="pct"/>
            <w:tcBorders>
              <w:top w:val="nil"/>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Skutočnosť</w:t>
            </w:r>
          </w:p>
        </w:tc>
        <w:tc>
          <w:tcPr>
            <w:tcW w:w="620" w:type="pct"/>
            <w:tcBorders>
              <w:top w:val="nil"/>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Skutočnosť</w:t>
            </w:r>
          </w:p>
        </w:tc>
        <w:tc>
          <w:tcPr>
            <w:tcW w:w="619" w:type="pct"/>
            <w:tcBorders>
              <w:top w:val="nil"/>
              <w:left w:val="nil"/>
              <w:bottom w:val="nil"/>
              <w:right w:val="nil"/>
            </w:tcBorders>
            <w:shd w:val="clear" w:color="000000" w:fill="BFBFBF"/>
            <w:noWrap/>
            <w:textDirection w:val="lrTb"/>
            <w:vAlign w:val="center"/>
            <w:hideMark/>
          </w:tcPr>
          <w:p w:rsidR="006F14B2" w:rsidRPr="008C0943" w:rsidP="000B4414">
            <w:pPr>
              <w:bidi w:val="0"/>
              <w:spacing w:after="0" w:line="240" w:lineRule="auto"/>
              <w:jc w:val="center"/>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Skutočnosť</w:t>
            </w:r>
          </w:p>
        </w:tc>
      </w:tr>
      <w:tr>
        <w:tblPrEx>
          <w:tblW w:w="5000" w:type="pct"/>
          <w:tblCellMar>
            <w:left w:w="70" w:type="dxa"/>
            <w:right w:w="70" w:type="dxa"/>
          </w:tblCellMar>
          <w:tblLook w:val="04A0"/>
        </w:tblPrEx>
        <w:trPr>
          <w:trHeight w:val="315"/>
        </w:trPr>
        <w:tc>
          <w:tcPr>
            <w:tcW w:w="3141"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Štátny rozpočet</w:t>
            </w:r>
            <w:r w:rsidRPr="008C0943">
              <w:rPr>
                <w:rFonts w:ascii="Times New Roman" w:hAnsi="Times New Roman" w:cs="Times New Roman"/>
                <w:sz w:val="20"/>
                <w:szCs w:val="20"/>
                <w:vertAlign w:val="superscript"/>
                <w:lang w:eastAsia="sk-SK"/>
              </w:rPr>
              <w:t>1</w:t>
            </w:r>
            <w:r w:rsidRPr="008C0943">
              <w:rPr>
                <w:rFonts w:ascii="Times New Roman" w:hAnsi="Times New Roman" w:cs="Times New Roman"/>
                <w:color w:val="000000"/>
                <w:sz w:val="20"/>
                <w:szCs w:val="20"/>
                <w:vertAlign w:val="superscript"/>
                <w:lang w:eastAsia="sk-SK"/>
              </w:rPr>
              <w:t>)</w:t>
            </w:r>
          </w:p>
        </w:tc>
        <w:tc>
          <w:tcPr>
            <w:tcW w:w="620"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-2 272 168</w:t>
            </w:r>
          </w:p>
        </w:tc>
        <w:tc>
          <w:tcPr>
            <w:tcW w:w="620"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-1 881 505</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-1 467 215</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Štátne fondy</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240 841</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209 094</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232 756</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Verejné vysoké školy</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47 938</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-15 602</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-3 324</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BD5847" w:rsidP="000B4414">
            <w:pPr>
              <w:bidi w:val="0"/>
              <w:spacing w:after="0" w:line="240" w:lineRule="auto"/>
              <w:rPr>
                <w:rFonts w:ascii="Times New Roman" w:hAnsi="Times New Roman" w:cs="Times New Roman"/>
                <w:sz w:val="20"/>
                <w:szCs w:val="20"/>
                <w:lang w:eastAsia="sk-SK"/>
              </w:rPr>
            </w:pPr>
            <w:r w:rsidRPr="00BD5847">
              <w:rPr>
                <w:rFonts w:ascii="Times New Roman" w:hAnsi="Times New Roman" w:cs="Times New Roman"/>
                <w:sz w:val="20"/>
                <w:szCs w:val="20"/>
                <w:lang w:eastAsia="sk-SK"/>
              </w:rPr>
              <w:t>Neziskové organizácie štátu</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3 315</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-3 459</w:t>
            </w:r>
          </w:p>
        </w:tc>
        <w:tc>
          <w:tcPr>
            <w:tcW w:w="619"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-10 105</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Fond národného majetku SR</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-147 325</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-216 769</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-849 265</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Slovenský pozemkový fond</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9 931</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16 657</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4 725</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Rozhlas a televízia Slovenska</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3 326</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-1 467</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5 856</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BD5847" w:rsidP="000B4414">
            <w:pPr>
              <w:bidi w:val="0"/>
              <w:spacing w:after="0" w:line="240" w:lineRule="auto"/>
              <w:rPr>
                <w:rFonts w:ascii="Times New Roman" w:hAnsi="Times New Roman" w:cs="Times New Roman"/>
                <w:sz w:val="20"/>
                <w:szCs w:val="20"/>
                <w:lang w:eastAsia="sk-SK"/>
              </w:rPr>
            </w:pPr>
            <w:r w:rsidRPr="00BD5847">
              <w:rPr>
                <w:rFonts w:ascii="Times New Roman" w:hAnsi="Times New Roman" w:cs="Times New Roman"/>
                <w:sz w:val="20"/>
                <w:szCs w:val="20"/>
                <w:lang w:eastAsia="sk-SK"/>
              </w:rPr>
              <w:t>RTVS, s. r. o.</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143</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Calibri" w:hAnsi="Calibri" w:cs="Arial"/>
                <w:sz w:val="20"/>
                <w:szCs w:val="20"/>
                <w:lang w:eastAsia="sk-SK"/>
              </w:rPr>
            </w:pPr>
            <w:r w:rsidRPr="00BD5847">
              <w:rPr>
                <w:rFonts w:ascii="Calibri" w:hAnsi="Calibri" w:cs="Arial"/>
                <w:sz w:val="20"/>
                <w:szCs w:val="20"/>
                <w:lang w:eastAsia="sk-SK"/>
              </w:rPr>
              <w:t>−</w:t>
            </w:r>
          </w:p>
        </w:tc>
        <w:tc>
          <w:tcPr>
            <w:tcW w:w="619"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Calibri" w:hAnsi="Calibri" w:cs="Arial"/>
                <w:sz w:val="20"/>
                <w:szCs w:val="20"/>
                <w:lang w:eastAsia="sk-SK"/>
              </w:rPr>
            </w:pPr>
            <w:r w:rsidRPr="00BD5847">
              <w:rPr>
                <w:rFonts w:ascii="Calibri" w:hAnsi="Calibri" w:cs="Arial"/>
                <w:sz w:val="20"/>
                <w:szCs w:val="20"/>
                <w:lang w:eastAsia="sk-SK"/>
              </w:rPr>
              <w:t>−</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Slovenská konsolidačná, a.s.</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-3 889</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-919</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-1 665</w:t>
            </w:r>
          </w:p>
        </w:tc>
      </w:tr>
      <w:tr>
        <w:tblPrEx>
          <w:tblW w:w="5000" w:type="pct"/>
          <w:tblCellMar>
            <w:left w:w="70" w:type="dxa"/>
            <w:right w:w="70" w:type="dxa"/>
          </w:tblCellMar>
          <w:tblLook w:val="04A0"/>
        </w:tblPrEx>
        <w:trPr>
          <w:trHeight w:val="270"/>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Slovenská reštrukturalizačná, s.r.o.</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Calibri" w:hAnsi="Calibri" w:cs="Arial"/>
                <w:sz w:val="20"/>
                <w:szCs w:val="20"/>
                <w:lang w:eastAsia="sk-SK"/>
              </w:rPr>
            </w:pPr>
            <w:r w:rsidRPr="008C0943">
              <w:rPr>
                <w:rFonts w:ascii="Calibri" w:hAnsi="Calibri" w:cs="Arial"/>
                <w:sz w:val="20"/>
                <w:szCs w:val="20"/>
                <w:lang w:eastAsia="sk-SK"/>
              </w:rPr>
              <w:t>−</w:t>
            </w:r>
          </w:p>
        </w:tc>
        <w:tc>
          <w:tcPr>
            <w:tcW w:w="620"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w:t>
            </w:r>
          </w:p>
        </w:tc>
        <w:tc>
          <w:tcPr>
            <w:tcW w:w="619" w:type="pct"/>
            <w:tcBorders>
              <w:top w:val="nil"/>
              <w:left w:val="nil"/>
              <w:bottom w:val="nil"/>
              <w:right w:val="nil"/>
            </w:tcBorders>
            <w:noWrap/>
            <w:textDirection w:val="lrTb"/>
            <w:vAlign w:val="bottom"/>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14 494</w:t>
            </w:r>
          </w:p>
        </w:tc>
      </w:tr>
      <w:tr>
        <w:tblPrEx>
          <w:tblW w:w="5000" w:type="pct"/>
          <w:tblCellMar>
            <w:left w:w="70" w:type="dxa"/>
            <w:right w:w="70" w:type="dxa"/>
          </w:tblCellMar>
          <w:tblLook w:val="04A0"/>
        </w:tblPrEx>
        <w:trPr>
          <w:trHeight w:val="330"/>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MH Invest, s.r.o.</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Calibri" w:hAnsi="Calibri" w:cs="Arial"/>
                <w:sz w:val="20"/>
                <w:szCs w:val="20"/>
                <w:lang w:eastAsia="sk-SK"/>
              </w:rPr>
            </w:pPr>
            <w:r w:rsidRPr="008C0943">
              <w:rPr>
                <w:rFonts w:ascii="Calibri" w:hAnsi="Calibri" w:cs="Arial"/>
                <w:sz w:val="20"/>
                <w:szCs w:val="20"/>
                <w:lang w:eastAsia="sk-SK"/>
              </w:rPr>
              <w:t>−</w:t>
            </w:r>
          </w:p>
        </w:tc>
        <w:tc>
          <w:tcPr>
            <w:tcW w:w="620"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0</w:t>
            </w:r>
            <w:r w:rsidRPr="008C0943">
              <w:rPr>
                <w:rFonts w:ascii="Times New Roman" w:hAnsi="Times New Roman" w:cs="Times New Roman"/>
                <w:sz w:val="20"/>
                <w:szCs w:val="20"/>
                <w:vertAlign w:val="superscript"/>
                <w:lang w:eastAsia="sk-SK"/>
              </w:rPr>
              <w:t>3)</w:t>
            </w:r>
          </w:p>
        </w:tc>
        <w:tc>
          <w:tcPr>
            <w:tcW w:w="619" w:type="pct"/>
            <w:tcBorders>
              <w:top w:val="nil"/>
              <w:left w:val="nil"/>
              <w:bottom w:val="nil"/>
              <w:right w:val="nil"/>
            </w:tcBorders>
            <w:noWrap/>
            <w:textDirection w:val="lrTb"/>
            <w:vAlign w:val="bottom"/>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40 540</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JAVYS, a.s.</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11 638</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6 457</w:t>
            </w:r>
          </w:p>
        </w:tc>
        <w:tc>
          <w:tcPr>
            <w:tcW w:w="619" w:type="pct"/>
            <w:tcBorders>
              <w:top w:val="nil"/>
              <w:left w:val="nil"/>
              <w:bottom w:val="nil"/>
              <w:right w:val="nil"/>
            </w:tcBorders>
            <w:noWrap/>
            <w:textDirection w:val="lrTb"/>
            <w:vAlign w:val="bottom"/>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17 419</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Železnice Slovenskej republiky</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58 251</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36 050</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-16 044</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Železničná spoločnosť Slovensko, a.s.</w:t>
            </w:r>
          </w:p>
        </w:tc>
        <w:tc>
          <w:tcPr>
            <w:tcW w:w="620"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-40 698</w:t>
            </w:r>
          </w:p>
        </w:tc>
        <w:tc>
          <w:tcPr>
            <w:tcW w:w="620"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-28 850</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22 777</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Národná diaľničná spoločnosť, a.s.</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147 160</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3 677</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16 518</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Agentúra pre núdzové zásoby ropy a ropných výrobkov</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-41 352</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29 135</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-6 229</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BD5847" w:rsidP="000B4414">
            <w:pPr>
              <w:bidi w:val="0"/>
              <w:spacing w:after="0" w:line="240" w:lineRule="auto"/>
              <w:rPr>
                <w:rFonts w:ascii="Times New Roman" w:hAnsi="Times New Roman" w:cs="Times New Roman"/>
                <w:sz w:val="20"/>
                <w:szCs w:val="20"/>
                <w:lang w:eastAsia="sk-SK"/>
              </w:rPr>
            </w:pPr>
            <w:r w:rsidRPr="00BD5847">
              <w:rPr>
                <w:rFonts w:ascii="Times New Roman" w:hAnsi="Times New Roman" w:cs="Times New Roman"/>
                <w:sz w:val="20"/>
                <w:szCs w:val="20"/>
                <w:lang w:eastAsia="sk-SK"/>
              </w:rPr>
              <w:t>Eximbanka SR</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-2 845</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19 644</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-2 033</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Dopravné podniky</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Calibri" w:hAnsi="Calibri" w:cs="Arial"/>
                <w:sz w:val="20"/>
                <w:szCs w:val="20"/>
                <w:lang w:eastAsia="sk-SK"/>
              </w:rPr>
            </w:pPr>
            <w:r w:rsidRPr="008C0943">
              <w:rPr>
                <w:rFonts w:ascii="Calibri" w:hAnsi="Calibri" w:cs="Arial"/>
                <w:sz w:val="20"/>
                <w:szCs w:val="20"/>
                <w:lang w:eastAsia="sk-SK"/>
              </w:rPr>
              <w:t>−</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-46 100</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-11 672</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Sociálna poisťovňa</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-198 705</w:t>
            </w:r>
          </w:p>
        </w:tc>
        <w:tc>
          <w:tcPr>
            <w:tcW w:w="620"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-38 660</w:t>
            </w:r>
          </w:p>
        </w:tc>
        <w:tc>
          <w:tcPr>
            <w:tcW w:w="619" w:type="pct"/>
            <w:tcBorders>
              <w:top w:val="nil"/>
              <w:left w:val="nil"/>
              <w:bottom w:val="nil"/>
              <w:right w:val="nil"/>
            </w:tcBorders>
            <w:shd w:val="clear" w:color="000000" w:fill="FFFFFF"/>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-224 034</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Verejné zdravotné poistenie</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5 167</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-70 068</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53 664</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Zdravotnícke zariadenia zaradené do sektora verejnej správy</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-30 198</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-61 935</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-67 731</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bottom"/>
            <w:hideMark/>
          </w:tcPr>
          <w:p w:rsidR="006F14B2" w:rsidRPr="00BD5847" w:rsidP="000B4414">
            <w:pPr>
              <w:bidi w:val="0"/>
              <w:spacing w:after="0" w:line="240" w:lineRule="auto"/>
              <w:rPr>
                <w:rFonts w:ascii="Times New Roman" w:hAnsi="Times New Roman" w:cs="Times New Roman"/>
                <w:sz w:val="20"/>
                <w:szCs w:val="20"/>
                <w:lang w:eastAsia="sk-SK"/>
              </w:rPr>
            </w:pPr>
            <w:r w:rsidRPr="00BD5847">
              <w:rPr>
                <w:rFonts w:ascii="Times New Roman" w:hAnsi="Times New Roman" w:cs="Times New Roman"/>
                <w:sz w:val="20"/>
                <w:szCs w:val="20"/>
                <w:lang w:eastAsia="sk-SK"/>
              </w:rPr>
              <w:t xml:space="preserve">Ostatné subjekty verejnej správy </w:t>
            </w:r>
            <w:r w:rsidRPr="00BD5847">
              <w:rPr>
                <w:rFonts w:ascii="Times New Roman" w:hAnsi="Times New Roman" w:cs="Times New Roman"/>
                <w:sz w:val="20"/>
                <w:szCs w:val="20"/>
                <w:vertAlign w:val="superscript"/>
                <w:lang w:eastAsia="sk-SK"/>
              </w:rPr>
              <w:t>2)</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192</w:t>
            </w:r>
          </w:p>
        </w:tc>
        <w:tc>
          <w:tcPr>
            <w:tcW w:w="620"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-7 314</w:t>
            </w:r>
          </w:p>
        </w:tc>
        <w:tc>
          <w:tcPr>
            <w:tcW w:w="619" w:type="pct"/>
            <w:tcBorders>
              <w:top w:val="nil"/>
              <w:left w:val="nil"/>
              <w:bottom w:val="nil"/>
              <w:right w:val="nil"/>
            </w:tcBorders>
            <w:noWrap/>
            <w:textDirection w:val="lrTb"/>
            <w:vAlign w:val="center"/>
            <w:hideMark/>
          </w:tcPr>
          <w:p w:rsidR="006F14B2" w:rsidRPr="00BD5847" w:rsidP="000B4414">
            <w:pPr>
              <w:bidi w:val="0"/>
              <w:spacing w:after="0" w:line="240" w:lineRule="auto"/>
              <w:jc w:val="right"/>
              <w:rPr>
                <w:rFonts w:ascii="Times New Roman" w:hAnsi="Times New Roman" w:cs="Times New Roman"/>
                <w:sz w:val="20"/>
                <w:szCs w:val="20"/>
                <w:lang w:eastAsia="sk-SK"/>
              </w:rPr>
            </w:pPr>
            <w:r w:rsidRPr="00BD5847">
              <w:rPr>
                <w:rFonts w:ascii="Times New Roman" w:hAnsi="Times New Roman" w:cs="Times New Roman"/>
                <w:sz w:val="20"/>
                <w:szCs w:val="20"/>
                <w:lang w:eastAsia="sk-SK"/>
              </w:rPr>
              <w:t>-12 596</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Vyššie územné celky</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53 741</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16 604</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58 123</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Obce</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115 951</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-11 099</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64 558</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004B28B7">
              <w:br w:type="page"/>
            </w:r>
            <w:r w:rsidRPr="008C0943">
              <w:rPr>
                <w:rFonts w:ascii="Times New Roman" w:hAnsi="Times New Roman" w:cs="Times New Roman"/>
                <w:sz w:val="20"/>
                <w:szCs w:val="20"/>
                <w:lang w:eastAsia="sk-SK"/>
              </w:rPr>
              <w:t>Príspevkové organizácie zaradené do verejnej správy</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22 175</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-9 687</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10 176</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v tom: štátne</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25 698</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-14 890</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526</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 xml:space="preserve">             obecné</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1 505</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1 859</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4 568</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r w:rsidRPr="008C0943">
              <w:rPr>
                <w:rFonts w:ascii="Times New Roman" w:hAnsi="Times New Roman" w:cs="Times New Roman"/>
                <w:sz w:val="20"/>
                <w:szCs w:val="20"/>
                <w:lang w:eastAsia="sk-SK"/>
              </w:rPr>
              <w:t xml:space="preserve">             vyšších územných celkov</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-5 028</w:t>
            </w: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3 344</w:t>
            </w:r>
          </w:p>
        </w:tc>
        <w:tc>
          <w:tcPr>
            <w:tcW w:w="619"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sz w:val="20"/>
                <w:szCs w:val="20"/>
                <w:lang w:eastAsia="sk-SK"/>
              </w:rPr>
            </w:pPr>
            <w:r w:rsidRPr="008C0943">
              <w:rPr>
                <w:rFonts w:ascii="Times New Roman" w:hAnsi="Times New Roman" w:cs="Times New Roman"/>
                <w:sz w:val="20"/>
                <w:szCs w:val="20"/>
                <w:lang w:eastAsia="sk-SK"/>
              </w:rPr>
              <w:t>5 082</w:t>
            </w:r>
          </w:p>
        </w:tc>
      </w:tr>
      <w:tr>
        <w:tblPrEx>
          <w:tblW w:w="5000" w:type="pct"/>
          <w:tblCellMar>
            <w:left w:w="70" w:type="dxa"/>
            <w:right w:w="70" w:type="dxa"/>
          </w:tblCellMar>
          <w:tblLook w:val="04A0"/>
        </w:tblPrEx>
        <w:trPr>
          <w:trHeight w:val="255"/>
        </w:trPr>
        <w:tc>
          <w:tcPr>
            <w:tcW w:w="3141" w:type="pct"/>
            <w:tcBorders>
              <w:top w:val="single" w:sz="4" w:space="0" w:color="auto"/>
              <w:left w:val="nil"/>
              <w:bottom w:val="nil"/>
              <w:right w:val="nil"/>
            </w:tcBorders>
            <w:shd w:val="clear" w:color="000000" w:fill="BFBFBF"/>
            <w:textDirection w:val="lrTb"/>
            <w:vAlign w:val="center"/>
            <w:hideMark/>
          </w:tcPr>
          <w:p w:rsidR="006F14B2" w:rsidRPr="008C0943" w:rsidP="000B4414">
            <w:pPr>
              <w:bidi w:val="0"/>
              <w:spacing w:after="0" w:line="240" w:lineRule="auto"/>
              <w:jc w:val="both"/>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Schodok verejnej správy spolu</w:t>
            </w:r>
          </w:p>
        </w:tc>
        <w:tc>
          <w:tcPr>
            <w:tcW w:w="620" w:type="pct"/>
            <w:tcBorders>
              <w:top w:val="single" w:sz="4" w:space="0" w:color="auto"/>
              <w:left w:val="nil"/>
              <w:bottom w:val="nil"/>
              <w:right w:val="nil"/>
            </w:tcBorders>
            <w:shd w:val="clear" w:color="000000" w:fill="BFBFBF"/>
            <w:textDirection w:val="lrTb"/>
            <w:vAlign w:val="center"/>
            <w:hideMark/>
          </w:tcPr>
          <w:p w:rsidR="006F14B2" w:rsidRPr="008C0943" w:rsidP="000B4414">
            <w:pPr>
              <w:bidi w:val="0"/>
              <w:spacing w:after="0" w:line="240" w:lineRule="auto"/>
              <w:jc w:val="right"/>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-2 017 411</w:t>
            </w:r>
          </w:p>
        </w:tc>
        <w:tc>
          <w:tcPr>
            <w:tcW w:w="620" w:type="pct"/>
            <w:tcBorders>
              <w:top w:val="single" w:sz="4" w:space="0" w:color="auto"/>
              <w:left w:val="nil"/>
              <w:bottom w:val="nil"/>
              <w:right w:val="nil"/>
            </w:tcBorders>
            <w:shd w:val="clear" w:color="000000" w:fill="BFBFBF"/>
            <w:textDirection w:val="lrTb"/>
            <w:vAlign w:val="center"/>
            <w:hideMark/>
          </w:tcPr>
          <w:p w:rsidR="006F14B2" w:rsidRPr="008C0943" w:rsidP="000B4414">
            <w:pPr>
              <w:bidi w:val="0"/>
              <w:spacing w:after="0" w:line="240" w:lineRule="auto"/>
              <w:jc w:val="right"/>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-2 056 116</w:t>
            </w:r>
          </w:p>
        </w:tc>
        <w:tc>
          <w:tcPr>
            <w:tcW w:w="619" w:type="pct"/>
            <w:tcBorders>
              <w:top w:val="single" w:sz="4" w:space="0" w:color="auto"/>
              <w:left w:val="nil"/>
              <w:bottom w:val="nil"/>
              <w:right w:val="nil"/>
            </w:tcBorders>
            <w:shd w:val="clear" w:color="000000" w:fill="BFBFBF"/>
            <w:textDirection w:val="lrTb"/>
            <w:vAlign w:val="center"/>
            <w:hideMark/>
          </w:tcPr>
          <w:p w:rsidR="006F14B2" w:rsidRPr="008C0943" w:rsidP="000B4414">
            <w:pPr>
              <w:bidi w:val="0"/>
              <w:spacing w:after="0" w:line="240" w:lineRule="auto"/>
              <w:jc w:val="right"/>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-2 130 307</w:t>
            </w:r>
          </w:p>
        </w:tc>
      </w:tr>
      <w:tr>
        <w:tblPrEx>
          <w:tblW w:w="5000" w:type="pct"/>
          <w:tblCellMar>
            <w:left w:w="70" w:type="dxa"/>
            <w:right w:w="70" w:type="dxa"/>
          </w:tblCellMar>
          <w:tblLook w:val="04A0"/>
        </w:tblPrEx>
        <w:trPr>
          <w:trHeight w:val="255"/>
        </w:trPr>
        <w:tc>
          <w:tcPr>
            <w:tcW w:w="3141" w:type="pct"/>
            <w:tcBorders>
              <w:top w:val="nil"/>
              <w:left w:val="nil"/>
              <w:bottom w:val="single" w:sz="4" w:space="0" w:color="auto"/>
              <w:right w:val="nil"/>
            </w:tcBorders>
            <w:shd w:val="clear" w:color="000000" w:fill="BFBFBF"/>
            <w:noWrap/>
            <w:textDirection w:val="lrTb"/>
            <w:vAlign w:val="center"/>
            <w:hideMark/>
          </w:tcPr>
          <w:p w:rsidR="006F14B2" w:rsidRPr="008C0943" w:rsidP="000B4414">
            <w:pPr>
              <w:bidi w:val="0"/>
              <w:spacing w:after="0" w:line="240" w:lineRule="auto"/>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 xml:space="preserve">     % z HDP</w:t>
            </w:r>
          </w:p>
        </w:tc>
        <w:tc>
          <w:tcPr>
            <w:tcW w:w="620" w:type="pct"/>
            <w:tcBorders>
              <w:top w:val="nil"/>
              <w:left w:val="nil"/>
              <w:bottom w:val="single" w:sz="4" w:space="0" w:color="auto"/>
              <w:right w:val="nil"/>
            </w:tcBorders>
            <w:shd w:val="clear" w:color="000000" w:fill="BFBFBF"/>
            <w:noWrap/>
            <w:textDirection w:val="lrTb"/>
            <w:vAlign w:val="center"/>
            <w:hideMark/>
          </w:tcPr>
          <w:p w:rsidR="006F14B2" w:rsidRPr="008C0943" w:rsidP="000B4414">
            <w:pPr>
              <w:bidi w:val="0"/>
              <w:spacing w:after="0" w:line="240" w:lineRule="auto"/>
              <w:jc w:val="right"/>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-2,7</w:t>
            </w:r>
          </w:p>
        </w:tc>
        <w:tc>
          <w:tcPr>
            <w:tcW w:w="620" w:type="pct"/>
            <w:tcBorders>
              <w:top w:val="nil"/>
              <w:left w:val="nil"/>
              <w:bottom w:val="single" w:sz="4" w:space="0" w:color="auto"/>
              <w:right w:val="nil"/>
            </w:tcBorders>
            <w:shd w:val="clear" w:color="000000" w:fill="BFBFBF"/>
            <w:noWrap/>
            <w:textDirection w:val="lrTb"/>
            <w:vAlign w:val="center"/>
            <w:hideMark/>
          </w:tcPr>
          <w:p w:rsidR="006F14B2" w:rsidRPr="008C0943" w:rsidP="000B4414">
            <w:pPr>
              <w:bidi w:val="0"/>
              <w:spacing w:after="0" w:line="240" w:lineRule="auto"/>
              <w:jc w:val="right"/>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-2,7</w:t>
            </w:r>
          </w:p>
        </w:tc>
        <w:tc>
          <w:tcPr>
            <w:tcW w:w="619" w:type="pct"/>
            <w:tcBorders>
              <w:top w:val="nil"/>
              <w:left w:val="nil"/>
              <w:bottom w:val="single" w:sz="4" w:space="0" w:color="auto"/>
              <w:right w:val="nil"/>
            </w:tcBorders>
            <w:shd w:val="clear" w:color="000000" w:fill="BFBFBF"/>
            <w:noWrap/>
            <w:textDirection w:val="lrTb"/>
            <w:vAlign w:val="center"/>
            <w:hideMark/>
          </w:tcPr>
          <w:p w:rsidR="006F14B2" w:rsidRPr="008C0943" w:rsidP="000B4414">
            <w:pPr>
              <w:bidi w:val="0"/>
              <w:spacing w:after="0" w:line="240" w:lineRule="auto"/>
              <w:jc w:val="right"/>
              <w:rPr>
                <w:rFonts w:ascii="Times New Roman" w:hAnsi="Times New Roman" w:cs="Times New Roman"/>
                <w:b/>
                <w:bCs/>
                <w:sz w:val="20"/>
                <w:szCs w:val="20"/>
                <w:lang w:eastAsia="sk-SK"/>
              </w:rPr>
            </w:pPr>
            <w:r w:rsidRPr="008C0943">
              <w:rPr>
                <w:rFonts w:ascii="Times New Roman" w:hAnsi="Times New Roman" w:cs="Times New Roman"/>
                <w:b/>
                <w:bCs/>
                <w:sz w:val="20"/>
                <w:szCs w:val="20"/>
                <w:lang w:eastAsia="sk-SK"/>
              </w:rPr>
              <w:t>-2,7</w:t>
            </w:r>
          </w:p>
        </w:tc>
      </w:tr>
      <w:tr>
        <w:tblPrEx>
          <w:tblW w:w="5000" w:type="pct"/>
          <w:tblCellMar>
            <w:left w:w="70" w:type="dxa"/>
            <w:right w:w="70" w:type="dxa"/>
          </w:tblCellMar>
          <w:tblLook w:val="04A0"/>
        </w:tblPrEx>
        <w:trPr>
          <w:trHeight w:val="255"/>
        </w:trPr>
        <w:tc>
          <w:tcPr>
            <w:tcW w:w="3141" w:type="pct"/>
            <w:tcBorders>
              <w:top w:val="nil"/>
              <w:left w:val="nil"/>
              <w:bottom w:val="nil"/>
              <w:right w:val="nil"/>
            </w:tcBorders>
            <w:noWrap/>
            <w:textDirection w:val="lrTb"/>
            <w:vAlign w:val="center"/>
            <w:hideMark/>
          </w:tcPr>
          <w:p w:rsidR="006F14B2" w:rsidRPr="008C0943" w:rsidP="000B4414">
            <w:pPr>
              <w:bidi w:val="0"/>
              <w:spacing w:after="0" w:line="240" w:lineRule="auto"/>
              <w:jc w:val="right"/>
              <w:rPr>
                <w:rFonts w:ascii="Times New Roman" w:hAnsi="Times New Roman" w:cs="Times New Roman"/>
                <w:b/>
                <w:bCs/>
                <w:sz w:val="20"/>
                <w:szCs w:val="20"/>
                <w:lang w:eastAsia="sk-SK"/>
              </w:rPr>
            </w:pPr>
          </w:p>
        </w:tc>
        <w:tc>
          <w:tcPr>
            <w:tcW w:w="620" w:type="pct"/>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sz w:val="20"/>
                <w:szCs w:val="20"/>
                <w:lang w:eastAsia="sk-SK"/>
              </w:rPr>
            </w:pPr>
          </w:p>
        </w:tc>
        <w:tc>
          <w:tcPr>
            <w:tcW w:w="620" w:type="pct"/>
            <w:tcBorders>
              <w:top w:val="nil"/>
              <w:left w:val="nil"/>
              <w:bottom w:val="nil"/>
              <w:right w:val="nil"/>
            </w:tcBorders>
            <w:noWrap/>
            <w:textDirection w:val="lrTb"/>
            <w:vAlign w:val="bottom"/>
            <w:hideMark/>
          </w:tcPr>
          <w:p w:rsidR="006F14B2" w:rsidRPr="008C0943" w:rsidP="000B4414">
            <w:pPr>
              <w:bidi w:val="0"/>
              <w:spacing w:after="0" w:line="240" w:lineRule="auto"/>
              <w:rPr>
                <w:rFonts w:ascii="Times New Roman" w:hAnsi="Times New Roman" w:cs="Times New Roman"/>
                <w:sz w:val="20"/>
                <w:szCs w:val="20"/>
                <w:lang w:eastAsia="sk-SK"/>
              </w:rPr>
            </w:pPr>
          </w:p>
        </w:tc>
        <w:tc>
          <w:tcPr>
            <w:tcW w:w="619" w:type="pct"/>
            <w:tcBorders>
              <w:top w:val="nil"/>
              <w:left w:val="nil"/>
              <w:bottom w:val="nil"/>
              <w:right w:val="nil"/>
            </w:tcBorders>
            <w:noWrap/>
            <w:textDirection w:val="lrTb"/>
            <w:vAlign w:val="top"/>
            <w:hideMark/>
          </w:tcPr>
          <w:p w:rsidR="006F14B2" w:rsidRPr="008C0943" w:rsidP="000B4414">
            <w:pPr>
              <w:bidi w:val="0"/>
              <w:spacing w:after="0" w:line="240" w:lineRule="auto"/>
              <w:jc w:val="right"/>
              <w:rPr>
                <w:rFonts w:ascii="Times New Roman" w:hAnsi="Times New Roman" w:cs="Times New Roman"/>
                <w:sz w:val="16"/>
                <w:szCs w:val="16"/>
                <w:lang w:eastAsia="sk-SK"/>
              </w:rPr>
            </w:pPr>
            <w:r w:rsidRPr="008C0943">
              <w:rPr>
                <w:rFonts w:ascii="Times New Roman" w:hAnsi="Times New Roman" w:cs="Times New Roman"/>
                <w:sz w:val="16"/>
                <w:szCs w:val="16"/>
                <w:lang w:eastAsia="sk-SK"/>
              </w:rPr>
              <w:t>Zdroj: MF SR</w:t>
            </w:r>
          </w:p>
        </w:tc>
      </w:tr>
      <w:tr>
        <w:tblPrEx>
          <w:tblW w:w="5000" w:type="pct"/>
          <w:tblCellMar>
            <w:left w:w="70" w:type="dxa"/>
            <w:right w:w="70" w:type="dxa"/>
          </w:tblCellMar>
          <w:tblLook w:val="04A0"/>
        </w:tblPrEx>
        <w:trPr>
          <w:trHeight w:val="255"/>
        </w:trPr>
        <w:tc>
          <w:tcPr>
            <w:tcW w:w="5000" w:type="pct"/>
            <w:gridSpan w:val="4"/>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color w:val="000000"/>
                <w:sz w:val="20"/>
                <w:szCs w:val="20"/>
                <w:lang w:eastAsia="sk-SK"/>
              </w:rPr>
            </w:pPr>
            <w:r w:rsidRPr="008C0943">
              <w:rPr>
                <w:rFonts w:ascii="Times New Roman" w:hAnsi="Times New Roman" w:cs="Times New Roman"/>
                <w:color w:val="000000"/>
                <w:sz w:val="20"/>
                <w:szCs w:val="20"/>
                <w:vertAlign w:val="superscript"/>
                <w:lang w:eastAsia="sk-SK"/>
              </w:rPr>
              <w:t xml:space="preserve">1) </w:t>
            </w:r>
            <w:r w:rsidRPr="008C0943">
              <w:rPr>
                <w:rFonts w:ascii="Times New Roman" w:hAnsi="Times New Roman" w:cs="Times New Roman"/>
                <w:color w:val="000000"/>
                <w:sz w:val="20"/>
                <w:szCs w:val="20"/>
                <w:lang w:eastAsia="sk-SK"/>
              </w:rPr>
              <w:t>Vrátane štátnych finančných aktív, mimorozpočtových účtov a salda účtu štátneho dlhu</w:t>
            </w:r>
          </w:p>
        </w:tc>
      </w:tr>
      <w:tr>
        <w:tblPrEx>
          <w:tblW w:w="5000" w:type="pct"/>
          <w:tblCellMar>
            <w:left w:w="70" w:type="dxa"/>
            <w:right w:w="70" w:type="dxa"/>
          </w:tblCellMar>
          <w:tblLook w:val="04A0"/>
        </w:tblPrEx>
        <w:trPr>
          <w:trHeight w:val="255"/>
        </w:trPr>
        <w:tc>
          <w:tcPr>
            <w:tcW w:w="5000" w:type="pct"/>
            <w:gridSpan w:val="4"/>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color w:val="000000"/>
                <w:sz w:val="20"/>
                <w:szCs w:val="20"/>
                <w:lang w:eastAsia="sk-SK"/>
              </w:rPr>
            </w:pPr>
            <w:r w:rsidRPr="008C0943">
              <w:rPr>
                <w:rFonts w:ascii="Times New Roman" w:hAnsi="Times New Roman" w:cs="Times New Roman"/>
                <w:color w:val="000000"/>
                <w:sz w:val="20"/>
                <w:szCs w:val="20"/>
                <w:vertAlign w:val="superscript"/>
                <w:lang w:eastAsia="sk-SK"/>
              </w:rPr>
              <w:t xml:space="preserve">2) </w:t>
            </w:r>
            <w:r w:rsidRPr="008C0943">
              <w:rPr>
                <w:rFonts w:ascii="Times New Roman" w:hAnsi="Times New Roman" w:cs="Times New Roman"/>
                <w:color w:val="000000"/>
                <w:sz w:val="20"/>
                <w:szCs w:val="20"/>
                <w:lang w:eastAsia="sk-SK"/>
              </w:rPr>
              <w:t>Vrátane neziskových organizácií obcí zaradených do sektora</w:t>
            </w:r>
          </w:p>
        </w:tc>
      </w:tr>
      <w:tr>
        <w:tblPrEx>
          <w:tblW w:w="5000" w:type="pct"/>
          <w:tblCellMar>
            <w:left w:w="70" w:type="dxa"/>
            <w:right w:w="70" w:type="dxa"/>
          </w:tblCellMar>
          <w:tblLook w:val="04A0"/>
        </w:tblPrEx>
        <w:trPr>
          <w:trHeight w:val="255"/>
        </w:trPr>
        <w:tc>
          <w:tcPr>
            <w:tcW w:w="5000" w:type="pct"/>
            <w:gridSpan w:val="4"/>
            <w:tcBorders>
              <w:top w:val="nil"/>
              <w:left w:val="nil"/>
              <w:bottom w:val="nil"/>
              <w:right w:val="nil"/>
            </w:tcBorders>
            <w:noWrap/>
            <w:textDirection w:val="lrTb"/>
            <w:vAlign w:val="center"/>
            <w:hideMark/>
          </w:tcPr>
          <w:p w:rsidR="006F14B2" w:rsidRPr="008C0943" w:rsidP="000B4414">
            <w:pPr>
              <w:bidi w:val="0"/>
              <w:spacing w:after="0" w:line="240" w:lineRule="auto"/>
              <w:rPr>
                <w:rFonts w:ascii="Times New Roman" w:hAnsi="Times New Roman" w:cs="Times New Roman"/>
                <w:color w:val="000000"/>
                <w:sz w:val="20"/>
                <w:szCs w:val="20"/>
                <w:lang w:eastAsia="sk-SK"/>
              </w:rPr>
            </w:pPr>
            <w:r w:rsidRPr="008C0943">
              <w:rPr>
                <w:rFonts w:ascii="Times New Roman" w:hAnsi="Times New Roman" w:cs="Times New Roman"/>
                <w:color w:val="000000"/>
                <w:sz w:val="20"/>
                <w:szCs w:val="20"/>
                <w:vertAlign w:val="superscript"/>
                <w:lang w:eastAsia="sk-SK"/>
              </w:rPr>
              <w:t xml:space="preserve">3) </w:t>
            </w:r>
            <w:r w:rsidRPr="008C0943">
              <w:rPr>
                <w:rFonts w:ascii="Times New Roman" w:hAnsi="Times New Roman" w:cs="Times New Roman"/>
                <w:color w:val="000000"/>
                <w:sz w:val="20"/>
                <w:szCs w:val="20"/>
                <w:lang w:eastAsia="sk-SK"/>
              </w:rPr>
              <w:t>V roku 2014 vykázaný v ostatných subjektoch ústrednej správy</w:t>
            </w:r>
          </w:p>
        </w:tc>
      </w:tr>
    </w:tbl>
    <w:p w:rsidR="003A760D" w:rsidRPr="00A53EAC" w:rsidP="00652AE0">
      <w:pPr>
        <w:pStyle w:val="Heading2"/>
        <w:numPr>
          <w:numId w:val="48"/>
        </w:numPr>
        <w:bidi w:val="0"/>
        <w:spacing w:after="200" w:line="336" w:lineRule="auto"/>
        <w:rPr>
          <w:rFonts w:eastAsia="Times New Roman"/>
        </w:rPr>
      </w:pPr>
      <w:bookmarkStart w:id="19" w:name="_Toc399324358"/>
      <w:bookmarkStart w:id="20" w:name="_Toc401920007"/>
      <w:bookmarkStart w:id="21" w:name="_Toc465255009"/>
      <w:bookmarkStart w:id="22" w:name="_Toc465258473"/>
      <w:r w:rsidRPr="00A53EAC">
        <w:rPr>
          <w:rFonts w:eastAsia="Times New Roman"/>
        </w:rPr>
        <w:t>Dlh verejnej správy</w:t>
      </w:r>
      <w:bookmarkEnd w:id="19"/>
      <w:bookmarkEnd w:id="20"/>
      <w:bookmarkEnd w:id="21"/>
      <w:bookmarkEnd w:id="22"/>
      <w:r w:rsidRPr="00A53EAC">
        <w:rPr>
          <w:rFonts w:eastAsia="Times New Roman"/>
        </w:rPr>
        <w:t xml:space="preserve"> </w:t>
      </w:r>
    </w:p>
    <w:p w:rsidR="006F14B2" w:rsidRPr="006F20F5" w:rsidP="006F14B2">
      <w:pPr>
        <w:bidi w:val="0"/>
        <w:spacing w:after="120" w:line="336" w:lineRule="auto"/>
        <w:contextualSpacing/>
        <w:jc w:val="both"/>
        <w:outlineLvl w:val="2"/>
        <w:rPr>
          <w:rFonts w:ascii="Times New Roman" w:eastAsia="Calibri" w:hAnsi="Times New Roman" w:cs="Times New Roman"/>
        </w:rPr>
      </w:pPr>
      <w:bookmarkStart w:id="23" w:name="_Toc433099029"/>
      <w:bookmarkStart w:id="24" w:name="_Toc433099268"/>
      <w:bookmarkStart w:id="25" w:name="_Toc433099374"/>
      <w:bookmarkStart w:id="26" w:name="_Toc433099556"/>
      <w:bookmarkStart w:id="27" w:name="_Toc465255010"/>
      <w:bookmarkStart w:id="28" w:name="_Toc465255610"/>
      <w:bookmarkStart w:id="29" w:name="_Toc465257919"/>
      <w:bookmarkStart w:id="30" w:name="_Toc465258100"/>
      <w:bookmarkStart w:id="31" w:name="_Toc465258474"/>
      <w:bookmarkStart w:id="32" w:name="_Toc401920008"/>
      <w:bookmarkStart w:id="33" w:name="_Toc399324359"/>
      <w:r w:rsidRPr="006F20F5">
        <w:rPr>
          <w:rFonts w:ascii="Times New Roman" w:eastAsia="Calibri" w:hAnsi="Times New Roman" w:cs="Times New Roman" w:hint="default"/>
          <w:b/>
        </w:rPr>
        <w:t>Hrubý</w:t>
      </w:r>
      <w:r w:rsidRPr="006F20F5">
        <w:rPr>
          <w:rFonts w:ascii="Times New Roman" w:eastAsia="Calibri" w:hAnsi="Times New Roman" w:cs="Times New Roman" w:hint="default"/>
          <w:b/>
        </w:rPr>
        <w:t xml:space="preserve"> dlh verejnej sprá</w:t>
      </w:r>
      <w:r w:rsidRPr="006F20F5">
        <w:rPr>
          <w:rFonts w:ascii="Times New Roman" w:eastAsia="Calibri" w:hAnsi="Times New Roman" w:cs="Times New Roman" w:hint="default"/>
          <w:b/>
        </w:rPr>
        <w:t>vy</w:t>
      </w:r>
      <w:r w:rsidRPr="006F20F5">
        <w:rPr>
          <w:rFonts w:ascii="Times New Roman" w:eastAsia="Calibri" w:hAnsi="Times New Roman" w:cs="Times New Roman" w:hint="default"/>
        </w:rPr>
        <w:t xml:space="preserve"> (maastrichtský</w:t>
      </w:r>
      <w:r w:rsidRPr="006F20F5">
        <w:rPr>
          <w:rFonts w:ascii="Times New Roman" w:eastAsia="Calibri" w:hAnsi="Times New Roman" w:cs="Times New Roman" w:hint="default"/>
        </w:rPr>
        <w:t xml:space="preserve"> dlh) dosiahol k </w:t>
      </w:r>
      <w:r w:rsidRPr="006F20F5">
        <w:rPr>
          <w:rFonts w:ascii="Times New Roman" w:eastAsia="Calibri" w:hAnsi="Times New Roman" w:cs="Times New Roman" w:hint="default"/>
        </w:rPr>
        <w:t>31.12.2015 výš</w:t>
      </w:r>
      <w:r w:rsidRPr="006F20F5">
        <w:rPr>
          <w:rFonts w:ascii="Times New Roman" w:eastAsia="Calibri" w:hAnsi="Times New Roman" w:cs="Times New Roman" w:hint="default"/>
        </w:rPr>
        <w:t xml:space="preserve">ku </w:t>
      </w:r>
      <w:r w:rsidRPr="006F20F5">
        <w:rPr>
          <w:rFonts w:ascii="Times New Roman" w:eastAsia="Calibri" w:hAnsi="Times New Roman" w:cs="Times New Roman"/>
          <w:b/>
          <w:bCs/>
        </w:rPr>
        <w:t>41 293 315</w:t>
      </w:r>
      <w:r w:rsidRPr="006F20F5">
        <w:rPr>
          <w:rFonts w:ascii="Times New Roman" w:eastAsia="Calibri" w:hAnsi="Times New Roman" w:cs="Times New Roman"/>
          <w:b/>
        </w:rPr>
        <w:t xml:space="preserve"> tis. eur (52,5 % HDP)</w:t>
      </w:r>
      <w:r w:rsidRPr="006F20F5">
        <w:rPr>
          <w:rFonts w:ascii="Times New Roman" w:eastAsia="Calibri" w:hAnsi="Times New Roman" w:cs="Times New Roman"/>
        </w:rPr>
        <w:t>.</w:t>
      </w:r>
      <w:bookmarkEnd w:id="23"/>
      <w:bookmarkEnd w:id="24"/>
      <w:bookmarkEnd w:id="25"/>
      <w:bookmarkEnd w:id="26"/>
      <w:bookmarkEnd w:id="27"/>
      <w:bookmarkEnd w:id="28"/>
      <w:bookmarkEnd w:id="29"/>
      <w:bookmarkEnd w:id="30"/>
      <w:bookmarkEnd w:id="31"/>
      <w:r w:rsidRPr="006F20F5">
        <w:rPr>
          <w:rFonts w:ascii="Times New Roman" w:eastAsia="Calibri" w:hAnsi="Times New Roman" w:cs="Times New Roman"/>
        </w:rPr>
        <w:t xml:space="preserve"> </w:t>
      </w:r>
      <w:bookmarkEnd w:id="32"/>
    </w:p>
    <w:p w:rsidR="006F14B2" w:rsidP="006F14B2">
      <w:pPr>
        <w:bidi w:val="0"/>
        <w:spacing w:after="120" w:line="336" w:lineRule="auto"/>
        <w:contextualSpacing/>
        <w:jc w:val="both"/>
        <w:outlineLvl w:val="2"/>
        <w:rPr>
          <w:rFonts w:ascii="Times New Roman" w:eastAsia="Calibri" w:hAnsi="Times New Roman" w:cs="Times New Roman"/>
        </w:rPr>
      </w:pPr>
      <w:bookmarkStart w:id="34" w:name="_Toc401920009"/>
      <w:bookmarkStart w:id="35" w:name="_Toc433099030"/>
      <w:bookmarkStart w:id="36" w:name="_Toc433099269"/>
      <w:bookmarkStart w:id="37" w:name="_Toc433099375"/>
      <w:bookmarkStart w:id="38" w:name="_Toc433099557"/>
      <w:bookmarkStart w:id="39" w:name="_Toc465255011"/>
      <w:bookmarkStart w:id="40" w:name="_Toc465255611"/>
      <w:bookmarkStart w:id="41" w:name="_Toc465257920"/>
      <w:bookmarkStart w:id="42" w:name="_Toc465258101"/>
      <w:bookmarkStart w:id="43" w:name="_Toc465258475"/>
      <w:r w:rsidRPr="006F20F5">
        <w:rPr>
          <w:rFonts w:ascii="Times New Roman" w:eastAsia="Calibri" w:hAnsi="Times New Roman" w:cs="Times New Roman" w:hint="default"/>
        </w:rPr>
        <w:t>Dlh verejnej sprá</w:t>
      </w:r>
      <w:r w:rsidRPr="006F20F5">
        <w:rPr>
          <w:rFonts w:ascii="Times New Roman" w:eastAsia="Calibri" w:hAnsi="Times New Roman" w:cs="Times New Roman" w:hint="default"/>
        </w:rPr>
        <w:t>vy je konsolidovaný</w:t>
      </w:r>
      <w:r w:rsidRPr="006F20F5">
        <w:rPr>
          <w:rFonts w:ascii="Times New Roman" w:eastAsia="Calibri" w:hAnsi="Times New Roman" w:cs="Times New Roman" w:hint="default"/>
        </w:rPr>
        <w:t xml:space="preserve"> ukazovateľ</w:t>
      </w:r>
      <w:r w:rsidRPr="006F20F5">
        <w:rPr>
          <w:rFonts w:ascii="Times New Roman" w:eastAsia="Calibri" w:hAnsi="Times New Roman" w:cs="Times New Roman" w:hint="default"/>
        </w:rPr>
        <w:t>, č</w:t>
      </w:r>
      <w:r w:rsidRPr="006F20F5">
        <w:rPr>
          <w:rFonts w:ascii="Times New Roman" w:eastAsia="Calibri" w:hAnsi="Times New Roman" w:cs="Times New Roman" w:hint="default"/>
        </w:rPr>
        <w:t>o znamená</w:t>
      </w:r>
      <w:r w:rsidRPr="006F20F5">
        <w:rPr>
          <w:rFonts w:ascii="Times New Roman" w:eastAsia="Calibri" w:hAnsi="Times New Roman" w:cs="Times New Roman" w:hint="default"/>
        </w:rPr>
        <w:t>, ž</w:t>
      </w:r>
      <w:r w:rsidRPr="006F20F5">
        <w:rPr>
          <w:rFonts w:ascii="Times New Roman" w:eastAsia="Calibri" w:hAnsi="Times New Roman" w:cs="Times New Roman" w:hint="default"/>
        </w:rPr>
        <w:t>e pôž</w:t>
      </w:r>
      <w:r w:rsidRPr="006F20F5">
        <w:rPr>
          <w:rFonts w:ascii="Times New Roman" w:eastAsia="Calibri" w:hAnsi="Times New Roman" w:cs="Times New Roman" w:hint="default"/>
        </w:rPr>
        <w:t>ič</w:t>
      </w:r>
      <w:r w:rsidRPr="006F20F5">
        <w:rPr>
          <w:rFonts w:ascii="Times New Roman" w:eastAsia="Calibri" w:hAnsi="Times New Roman" w:cs="Times New Roman" w:hint="default"/>
        </w:rPr>
        <w:t>ky medzi jednotlivý</w:t>
      </w:r>
      <w:r w:rsidRPr="006F20F5">
        <w:rPr>
          <w:rFonts w:ascii="Times New Roman" w:eastAsia="Calibri" w:hAnsi="Times New Roman" w:cs="Times New Roman" w:hint="default"/>
        </w:rPr>
        <w:t>mi subjektmi verejnej sprá</w:t>
      </w:r>
      <w:r w:rsidRPr="006F20F5">
        <w:rPr>
          <w:rFonts w:ascii="Times New Roman" w:eastAsia="Calibri" w:hAnsi="Times New Roman" w:cs="Times New Roman" w:hint="default"/>
        </w:rPr>
        <w:t>vy sú</w:t>
      </w:r>
      <w:r w:rsidRPr="006F20F5">
        <w:rPr>
          <w:rFonts w:ascii="Times New Roman" w:eastAsia="Calibri" w:hAnsi="Times New Roman" w:cs="Times New Roman" w:hint="default"/>
        </w:rPr>
        <w:t xml:space="preserve"> eliminované</w:t>
      </w:r>
      <w:r w:rsidRPr="006F20F5">
        <w:rPr>
          <w:rFonts w:ascii="Times New Roman" w:eastAsia="Calibri" w:hAnsi="Times New Roman" w:cs="Times New Roman" w:hint="default"/>
        </w:rPr>
        <w:t>. Samotn</w:t>
      </w:r>
      <w:r w:rsidRPr="006F20F5">
        <w:rPr>
          <w:rFonts w:ascii="Times New Roman" w:eastAsia="Calibri" w:hAnsi="Times New Roman" w:cs="Times New Roman" w:hint="default"/>
        </w:rPr>
        <w:t>é</w:t>
      </w:r>
      <w:r w:rsidRPr="006F20F5">
        <w:rPr>
          <w:rFonts w:ascii="Times New Roman" w:eastAsia="Calibri" w:hAnsi="Times New Roman" w:cs="Times New Roman" w:hint="default"/>
        </w:rPr>
        <w:t xml:space="preserve"> subjekty verejnej sprá</w:t>
      </w:r>
      <w:r w:rsidRPr="006F20F5">
        <w:rPr>
          <w:rFonts w:ascii="Times New Roman" w:eastAsia="Calibri" w:hAnsi="Times New Roman" w:cs="Times New Roman" w:hint="default"/>
        </w:rPr>
        <w:t>vy uvedené</w:t>
      </w:r>
      <w:r w:rsidRPr="006F20F5">
        <w:rPr>
          <w:rFonts w:ascii="Times New Roman" w:eastAsia="Calibri" w:hAnsi="Times New Roman" w:cs="Times New Roman" w:hint="default"/>
        </w:rPr>
        <w:t xml:space="preserve"> nižš</w:t>
      </w:r>
      <w:r w:rsidRPr="006F20F5">
        <w:rPr>
          <w:rFonts w:ascii="Times New Roman" w:eastAsia="Calibri" w:hAnsi="Times New Roman" w:cs="Times New Roman" w:hint="default"/>
        </w:rPr>
        <w:t>ie v </w:t>
      </w:r>
      <w:r w:rsidRPr="006F20F5">
        <w:rPr>
          <w:rFonts w:ascii="Times New Roman" w:eastAsia="Calibri" w:hAnsi="Times New Roman" w:cs="Times New Roman" w:hint="default"/>
        </w:rPr>
        <w:t>tabuľ</w:t>
      </w:r>
      <w:r w:rsidRPr="006F20F5">
        <w:rPr>
          <w:rFonts w:ascii="Times New Roman" w:eastAsia="Calibri" w:hAnsi="Times New Roman" w:cs="Times New Roman" w:hint="default"/>
        </w:rPr>
        <w:t>ke sú</w:t>
      </w:r>
      <w:r w:rsidRPr="006F20F5">
        <w:rPr>
          <w:rFonts w:ascii="Times New Roman" w:eastAsia="Calibri" w:hAnsi="Times New Roman" w:cs="Times New Roman" w:hint="default"/>
        </w:rPr>
        <w:t xml:space="preserve"> už</w:t>
      </w:r>
      <w:r w:rsidRPr="006F20F5">
        <w:rPr>
          <w:rFonts w:ascii="Times New Roman" w:eastAsia="Calibri" w:hAnsi="Times New Roman" w:cs="Times New Roman" w:hint="default"/>
        </w:rPr>
        <w:t xml:space="preserve"> skonsolidované</w:t>
      </w:r>
      <w:r w:rsidRPr="006F20F5">
        <w:rPr>
          <w:rFonts w:ascii="Times New Roman" w:eastAsia="Calibri" w:hAnsi="Times New Roman" w:cs="Times New Roman" w:hint="default"/>
        </w:rPr>
        <w:t>, uvedená</w:t>
      </w:r>
      <w:r w:rsidRPr="006F20F5">
        <w:rPr>
          <w:rFonts w:ascii="Times New Roman" w:eastAsia="Calibri" w:hAnsi="Times New Roman" w:cs="Times New Roman" w:hint="default"/>
        </w:rPr>
        <w:t xml:space="preserve"> hodnota konsolidá</w:t>
      </w:r>
      <w:r w:rsidRPr="006F20F5">
        <w:rPr>
          <w:rFonts w:ascii="Times New Roman" w:eastAsia="Calibri" w:hAnsi="Times New Roman" w:cs="Times New Roman" w:hint="default"/>
        </w:rPr>
        <w:t>cie predstavuje len pôž</w:t>
      </w:r>
      <w:r w:rsidRPr="006F20F5">
        <w:rPr>
          <w:rFonts w:ascii="Times New Roman" w:eastAsia="Calibri" w:hAnsi="Times New Roman" w:cs="Times New Roman" w:hint="default"/>
        </w:rPr>
        <w:t>ič</w:t>
      </w:r>
      <w:r w:rsidRPr="006F20F5">
        <w:rPr>
          <w:rFonts w:ascii="Times New Roman" w:eastAsia="Calibri" w:hAnsi="Times New Roman" w:cs="Times New Roman" w:hint="default"/>
        </w:rPr>
        <w:t>ky medzi tý</w:t>
      </w:r>
      <w:r w:rsidRPr="006F20F5">
        <w:rPr>
          <w:rFonts w:ascii="Times New Roman" w:eastAsia="Calibri" w:hAnsi="Times New Roman" w:cs="Times New Roman" w:hint="default"/>
        </w:rPr>
        <w:t>mito subjektmi. Celková</w:t>
      </w:r>
      <w:r w:rsidRPr="006F20F5">
        <w:rPr>
          <w:rFonts w:ascii="Times New Roman" w:eastAsia="Calibri" w:hAnsi="Times New Roman" w:cs="Times New Roman" w:hint="default"/>
        </w:rPr>
        <w:t xml:space="preserve"> výš</w:t>
      </w:r>
      <w:r w:rsidRPr="006F20F5">
        <w:rPr>
          <w:rFonts w:ascii="Times New Roman" w:eastAsia="Calibri" w:hAnsi="Times New Roman" w:cs="Times New Roman" w:hint="default"/>
        </w:rPr>
        <w:t>ka konsolidá</w:t>
      </w:r>
      <w:r w:rsidRPr="006F20F5">
        <w:rPr>
          <w:rFonts w:ascii="Times New Roman" w:eastAsia="Calibri" w:hAnsi="Times New Roman" w:cs="Times New Roman" w:hint="default"/>
        </w:rPr>
        <w:t>cie v roku 2015 bola 1 </w:t>
      </w:r>
      <w:r w:rsidRPr="006F20F5">
        <w:rPr>
          <w:rFonts w:ascii="Times New Roman" w:eastAsia="Calibri" w:hAnsi="Times New Roman" w:cs="Times New Roman" w:hint="default"/>
        </w:rPr>
        <w:t>639 204 tis. eur a pozostá</w:t>
      </w:r>
      <w:r w:rsidRPr="006F20F5">
        <w:rPr>
          <w:rFonts w:ascii="Times New Roman" w:eastAsia="Calibri" w:hAnsi="Times New Roman" w:cs="Times New Roman" w:hint="default"/>
        </w:rPr>
        <w:t>vala z </w:t>
      </w:r>
      <w:r w:rsidRPr="006F20F5">
        <w:rPr>
          <w:rFonts w:ascii="Times New Roman" w:eastAsia="Calibri" w:hAnsi="Times New Roman" w:cs="Times New Roman" w:hint="default"/>
        </w:rPr>
        <w:t>imputovanej pôž</w:t>
      </w:r>
      <w:r w:rsidRPr="006F20F5">
        <w:rPr>
          <w:rFonts w:ascii="Times New Roman" w:eastAsia="Calibri" w:hAnsi="Times New Roman" w:cs="Times New Roman" w:hint="default"/>
        </w:rPr>
        <w:t>ič</w:t>
      </w:r>
      <w:r w:rsidRPr="006F20F5">
        <w:rPr>
          <w:rFonts w:ascii="Times New Roman" w:eastAsia="Calibri" w:hAnsi="Times New Roman" w:cs="Times New Roman" w:hint="default"/>
        </w:rPr>
        <w:t>ky Agent</w:t>
      </w:r>
      <w:r w:rsidRPr="006F20F5">
        <w:rPr>
          <w:rFonts w:ascii="Times New Roman" w:eastAsia="Calibri" w:hAnsi="Times New Roman" w:cs="Times New Roman" w:hint="default"/>
        </w:rPr>
        <w:t>ú</w:t>
      </w:r>
      <w:r w:rsidRPr="006F20F5">
        <w:rPr>
          <w:rFonts w:ascii="Times New Roman" w:eastAsia="Calibri" w:hAnsi="Times New Roman" w:cs="Times New Roman" w:hint="default"/>
        </w:rPr>
        <w:t>ry pre nú</w:t>
      </w:r>
      <w:r w:rsidRPr="006F20F5">
        <w:rPr>
          <w:rFonts w:ascii="Times New Roman" w:eastAsia="Calibri" w:hAnsi="Times New Roman" w:cs="Times New Roman" w:hint="default"/>
        </w:rPr>
        <w:t>dzové</w:t>
      </w:r>
      <w:r w:rsidRPr="006F20F5">
        <w:rPr>
          <w:rFonts w:ascii="Times New Roman" w:eastAsia="Calibri" w:hAnsi="Times New Roman" w:cs="Times New Roman" w:hint="default"/>
        </w:rPr>
        <w:t xml:space="preserve"> zá</w:t>
      </w:r>
      <w:r w:rsidRPr="006F20F5">
        <w:rPr>
          <w:rFonts w:ascii="Times New Roman" w:eastAsia="Calibri" w:hAnsi="Times New Roman" w:cs="Times New Roman" w:hint="default"/>
        </w:rPr>
        <w:t>soby ropy a ropný</w:t>
      </w:r>
      <w:r w:rsidRPr="006F20F5">
        <w:rPr>
          <w:rFonts w:ascii="Times New Roman" w:eastAsia="Calibri" w:hAnsi="Times New Roman" w:cs="Times New Roman" w:hint="default"/>
        </w:rPr>
        <w:t>ch vý</w:t>
      </w:r>
      <w:r w:rsidRPr="006F20F5">
        <w:rPr>
          <w:rFonts w:ascii="Times New Roman" w:eastAsia="Calibri" w:hAnsi="Times New Roman" w:cs="Times New Roman" w:hint="default"/>
        </w:rPr>
        <w:t xml:space="preserve">robkov </w:t>
      </w:r>
      <w:r>
        <w:rPr>
          <w:rFonts w:ascii="Times New Roman" w:eastAsia="Calibri" w:hAnsi="Times New Roman" w:cs="Times New Roman" w:hint="default"/>
        </w:rPr>
        <w:t>do š</w:t>
      </w:r>
      <w:r>
        <w:rPr>
          <w:rFonts w:ascii="Times New Roman" w:eastAsia="Calibri" w:hAnsi="Times New Roman" w:cs="Times New Roman" w:hint="default"/>
        </w:rPr>
        <w:t>tá</w:t>
      </w:r>
      <w:r>
        <w:rPr>
          <w:rFonts w:ascii="Times New Roman" w:eastAsia="Calibri" w:hAnsi="Times New Roman" w:cs="Times New Roman" w:hint="default"/>
        </w:rPr>
        <w:t xml:space="preserve">tneho dlhu </w:t>
      </w:r>
      <w:r w:rsidRPr="006F20F5">
        <w:rPr>
          <w:rFonts w:ascii="Times New Roman" w:eastAsia="Calibri" w:hAnsi="Times New Roman" w:cs="Times New Roman" w:hint="default"/>
        </w:rPr>
        <w:t>za predaj ropy (419 293 tis. eur), ná</w:t>
      </w:r>
      <w:r w:rsidRPr="006F20F5">
        <w:rPr>
          <w:rFonts w:ascii="Times New Roman" w:eastAsia="Calibri" w:hAnsi="Times New Roman" w:cs="Times New Roman" w:hint="default"/>
        </w:rPr>
        <w:t>vratnej finanč</w:t>
      </w:r>
      <w:r w:rsidRPr="006F20F5">
        <w:rPr>
          <w:rFonts w:ascii="Times New Roman" w:eastAsia="Calibri" w:hAnsi="Times New Roman" w:cs="Times New Roman" w:hint="default"/>
        </w:rPr>
        <w:t>nej vý</w:t>
      </w:r>
      <w:r w:rsidRPr="006F20F5">
        <w:rPr>
          <w:rFonts w:ascii="Times New Roman" w:eastAsia="Calibri" w:hAnsi="Times New Roman" w:cs="Times New Roman" w:hint="default"/>
        </w:rPr>
        <w:t>pomoci Agentú</w:t>
      </w:r>
      <w:r w:rsidRPr="006F20F5">
        <w:rPr>
          <w:rFonts w:ascii="Times New Roman" w:eastAsia="Calibri" w:hAnsi="Times New Roman" w:cs="Times New Roman" w:hint="default"/>
        </w:rPr>
        <w:t>re pre nú</w:t>
      </w:r>
      <w:r w:rsidRPr="006F20F5">
        <w:rPr>
          <w:rFonts w:ascii="Times New Roman" w:eastAsia="Calibri" w:hAnsi="Times New Roman" w:cs="Times New Roman" w:hint="default"/>
        </w:rPr>
        <w:t>dzové</w:t>
      </w:r>
      <w:r w:rsidRPr="006F20F5">
        <w:rPr>
          <w:rFonts w:ascii="Times New Roman" w:eastAsia="Calibri" w:hAnsi="Times New Roman" w:cs="Times New Roman" w:hint="default"/>
        </w:rPr>
        <w:t xml:space="preserve"> zá</w:t>
      </w:r>
      <w:r w:rsidRPr="006F20F5">
        <w:rPr>
          <w:rFonts w:ascii="Times New Roman" w:eastAsia="Calibri" w:hAnsi="Times New Roman" w:cs="Times New Roman" w:hint="default"/>
        </w:rPr>
        <w:t>soby ropy a ropný</w:t>
      </w:r>
      <w:r w:rsidRPr="006F20F5">
        <w:rPr>
          <w:rFonts w:ascii="Times New Roman" w:eastAsia="Calibri" w:hAnsi="Times New Roman" w:cs="Times New Roman" w:hint="default"/>
        </w:rPr>
        <w:t>ch vý</w:t>
      </w:r>
      <w:r w:rsidRPr="006F20F5">
        <w:rPr>
          <w:rFonts w:ascii="Times New Roman" w:eastAsia="Calibri" w:hAnsi="Times New Roman" w:cs="Times New Roman" w:hint="default"/>
        </w:rPr>
        <w:t>robkov zo š</w:t>
      </w:r>
      <w:r w:rsidRPr="006F20F5">
        <w:rPr>
          <w:rFonts w:ascii="Times New Roman" w:eastAsia="Calibri" w:hAnsi="Times New Roman" w:cs="Times New Roman" w:hint="default"/>
        </w:rPr>
        <w:t>tá</w:t>
      </w:r>
      <w:r w:rsidRPr="006F20F5">
        <w:rPr>
          <w:rFonts w:ascii="Times New Roman" w:eastAsia="Calibri" w:hAnsi="Times New Roman" w:cs="Times New Roman" w:hint="default"/>
        </w:rPr>
        <w:t>tnych finanč</w:t>
      </w:r>
      <w:r w:rsidRPr="006F20F5">
        <w:rPr>
          <w:rFonts w:ascii="Times New Roman" w:eastAsia="Calibri" w:hAnsi="Times New Roman" w:cs="Times New Roman" w:hint="default"/>
        </w:rPr>
        <w:t>ný</w:t>
      </w:r>
      <w:r w:rsidRPr="006F20F5">
        <w:rPr>
          <w:rFonts w:ascii="Times New Roman" w:eastAsia="Calibri" w:hAnsi="Times New Roman" w:cs="Times New Roman" w:hint="default"/>
        </w:rPr>
        <w:t>ch aktí</w:t>
      </w:r>
      <w:r w:rsidRPr="006F20F5">
        <w:rPr>
          <w:rFonts w:ascii="Times New Roman" w:eastAsia="Calibri" w:hAnsi="Times New Roman" w:cs="Times New Roman" w:hint="default"/>
        </w:rPr>
        <w:t>v (520 000 </w:t>
      </w:r>
      <w:r w:rsidRPr="006F20F5">
        <w:rPr>
          <w:rFonts w:ascii="Times New Roman" w:eastAsia="Calibri" w:hAnsi="Times New Roman" w:cs="Times New Roman" w:hint="default"/>
        </w:rPr>
        <w:t>tis. eur), ná</w:t>
      </w:r>
      <w:r w:rsidRPr="006F20F5">
        <w:rPr>
          <w:rFonts w:ascii="Times New Roman" w:eastAsia="Calibri" w:hAnsi="Times New Roman" w:cs="Times New Roman" w:hint="default"/>
        </w:rPr>
        <w:t>vratný</w:t>
      </w:r>
      <w:r w:rsidRPr="006F20F5">
        <w:rPr>
          <w:rFonts w:ascii="Times New Roman" w:eastAsia="Calibri" w:hAnsi="Times New Roman" w:cs="Times New Roman" w:hint="default"/>
        </w:rPr>
        <w:t>ch finanč</w:t>
      </w:r>
      <w:r w:rsidRPr="006F20F5">
        <w:rPr>
          <w:rFonts w:ascii="Times New Roman" w:eastAsia="Calibri" w:hAnsi="Times New Roman" w:cs="Times New Roman" w:hint="default"/>
        </w:rPr>
        <w:t>ný</w:t>
      </w:r>
      <w:r w:rsidRPr="006F20F5">
        <w:rPr>
          <w:rFonts w:ascii="Times New Roman" w:eastAsia="Calibri" w:hAnsi="Times New Roman" w:cs="Times New Roman" w:hint="default"/>
        </w:rPr>
        <w:t>ch vý</w:t>
      </w:r>
      <w:r w:rsidRPr="006F20F5">
        <w:rPr>
          <w:rFonts w:ascii="Times New Roman" w:eastAsia="Calibri" w:hAnsi="Times New Roman" w:cs="Times New Roman" w:hint="default"/>
        </w:rPr>
        <w:t>pomo</w:t>
      </w:r>
      <w:r w:rsidRPr="006F20F5">
        <w:rPr>
          <w:rFonts w:ascii="Times New Roman" w:eastAsia="Calibri" w:hAnsi="Times New Roman" w:cs="Times New Roman" w:hint="default"/>
        </w:rPr>
        <w:t>cí</w:t>
      </w:r>
      <w:r w:rsidRPr="006F20F5">
        <w:rPr>
          <w:rFonts w:ascii="Times New Roman" w:eastAsia="Calibri" w:hAnsi="Times New Roman" w:cs="Times New Roman" w:hint="default"/>
        </w:rPr>
        <w:t xml:space="preserve"> poskytnutý</w:t>
      </w:r>
      <w:r w:rsidRPr="006F20F5">
        <w:rPr>
          <w:rFonts w:ascii="Times New Roman" w:eastAsia="Calibri" w:hAnsi="Times New Roman" w:cs="Times New Roman" w:hint="default"/>
        </w:rPr>
        <w:t>ch zo š</w:t>
      </w:r>
      <w:r w:rsidRPr="006F20F5">
        <w:rPr>
          <w:rFonts w:ascii="Times New Roman" w:eastAsia="Calibri" w:hAnsi="Times New Roman" w:cs="Times New Roman" w:hint="default"/>
        </w:rPr>
        <w:t>tá</w:t>
      </w:r>
      <w:r w:rsidRPr="006F20F5">
        <w:rPr>
          <w:rFonts w:ascii="Times New Roman" w:eastAsia="Calibri" w:hAnsi="Times New Roman" w:cs="Times New Roman" w:hint="default"/>
        </w:rPr>
        <w:t>tnych finanč</w:t>
      </w:r>
      <w:r w:rsidRPr="006F20F5">
        <w:rPr>
          <w:rFonts w:ascii="Times New Roman" w:eastAsia="Calibri" w:hAnsi="Times New Roman" w:cs="Times New Roman" w:hint="default"/>
        </w:rPr>
        <w:t>ný</w:t>
      </w:r>
      <w:r w:rsidRPr="006F20F5">
        <w:rPr>
          <w:rFonts w:ascii="Times New Roman" w:eastAsia="Calibri" w:hAnsi="Times New Roman" w:cs="Times New Roman" w:hint="default"/>
        </w:rPr>
        <w:t>ch aktí</w:t>
      </w:r>
      <w:r w:rsidRPr="006F20F5">
        <w:rPr>
          <w:rFonts w:ascii="Times New Roman" w:eastAsia="Calibri" w:hAnsi="Times New Roman" w:cs="Times New Roman" w:hint="default"/>
        </w:rPr>
        <w:t>v mestu Ž</w:t>
      </w:r>
      <w:r w:rsidRPr="006F20F5">
        <w:rPr>
          <w:rFonts w:ascii="Times New Roman" w:eastAsia="Calibri" w:hAnsi="Times New Roman" w:cs="Times New Roman" w:hint="default"/>
        </w:rPr>
        <w:t xml:space="preserve">ilina </w:t>
      </w:r>
      <w:r w:rsidR="00A63B8E">
        <w:rPr>
          <w:rFonts w:ascii="Times New Roman" w:eastAsia="Calibri" w:hAnsi="Times New Roman" w:cs="Times New Roman"/>
        </w:rPr>
        <w:t>(11 733 tis. eur) a zo V</w:t>
      </w:r>
      <w:r w:rsidRPr="003244D7">
        <w:rPr>
          <w:rFonts w:ascii="Times New Roman" w:eastAsia="Calibri" w:hAnsi="Times New Roman" w:cs="Times New Roman" w:hint="default"/>
        </w:rPr>
        <w:t>š</w:t>
      </w:r>
      <w:r w:rsidRPr="003244D7">
        <w:rPr>
          <w:rFonts w:ascii="Times New Roman" w:eastAsia="Calibri" w:hAnsi="Times New Roman" w:cs="Times New Roman" w:hint="default"/>
        </w:rPr>
        <w:t>eobecnej pokladnič</w:t>
      </w:r>
      <w:r w:rsidRPr="003244D7">
        <w:rPr>
          <w:rFonts w:ascii="Times New Roman" w:eastAsia="Calibri" w:hAnsi="Times New Roman" w:cs="Times New Roman" w:hint="default"/>
        </w:rPr>
        <w:t>nej sprá</w:t>
      </w:r>
      <w:r w:rsidRPr="003244D7">
        <w:rPr>
          <w:rFonts w:ascii="Times New Roman" w:eastAsia="Calibri" w:hAnsi="Times New Roman" w:cs="Times New Roman" w:hint="default"/>
        </w:rPr>
        <w:t>vy mestu Koš</w:t>
      </w:r>
      <w:r w:rsidRPr="003244D7">
        <w:rPr>
          <w:rFonts w:ascii="Times New Roman" w:eastAsia="Calibri" w:hAnsi="Times New Roman" w:cs="Times New Roman" w:hint="default"/>
        </w:rPr>
        <w:t xml:space="preserve">ice (20 000 tis. eur),  </w:t>
      </w:r>
      <w:r>
        <w:rPr>
          <w:rFonts w:ascii="Times New Roman" w:eastAsia="Calibri" w:hAnsi="Times New Roman" w:cs="Times New Roman" w:hint="default"/>
        </w:rPr>
        <w:t>Hlavné</w:t>
      </w:r>
      <w:r>
        <w:rPr>
          <w:rFonts w:ascii="Times New Roman" w:eastAsia="Calibri" w:hAnsi="Times New Roman" w:cs="Times New Roman" w:hint="default"/>
        </w:rPr>
        <w:t xml:space="preserve">mu mestu SR </w:t>
      </w:r>
      <w:r w:rsidRPr="003244D7">
        <w:rPr>
          <w:rFonts w:ascii="Times New Roman" w:eastAsia="Calibri" w:hAnsi="Times New Roman" w:cs="Times New Roman"/>
        </w:rPr>
        <w:t>Bratislav</w:t>
      </w:r>
      <w:r>
        <w:rPr>
          <w:rFonts w:ascii="Times New Roman" w:eastAsia="Calibri" w:hAnsi="Times New Roman" w:cs="Times New Roman"/>
        </w:rPr>
        <w:t>e</w:t>
      </w:r>
      <w:r w:rsidRPr="003244D7">
        <w:rPr>
          <w:rFonts w:ascii="Times New Roman" w:eastAsia="Calibri" w:hAnsi="Times New Roman" w:cs="Times New Roman"/>
        </w:rPr>
        <w:t xml:space="preserve"> (10 000 tis. eur), </w:t>
      </w:r>
      <w:r w:rsidRPr="003244D7">
        <w:rPr>
          <w:rFonts w:ascii="Times New Roman" w:eastAsia="Calibri" w:hAnsi="Times New Roman" w:cs="Times New Roman" w:hint="default"/>
        </w:rPr>
        <w:t>obci Ľ</w:t>
      </w:r>
      <w:r w:rsidRPr="003244D7">
        <w:rPr>
          <w:rFonts w:ascii="Times New Roman" w:eastAsia="Calibri" w:hAnsi="Times New Roman" w:cs="Times New Roman" w:hint="default"/>
        </w:rPr>
        <w:t>ubotice (175 tis. eur) a </w:t>
      </w:r>
      <w:r w:rsidRPr="003244D7">
        <w:rPr>
          <w:rFonts w:ascii="Times New Roman" w:eastAsia="Calibri" w:hAnsi="Times New Roman" w:cs="Times New Roman" w:hint="default"/>
        </w:rPr>
        <w:t>ostatný</w:t>
      </w:r>
      <w:r w:rsidRPr="003244D7">
        <w:rPr>
          <w:rFonts w:ascii="Times New Roman" w:eastAsia="Calibri" w:hAnsi="Times New Roman" w:cs="Times New Roman" w:hint="default"/>
        </w:rPr>
        <w:t>m obciam (1 778 tis. eur)</w:t>
      </w:r>
      <w:r w:rsidRPr="003244D7">
        <w:rPr>
          <w:rFonts w:ascii="Times New Roman" w:eastAsia="Calibri" w:hAnsi="Times New Roman" w:cs="Times New Roman" w:hint="default"/>
        </w:rPr>
        <w:t xml:space="preserve">, </w:t>
      </w:r>
      <w:r w:rsidRPr="00B0372B">
        <w:rPr>
          <w:rFonts w:ascii="Times New Roman" w:eastAsia="Calibri" w:hAnsi="Times New Roman" w:cs="Times New Roman" w:hint="default"/>
        </w:rPr>
        <w:t>pôž</w:t>
      </w:r>
      <w:r w:rsidRPr="00B0372B">
        <w:rPr>
          <w:rFonts w:ascii="Times New Roman" w:eastAsia="Calibri" w:hAnsi="Times New Roman" w:cs="Times New Roman" w:hint="default"/>
        </w:rPr>
        <w:t>ič</w:t>
      </w:r>
      <w:r w:rsidRPr="00B0372B">
        <w:rPr>
          <w:rFonts w:ascii="Times New Roman" w:eastAsia="Calibri" w:hAnsi="Times New Roman" w:cs="Times New Roman" w:hint="default"/>
        </w:rPr>
        <w:t>ky Ministerstva pô</w:t>
      </w:r>
      <w:r w:rsidRPr="00B0372B">
        <w:rPr>
          <w:rFonts w:ascii="Times New Roman" w:eastAsia="Calibri" w:hAnsi="Times New Roman" w:cs="Times New Roman" w:hint="default"/>
        </w:rPr>
        <w:t>dohospodá</w:t>
      </w:r>
      <w:r w:rsidRPr="00B0372B">
        <w:rPr>
          <w:rFonts w:ascii="Times New Roman" w:eastAsia="Calibri" w:hAnsi="Times New Roman" w:cs="Times New Roman" w:hint="default"/>
        </w:rPr>
        <w:t>rstva a rozvoja vidieka SR Agentú</w:t>
      </w:r>
      <w:r w:rsidRPr="00B0372B">
        <w:rPr>
          <w:rFonts w:ascii="Times New Roman" w:eastAsia="Calibri" w:hAnsi="Times New Roman" w:cs="Times New Roman" w:hint="default"/>
        </w:rPr>
        <w:t>re pre rozvoj vidieka (280</w:t>
      </w:r>
      <w:r>
        <w:rPr>
          <w:rFonts w:ascii="Times New Roman" w:eastAsia="Calibri" w:hAnsi="Times New Roman" w:cs="Times New Roman"/>
        </w:rPr>
        <w:t xml:space="preserve"> tis. eur) a </w:t>
      </w:r>
      <w:r w:rsidRPr="00B0372B">
        <w:rPr>
          <w:rFonts w:ascii="Times New Roman" w:eastAsia="Calibri" w:hAnsi="Times New Roman" w:cs="Times New Roman" w:hint="default"/>
        </w:rPr>
        <w:t>Ná</w:t>
      </w:r>
      <w:r w:rsidRPr="00B0372B">
        <w:rPr>
          <w:rFonts w:ascii="Times New Roman" w:eastAsia="Calibri" w:hAnsi="Times New Roman" w:cs="Times New Roman" w:hint="default"/>
        </w:rPr>
        <w:t>rodné</w:t>
      </w:r>
      <w:r w:rsidRPr="00B0372B">
        <w:rPr>
          <w:rFonts w:ascii="Times New Roman" w:eastAsia="Calibri" w:hAnsi="Times New Roman" w:cs="Times New Roman" w:hint="default"/>
        </w:rPr>
        <w:t>mu poľ</w:t>
      </w:r>
      <w:r w:rsidRPr="00B0372B">
        <w:rPr>
          <w:rFonts w:ascii="Times New Roman" w:eastAsia="Calibri" w:hAnsi="Times New Roman" w:cs="Times New Roman" w:hint="default"/>
        </w:rPr>
        <w:t>nohospodá</w:t>
      </w:r>
      <w:r w:rsidRPr="00B0372B">
        <w:rPr>
          <w:rFonts w:ascii="Times New Roman" w:eastAsia="Calibri" w:hAnsi="Times New Roman" w:cs="Times New Roman" w:hint="default"/>
        </w:rPr>
        <w:t>rskemu</w:t>
      </w:r>
      <w:r>
        <w:rPr>
          <w:rFonts w:ascii="Times New Roman" w:eastAsia="Calibri" w:hAnsi="Times New Roman" w:cs="Times New Roman"/>
        </w:rPr>
        <w:t xml:space="preserve"> </w:t>
      </w:r>
      <w:r w:rsidRPr="00B0372B">
        <w:rPr>
          <w:rFonts w:ascii="Times New Roman" w:eastAsia="Calibri" w:hAnsi="Times New Roman" w:cs="Times New Roman"/>
        </w:rPr>
        <w:t>a </w:t>
      </w:r>
      <w:r w:rsidRPr="00B0372B">
        <w:rPr>
          <w:rFonts w:ascii="Times New Roman" w:eastAsia="Calibri" w:hAnsi="Times New Roman" w:cs="Times New Roman" w:hint="default"/>
        </w:rPr>
        <w:t>potravinové</w:t>
      </w:r>
      <w:r w:rsidRPr="00B0372B">
        <w:rPr>
          <w:rFonts w:ascii="Times New Roman" w:eastAsia="Calibri" w:hAnsi="Times New Roman" w:cs="Times New Roman" w:hint="default"/>
        </w:rPr>
        <w:t>mu centru (330 tis. eur), pôž</w:t>
      </w:r>
      <w:r w:rsidRPr="00B0372B">
        <w:rPr>
          <w:rFonts w:ascii="Times New Roman" w:eastAsia="Calibri" w:hAnsi="Times New Roman" w:cs="Times New Roman" w:hint="default"/>
        </w:rPr>
        <w:t>ič</w:t>
      </w:r>
      <w:r w:rsidRPr="00B0372B">
        <w:rPr>
          <w:rFonts w:ascii="Times New Roman" w:eastAsia="Calibri" w:hAnsi="Times New Roman" w:cs="Times New Roman" w:hint="default"/>
        </w:rPr>
        <w:t>ky Ministerstva hospodá</w:t>
      </w:r>
      <w:r w:rsidRPr="00B0372B">
        <w:rPr>
          <w:rFonts w:ascii="Times New Roman" w:eastAsia="Calibri" w:hAnsi="Times New Roman" w:cs="Times New Roman" w:hint="default"/>
        </w:rPr>
        <w:t>rstva SR Slovenskej inovač</w:t>
      </w:r>
      <w:r w:rsidRPr="00B0372B">
        <w:rPr>
          <w:rFonts w:ascii="Times New Roman" w:eastAsia="Calibri" w:hAnsi="Times New Roman" w:cs="Times New Roman" w:hint="default"/>
        </w:rPr>
        <w:t>nej a </w:t>
      </w:r>
      <w:r w:rsidRPr="00B0372B">
        <w:rPr>
          <w:rFonts w:ascii="Times New Roman" w:eastAsia="Calibri" w:hAnsi="Times New Roman" w:cs="Times New Roman" w:hint="default"/>
        </w:rPr>
        <w:t>energetickej agentú</w:t>
      </w:r>
      <w:r w:rsidRPr="00B0372B">
        <w:rPr>
          <w:rFonts w:ascii="Times New Roman" w:eastAsia="Calibri" w:hAnsi="Times New Roman" w:cs="Times New Roman" w:hint="default"/>
        </w:rPr>
        <w:t xml:space="preserve">re (600 tis. eur), </w:t>
      </w:r>
      <w:r w:rsidRPr="003244D7">
        <w:rPr>
          <w:rFonts w:ascii="Times New Roman" w:eastAsia="Calibri" w:hAnsi="Times New Roman" w:cs="Times New Roman" w:hint="default"/>
        </w:rPr>
        <w:t>ná</w:t>
      </w:r>
      <w:r w:rsidRPr="003244D7">
        <w:rPr>
          <w:rFonts w:ascii="Times New Roman" w:eastAsia="Calibri" w:hAnsi="Times New Roman" w:cs="Times New Roman" w:hint="default"/>
        </w:rPr>
        <w:t>vratný</w:t>
      </w:r>
      <w:r w:rsidRPr="003244D7">
        <w:rPr>
          <w:rFonts w:ascii="Times New Roman" w:eastAsia="Calibri" w:hAnsi="Times New Roman" w:cs="Times New Roman" w:hint="default"/>
        </w:rPr>
        <w:t>ch finanč</w:t>
      </w:r>
      <w:r w:rsidRPr="003244D7">
        <w:rPr>
          <w:rFonts w:ascii="Times New Roman" w:eastAsia="Calibri" w:hAnsi="Times New Roman" w:cs="Times New Roman" w:hint="default"/>
        </w:rPr>
        <w:t>ný</w:t>
      </w:r>
      <w:r w:rsidRPr="003244D7">
        <w:rPr>
          <w:rFonts w:ascii="Times New Roman" w:eastAsia="Calibri" w:hAnsi="Times New Roman" w:cs="Times New Roman" w:hint="default"/>
        </w:rPr>
        <w:t>ch vý</w:t>
      </w:r>
      <w:r w:rsidRPr="003244D7">
        <w:rPr>
          <w:rFonts w:ascii="Times New Roman" w:eastAsia="Calibri" w:hAnsi="Times New Roman" w:cs="Times New Roman" w:hint="default"/>
        </w:rPr>
        <w:t>pomocí</w:t>
      </w:r>
      <w:r w:rsidRPr="003244D7">
        <w:rPr>
          <w:rFonts w:ascii="Times New Roman" w:eastAsia="Calibri" w:hAnsi="Times New Roman" w:cs="Times New Roman" w:hint="default"/>
        </w:rPr>
        <w:t xml:space="preserve"> nemocniciam (2 747 tis. </w:t>
      </w:r>
      <w:r w:rsidRPr="003244D7">
        <w:rPr>
          <w:rFonts w:ascii="Times New Roman" w:eastAsia="Calibri" w:hAnsi="Times New Roman" w:cs="Times New Roman" w:hint="default"/>
        </w:rPr>
        <w:t>eur), ná</w:t>
      </w:r>
      <w:r w:rsidRPr="003244D7">
        <w:rPr>
          <w:rFonts w:ascii="Times New Roman" w:eastAsia="Calibri" w:hAnsi="Times New Roman" w:cs="Times New Roman" w:hint="default"/>
        </w:rPr>
        <w:t>vratný</w:t>
      </w:r>
      <w:r w:rsidRPr="003244D7">
        <w:rPr>
          <w:rFonts w:ascii="Times New Roman" w:eastAsia="Calibri" w:hAnsi="Times New Roman" w:cs="Times New Roman" w:hint="default"/>
        </w:rPr>
        <w:t>ch finanč</w:t>
      </w:r>
      <w:r w:rsidRPr="003244D7">
        <w:rPr>
          <w:rFonts w:ascii="Times New Roman" w:eastAsia="Calibri" w:hAnsi="Times New Roman" w:cs="Times New Roman" w:hint="default"/>
        </w:rPr>
        <w:t>ný</w:t>
      </w:r>
      <w:r w:rsidRPr="003244D7">
        <w:rPr>
          <w:rFonts w:ascii="Times New Roman" w:eastAsia="Calibri" w:hAnsi="Times New Roman" w:cs="Times New Roman" w:hint="default"/>
        </w:rPr>
        <w:t>ch vý</w:t>
      </w:r>
      <w:r w:rsidRPr="003244D7">
        <w:rPr>
          <w:rFonts w:ascii="Times New Roman" w:eastAsia="Calibri" w:hAnsi="Times New Roman" w:cs="Times New Roman" w:hint="default"/>
        </w:rPr>
        <w:t>pomocí</w:t>
      </w:r>
      <w:r w:rsidRPr="003244D7">
        <w:rPr>
          <w:rFonts w:ascii="Times New Roman" w:eastAsia="Calibri" w:hAnsi="Times New Roman" w:cs="Times New Roman" w:hint="default"/>
        </w:rPr>
        <w:t xml:space="preserve"> prí</w:t>
      </w:r>
      <w:r w:rsidRPr="003244D7">
        <w:rPr>
          <w:rFonts w:ascii="Times New Roman" w:eastAsia="Calibri" w:hAnsi="Times New Roman" w:cs="Times New Roman" w:hint="default"/>
        </w:rPr>
        <w:t>spevkový</w:t>
      </w:r>
      <w:r w:rsidRPr="003244D7">
        <w:rPr>
          <w:rFonts w:ascii="Times New Roman" w:eastAsia="Calibri" w:hAnsi="Times New Roman" w:cs="Times New Roman" w:hint="default"/>
        </w:rPr>
        <w:t>m organizá</w:t>
      </w:r>
      <w:r w:rsidRPr="003244D7">
        <w:rPr>
          <w:rFonts w:ascii="Times New Roman" w:eastAsia="Calibri" w:hAnsi="Times New Roman" w:cs="Times New Roman" w:hint="default"/>
        </w:rPr>
        <w:t>ciá</w:t>
      </w:r>
      <w:r w:rsidRPr="003244D7">
        <w:rPr>
          <w:rFonts w:ascii="Times New Roman" w:eastAsia="Calibri" w:hAnsi="Times New Roman" w:cs="Times New Roman" w:hint="default"/>
        </w:rPr>
        <w:t>m o</w:t>
      </w:r>
      <w:r w:rsidRPr="003244D7">
        <w:rPr>
          <w:rFonts w:ascii="Times New Roman" w:eastAsia="Calibri" w:hAnsi="Times New Roman" w:cs="Times New Roman" w:hint="default"/>
        </w:rPr>
        <w:t>bcí</w:t>
      </w:r>
      <w:r w:rsidRPr="003244D7">
        <w:rPr>
          <w:rFonts w:ascii="Times New Roman" w:eastAsia="Calibri" w:hAnsi="Times New Roman" w:cs="Times New Roman" w:hint="default"/>
        </w:rPr>
        <w:t xml:space="preserve"> (75 tis. eur), ná</w:t>
      </w:r>
      <w:r w:rsidRPr="003244D7">
        <w:rPr>
          <w:rFonts w:ascii="Times New Roman" w:eastAsia="Calibri" w:hAnsi="Times New Roman" w:cs="Times New Roman" w:hint="default"/>
        </w:rPr>
        <w:t>vratnej finanč</w:t>
      </w:r>
      <w:r w:rsidRPr="003244D7">
        <w:rPr>
          <w:rFonts w:ascii="Times New Roman" w:eastAsia="Calibri" w:hAnsi="Times New Roman" w:cs="Times New Roman" w:hint="default"/>
        </w:rPr>
        <w:t>nej vý</w:t>
      </w:r>
      <w:r w:rsidRPr="003244D7">
        <w:rPr>
          <w:rFonts w:ascii="Times New Roman" w:eastAsia="Calibri" w:hAnsi="Times New Roman" w:cs="Times New Roman" w:hint="default"/>
        </w:rPr>
        <w:t>pomoci spoloč</w:t>
      </w:r>
      <w:r w:rsidRPr="003244D7">
        <w:rPr>
          <w:rFonts w:ascii="Times New Roman" w:eastAsia="Calibri" w:hAnsi="Times New Roman" w:cs="Times New Roman" w:hint="default"/>
        </w:rPr>
        <w:t>nosti MH Invest, s. </w:t>
      </w:r>
      <w:r w:rsidRPr="003244D7">
        <w:rPr>
          <w:rFonts w:ascii="Times New Roman" w:eastAsia="Calibri" w:hAnsi="Times New Roman" w:cs="Times New Roman" w:hint="default"/>
        </w:rPr>
        <w:t>r. o. (2 720 tis. eur), pôž</w:t>
      </w:r>
      <w:r w:rsidRPr="003244D7">
        <w:rPr>
          <w:rFonts w:ascii="Times New Roman" w:eastAsia="Calibri" w:hAnsi="Times New Roman" w:cs="Times New Roman" w:hint="default"/>
        </w:rPr>
        <w:t>ič</w:t>
      </w:r>
      <w:r w:rsidRPr="003244D7">
        <w:rPr>
          <w:rFonts w:ascii="Times New Roman" w:eastAsia="Calibri" w:hAnsi="Times New Roman" w:cs="Times New Roman" w:hint="default"/>
        </w:rPr>
        <w:t>iek zo Š</w:t>
      </w:r>
      <w:r w:rsidRPr="003244D7">
        <w:rPr>
          <w:rFonts w:ascii="Times New Roman" w:eastAsia="Calibri" w:hAnsi="Times New Roman" w:cs="Times New Roman" w:hint="default"/>
        </w:rPr>
        <w:t>tá</w:t>
      </w:r>
      <w:r w:rsidRPr="003244D7">
        <w:rPr>
          <w:rFonts w:ascii="Times New Roman" w:eastAsia="Calibri" w:hAnsi="Times New Roman" w:cs="Times New Roman" w:hint="default"/>
        </w:rPr>
        <w:t>tneho fondu rozvoja bý</w:t>
      </w:r>
      <w:r w:rsidRPr="003244D7">
        <w:rPr>
          <w:rFonts w:ascii="Times New Roman" w:eastAsia="Calibri" w:hAnsi="Times New Roman" w:cs="Times New Roman" w:hint="default"/>
        </w:rPr>
        <w:t>vania obciam (647 994 tis. </w:t>
      </w:r>
      <w:r w:rsidRPr="003244D7">
        <w:rPr>
          <w:rFonts w:ascii="Times New Roman" w:eastAsia="Calibri" w:hAnsi="Times New Roman" w:cs="Times New Roman" w:hint="default"/>
        </w:rPr>
        <w:t>eur), pôž</w:t>
      </w:r>
      <w:r w:rsidRPr="003244D7">
        <w:rPr>
          <w:rFonts w:ascii="Times New Roman" w:eastAsia="Calibri" w:hAnsi="Times New Roman" w:cs="Times New Roman" w:hint="default"/>
        </w:rPr>
        <w:t>ič</w:t>
      </w:r>
      <w:r w:rsidRPr="003244D7">
        <w:rPr>
          <w:rFonts w:ascii="Times New Roman" w:eastAsia="Calibri" w:hAnsi="Times New Roman" w:cs="Times New Roman" w:hint="default"/>
        </w:rPr>
        <w:t>iek z </w:t>
      </w:r>
      <w:r w:rsidRPr="003244D7">
        <w:rPr>
          <w:rFonts w:ascii="Times New Roman" w:eastAsia="Calibri" w:hAnsi="Times New Roman" w:cs="Times New Roman" w:hint="default"/>
        </w:rPr>
        <w:t>Environmentá</w:t>
      </w:r>
      <w:r w:rsidRPr="003244D7">
        <w:rPr>
          <w:rFonts w:ascii="Times New Roman" w:eastAsia="Calibri" w:hAnsi="Times New Roman" w:cs="Times New Roman" w:hint="default"/>
        </w:rPr>
        <w:t>lneho fondu obciam (1 217 tis. eur) a </w:t>
      </w:r>
      <w:r w:rsidRPr="003244D7">
        <w:rPr>
          <w:rFonts w:ascii="Times New Roman" w:eastAsia="Calibri" w:hAnsi="Times New Roman" w:cs="Times New Roman" w:hint="default"/>
        </w:rPr>
        <w:t>zdravotní</w:t>
      </w:r>
      <w:r w:rsidRPr="003244D7">
        <w:rPr>
          <w:rFonts w:ascii="Times New Roman" w:eastAsia="Calibri" w:hAnsi="Times New Roman" w:cs="Times New Roman" w:hint="default"/>
        </w:rPr>
        <w:t xml:space="preserve">ckym zariadeniam </w:t>
      </w:r>
      <w:r w:rsidRPr="003244D7">
        <w:rPr>
          <w:rFonts w:ascii="Times New Roman" w:eastAsia="Calibri" w:hAnsi="Times New Roman" w:cs="Times New Roman" w:hint="default"/>
        </w:rPr>
        <w:t>(</w:t>
      </w:r>
      <w:r w:rsidRPr="003244D7">
        <w:rPr>
          <w:rFonts w:ascii="Times New Roman" w:eastAsia="Calibri" w:hAnsi="Times New Roman" w:cs="Times New Roman" w:hint="default"/>
        </w:rPr>
        <w:t>262 tis. eur).</w:t>
      </w:r>
      <w:bookmarkEnd w:id="34"/>
      <w:bookmarkEnd w:id="35"/>
      <w:bookmarkEnd w:id="36"/>
      <w:bookmarkEnd w:id="37"/>
      <w:bookmarkEnd w:id="38"/>
      <w:bookmarkEnd w:id="39"/>
      <w:bookmarkEnd w:id="40"/>
      <w:bookmarkEnd w:id="41"/>
      <w:bookmarkEnd w:id="42"/>
      <w:bookmarkEnd w:id="43"/>
    </w:p>
    <w:tbl>
      <w:tblPr>
        <w:tblStyle w:val="TableNormal"/>
        <w:tblW w:w="5000" w:type="pct"/>
        <w:tblLayout w:type="fixed"/>
        <w:tblCellMar>
          <w:left w:w="70" w:type="dxa"/>
          <w:right w:w="70" w:type="dxa"/>
        </w:tblCellMar>
        <w:tblLook w:val="04A0"/>
      </w:tblPr>
      <w:tblGrid>
        <w:gridCol w:w="4461"/>
        <w:gridCol w:w="1354"/>
        <w:gridCol w:w="1220"/>
        <w:gridCol w:w="1220"/>
        <w:gridCol w:w="956"/>
      </w:tblGrid>
      <w:tr>
        <w:tblPrEx>
          <w:tblW w:w="5000" w:type="pct"/>
          <w:tblLayout w:type="fixed"/>
          <w:tblCellMar>
            <w:left w:w="70" w:type="dxa"/>
            <w:right w:w="70" w:type="dxa"/>
          </w:tblCellMar>
          <w:tblLook w:val="04A0"/>
        </w:tblPrEx>
        <w:trPr>
          <w:trHeight w:val="255"/>
        </w:trPr>
        <w:tc>
          <w:tcPr>
            <w:tcW w:w="5000" w:type="pct"/>
            <w:gridSpan w:val="5"/>
            <w:tcBorders>
              <w:top w:val="single" w:sz="4" w:space="0" w:color="auto"/>
              <w:left w:val="nil"/>
              <w:bottom w:val="single" w:sz="4" w:space="0" w:color="auto"/>
              <w:right w:val="nil"/>
            </w:tcBorders>
            <w:shd w:val="clear" w:color="000000" w:fill="000000"/>
            <w:noWrap/>
            <w:textDirection w:val="lrTb"/>
            <w:vAlign w:val="center"/>
            <w:hideMark/>
          </w:tcPr>
          <w:p w:rsidR="006F14B2" w:rsidRPr="00E653ED" w:rsidP="000B4414">
            <w:pPr>
              <w:bidi w:val="0"/>
              <w:spacing w:after="0" w:line="240" w:lineRule="auto"/>
              <w:rPr>
                <w:rFonts w:ascii="Times New Roman" w:hAnsi="Times New Roman" w:cs="Times New Roman"/>
                <w:b/>
                <w:bCs/>
                <w:color w:val="FFFFFF"/>
                <w:sz w:val="20"/>
                <w:szCs w:val="20"/>
                <w:lang w:eastAsia="sk-SK"/>
              </w:rPr>
            </w:pPr>
            <w:r w:rsidRPr="00E653ED">
              <w:rPr>
                <w:rFonts w:ascii="Times New Roman" w:hAnsi="Times New Roman" w:cs="Times New Roman"/>
                <w:b/>
                <w:bCs/>
                <w:color w:val="FFFFFF"/>
                <w:sz w:val="20"/>
                <w:szCs w:val="20"/>
                <w:lang w:eastAsia="sk-SK"/>
              </w:rPr>
              <w:t>Dlh verejnej správy podľa jednotlivých subjektov (tis. eur)</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 </w:t>
            </w:r>
          </w:p>
        </w:tc>
        <w:tc>
          <w:tcPr>
            <w:tcW w:w="735"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k 31.12.2013</w:t>
            </w:r>
          </w:p>
        </w:tc>
        <w:tc>
          <w:tcPr>
            <w:tcW w:w="662"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k 31.12.2014</w:t>
            </w:r>
          </w:p>
        </w:tc>
        <w:tc>
          <w:tcPr>
            <w:tcW w:w="662"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k 31.12.2015</w:t>
            </w:r>
          </w:p>
        </w:tc>
        <w:tc>
          <w:tcPr>
            <w:tcW w:w="519"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Zmena</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sz w:val="20"/>
                <w:szCs w:val="20"/>
                <w:lang w:eastAsia="sk-SK"/>
              </w:rPr>
            </w:pPr>
            <w:r w:rsidRPr="00E653ED">
              <w:rPr>
                <w:rFonts w:ascii="Times New Roman" w:hAnsi="Times New Roman" w:cs="Times New Roman"/>
                <w:sz w:val="20"/>
                <w:szCs w:val="20"/>
                <w:lang w:eastAsia="sk-SK"/>
              </w:rPr>
              <w:t> </w:t>
            </w:r>
          </w:p>
        </w:tc>
        <w:tc>
          <w:tcPr>
            <w:tcW w:w="735"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sz w:val="20"/>
                <w:szCs w:val="20"/>
                <w:lang w:eastAsia="sk-SK"/>
              </w:rPr>
            </w:pPr>
            <w:r w:rsidRPr="00E653ED">
              <w:rPr>
                <w:rFonts w:ascii="Times New Roman" w:hAnsi="Times New Roman" w:cs="Times New Roman"/>
                <w:sz w:val="20"/>
                <w:szCs w:val="20"/>
                <w:lang w:eastAsia="sk-SK"/>
              </w:rPr>
              <w:t>1</w:t>
            </w:r>
          </w:p>
        </w:tc>
        <w:tc>
          <w:tcPr>
            <w:tcW w:w="662"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sz w:val="20"/>
                <w:szCs w:val="20"/>
                <w:lang w:eastAsia="sk-SK"/>
              </w:rPr>
            </w:pPr>
            <w:r w:rsidRPr="00E653ED">
              <w:rPr>
                <w:rFonts w:ascii="Times New Roman" w:hAnsi="Times New Roman" w:cs="Times New Roman"/>
                <w:sz w:val="20"/>
                <w:szCs w:val="20"/>
                <w:lang w:eastAsia="sk-SK"/>
              </w:rPr>
              <w:t>2</w:t>
            </w:r>
          </w:p>
        </w:tc>
        <w:tc>
          <w:tcPr>
            <w:tcW w:w="662"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sz w:val="20"/>
                <w:szCs w:val="20"/>
                <w:lang w:eastAsia="sk-SK"/>
              </w:rPr>
            </w:pPr>
            <w:r w:rsidRPr="00E653ED">
              <w:rPr>
                <w:rFonts w:ascii="Times New Roman" w:hAnsi="Times New Roman" w:cs="Times New Roman"/>
                <w:sz w:val="20"/>
                <w:szCs w:val="20"/>
                <w:lang w:eastAsia="sk-SK"/>
              </w:rPr>
              <w:t>3</w:t>
            </w:r>
          </w:p>
        </w:tc>
        <w:tc>
          <w:tcPr>
            <w:tcW w:w="519" w:type="pct"/>
            <w:tcBorders>
              <w:top w:val="nil"/>
              <w:left w:val="nil"/>
              <w:bottom w:val="nil"/>
              <w:right w:val="nil"/>
            </w:tcBorders>
            <w:shd w:val="clear" w:color="000000" w:fill="BFBFBF"/>
            <w:noWrap/>
            <w:textDirection w:val="lrTb"/>
            <w:vAlign w:val="bottom"/>
            <w:hideMark/>
          </w:tcPr>
          <w:p w:rsidR="006F14B2" w:rsidRPr="00E653ED" w:rsidP="000B4414">
            <w:pPr>
              <w:bidi w:val="0"/>
              <w:spacing w:after="0" w:line="240" w:lineRule="auto"/>
              <w:jc w:val="center"/>
              <w:rPr>
                <w:rFonts w:ascii="Times New Roman" w:hAnsi="Times New Roman" w:cs="Times New Roman"/>
                <w:sz w:val="20"/>
                <w:szCs w:val="20"/>
                <w:lang w:eastAsia="sk-SK"/>
              </w:rPr>
            </w:pPr>
            <w:r w:rsidRPr="00E653ED">
              <w:rPr>
                <w:rFonts w:ascii="Times New Roman" w:hAnsi="Times New Roman" w:cs="Times New Roman"/>
                <w:sz w:val="20"/>
                <w:szCs w:val="20"/>
                <w:lang w:eastAsia="sk-SK"/>
              </w:rPr>
              <w:t>4=(3-2)</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 xml:space="preserve">Ústredné rozpočtové organizácie  </w:t>
            </w:r>
            <w:r w:rsidRPr="00E653ED">
              <w:rPr>
                <w:rFonts w:ascii="Times New Roman" w:hAnsi="Times New Roman" w:cs="Times New Roman"/>
                <w:sz w:val="20"/>
                <w:szCs w:val="20"/>
                <w:vertAlign w:val="superscript"/>
                <w:lang w:eastAsia="sk-SK"/>
              </w:rPr>
              <w:t>1)</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38 642 551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39 249 883</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39 847 296</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597 413</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Verejné vysoké školy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3 666</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3 666</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Neziskové organizácie štátu</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Fond národného</w:t>
            </w:r>
            <w:r>
              <w:rPr>
                <w:rFonts w:ascii="Times New Roman" w:hAnsi="Times New Roman" w:cs="Times New Roman"/>
                <w:sz w:val="20"/>
                <w:szCs w:val="20"/>
                <w:lang w:eastAsia="sk-SK"/>
              </w:rPr>
              <w:t xml:space="preserve"> majetku SR</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15 543</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15 415</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15 313</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-102</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Rozhlas a televízia Slovenska</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12</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12</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MH Invest, s.r.o.</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2 720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2 730</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10</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JAVYS, a.</w:t>
            </w:r>
            <w:r>
              <w:rPr>
                <w:rFonts w:ascii="Times New Roman" w:hAnsi="Times New Roman" w:cs="Times New Roman"/>
                <w:sz w:val="20"/>
                <w:szCs w:val="20"/>
                <w:lang w:eastAsia="sk-SK"/>
              </w:rPr>
              <w:t xml:space="preserve"> </w:t>
            </w:r>
            <w:r w:rsidRPr="00E653ED">
              <w:rPr>
                <w:rFonts w:ascii="Times New Roman" w:hAnsi="Times New Roman" w:cs="Times New Roman"/>
                <w:sz w:val="20"/>
                <w:szCs w:val="20"/>
                <w:lang w:eastAsia="sk-SK"/>
              </w:rPr>
              <w:t>s.</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Železnice Slovenskej republiky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63 685</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63 074</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63 222</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148</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Železničná spoločnosť Slovensko, a.</w:t>
            </w:r>
            <w:r>
              <w:rPr>
                <w:rFonts w:ascii="Times New Roman" w:hAnsi="Times New Roman" w:cs="Times New Roman"/>
                <w:sz w:val="20"/>
                <w:szCs w:val="20"/>
                <w:lang w:eastAsia="sk-SK"/>
              </w:rPr>
              <w:t xml:space="preserve"> </w:t>
            </w:r>
            <w:r w:rsidRPr="00E653ED">
              <w:rPr>
                <w:rFonts w:ascii="Times New Roman" w:hAnsi="Times New Roman" w:cs="Times New Roman"/>
                <w:sz w:val="20"/>
                <w:szCs w:val="20"/>
                <w:lang w:eastAsia="sk-SK"/>
              </w:rPr>
              <w:t>s.</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315 717</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321 231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311 792</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-9 439</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Národná diaľničná spoločnosť</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394 633</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340 751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263 587</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-77 164</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Agentúra pre núdzové zásoby ropy a ropných výr</w:t>
            </w:r>
            <w:r>
              <w:rPr>
                <w:rFonts w:ascii="Times New Roman" w:hAnsi="Times New Roman" w:cs="Times New Roman"/>
                <w:sz w:val="20"/>
                <w:szCs w:val="20"/>
                <w:lang w:eastAsia="sk-SK"/>
              </w:rPr>
              <w:t>obkov</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520 000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520 000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520 000</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Exportno-importná banka Slovenskej republiky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76 172</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87 381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22 725</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-64 656</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Dopravné podniky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84 731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105 165</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20 434</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Sociálna poisťovňa</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Verejné zdravotné poistenie</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0</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368</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368</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center"/>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Zdravotnícke zar</w:t>
            </w:r>
            <w:r>
              <w:rPr>
                <w:rFonts w:ascii="Times New Roman" w:hAnsi="Times New Roman" w:cs="Times New Roman"/>
                <w:sz w:val="20"/>
                <w:szCs w:val="20"/>
                <w:lang w:eastAsia="sk-SK"/>
              </w:rPr>
              <w:t>iadenia</w:t>
            </w:r>
            <w:r w:rsidRPr="00E653ED">
              <w:rPr>
                <w:rFonts w:ascii="Times New Roman" w:hAnsi="Times New Roman" w:cs="Times New Roman"/>
                <w:sz w:val="20"/>
                <w:szCs w:val="20"/>
                <w:lang w:eastAsia="sk-SK"/>
              </w:rPr>
              <w:t xml:space="preserve"> zaradené do sektora verejnej správy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36 473</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28 012</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26 912</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-1 100</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Ostatné subjekty verejnej správy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47</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5 797</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2 705</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-3 092</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Vyššie územné celky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401 982</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363 586</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369 159</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5 573</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Obce</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1 233 831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1 236 742</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1 374 885</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138 143</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Príspevkové org</w:t>
            </w:r>
            <w:r>
              <w:rPr>
                <w:rFonts w:ascii="Times New Roman" w:hAnsi="Times New Roman" w:cs="Times New Roman"/>
                <w:sz w:val="20"/>
                <w:szCs w:val="20"/>
                <w:lang w:eastAsia="sk-SK"/>
              </w:rPr>
              <w:t>anizácie</w:t>
            </w:r>
            <w:r w:rsidRPr="00E653ED">
              <w:rPr>
                <w:rFonts w:ascii="Times New Roman" w:hAnsi="Times New Roman" w:cs="Times New Roman"/>
                <w:sz w:val="20"/>
                <w:szCs w:val="20"/>
                <w:lang w:eastAsia="sk-SK"/>
              </w:rPr>
              <w:t xml:space="preserve"> zaradené do sektora verejnej správy</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2 029</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1 711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2 979</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1 268</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v tom: štátne</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1 091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1 038</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2 012</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974</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 xml:space="preserve">            obecné</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906</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661</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932</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271</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 xml:space="preserve">            vyšších územných celkov</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32</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12</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35</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23</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Verejná správa spolu</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41 702 667</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42 321 037</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42 932 519</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611 482</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 xml:space="preserve">Konsolidácia </w:t>
            </w:r>
            <w:r w:rsidRPr="00E653ED">
              <w:rPr>
                <w:rFonts w:ascii="Times New Roman" w:hAnsi="Times New Roman" w:cs="Times New Roman"/>
                <w:sz w:val="20"/>
                <w:szCs w:val="20"/>
                <w:vertAlign w:val="superscript"/>
                <w:lang w:eastAsia="sk-SK"/>
              </w:rPr>
              <w:t xml:space="preserve"> 2)</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1 102 658</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1 596 019</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1 639 204</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43 185</w:t>
            </w:r>
          </w:p>
        </w:tc>
      </w:tr>
      <w:tr>
        <w:tblPrEx>
          <w:tblW w:w="5000" w:type="pct"/>
          <w:tblLayout w:type="fixed"/>
          <w:tblCellMar>
            <w:left w:w="70" w:type="dxa"/>
            <w:right w:w="70" w:type="dxa"/>
          </w:tblCellMar>
          <w:tblLook w:val="04A0"/>
        </w:tblPrEx>
        <w:trPr>
          <w:trHeight w:val="255"/>
        </w:trPr>
        <w:tc>
          <w:tcPr>
            <w:tcW w:w="2422"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Verejná správa spolu konsolidovaná</w:t>
            </w:r>
          </w:p>
        </w:tc>
        <w:tc>
          <w:tcPr>
            <w:tcW w:w="735"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40 600 009</w:t>
            </w:r>
          </w:p>
        </w:tc>
        <w:tc>
          <w:tcPr>
            <w:tcW w:w="662"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40 725 018</w:t>
            </w:r>
          </w:p>
        </w:tc>
        <w:tc>
          <w:tcPr>
            <w:tcW w:w="662"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41 293 315</w:t>
            </w:r>
          </w:p>
        </w:tc>
        <w:tc>
          <w:tcPr>
            <w:tcW w:w="519"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568 297</w:t>
            </w:r>
          </w:p>
        </w:tc>
      </w:tr>
      <w:tr>
        <w:tblPrEx>
          <w:tblW w:w="5000" w:type="pct"/>
          <w:tblLayout w:type="fixed"/>
          <w:tblCellMar>
            <w:left w:w="70" w:type="dxa"/>
            <w:right w:w="70" w:type="dxa"/>
          </w:tblCellMar>
          <w:tblLook w:val="04A0"/>
        </w:tblPrEx>
        <w:trPr>
          <w:trHeight w:val="255"/>
        </w:trPr>
        <w:tc>
          <w:tcPr>
            <w:tcW w:w="2422" w:type="pct"/>
            <w:tcBorders>
              <w:top w:val="nil"/>
              <w:left w:val="nil"/>
              <w:bottom w:val="nil"/>
              <w:right w:val="nil"/>
            </w:tcBorders>
            <w:noWrap/>
            <w:textDirection w:val="lrTb"/>
            <w:vAlign w:val="bottom"/>
            <w:hideMark/>
          </w:tcPr>
          <w:p w:rsidR="006F14B2" w:rsidRPr="00E653ED" w:rsidP="000B4414">
            <w:pPr>
              <w:bidi w:val="0"/>
              <w:spacing w:after="0" w:line="240" w:lineRule="auto"/>
              <w:rPr>
                <w:rFonts w:ascii="Times New Roman" w:hAnsi="Times New Roman" w:cs="Times New Roman"/>
                <w:sz w:val="20"/>
                <w:szCs w:val="20"/>
                <w:lang w:eastAsia="sk-SK"/>
              </w:rPr>
            </w:pPr>
            <w:r w:rsidRPr="00E653ED">
              <w:rPr>
                <w:rFonts w:ascii="Times New Roman" w:hAnsi="Times New Roman" w:cs="Times New Roman"/>
                <w:sz w:val="20"/>
                <w:szCs w:val="20"/>
                <w:lang w:eastAsia="sk-SK"/>
              </w:rPr>
              <w:t>Hrubý domáci produkt v b.</w:t>
            </w:r>
            <w:r>
              <w:rPr>
                <w:rFonts w:ascii="Times New Roman" w:hAnsi="Times New Roman" w:cs="Times New Roman"/>
                <w:sz w:val="20"/>
                <w:szCs w:val="20"/>
                <w:lang w:eastAsia="sk-SK"/>
              </w:rPr>
              <w:t xml:space="preserve"> </w:t>
            </w:r>
            <w:r w:rsidRPr="00E653ED">
              <w:rPr>
                <w:rFonts w:ascii="Times New Roman" w:hAnsi="Times New Roman" w:cs="Times New Roman"/>
                <w:sz w:val="20"/>
                <w:szCs w:val="20"/>
                <w:lang w:eastAsia="sk-SK"/>
              </w:rPr>
              <w:t>c.</w:t>
            </w:r>
          </w:p>
        </w:tc>
        <w:tc>
          <w:tcPr>
            <w:tcW w:w="735"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74 169 873</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75 946 359</w:t>
            </w:r>
          </w:p>
        </w:tc>
        <w:tc>
          <w:tcPr>
            <w:tcW w:w="662"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78 685 608</w:t>
            </w:r>
          </w:p>
        </w:tc>
        <w:tc>
          <w:tcPr>
            <w:tcW w:w="519" w:type="pct"/>
            <w:tcBorders>
              <w:top w:val="nil"/>
              <w:left w:val="nil"/>
              <w:bottom w:val="nil"/>
              <w:right w:val="nil"/>
            </w:tcBorders>
            <w:noWrap/>
            <w:textDirection w:val="lrTb"/>
            <w:vAlign w:val="bottom"/>
            <w:hideMark/>
          </w:tcPr>
          <w:p w:rsidR="006F14B2" w:rsidRPr="00E653ED" w:rsidP="000B4414">
            <w:pPr>
              <w:bidi w:val="0"/>
              <w:spacing w:after="0" w:line="240" w:lineRule="auto"/>
              <w:jc w:val="right"/>
              <w:rPr>
                <w:rFonts w:ascii="Times New Roman" w:hAnsi="Times New Roman" w:cs="Times New Roman"/>
                <w:sz w:val="20"/>
                <w:szCs w:val="20"/>
                <w:lang w:eastAsia="sk-SK"/>
              </w:rPr>
            </w:pPr>
            <w:r w:rsidRPr="00E653ED">
              <w:rPr>
                <w:rFonts w:ascii="Times New Roman" w:hAnsi="Times New Roman" w:cs="Times New Roman"/>
                <w:sz w:val="20"/>
                <w:szCs w:val="20"/>
                <w:lang w:eastAsia="sk-SK"/>
              </w:rPr>
              <w:t>2 739 249</w:t>
            </w:r>
          </w:p>
        </w:tc>
      </w:tr>
      <w:tr>
        <w:tblPrEx>
          <w:tblW w:w="5000" w:type="pct"/>
          <w:tblLayout w:type="fixed"/>
          <w:tblCellMar>
            <w:left w:w="70" w:type="dxa"/>
            <w:right w:w="70" w:type="dxa"/>
          </w:tblCellMar>
          <w:tblLook w:val="04A0"/>
        </w:tblPrEx>
        <w:trPr>
          <w:trHeight w:val="255"/>
        </w:trPr>
        <w:tc>
          <w:tcPr>
            <w:tcW w:w="2422"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ind w:firstLine="400" w:firstLineChars="200"/>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v % HDP</w:t>
            </w:r>
          </w:p>
        </w:tc>
        <w:tc>
          <w:tcPr>
            <w:tcW w:w="735"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54,7</w:t>
            </w:r>
          </w:p>
        </w:tc>
        <w:tc>
          <w:tcPr>
            <w:tcW w:w="662"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53,6</w:t>
            </w:r>
          </w:p>
        </w:tc>
        <w:tc>
          <w:tcPr>
            <w:tcW w:w="662"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52,5</w:t>
            </w:r>
          </w:p>
        </w:tc>
        <w:tc>
          <w:tcPr>
            <w:tcW w:w="519" w:type="pct"/>
            <w:tcBorders>
              <w:top w:val="single" w:sz="4" w:space="0" w:color="auto"/>
              <w:left w:val="nil"/>
              <w:bottom w:val="single" w:sz="4" w:space="0" w:color="auto"/>
              <w:right w:val="nil"/>
            </w:tcBorders>
            <w:shd w:val="clear" w:color="000000" w:fill="BFBFBF"/>
            <w:noWrap/>
            <w:textDirection w:val="lrTb"/>
            <w:vAlign w:val="bottom"/>
            <w:hideMark/>
          </w:tcPr>
          <w:p w:rsidR="006F14B2" w:rsidRPr="00E653ED" w:rsidP="000B4414">
            <w:pPr>
              <w:bidi w:val="0"/>
              <w:spacing w:after="0" w:line="240" w:lineRule="auto"/>
              <w:jc w:val="right"/>
              <w:rPr>
                <w:rFonts w:ascii="Times New Roman" w:hAnsi="Times New Roman" w:cs="Times New Roman"/>
                <w:b/>
                <w:bCs/>
                <w:sz w:val="20"/>
                <w:szCs w:val="20"/>
                <w:lang w:eastAsia="sk-SK"/>
              </w:rPr>
            </w:pPr>
            <w:r w:rsidRPr="00E653ED">
              <w:rPr>
                <w:rFonts w:ascii="Times New Roman" w:hAnsi="Times New Roman" w:cs="Times New Roman"/>
                <w:b/>
                <w:bCs/>
                <w:sz w:val="20"/>
                <w:szCs w:val="20"/>
                <w:lang w:eastAsia="sk-SK"/>
              </w:rPr>
              <w:t>-1,1</w:t>
            </w:r>
          </w:p>
        </w:tc>
      </w:tr>
    </w:tbl>
    <w:p w:rsidR="006F14B2" w:rsidP="006F14B2">
      <w:pPr>
        <w:bidi w:val="0"/>
        <w:spacing w:after="120" w:line="336" w:lineRule="auto"/>
        <w:contextualSpacing/>
        <w:jc w:val="right"/>
        <w:outlineLvl w:val="2"/>
        <w:rPr>
          <w:rFonts w:ascii="Times New Roman" w:eastAsia="Calibri" w:hAnsi="Times New Roman" w:cs="Times New Roman"/>
          <w:color w:val="FF0000"/>
        </w:rPr>
      </w:pPr>
      <w:bookmarkStart w:id="44" w:name="_Toc465255012"/>
      <w:bookmarkStart w:id="45" w:name="_Toc465255612"/>
      <w:bookmarkStart w:id="46" w:name="_Toc465257921"/>
      <w:bookmarkStart w:id="47" w:name="_Toc465258102"/>
      <w:bookmarkStart w:id="48" w:name="_Toc465258476"/>
      <w:r w:rsidRPr="008C0943">
        <w:rPr>
          <w:rFonts w:ascii="Times New Roman" w:hAnsi="Times New Roman" w:cs="Times New Roman"/>
          <w:sz w:val="16"/>
          <w:szCs w:val="16"/>
          <w:lang w:eastAsia="sk-SK"/>
        </w:rPr>
        <w:t>Zdroj: MF SR</w:t>
      </w:r>
      <w:bookmarkEnd w:id="44"/>
      <w:bookmarkEnd w:id="45"/>
      <w:bookmarkEnd w:id="46"/>
      <w:bookmarkEnd w:id="47"/>
      <w:bookmarkEnd w:id="48"/>
    </w:p>
    <w:p w:rsidR="006F14B2" w:rsidP="006F14B2">
      <w:pPr>
        <w:bidi w:val="0"/>
        <w:spacing w:before="240" w:after="120" w:line="336" w:lineRule="auto"/>
        <w:jc w:val="both"/>
        <w:rPr>
          <w:rFonts w:ascii="Times New Roman" w:eastAsia="Calibri" w:hAnsi="Times New Roman" w:cs="Times New Roman"/>
        </w:rPr>
      </w:pPr>
      <w:r>
        <w:rPr>
          <w:rFonts w:ascii="Times New Roman" w:eastAsia="Calibri" w:hAnsi="Times New Roman" w:cs="Times New Roman" w:hint="default"/>
          <w:b/>
        </w:rPr>
        <w:t>Konsolidovaný</w:t>
      </w:r>
      <w:r>
        <w:rPr>
          <w:rFonts w:ascii="Times New Roman" w:eastAsia="Calibri" w:hAnsi="Times New Roman" w:cs="Times New Roman" w:hint="default"/>
          <w:b/>
        </w:rPr>
        <w:t xml:space="preserve"> d</w:t>
      </w:r>
      <w:r w:rsidRPr="009C6F47">
        <w:rPr>
          <w:rFonts w:ascii="Times New Roman" w:eastAsia="Calibri" w:hAnsi="Times New Roman" w:cs="Times New Roman" w:hint="default"/>
          <w:b/>
        </w:rPr>
        <w:t>lh verejnej sprá</w:t>
      </w:r>
      <w:r w:rsidRPr="009C6F47">
        <w:rPr>
          <w:rFonts w:ascii="Times New Roman" w:eastAsia="Calibri" w:hAnsi="Times New Roman" w:cs="Times New Roman" w:hint="default"/>
          <w:b/>
        </w:rPr>
        <w:t>vy sa v </w:t>
      </w:r>
      <w:r w:rsidRPr="009C6F47">
        <w:rPr>
          <w:rFonts w:ascii="Times New Roman" w:eastAsia="Calibri" w:hAnsi="Times New Roman" w:cs="Times New Roman" w:hint="default"/>
          <w:b/>
        </w:rPr>
        <w:t>roku 2015 oproti roku 2014 zvýš</w:t>
      </w:r>
      <w:r w:rsidRPr="009C6F47">
        <w:rPr>
          <w:rFonts w:ascii="Times New Roman" w:eastAsia="Calibri" w:hAnsi="Times New Roman" w:cs="Times New Roman" w:hint="default"/>
          <w:b/>
        </w:rPr>
        <w:t>il o </w:t>
      </w:r>
      <w:r w:rsidRPr="009C6F47">
        <w:rPr>
          <w:rFonts w:ascii="Times New Roman" w:eastAsia="Calibri" w:hAnsi="Times New Roman" w:cs="Times New Roman"/>
          <w:b/>
          <w:bCs/>
        </w:rPr>
        <w:t xml:space="preserve">568 297 </w:t>
      </w:r>
      <w:r w:rsidRPr="009C6F47">
        <w:rPr>
          <w:rFonts w:ascii="Times New Roman" w:eastAsia="Calibri" w:hAnsi="Times New Roman" w:cs="Times New Roman"/>
          <w:b/>
        </w:rPr>
        <w:t>tis. eur</w:t>
      </w:r>
      <w:r>
        <w:rPr>
          <w:rFonts w:ascii="Times New Roman" w:eastAsia="Calibri" w:hAnsi="Times New Roman" w:cs="Times New Roman"/>
          <w:b/>
        </w:rPr>
        <w:t>.</w:t>
      </w:r>
      <w:r w:rsidRPr="009C6F47">
        <w:rPr>
          <w:rFonts w:ascii="Times New Roman" w:eastAsia="Calibri" w:hAnsi="Times New Roman" w:cs="Times New Roman"/>
          <w:b/>
        </w:rPr>
        <w:t xml:space="preserve"> </w:t>
      </w:r>
      <w:r>
        <w:rPr>
          <w:rFonts w:ascii="Times New Roman" w:eastAsia="Calibri" w:hAnsi="Times New Roman" w:cs="Times New Roman" w:hint="default"/>
          <w:b/>
        </w:rPr>
        <w:t>Podiel dlhu na HDP sa vš</w:t>
      </w:r>
      <w:r>
        <w:rPr>
          <w:rFonts w:ascii="Times New Roman" w:eastAsia="Calibri" w:hAnsi="Times New Roman" w:cs="Times New Roman" w:hint="default"/>
          <w:b/>
        </w:rPr>
        <w:t>ak medziroč</w:t>
      </w:r>
      <w:r>
        <w:rPr>
          <w:rFonts w:ascii="Times New Roman" w:eastAsia="Calibri" w:hAnsi="Times New Roman" w:cs="Times New Roman" w:hint="default"/>
          <w:b/>
        </w:rPr>
        <w:t>ne zníž</w:t>
      </w:r>
      <w:r>
        <w:rPr>
          <w:rFonts w:ascii="Times New Roman" w:eastAsia="Calibri" w:hAnsi="Times New Roman" w:cs="Times New Roman" w:hint="default"/>
          <w:b/>
        </w:rPr>
        <w:t>il o </w:t>
      </w:r>
      <w:r>
        <w:rPr>
          <w:rFonts w:ascii="Times New Roman" w:eastAsia="Calibri" w:hAnsi="Times New Roman" w:cs="Times New Roman" w:hint="default"/>
          <w:b/>
        </w:rPr>
        <w:t>1,1 p. b, č</w:t>
      </w:r>
      <w:r>
        <w:rPr>
          <w:rFonts w:ascii="Times New Roman" w:eastAsia="Calibri" w:hAnsi="Times New Roman" w:cs="Times New Roman" w:hint="default"/>
          <w:b/>
        </w:rPr>
        <w:t>o bolo spô</w:t>
      </w:r>
      <w:r>
        <w:rPr>
          <w:rFonts w:ascii="Times New Roman" w:eastAsia="Calibri" w:hAnsi="Times New Roman" w:cs="Times New Roman" w:hint="default"/>
          <w:b/>
        </w:rPr>
        <w:t>sobené</w:t>
      </w:r>
      <w:r>
        <w:rPr>
          <w:rFonts w:ascii="Times New Roman" w:eastAsia="Calibri" w:hAnsi="Times New Roman" w:cs="Times New Roman" w:hint="default"/>
          <w:b/>
        </w:rPr>
        <w:t xml:space="preserve"> rastom HDP o 2 739 249 tis. eur. </w:t>
      </w:r>
    </w:p>
    <w:p w:rsidR="006F14B2" w:rsidP="006F14B2">
      <w:pPr>
        <w:bidi w:val="0"/>
        <w:spacing w:before="240" w:after="120" w:line="336" w:lineRule="auto"/>
        <w:jc w:val="both"/>
        <w:rPr>
          <w:rFonts w:ascii="Times New Roman" w:eastAsia="Calibri" w:hAnsi="Times New Roman" w:cs="Times New Roman"/>
        </w:rPr>
      </w:pPr>
      <w:r w:rsidRPr="009C6F47">
        <w:rPr>
          <w:rFonts w:ascii="Times New Roman" w:eastAsia="Calibri" w:hAnsi="Times New Roman" w:cs="Times New Roman"/>
        </w:rPr>
        <w:t>V roku 2015 prispel k </w:t>
      </w:r>
      <w:r w:rsidRPr="009C6F47">
        <w:rPr>
          <w:rFonts w:ascii="Times New Roman" w:eastAsia="Calibri" w:hAnsi="Times New Roman" w:cs="Times New Roman" w:hint="default"/>
        </w:rPr>
        <w:t>ná</w:t>
      </w:r>
      <w:r w:rsidRPr="009C6F47">
        <w:rPr>
          <w:rFonts w:ascii="Times New Roman" w:eastAsia="Calibri" w:hAnsi="Times New Roman" w:cs="Times New Roman" w:hint="default"/>
        </w:rPr>
        <w:t>rastu dlhu najviac hotovostný</w:t>
      </w:r>
      <w:r w:rsidRPr="009C6F47">
        <w:rPr>
          <w:rFonts w:ascii="Times New Roman" w:eastAsia="Calibri" w:hAnsi="Times New Roman" w:cs="Times New Roman" w:hint="default"/>
        </w:rPr>
        <w:t xml:space="preserve"> schodok š</w:t>
      </w:r>
      <w:r w:rsidRPr="009C6F47">
        <w:rPr>
          <w:rFonts w:ascii="Times New Roman" w:eastAsia="Calibri" w:hAnsi="Times New Roman" w:cs="Times New Roman" w:hint="default"/>
        </w:rPr>
        <w:t>tá</w:t>
      </w:r>
      <w:r w:rsidRPr="009C6F47">
        <w:rPr>
          <w:rFonts w:ascii="Times New Roman" w:eastAsia="Calibri" w:hAnsi="Times New Roman" w:cs="Times New Roman" w:hint="default"/>
        </w:rPr>
        <w:t>tneho rozpoč</w:t>
      </w:r>
      <w:r w:rsidRPr="009C6F47">
        <w:rPr>
          <w:rFonts w:ascii="Times New Roman" w:eastAsia="Calibri" w:hAnsi="Times New Roman" w:cs="Times New Roman" w:hint="default"/>
        </w:rPr>
        <w:t>tu vo výš</w:t>
      </w:r>
      <w:r w:rsidRPr="009C6F47">
        <w:rPr>
          <w:rFonts w:ascii="Times New Roman" w:eastAsia="Calibri" w:hAnsi="Times New Roman" w:cs="Times New Roman" w:hint="default"/>
        </w:rPr>
        <w:t xml:space="preserve">ke </w:t>
      </w:r>
      <w:r w:rsidR="00A63B8E">
        <w:rPr>
          <w:rFonts w:ascii="Times New Roman" w:eastAsia="Calibri" w:hAnsi="Times New Roman" w:cs="Times New Roman"/>
        </w:rPr>
        <w:t>1 932 596</w:t>
      </w:r>
      <w:r w:rsidRPr="009C6F47">
        <w:rPr>
          <w:rFonts w:ascii="Times New Roman" w:eastAsia="Calibri" w:hAnsi="Times New Roman" w:cs="Times New Roman"/>
        </w:rPr>
        <w:t> </w:t>
      </w:r>
      <w:r w:rsidRPr="009C6F47">
        <w:rPr>
          <w:rFonts w:ascii="Times New Roman" w:eastAsia="Calibri" w:hAnsi="Times New Roman" w:cs="Times New Roman"/>
        </w:rPr>
        <w:t>tis. eur (2,5 % HDP).</w:t>
      </w:r>
      <w:r>
        <w:rPr>
          <w:rFonts w:ascii="Times New Roman" w:eastAsia="Calibri" w:hAnsi="Times New Roman" w:cs="Times New Roman"/>
        </w:rPr>
        <w:t xml:space="preserve"> </w:t>
      </w:r>
    </w:p>
    <w:p w:rsidR="006F14B2" w:rsidP="004B28B7">
      <w:pPr>
        <w:bidi w:val="0"/>
        <w:spacing w:before="240" w:after="0" w:line="336" w:lineRule="auto"/>
        <w:jc w:val="both"/>
        <w:rPr>
          <w:rFonts w:ascii="Times New Roman" w:eastAsia="Calibri" w:hAnsi="Times New Roman" w:cs="Times New Roman" w:hint="default"/>
        </w:rPr>
      </w:pPr>
      <w:r>
        <w:rPr>
          <w:rFonts w:ascii="Times New Roman" w:eastAsia="Calibri" w:hAnsi="Times New Roman" w:cs="Times New Roman" w:hint="default"/>
        </w:rPr>
        <w:t>Zvýš</w:t>
      </w:r>
      <w:r>
        <w:rPr>
          <w:rFonts w:ascii="Times New Roman" w:eastAsia="Calibri" w:hAnsi="Times New Roman" w:cs="Times New Roman" w:hint="default"/>
        </w:rPr>
        <w:t>enie maastrichtské</w:t>
      </w:r>
      <w:r>
        <w:rPr>
          <w:rFonts w:ascii="Times New Roman" w:eastAsia="Calibri" w:hAnsi="Times New Roman" w:cs="Times New Roman" w:hint="default"/>
        </w:rPr>
        <w:t xml:space="preserve">ho </w:t>
      </w:r>
      <w:r>
        <w:rPr>
          <w:rFonts w:ascii="Times New Roman" w:eastAsia="Calibri" w:hAnsi="Times New Roman" w:cs="Times New Roman" w:hint="default"/>
        </w:rPr>
        <w:t xml:space="preserve">dlhu v roku 2015 </w:t>
      </w:r>
      <w:r>
        <w:rPr>
          <w:rFonts w:ascii="Times New Roman" w:eastAsia="Calibri" w:hAnsi="Times New Roman" w:cs="Times New Roman" w:hint="default"/>
          <w:b/>
        </w:rPr>
        <w:t>negatí</w:t>
      </w:r>
      <w:r>
        <w:rPr>
          <w:rFonts w:ascii="Times New Roman" w:eastAsia="Calibri" w:hAnsi="Times New Roman" w:cs="Times New Roman" w:hint="default"/>
          <w:b/>
        </w:rPr>
        <w:t xml:space="preserve">vne </w:t>
      </w:r>
      <w:r>
        <w:rPr>
          <w:rFonts w:ascii="Times New Roman" w:eastAsia="Calibri" w:hAnsi="Times New Roman" w:cs="Times New Roman" w:hint="default"/>
        </w:rPr>
        <w:t xml:space="preserve"> ovplyvnili najmä</w:t>
      </w:r>
      <w:r>
        <w:rPr>
          <w:rFonts w:ascii="Times New Roman" w:eastAsia="Calibri" w:hAnsi="Times New Roman" w:cs="Times New Roman" w:hint="default"/>
        </w:rPr>
        <w:t xml:space="preserve"> tieto skutoč</w:t>
      </w:r>
      <w:r>
        <w:rPr>
          <w:rFonts w:ascii="Times New Roman" w:eastAsia="Calibri" w:hAnsi="Times New Roman" w:cs="Times New Roman" w:hint="default"/>
        </w:rPr>
        <w:t>nosti:</w:t>
      </w:r>
    </w:p>
    <w:p w:rsidR="006F14B2" w:rsidP="004B28B7">
      <w:pPr>
        <w:pStyle w:val="ListParagraph"/>
        <w:numPr>
          <w:numId w:val="30"/>
        </w:numPr>
        <w:bidi w:val="0"/>
        <w:spacing w:after="120" w:line="336" w:lineRule="auto"/>
        <w:ind w:left="714" w:hanging="357"/>
        <w:jc w:val="both"/>
        <w:rPr>
          <w:rFonts w:ascii="Times New Roman" w:eastAsia="Calibri" w:hAnsi="Times New Roman" w:cs="Times New Roman" w:hint="default"/>
        </w:rPr>
      </w:pPr>
      <w:r>
        <w:rPr>
          <w:rFonts w:ascii="Times New Roman" w:eastAsia="Calibri" w:hAnsi="Times New Roman" w:cs="Times New Roman" w:hint="default"/>
        </w:rPr>
        <w:t>schodok š</w:t>
      </w:r>
      <w:r>
        <w:rPr>
          <w:rFonts w:ascii="Times New Roman" w:eastAsia="Calibri" w:hAnsi="Times New Roman" w:cs="Times New Roman" w:hint="default"/>
        </w:rPr>
        <w:t>tá</w:t>
      </w:r>
      <w:r>
        <w:rPr>
          <w:rFonts w:ascii="Times New Roman" w:eastAsia="Calibri" w:hAnsi="Times New Roman" w:cs="Times New Roman" w:hint="default"/>
        </w:rPr>
        <w:t>tneho rozpoč</w:t>
      </w:r>
      <w:r>
        <w:rPr>
          <w:rFonts w:ascii="Times New Roman" w:eastAsia="Calibri" w:hAnsi="Times New Roman" w:cs="Times New Roman" w:hint="default"/>
        </w:rPr>
        <w:t>tu na hotovostnej bá</w:t>
      </w:r>
      <w:r>
        <w:rPr>
          <w:rFonts w:ascii="Times New Roman" w:eastAsia="Calibri" w:hAnsi="Times New Roman" w:cs="Times New Roman" w:hint="default"/>
        </w:rPr>
        <w:t>ze a </w:t>
      </w:r>
      <w:r>
        <w:rPr>
          <w:rFonts w:ascii="Times New Roman" w:eastAsia="Calibri" w:hAnsi="Times New Roman" w:cs="Times New Roman" w:hint="default"/>
        </w:rPr>
        <w:t>ď</w:t>
      </w:r>
      <w:r>
        <w:rPr>
          <w:rFonts w:ascii="Times New Roman" w:eastAsia="Calibri" w:hAnsi="Times New Roman" w:cs="Times New Roman" w:hint="default"/>
        </w:rPr>
        <w:t>alš</w:t>
      </w:r>
      <w:r>
        <w:rPr>
          <w:rFonts w:ascii="Times New Roman" w:eastAsia="Calibri" w:hAnsi="Times New Roman" w:cs="Times New Roman" w:hint="default"/>
        </w:rPr>
        <w:t>ie pož</w:t>
      </w:r>
      <w:r>
        <w:rPr>
          <w:rFonts w:ascii="Times New Roman" w:eastAsia="Calibri" w:hAnsi="Times New Roman" w:cs="Times New Roman" w:hint="default"/>
        </w:rPr>
        <w:t>iadavky na cudzie zdroje vyplý</w:t>
      </w:r>
      <w:r>
        <w:rPr>
          <w:rFonts w:ascii="Times New Roman" w:eastAsia="Calibri" w:hAnsi="Times New Roman" w:cs="Times New Roman" w:hint="default"/>
        </w:rPr>
        <w:t>vajú</w:t>
      </w:r>
      <w:r>
        <w:rPr>
          <w:rFonts w:ascii="Times New Roman" w:eastAsia="Calibri" w:hAnsi="Times New Roman" w:cs="Times New Roman" w:hint="default"/>
        </w:rPr>
        <w:t>ce z riadenia dlhu a likvidity v </w:t>
      </w:r>
      <w:r>
        <w:rPr>
          <w:rFonts w:ascii="Times New Roman" w:eastAsia="Calibri" w:hAnsi="Times New Roman" w:cs="Times New Roman" w:hint="default"/>
        </w:rPr>
        <w:t>priebehu uplynulé</w:t>
      </w:r>
      <w:r>
        <w:rPr>
          <w:rFonts w:ascii="Times New Roman" w:eastAsia="Calibri" w:hAnsi="Times New Roman" w:cs="Times New Roman" w:hint="default"/>
        </w:rPr>
        <w:t>ho roka, ktoré</w:t>
      </w:r>
      <w:r>
        <w:rPr>
          <w:rFonts w:ascii="Times New Roman" w:eastAsia="Calibri" w:hAnsi="Times New Roman" w:cs="Times New Roman" w:hint="default"/>
        </w:rPr>
        <w:t xml:space="preserve"> vyvolali potrebu emitovať</w:t>
      </w:r>
      <w:r>
        <w:rPr>
          <w:rFonts w:ascii="Times New Roman" w:eastAsia="Calibri" w:hAnsi="Times New Roman" w:cs="Times New Roman" w:hint="default"/>
        </w:rPr>
        <w:t xml:space="preserve"> š</w:t>
      </w:r>
      <w:r>
        <w:rPr>
          <w:rFonts w:ascii="Times New Roman" w:eastAsia="Calibri" w:hAnsi="Times New Roman" w:cs="Times New Roman" w:hint="default"/>
        </w:rPr>
        <w:t>tá</w:t>
      </w:r>
      <w:r>
        <w:rPr>
          <w:rFonts w:ascii="Times New Roman" w:eastAsia="Calibri" w:hAnsi="Times New Roman" w:cs="Times New Roman" w:hint="default"/>
        </w:rPr>
        <w:t>tne dl</w:t>
      </w:r>
      <w:r>
        <w:rPr>
          <w:rFonts w:ascii="Times New Roman" w:eastAsia="Calibri" w:hAnsi="Times New Roman" w:cs="Times New Roman" w:hint="default"/>
        </w:rPr>
        <w:t>hopisy v menovitej hodnote 3 213 900 tis. eur,</w:t>
      </w:r>
    </w:p>
    <w:p w:rsidR="006F14B2" w:rsidP="006F14B2">
      <w:pPr>
        <w:pStyle w:val="ListParagraph"/>
        <w:numPr>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prijatie ú</w:t>
      </w:r>
      <w:r>
        <w:rPr>
          <w:rFonts w:ascii="Times New Roman" w:eastAsia="Calibri" w:hAnsi="Times New Roman" w:cs="Times New Roman" w:hint="default"/>
        </w:rPr>
        <w:t>verov vo výš</w:t>
      </w:r>
      <w:r>
        <w:rPr>
          <w:rFonts w:ascii="Times New Roman" w:eastAsia="Calibri" w:hAnsi="Times New Roman" w:cs="Times New Roman" w:hint="default"/>
        </w:rPr>
        <w:t>ke 874 </w:t>
      </w:r>
      <w:r>
        <w:rPr>
          <w:rFonts w:ascii="Times New Roman" w:eastAsia="Calibri" w:hAnsi="Times New Roman" w:cs="Times New Roman" w:hint="default"/>
        </w:rPr>
        <w:t>063 tis. eur do š</w:t>
      </w:r>
      <w:r>
        <w:rPr>
          <w:rFonts w:ascii="Times New Roman" w:eastAsia="Calibri" w:hAnsi="Times New Roman" w:cs="Times New Roman" w:hint="default"/>
        </w:rPr>
        <w:t>tá</w:t>
      </w:r>
      <w:r>
        <w:rPr>
          <w:rFonts w:ascii="Times New Roman" w:eastAsia="Calibri" w:hAnsi="Times New Roman" w:cs="Times New Roman" w:hint="default"/>
        </w:rPr>
        <w:t>tneho dlhu,</w:t>
      </w:r>
    </w:p>
    <w:p w:rsidR="006F14B2" w:rsidP="006F14B2">
      <w:pPr>
        <w:pStyle w:val="ListParagraph"/>
        <w:numPr>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prevzatie zá</w:t>
      </w:r>
      <w:r>
        <w:rPr>
          <w:rFonts w:ascii="Times New Roman" w:eastAsia="Calibri" w:hAnsi="Times New Roman" w:cs="Times New Roman" w:hint="default"/>
        </w:rPr>
        <w:t>vä</w:t>
      </w:r>
      <w:r>
        <w:rPr>
          <w:rFonts w:ascii="Times New Roman" w:eastAsia="Calibri" w:hAnsi="Times New Roman" w:cs="Times New Roman" w:hint="default"/>
        </w:rPr>
        <w:t>zkov z </w:t>
      </w:r>
      <w:r>
        <w:rPr>
          <w:rFonts w:ascii="Times New Roman" w:eastAsia="Calibri" w:hAnsi="Times New Roman" w:cs="Times New Roman" w:hint="default"/>
        </w:rPr>
        <w:t>EFSF vo výš</w:t>
      </w:r>
      <w:r>
        <w:rPr>
          <w:rFonts w:ascii="Times New Roman" w:eastAsia="Calibri" w:hAnsi="Times New Roman" w:cs="Times New Roman" w:hint="default"/>
        </w:rPr>
        <w:t>ke 116 367 tis. eur,</w:t>
      </w:r>
    </w:p>
    <w:p w:rsidR="006F14B2" w:rsidP="006F14B2">
      <w:pPr>
        <w:pStyle w:val="ListParagraph"/>
        <w:numPr>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preklasifikovanie subjektov do sektora verejnej sprá</w:t>
      </w:r>
      <w:r>
        <w:rPr>
          <w:rFonts w:ascii="Times New Roman" w:eastAsia="Calibri" w:hAnsi="Times New Roman" w:cs="Times New Roman" w:hint="default"/>
        </w:rPr>
        <w:t>vy</w:t>
      </w:r>
    </w:p>
    <w:p w:rsidR="006F14B2" w:rsidP="006F14B2">
      <w:pPr>
        <w:pStyle w:val="ListParagraph"/>
        <w:numPr>
          <w:ilvl w:val="1"/>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preklasifikovanie Ž</w:t>
      </w:r>
      <w:r>
        <w:rPr>
          <w:rFonts w:ascii="Times New Roman" w:eastAsia="Calibri" w:hAnsi="Times New Roman" w:cs="Times New Roman" w:hint="default"/>
        </w:rPr>
        <w:t>eleznič</w:t>
      </w:r>
      <w:r>
        <w:rPr>
          <w:rFonts w:ascii="Times New Roman" w:eastAsia="Calibri" w:hAnsi="Times New Roman" w:cs="Times New Roman" w:hint="default"/>
        </w:rPr>
        <w:t>nej spoloč</w:t>
      </w:r>
      <w:r>
        <w:rPr>
          <w:rFonts w:ascii="Times New Roman" w:eastAsia="Calibri" w:hAnsi="Times New Roman" w:cs="Times New Roman" w:hint="default"/>
        </w:rPr>
        <w:t>nosti</w:t>
      </w:r>
      <w:r>
        <w:rPr>
          <w:rFonts w:ascii="Times New Roman" w:eastAsia="Calibri" w:hAnsi="Times New Roman" w:cs="Times New Roman" w:hint="default"/>
        </w:rPr>
        <w:t xml:space="preserve"> Slovensko, a. s. spô</w:t>
      </w:r>
      <w:r>
        <w:rPr>
          <w:rFonts w:ascii="Times New Roman" w:eastAsia="Calibri" w:hAnsi="Times New Roman" w:cs="Times New Roman" w:hint="default"/>
        </w:rPr>
        <w:t>sobilo ná</w:t>
      </w:r>
      <w:r>
        <w:rPr>
          <w:rFonts w:ascii="Times New Roman" w:eastAsia="Calibri" w:hAnsi="Times New Roman" w:cs="Times New Roman" w:hint="default"/>
        </w:rPr>
        <w:t>rast dlhu verejnej sprá</w:t>
      </w:r>
      <w:r>
        <w:rPr>
          <w:rFonts w:ascii="Times New Roman" w:eastAsia="Calibri" w:hAnsi="Times New Roman" w:cs="Times New Roman" w:hint="default"/>
        </w:rPr>
        <w:t>vy o bankové</w:t>
      </w:r>
      <w:r>
        <w:rPr>
          <w:rFonts w:ascii="Times New Roman" w:eastAsia="Calibri" w:hAnsi="Times New Roman" w:cs="Times New Roman" w:hint="default"/>
        </w:rPr>
        <w:t xml:space="preserve"> ú</w:t>
      </w:r>
      <w:r>
        <w:rPr>
          <w:rFonts w:ascii="Times New Roman" w:eastAsia="Calibri" w:hAnsi="Times New Roman" w:cs="Times New Roman" w:hint="default"/>
        </w:rPr>
        <w:t>very a </w:t>
      </w:r>
      <w:r>
        <w:rPr>
          <w:rFonts w:ascii="Times New Roman" w:eastAsia="Calibri" w:hAnsi="Times New Roman" w:cs="Times New Roman" w:hint="default"/>
        </w:rPr>
        <w:t>ná</w:t>
      </w:r>
      <w:r>
        <w:rPr>
          <w:rFonts w:ascii="Times New Roman" w:eastAsia="Calibri" w:hAnsi="Times New Roman" w:cs="Times New Roman" w:hint="default"/>
        </w:rPr>
        <w:t>vratné</w:t>
      </w:r>
      <w:r>
        <w:rPr>
          <w:rFonts w:ascii="Times New Roman" w:eastAsia="Calibri" w:hAnsi="Times New Roman" w:cs="Times New Roman" w:hint="default"/>
        </w:rPr>
        <w:t xml:space="preserve"> finanč</w:t>
      </w:r>
      <w:r>
        <w:rPr>
          <w:rFonts w:ascii="Times New Roman" w:eastAsia="Calibri" w:hAnsi="Times New Roman" w:cs="Times New Roman" w:hint="default"/>
        </w:rPr>
        <w:t>né</w:t>
      </w:r>
      <w:r>
        <w:rPr>
          <w:rFonts w:ascii="Times New Roman" w:eastAsia="Calibri" w:hAnsi="Times New Roman" w:cs="Times New Roman" w:hint="default"/>
        </w:rPr>
        <w:t xml:space="preserve"> vý</w:t>
      </w:r>
      <w:r>
        <w:rPr>
          <w:rFonts w:ascii="Times New Roman" w:eastAsia="Calibri" w:hAnsi="Times New Roman" w:cs="Times New Roman" w:hint="default"/>
        </w:rPr>
        <w:t>pomoci od spoloč</w:t>
      </w:r>
      <w:r>
        <w:rPr>
          <w:rFonts w:ascii="Times New Roman" w:eastAsia="Calibri" w:hAnsi="Times New Roman" w:cs="Times New Roman" w:hint="default"/>
        </w:rPr>
        <w:t>enstva EUROFIMA v hodnote 311 792 tis. eur,</w:t>
      </w:r>
    </w:p>
    <w:p w:rsidR="006F14B2" w:rsidP="006F14B2">
      <w:pPr>
        <w:pStyle w:val="ListParagraph"/>
        <w:numPr>
          <w:ilvl w:val="1"/>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preklasifikovanie Jadrovej a </w:t>
      </w:r>
      <w:r>
        <w:rPr>
          <w:rFonts w:ascii="Times New Roman" w:eastAsia="Calibri" w:hAnsi="Times New Roman" w:cs="Times New Roman" w:hint="default"/>
        </w:rPr>
        <w:t>vyraď</w:t>
      </w:r>
      <w:r>
        <w:rPr>
          <w:rFonts w:ascii="Times New Roman" w:eastAsia="Calibri" w:hAnsi="Times New Roman" w:cs="Times New Roman" w:hint="default"/>
        </w:rPr>
        <w:t>ovacej spoloč</w:t>
      </w:r>
      <w:r>
        <w:rPr>
          <w:rFonts w:ascii="Times New Roman" w:eastAsia="Calibri" w:hAnsi="Times New Roman" w:cs="Times New Roman" w:hint="default"/>
        </w:rPr>
        <w:t>nosti, a. s. spô</w:t>
      </w:r>
      <w:r>
        <w:rPr>
          <w:rFonts w:ascii="Times New Roman" w:eastAsia="Calibri" w:hAnsi="Times New Roman" w:cs="Times New Roman" w:hint="default"/>
        </w:rPr>
        <w:t>sobilo zvýš</w:t>
      </w:r>
      <w:r>
        <w:rPr>
          <w:rFonts w:ascii="Times New Roman" w:eastAsia="Calibri" w:hAnsi="Times New Roman" w:cs="Times New Roman" w:hint="default"/>
        </w:rPr>
        <w:t>enie dlhu o 1 tis. eur,</w:t>
      </w:r>
    </w:p>
    <w:p w:rsidR="006F14B2" w:rsidP="006F14B2">
      <w:pPr>
        <w:pStyle w:val="ListParagraph"/>
        <w:numPr>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zvýš</w:t>
      </w:r>
      <w:r>
        <w:rPr>
          <w:rFonts w:ascii="Times New Roman" w:eastAsia="Calibri" w:hAnsi="Times New Roman" w:cs="Times New Roman" w:hint="default"/>
        </w:rPr>
        <w:t>eni</w:t>
      </w:r>
      <w:r w:rsidR="005033DC">
        <w:rPr>
          <w:rFonts w:ascii="Times New Roman" w:eastAsia="Calibri" w:hAnsi="Times New Roman" w:cs="Times New Roman" w:hint="default"/>
        </w:rPr>
        <w:t>e konsolidované</w:t>
      </w:r>
      <w:r w:rsidR="005033DC">
        <w:rPr>
          <w:rFonts w:ascii="Times New Roman" w:eastAsia="Calibri" w:hAnsi="Times New Roman" w:cs="Times New Roman" w:hint="default"/>
        </w:rPr>
        <w:t>ho dlhu obcí</w:t>
      </w:r>
      <w:r w:rsidR="005033DC">
        <w:rPr>
          <w:rFonts w:ascii="Times New Roman" w:eastAsia="Calibri" w:hAnsi="Times New Roman" w:cs="Times New Roman" w:hint="default"/>
        </w:rPr>
        <w:t xml:space="preserve"> o 138 143</w:t>
      </w:r>
      <w:r>
        <w:rPr>
          <w:rFonts w:ascii="Times New Roman" w:eastAsia="Calibri" w:hAnsi="Times New Roman" w:cs="Times New Roman" w:hint="default"/>
        </w:rPr>
        <w:t xml:space="preserve"> tis. eur, č</w:t>
      </w:r>
      <w:r>
        <w:rPr>
          <w:rFonts w:ascii="Times New Roman" w:eastAsia="Calibri" w:hAnsi="Times New Roman" w:cs="Times New Roman" w:hint="default"/>
        </w:rPr>
        <w:t>o bolo spô</w:t>
      </w:r>
      <w:r>
        <w:rPr>
          <w:rFonts w:ascii="Times New Roman" w:eastAsia="Calibri" w:hAnsi="Times New Roman" w:cs="Times New Roman" w:hint="default"/>
        </w:rPr>
        <w:t>sobené</w:t>
      </w:r>
      <w:r>
        <w:rPr>
          <w:rFonts w:ascii="Times New Roman" w:eastAsia="Calibri" w:hAnsi="Times New Roman" w:cs="Times New Roman" w:hint="default"/>
        </w:rPr>
        <w:t xml:space="preserve"> najmä</w:t>
      </w:r>
      <w:r>
        <w:rPr>
          <w:rFonts w:ascii="Times New Roman" w:eastAsia="Calibri" w:hAnsi="Times New Roman" w:cs="Times New Roman" w:hint="default"/>
        </w:rPr>
        <w:t xml:space="preserve"> ná</w:t>
      </w:r>
      <w:r>
        <w:rPr>
          <w:rFonts w:ascii="Times New Roman" w:eastAsia="Calibri" w:hAnsi="Times New Roman" w:cs="Times New Roman" w:hint="default"/>
        </w:rPr>
        <w:t>rastom bankový</w:t>
      </w:r>
      <w:r>
        <w:rPr>
          <w:rFonts w:ascii="Times New Roman" w:eastAsia="Calibri" w:hAnsi="Times New Roman" w:cs="Times New Roman" w:hint="default"/>
        </w:rPr>
        <w:t>ch ú</w:t>
      </w:r>
      <w:r>
        <w:rPr>
          <w:rFonts w:ascii="Times New Roman" w:eastAsia="Calibri" w:hAnsi="Times New Roman" w:cs="Times New Roman" w:hint="default"/>
        </w:rPr>
        <w:t>verov, ktoré</w:t>
      </w:r>
      <w:r>
        <w:rPr>
          <w:rFonts w:ascii="Times New Roman" w:eastAsia="Calibri" w:hAnsi="Times New Roman" w:cs="Times New Roman" w:hint="default"/>
        </w:rPr>
        <w:t xml:space="preserve"> sa najviac podieľ</w:t>
      </w:r>
      <w:r>
        <w:rPr>
          <w:rFonts w:ascii="Times New Roman" w:eastAsia="Calibri" w:hAnsi="Times New Roman" w:cs="Times New Roman" w:hint="default"/>
        </w:rPr>
        <w:t>ajú</w:t>
      </w:r>
      <w:r>
        <w:rPr>
          <w:rFonts w:ascii="Times New Roman" w:eastAsia="Calibri" w:hAnsi="Times New Roman" w:cs="Times New Roman" w:hint="default"/>
        </w:rPr>
        <w:t xml:space="preserve"> na konsolidovanom dlhu obcí,</w:t>
      </w:r>
    </w:p>
    <w:p w:rsidR="006F14B2" w:rsidP="006F14B2">
      <w:pPr>
        <w:pStyle w:val="ListParagraph"/>
        <w:numPr>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zvýš</w:t>
      </w:r>
      <w:r>
        <w:rPr>
          <w:rFonts w:ascii="Times New Roman" w:eastAsia="Calibri" w:hAnsi="Times New Roman" w:cs="Times New Roman" w:hint="default"/>
        </w:rPr>
        <w:t>enie konsolidované</w:t>
      </w:r>
      <w:r>
        <w:rPr>
          <w:rFonts w:ascii="Times New Roman" w:eastAsia="Calibri" w:hAnsi="Times New Roman" w:cs="Times New Roman" w:hint="default"/>
        </w:rPr>
        <w:t>ho dlhu vyšší</w:t>
      </w:r>
      <w:r>
        <w:rPr>
          <w:rFonts w:ascii="Times New Roman" w:eastAsia="Calibri" w:hAnsi="Times New Roman" w:cs="Times New Roman" w:hint="default"/>
        </w:rPr>
        <w:t>ch ú</w:t>
      </w:r>
      <w:r>
        <w:rPr>
          <w:rFonts w:ascii="Times New Roman" w:eastAsia="Calibri" w:hAnsi="Times New Roman" w:cs="Times New Roman" w:hint="default"/>
        </w:rPr>
        <w:t>zemný</w:t>
      </w:r>
      <w:r>
        <w:rPr>
          <w:rFonts w:ascii="Times New Roman" w:eastAsia="Calibri" w:hAnsi="Times New Roman" w:cs="Times New Roman" w:hint="default"/>
        </w:rPr>
        <w:t>ch celkov o 5 573 tis. eur,</w:t>
      </w:r>
    </w:p>
    <w:p w:rsidR="006F14B2" w:rsidP="006F14B2">
      <w:pPr>
        <w:pStyle w:val="ListParagraph"/>
        <w:numPr>
          <w:numId w:val="30"/>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ná</w:t>
      </w:r>
      <w:r>
        <w:rPr>
          <w:rFonts w:ascii="Times New Roman" w:eastAsia="Calibri" w:hAnsi="Times New Roman" w:cs="Times New Roman" w:hint="default"/>
        </w:rPr>
        <w:t>rast dlhu dopravný</w:t>
      </w:r>
      <w:r>
        <w:rPr>
          <w:rFonts w:ascii="Times New Roman" w:eastAsia="Calibri" w:hAnsi="Times New Roman" w:cs="Times New Roman" w:hint="default"/>
        </w:rPr>
        <w:t xml:space="preserve">ch </w:t>
      </w:r>
      <w:r>
        <w:rPr>
          <w:rFonts w:ascii="Times New Roman" w:eastAsia="Calibri" w:hAnsi="Times New Roman" w:cs="Times New Roman" w:hint="default"/>
        </w:rPr>
        <w:t>podnikov o 20 </w:t>
      </w:r>
      <w:r>
        <w:rPr>
          <w:rFonts w:ascii="Times New Roman" w:eastAsia="Calibri" w:hAnsi="Times New Roman" w:cs="Times New Roman" w:hint="default"/>
        </w:rPr>
        <w:t>434 tis. eur, č</w:t>
      </w:r>
      <w:r>
        <w:rPr>
          <w:rFonts w:ascii="Times New Roman" w:eastAsia="Calibri" w:hAnsi="Times New Roman" w:cs="Times New Roman" w:hint="default"/>
        </w:rPr>
        <w:t>o bolo ovplyvnené</w:t>
      </w:r>
      <w:r>
        <w:rPr>
          <w:rFonts w:ascii="Times New Roman" w:eastAsia="Calibri" w:hAnsi="Times New Roman" w:cs="Times New Roman" w:hint="default"/>
        </w:rPr>
        <w:t xml:space="preserve"> aj zaradení</w:t>
      </w:r>
      <w:r>
        <w:rPr>
          <w:rFonts w:ascii="Times New Roman" w:eastAsia="Calibri" w:hAnsi="Times New Roman" w:cs="Times New Roman" w:hint="default"/>
        </w:rPr>
        <w:t>m Dopravné</w:t>
      </w:r>
      <w:r>
        <w:rPr>
          <w:rFonts w:ascii="Times New Roman" w:eastAsia="Calibri" w:hAnsi="Times New Roman" w:cs="Times New Roman" w:hint="default"/>
        </w:rPr>
        <w:t>ho podniku mesta Preš</w:t>
      </w:r>
      <w:r>
        <w:rPr>
          <w:rFonts w:ascii="Times New Roman" w:eastAsia="Calibri" w:hAnsi="Times New Roman" w:cs="Times New Roman" w:hint="default"/>
        </w:rPr>
        <w:t>ov, a. s. do sektora verejnej sprá</w:t>
      </w:r>
      <w:r>
        <w:rPr>
          <w:rFonts w:ascii="Times New Roman" w:eastAsia="Calibri" w:hAnsi="Times New Roman" w:cs="Times New Roman" w:hint="default"/>
        </w:rPr>
        <w:t>vy,</w:t>
      </w:r>
    </w:p>
    <w:p w:rsidR="006F14B2" w:rsidRPr="00110057" w:rsidP="006F14B2">
      <w:pPr>
        <w:pStyle w:val="ListParagraph"/>
        <w:numPr>
          <w:numId w:val="30"/>
        </w:numPr>
        <w:bidi w:val="0"/>
        <w:spacing w:before="240" w:after="120" w:line="336" w:lineRule="auto"/>
        <w:jc w:val="both"/>
        <w:rPr>
          <w:rFonts w:ascii="Times New Roman" w:eastAsia="Calibri" w:hAnsi="Times New Roman" w:cs="Times New Roman"/>
        </w:rPr>
      </w:pPr>
      <w:r>
        <w:rPr>
          <w:rFonts w:ascii="Times New Roman" w:eastAsia="Calibri" w:hAnsi="Times New Roman" w:cs="Times New Roman" w:hint="default"/>
        </w:rPr>
        <w:t>zvýš</w:t>
      </w:r>
      <w:r>
        <w:rPr>
          <w:rFonts w:ascii="Times New Roman" w:eastAsia="Calibri" w:hAnsi="Times New Roman" w:cs="Times New Roman" w:hint="default"/>
        </w:rPr>
        <w:t>enie dlhu Ž</w:t>
      </w:r>
      <w:r>
        <w:rPr>
          <w:rFonts w:ascii="Times New Roman" w:eastAsia="Calibri" w:hAnsi="Times New Roman" w:cs="Times New Roman" w:hint="default"/>
        </w:rPr>
        <w:t>elezní</w:t>
      </w:r>
      <w:r>
        <w:rPr>
          <w:rFonts w:ascii="Times New Roman" w:eastAsia="Calibri" w:hAnsi="Times New Roman" w:cs="Times New Roman" w:hint="default"/>
        </w:rPr>
        <w:t>c Slovenskej republiky o </w:t>
      </w:r>
      <w:r>
        <w:rPr>
          <w:rFonts w:ascii="Times New Roman" w:eastAsia="Calibri" w:hAnsi="Times New Roman" w:cs="Times New Roman" w:hint="default"/>
        </w:rPr>
        <w:t>148 tis. eur zapríč</w:t>
      </w:r>
      <w:r>
        <w:rPr>
          <w:rFonts w:ascii="Times New Roman" w:eastAsia="Calibri" w:hAnsi="Times New Roman" w:cs="Times New Roman" w:hint="default"/>
        </w:rPr>
        <w:t>inené</w:t>
      </w:r>
      <w:r>
        <w:rPr>
          <w:rFonts w:ascii="Times New Roman" w:eastAsia="Calibri" w:hAnsi="Times New Roman" w:cs="Times New Roman" w:hint="default"/>
        </w:rPr>
        <w:t xml:space="preserve"> započí</w:t>
      </w:r>
      <w:r>
        <w:rPr>
          <w:rFonts w:ascii="Times New Roman" w:eastAsia="Calibri" w:hAnsi="Times New Roman" w:cs="Times New Roman" w:hint="default"/>
        </w:rPr>
        <w:t>taní</w:t>
      </w:r>
      <w:r>
        <w:rPr>
          <w:rFonts w:ascii="Times New Roman" w:eastAsia="Calibri" w:hAnsi="Times New Roman" w:cs="Times New Roman" w:hint="default"/>
        </w:rPr>
        <w:t>m zá</w:t>
      </w:r>
      <w:r>
        <w:rPr>
          <w:rFonts w:ascii="Times New Roman" w:eastAsia="Calibri" w:hAnsi="Times New Roman" w:cs="Times New Roman" w:hint="default"/>
        </w:rPr>
        <w:t>bezpek do dlhu.</w:t>
      </w:r>
    </w:p>
    <w:p w:rsidR="006F14B2" w:rsidP="004B28B7">
      <w:pPr>
        <w:bidi w:val="0"/>
        <w:spacing w:before="240" w:after="0" w:line="336" w:lineRule="auto"/>
        <w:jc w:val="both"/>
        <w:rPr>
          <w:rFonts w:ascii="Times New Roman" w:eastAsia="Calibri" w:hAnsi="Times New Roman" w:cs="Times New Roman" w:hint="default"/>
        </w:rPr>
      </w:pPr>
      <w:r>
        <w:rPr>
          <w:rFonts w:ascii="Times New Roman" w:eastAsia="Calibri" w:hAnsi="Times New Roman" w:cs="Times New Roman" w:hint="default"/>
          <w:b/>
        </w:rPr>
        <w:t>Pozití</w:t>
      </w:r>
      <w:r>
        <w:rPr>
          <w:rFonts w:ascii="Times New Roman" w:eastAsia="Calibri" w:hAnsi="Times New Roman" w:cs="Times New Roman" w:hint="default"/>
          <w:b/>
        </w:rPr>
        <w:t xml:space="preserve">vny </w:t>
      </w:r>
      <w:r>
        <w:rPr>
          <w:rFonts w:ascii="Times New Roman" w:eastAsia="Calibri" w:hAnsi="Times New Roman" w:cs="Times New Roman" w:hint="default"/>
        </w:rPr>
        <w:t>vplyv na vý</w:t>
      </w:r>
      <w:r>
        <w:rPr>
          <w:rFonts w:ascii="Times New Roman" w:eastAsia="Calibri" w:hAnsi="Times New Roman" w:cs="Times New Roman" w:hint="default"/>
        </w:rPr>
        <w:t>voj maa</w:t>
      </w:r>
      <w:r>
        <w:rPr>
          <w:rFonts w:ascii="Times New Roman" w:eastAsia="Calibri" w:hAnsi="Times New Roman" w:cs="Times New Roman" w:hint="default"/>
        </w:rPr>
        <w:t>strichtské</w:t>
      </w:r>
      <w:r>
        <w:rPr>
          <w:rFonts w:ascii="Times New Roman" w:eastAsia="Calibri" w:hAnsi="Times New Roman" w:cs="Times New Roman" w:hint="default"/>
        </w:rPr>
        <w:t>ho dlhu v </w:t>
      </w:r>
      <w:r>
        <w:rPr>
          <w:rFonts w:ascii="Times New Roman" w:eastAsia="Calibri" w:hAnsi="Times New Roman" w:cs="Times New Roman" w:hint="default"/>
        </w:rPr>
        <w:t>roku 2015 mali najmä</w:t>
      </w:r>
      <w:r>
        <w:rPr>
          <w:rFonts w:ascii="Times New Roman" w:eastAsia="Calibri" w:hAnsi="Times New Roman" w:cs="Times New Roman" w:hint="default"/>
        </w:rPr>
        <w:t xml:space="preserve"> tieto skutoč</w:t>
      </w:r>
      <w:r>
        <w:rPr>
          <w:rFonts w:ascii="Times New Roman" w:eastAsia="Calibri" w:hAnsi="Times New Roman" w:cs="Times New Roman" w:hint="default"/>
        </w:rPr>
        <w:t>nosti:</w:t>
      </w:r>
    </w:p>
    <w:p w:rsidR="006F14B2" w:rsidP="004B28B7">
      <w:pPr>
        <w:pStyle w:val="ListParagraph"/>
        <w:numPr>
          <w:numId w:val="31"/>
        </w:numPr>
        <w:bidi w:val="0"/>
        <w:spacing w:after="120" w:line="336" w:lineRule="auto"/>
        <w:ind w:left="714" w:hanging="357"/>
        <w:jc w:val="both"/>
        <w:rPr>
          <w:rFonts w:ascii="Times New Roman" w:eastAsia="Calibri" w:hAnsi="Times New Roman" w:cs="Times New Roman" w:hint="default"/>
        </w:rPr>
      </w:pPr>
      <w:r>
        <w:rPr>
          <w:rFonts w:ascii="Times New Roman" w:eastAsia="Calibri" w:hAnsi="Times New Roman" w:cs="Times New Roman" w:hint="default"/>
        </w:rPr>
        <w:t>splá</w:t>
      </w:r>
      <w:r>
        <w:rPr>
          <w:rFonts w:ascii="Times New Roman" w:eastAsia="Calibri" w:hAnsi="Times New Roman" w:cs="Times New Roman" w:hint="default"/>
        </w:rPr>
        <w:t>tky zá</w:t>
      </w:r>
      <w:r>
        <w:rPr>
          <w:rFonts w:ascii="Times New Roman" w:eastAsia="Calibri" w:hAnsi="Times New Roman" w:cs="Times New Roman" w:hint="default"/>
        </w:rPr>
        <w:t>vä</w:t>
      </w:r>
      <w:r>
        <w:rPr>
          <w:rFonts w:ascii="Times New Roman" w:eastAsia="Calibri" w:hAnsi="Times New Roman" w:cs="Times New Roman" w:hint="default"/>
        </w:rPr>
        <w:t>zkov zo š</w:t>
      </w:r>
      <w:r>
        <w:rPr>
          <w:rFonts w:ascii="Times New Roman" w:eastAsia="Calibri" w:hAnsi="Times New Roman" w:cs="Times New Roman" w:hint="default"/>
        </w:rPr>
        <w:t>tá</w:t>
      </w:r>
      <w:r>
        <w:rPr>
          <w:rFonts w:ascii="Times New Roman" w:eastAsia="Calibri" w:hAnsi="Times New Roman" w:cs="Times New Roman" w:hint="default"/>
        </w:rPr>
        <w:t>tnych dlhopisov v hodnote 3 161 115 tis. eur,</w:t>
      </w:r>
    </w:p>
    <w:p w:rsidR="006F14B2" w:rsidP="006F14B2">
      <w:pPr>
        <w:pStyle w:val="ListParagraph"/>
        <w:numPr>
          <w:numId w:val="31"/>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splá</w:t>
      </w:r>
      <w:r>
        <w:rPr>
          <w:rFonts w:ascii="Times New Roman" w:eastAsia="Calibri" w:hAnsi="Times New Roman" w:cs="Times New Roman" w:hint="default"/>
        </w:rPr>
        <w:t>tky ú</w:t>
      </w:r>
      <w:r>
        <w:rPr>
          <w:rFonts w:ascii="Times New Roman" w:eastAsia="Calibri" w:hAnsi="Times New Roman" w:cs="Times New Roman" w:hint="default"/>
        </w:rPr>
        <w:t>verov v </w:t>
      </w:r>
      <w:r>
        <w:rPr>
          <w:rFonts w:ascii="Times New Roman" w:eastAsia="Calibri" w:hAnsi="Times New Roman" w:cs="Times New Roman" w:hint="default"/>
        </w:rPr>
        <w:t>š</w:t>
      </w:r>
      <w:r>
        <w:rPr>
          <w:rFonts w:ascii="Times New Roman" w:eastAsia="Calibri" w:hAnsi="Times New Roman" w:cs="Times New Roman" w:hint="default"/>
        </w:rPr>
        <w:t>tá</w:t>
      </w:r>
      <w:r>
        <w:rPr>
          <w:rFonts w:ascii="Times New Roman" w:eastAsia="Calibri" w:hAnsi="Times New Roman" w:cs="Times New Roman" w:hint="default"/>
        </w:rPr>
        <w:t xml:space="preserve">tnom dlhu v hodnote 295 692 tis. eur, </w:t>
      </w:r>
    </w:p>
    <w:p w:rsidR="006F14B2" w:rsidP="006F14B2">
      <w:pPr>
        <w:pStyle w:val="ListParagraph"/>
        <w:numPr>
          <w:numId w:val="31"/>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zníž</w:t>
      </w:r>
      <w:r>
        <w:rPr>
          <w:rFonts w:ascii="Times New Roman" w:eastAsia="Calibri" w:hAnsi="Times New Roman" w:cs="Times New Roman" w:hint="default"/>
        </w:rPr>
        <w:t>enie dlhu Ná</w:t>
      </w:r>
      <w:r>
        <w:rPr>
          <w:rFonts w:ascii="Times New Roman" w:eastAsia="Calibri" w:hAnsi="Times New Roman" w:cs="Times New Roman" w:hint="default"/>
        </w:rPr>
        <w:t>rodnej diaľ</w:t>
      </w:r>
      <w:r>
        <w:rPr>
          <w:rFonts w:ascii="Times New Roman" w:eastAsia="Calibri" w:hAnsi="Times New Roman" w:cs="Times New Roman" w:hint="default"/>
        </w:rPr>
        <w:t>nič</w:t>
      </w:r>
      <w:r>
        <w:rPr>
          <w:rFonts w:ascii="Times New Roman" w:eastAsia="Calibri" w:hAnsi="Times New Roman" w:cs="Times New Roman" w:hint="default"/>
        </w:rPr>
        <w:t>nej spoloč</w:t>
      </w:r>
      <w:r>
        <w:rPr>
          <w:rFonts w:ascii="Times New Roman" w:eastAsia="Calibri" w:hAnsi="Times New Roman" w:cs="Times New Roman" w:hint="default"/>
        </w:rPr>
        <w:t>nosti o 77 164 tis. eur z </w:t>
      </w:r>
      <w:r>
        <w:rPr>
          <w:rFonts w:ascii="Times New Roman" w:eastAsia="Calibri" w:hAnsi="Times New Roman" w:cs="Times New Roman" w:hint="default"/>
        </w:rPr>
        <w:t>dô</w:t>
      </w:r>
      <w:r>
        <w:rPr>
          <w:rFonts w:ascii="Times New Roman" w:eastAsia="Calibri" w:hAnsi="Times New Roman" w:cs="Times New Roman" w:hint="default"/>
        </w:rPr>
        <w:t>vodu splá</w:t>
      </w:r>
      <w:r>
        <w:rPr>
          <w:rFonts w:ascii="Times New Roman" w:eastAsia="Calibri" w:hAnsi="Times New Roman" w:cs="Times New Roman" w:hint="default"/>
        </w:rPr>
        <w:t>cania ú</w:t>
      </w:r>
      <w:r>
        <w:rPr>
          <w:rFonts w:ascii="Times New Roman" w:eastAsia="Calibri" w:hAnsi="Times New Roman" w:cs="Times New Roman" w:hint="default"/>
        </w:rPr>
        <w:t>verov z </w:t>
      </w:r>
      <w:r>
        <w:rPr>
          <w:rFonts w:ascii="Times New Roman" w:eastAsia="Calibri" w:hAnsi="Times New Roman" w:cs="Times New Roman" w:hint="default"/>
        </w:rPr>
        <w:t>predchá</w:t>
      </w:r>
      <w:r>
        <w:rPr>
          <w:rFonts w:ascii="Times New Roman" w:eastAsia="Calibri" w:hAnsi="Times New Roman" w:cs="Times New Roman" w:hint="default"/>
        </w:rPr>
        <w:t>dzajú</w:t>
      </w:r>
      <w:r>
        <w:rPr>
          <w:rFonts w:ascii="Times New Roman" w:eastAsia="Calibri" w:hAnsi="Times New Roman" w:cs="Times New Roman" w:hint="default"/>
        </w:rPr>
        <w:t>cich rokov,</w:t>
      </w:r>
    </w:p>
    <w:p w:rsidR="006F14B2" w:rsidP="006F14B2">
      <w:pPr>
        <w:pStyle w:val="ListParagraph"/>
        <w:numPr>
          <w:numId w:val="31"/>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zníž</w:t>
      </w:r>
      <w:r>
        <w:rPr>
          <w:rFonts w:ascii="Times New Roman" w:eastAsia="Calibri" w:hAnsi="Times New Roman" w:cs="Times New Roman" w:hint="default"/>
        </w:rPr>
        <w:t>enie zadlž</w:t>
      </w:r>
      <w:r>
        <w:rPr>
          <w:rFonts w:ascii="Times New Roman" w:eastAsia="Calibri" w:hAnsi="Times New Roman" w:cs="Times New Roman" w:hint="default"/>
        </w:rPr>
        <w:t>enosti Exportno-importnej banky SR o 64 656 tis. eur z </w:t>
      </w:r>
      <w:r>
        <w:rPr>
          <w:rFonts w:ascii="Times New Roman" w:eastAsia="Calibri" w:hAnsi="Times New Roman" w:cs="Times New Roman" w:hint="default"/>
        </w:rPr>
        <w:t>dô</w:t>
      </w:r>
      <w:r>
        <w:rPr>
          <w:rFonts w:ascii="Times New Roman" w:eastAsia="Calibri" w:hAnsi="Times New Roman" w:cs="Times New Roman" w:hint="default"/>
        </w:rPr>
        <w:t>vodu zniž</w:t>
      </w:r>
      <w:r>
        <w:rPr>
          <w:rFonts w:ascii="Times New Roman" w:eastAsia="Calibri" w:hAnsi="Times New Roman" w:cs="Times New Roman" w:hint="default"/>
        </w:rPr>
        <w:t>ovania zá</w:t>
      </w:r>
      <w:r>
        <w:rPr>
          <w:rFonts w:ascii="Times New Roman" w:eastAsia="Calibri" w:hAnsi="Times New Roman" w:cs="Times New Roman" w:hint="default"/>
        </w:rPr>
        <w:t>vä</w:t>
      </w:r>
      <w:r>
        <w:rPr>
          <w:rFonts w:ascii="Times New Roman" w:eastAsia="Calibri" w:hAnsi="Times New Roman" w:cs="Times New Roman" w:hint="default"/>
        </w:rPr>
        <w:t>zkov voč</w:t>
      </w:r>
      <w:r>
        <w:rPr>
          <w:rFonts w:ascii="Times New Roman" w:eastAsia="Calibri" w:hAnsi="Times New Roman" w:cs="Times New Roman" w:hint="default"/>
        </w:rPr>
        <w:t>i klientom,</w:t>
      </w:r>
    </w:p>
    <w:p w:rsidR="006F14B2" w:rsidP="006F14B2">
      <w:pPr>
        <w:pStyle w:val="ListParagraph"/>
        <w:numPr>
          <w:numId w:val="31"/>
        </w:numPr>
        <w:bidi w:val="0"/>
        <w:spacing w:before="240" w:after="120" w:line="336" w:lineRule="auto"/>
        <w:jc w:val="both"/>
        <w:rPr>
          <w:rFonts w:ascii="Times New Roman" w:eastAsia="Calibri" w:hAnsi="Times New Roman" w:cs="Times New Roman" w:hint="default"/>
        </w:rPr>
      </w:pPr>
      <w:r>
        <w:rPr>
          <w:rFonts w:ascii="Times New Roman" w:eastAsia="Calibri" w:hAnsi="Times New Roman" w:cs="Times New Roman" w:hint="default"/>
        </w:rPr>
        <w:t>zníž</w:t>
      </w:r>
      <w:r>
        <w:rPr>
          <w:rFonts w:ascii="Times New Roman" w:eastAsia="Calibri" w:hAnsi="Times New Roman" w:cs="Times New Roman" w:hint="default"/>
        </w:rPr>
        <w:t>enie dlhu Fondu ná</w:t>
      </w:r>
      <w:r>
        <w:rPr>
          <w:rFonts w:ascii="Times New Roman" w:eastAsia="Calibri" w:hAnsi="Times New Roman" w:cs="Times New Roman" w:hint="default"/>
        </w:rPr>
        <w:t>rodné</w:t>
      </w:r>
      <w:r>
        <w:rPr>
          <w:rFonts w:ascii="Times New Roman" w:eastAsia="Calibri" w:hAnsi="Times New Roman" w:cs="Times New Roman" w:hint="default"/>
        </w:rPr>
        <w:t>ho majetku o </w:t>
      </w:r>
      <w:r>
        <w:rPr>
          <w:rFonts w:ascii="Times New Roman" w:eastAsia="Calibri" w:hAnsi="Times New Roman" w:cs="Times New Roman" w:hint="default"/>
        </w:rPr>
        <w:t>102 tis. eur spô</w:t>
      </w:r>
      <w:r>
        <w:rPr>
          <w:rFonts w:ascii="Times New Roman" w:eastAsia="Calibri" w:hAnsi="Times New Roman" w:cs="Times New Roman" w:hint="default"/>
        </w:rPr>
        <w:t>sobené</w:t>
      </w:r>
      <w:r>
        <w:rPr>
          <w:rFonts w:ascii="Times New Roman" w:eastAsia="Calibri" w:hAnsi="Times New Roman" w:cs="Times New Roman" w:hint="default"/>
        </w:rPr>
        <w:t xml:space="preserve"> splá</w:t>
      </w:r>
      <w:r>
        <w:rPr>
          <w:rFonts w:ascii="Times New Roman" w:eastAsia="Calibri" w:hAnsi="Times New Roman" w:cs="Times New Roman" w:hint="default"/>
        </w:rPr>
        <w:t>caní</w:t>
      </w:r>
      <w:r>
        <w:rPr>
          <w:rFonts w:ascii="Times New Roman" w:eastAsia="Calibri" w:hAnsi="Times New Roman" w:cs="Times New Roman" w:hint="default"/>
        </w:rPr>
        <w:t>m dlhopisov z </w:t>
      </w:r>
      <w:r>
        <w:rPr>
          <w:rFonts w:ascii="Times New Roman" w:eastAsia="Calibri" w:hAnsi="Times New Roman" w:cs="Times New Roman" w:hint="default"/>
        </w:rPr>
        <w:t>privatizá</w:t>
      </w:r>
      <w:r>
        <w:rPr>
          <w:rFonts w:ascii="Times New Roman" w:eastAsia="Calibri" w:hAnsi="Times New Roman" w:cs="Times New Roman" w:hint="default"/>
        </w:rPr>
        <w:t>cie.</w:t>
      </w:r>
    </w:p>
    <w:p w:rsidR="006F14B2" w:rsidRPr="00B454D8" w:rsidP="006F14B2">
      <w:pPr>
        <w:bidi w:val="0"/>
        <w:spacing w:before="240" w:after="120" w:line="336" w:lineRule="auto"/>
        <w:jc w:val="both"/>
        <w:rPr>
          <w:rFonts w:ascii="Times New Roman" w:eastAsia="Calibri" w:hAnsi="Times New Roman" w:cs="Times New Roman" w:hint="default"/>
        </w:rPr>
      </w:pPr>
      <w:r w:rsidRPr="00B454D8">
        <w:rPr>
          <w:rFonts w:ascii="Times New Roman" w:eastAsia="Calibri" w:hAnsi="Times New Roman" w:cs="Times New Roman" w:hint="default"/>
        </w:rPr>
        <w:t>Podiel Slovenska na pôž</w:t>
      </w:r>
      <w:r w:rsidRPr="00B454D8">
        <w:rPr>
          <w:rFonts w:ascii="Times New Roman" w:eastAsia="Calibri" w:hAnsi="Times New Roman" w:cs="Times New Roman" w:hint="default"/>
        </w:rPr>
        <w:t>ič</w:t>
      </w:r>
      <w:r w:rsidRPr="00B454D8">
        <w:rPr>
          <w:rFonts w:ascii="Times New Roman" w:eastAsia="Calibri" w:hAnsi="Times New Roman" w:cs="Times New Roman" w:hint="default"/>
        </w:rPr>
        <w:t>ká</w:t>
      </w:r>
      <w:r w:rsidRPr="00B454D8">
        <w:rPr>
          <w:rFonts w:ascii="Times New Roman" w:eastAsia="Calibri" w:hAnsi="Times New Roman" w:cs="Times New Roman" w:hint="default"/>
        </w:rPr>
        <w:t>ch Euró</w:t>
      </w:r>
      <w:r w:rsidRPr="00B454D8">
        <w:rPr>
          <w:rFonts w:ascii="Times New Roman" w:eastAsia="Calibri" w:hAnsi="Times New Roman" w:cs="Times New Roman" w:hint="default"/>
        </w:rPr>
        <w:t>pskeho ná</w:t>
      </w:r>
      <w:r w:rsidRPr="00B454D8">
        <w:rPr>
          <w:rFonts w:ascii="Times New Roman" w:eastAsia="Calibri" w:hAnsi="Times New Roman" w:cs="Times New Roman" w:hint="default"/>
        </w:rPr>
        <w:t>stroja finanč</w:t>
      </w:r>
      <w:r w:rsidRPr="00B454D8">
        <w:rPr>
          <w:rFonts w:ascii="Times New Roman" w:eastAsia="Calibri" w:hAnsi="Times New Roman" w:cs="Times New Roman" w:hint="default"/>
        </w:rPr>
        <w:t>nej stability (EFSF) sa v </w:t>
      </w:r>
      <w:r w:rsidRPr="00B454D8">
        <w:rPr>
          <w:rFonts w:ascii="Times New Roman" w:eastAsia="Calibri" w:hAnsi="Times New Roman" w:cs="Times New Roman" w:hint="default"/>
        </w:rPr>
        <w:t>roku 2015 zníž</w:t>
      </w:r>
      <w:r w:rsidRPr="00B454D8">
        <w:rPr>
          <w:rFonts w:ascii="Times New Roman" w:eastAsia="Calibri" w:hAnsi="Times New Roman" w:cs="Times New Roman" w:hint="default"/>
        </w:rPr>
        <w:t>il o 116 367 tis. eur</w:t>
      </w:r>
      <w:r>
        <w:rPr>
          <w:rFonts w:ascii="Times New Roman" w:eastAsia="Calibri" w:hAnsi="Times New Roman" w:cs="Times New Roman"/>
        </w:rPr>
        <w:t xml:space="preserve"> (0,1 % HDP)</w:t>
      </w:r>
      <w:r w:rsidRPr="00B454D8">
        <w:rPr>
          <w:rFonts w:ascii="Times New Roman" w:eastAsia="Calibri" w:hAnsi="Times New Roman" w:cs="Times New Roman"/>
        </w:rPr>
        <w:t xml:space="preserve">. </w:t>
      </w:r>
      <w:r>
        <w:rPr>
          <w:rFonts w:ascii="Times New Roman" w:eastAsia="Calibri" w:hAnsi="Times New Roman" w:cs="Times New Roman"/>
        </w:rPr>
        <w:t>Z</w:t>
      </w:r>
      <w:r w:rsidRPr="00B454D8">
        <w:rPr>
          <w:rFonts w:ascii="Times New Roman" w:eastAsia="Calibri" w:hAnsi="Times New Roman" w:cs="Times New Roman" w:hint="default"/>
        </w:rPr>
        <w:t>a splatný</w:t>
      </w:r>
      <w:r w:rsidRPr="00B454D8">
        <w:rPr>
          <w:rFonts w:ascii="Times New Roman" w:eastAsia="Calibri" w:hAnsi="Times New Roman" w:cs="Times New Roman" w:hint="default"/>
        </w:rPr>
        <w:t xml:space="preserve"> kapitá</w:t>
      </w:r>
      <w:r w:rsidRPr="00B454D8">
        <w:rPr>
          <w:rFonts w:ascii="Times New Roman" w:eastAsia="Calibri" w:hAnsi="Times New Roman" w:cs="Times New Roman" w:hint="default"/>
        </w:rPr>
        <w:t>l Euró</w:t>
      </w:r>
      <w:r w:rsidRPr="00B454D8">
        <w:rPr>
          <w:rFonts w:ascii="Times New Roman" w:eastAsia="Calibri" w:hAnsi="Times New Roman" w:cs="Times New Roman" w:hint="default"/>
        </w:rPr>
        <w:t xml:space="preserve">pskeho mechanizmu pre stabilitu (ESM) bola </w:t>
      </w:r>
      <w:r>
        <w:rPr>
          <w:rFonts w:ascii="Times New Roman" w:eastAsia="Calibri" w:hAnsi="Times New Roman" w:cs="Times New Roman"/>
        </w:rPr>
        <w:t>p</w:t>
      </w:r>
      <w:r w:rsidRPr="00B454D8">
        <w:rPr>
          <w:rFonts w:ascii="Times New Roman" w:eastAsia="Calibri" w:hAnsi="Times New Roman" w:cs="Times New Roman" w:hint="default"/>
        </w:rPr>
        <w:t>osledná</w:t>
      </w:r>
      <w:r w:rsidRPr="00B454D8">
        <w:rPr>
          <w:rFonts w:ascii="Times New Roman" w:eastAsia="Calibri" w:hAnsi="Times New Roman" w:cs="Times New Roman" w:hint="default"/>
        </w:rPr>
        <w:t xml:space="preserve"> splá</w:t>
      </w:r>
      <w:r w:rsidRPr="00B454D8">
        <w:rPr>
          <w:rFonts w:ascii="Times New Roman" w:eastAsia="Calibri" w:hAnsi="Times New Roman" w:cs="Times New Roman" w:hint="default"/>
        </w:rPr>
        <w:t>tka</w:t>
      </w:r>
      <w:r>
        <w:rPr>
          <w:rFonts w:ascii="Times New Roman" w:eastAsia="Calibri" w:hAnsi="Times New Roman" w:cs="Times New Roman"/>
        </w:rPr>
        <w:t xml:space="preserve"> </w:t>
      </w:r>
      <w:r w:rsidRPr="00B454D8">
        <w:rPr>
          <w:rFonts w:ascii="Times New Roman" w:eastAsia="Calibri" w:hAnsi="Times New Roman" w:cs="Times New Roman" w:hint="default"/>
        </w:rPr>
        <w:t>zrealizovaná</w:t>
      </w:r>
      <w:r w:rsidRPr="00B454D8">
        <w:rPr>
          <w:rFonts w:ascii="Times New Roman" w:eastAsia="Calibri" w:hAnsi="Times New Roman" w:cs="Times New Roman" w:hint="default"/>
        </w:rPr>
        <w:t xml:space="preserve"> v </w:t>
      </w:r>
      <w:r w:rsidRPr="00B454D8">
        <w:rPr>
          <w:rFonts w:ascii="Times New Roman" w:eastAsia="Calibri" w:hAnsi="Times New Roman" w:cs="Times New Roman" w:hint="default"/>
        </w:rPr>
        <w:t>predchá</w:t>
      </w:r>
      <w:r w:rsidRPr="00B454D8">
        <w:rPr>
          <w:rFonts w:ascii="Times New Roman" w:eastAsia="Calibri" w:hAnsi="Times New Roman" w:cs="Times New Roman" w:hint="default"/>
        </w:rPr>
        <w:t>dzajú</w:t>
      </w:r>
      <w:r w:rsidRPr="00B454D8">
        <w:rPr>
          <w:rFonts w:ascii="Times New Roman" w:eastAsia="Calibri" w:hAnsi="Times New Roman" w:cs="Times New Roman" w:hint="default"/>
        </w:rPr>
        <w:t>com roku a v </w:t>
      </w:r>
      <w:r w:rsidRPr="00B454D8">
        <w:rPr>
          <w:rFonts w:ascii="Times New Roman" w:eastAsia="Calibri" w:hAnsi="Times New Roman" w:cs="Times New Roman" w:hint="default"/>
        </w:rPr>
        <w:t>roku 2015 nemá</w:t>
      </w:r>
      <w:r w:rsidRPr="00B454D8">
        <w:rPr>
          <w:rFonts w:ascii="Times New Roman" w:eastAsia="Calibri" w:hAnsi="Times New Roman" w:cs="Times New Roman" w:hint="default"/>
        </w:rPr>
        <w:t xml:space="preserve"> vplyv na výš</w:t>
      </w:r>
      <w:r w:rsidRPr="00B454D8">
        <w:rPr>
          <w:rFonts w:ascii="Times New Roman" w:eastAsia="Calibri" w:hAnsi="Times New Roman" w:cs="Times New Roman" w:hint="default"/>
        </w:rPr>
        <w:t>ku hrubé</w:t>
      </w:r>
      <w:r w:rsidRPr="00B454D8">
        <w:rPr>
          <w:rFonts w:ascii="Times New Roman" w:eastAsia="Calibri" w:hAnsi="Times New Roman" w:cs="Times New Roman" w:hint="default"/>
        </w:rPr>
        <w:t>ho dlhu Slovenskej republiky.</w:t>
      </w:r>
    </w:p>
    <w:p w:rsidR="006F14B2" w:rsidRPr="009D47F6" w:rsidP="006F14B2">
      <w:pPr>
        <w:bidi w:val="0"/>
        <w:spacing w:before="240" w:after="120" w:line="336" w:lineRule="auto"/>
        <w:jc w:val="both"/>
        <w:rPr>
          <w:rFonts w:ascii="Times New Roman" w:eastAsia="Calibri" w:hAnsi="Times New Roman" w:cs="Times New Roman" w:hint="default"/>
        </w:rPr>
      </w:pPr>
      <w:r w:rsidRPr="009D47F6">
        <w:rPr>
          <w:rFonts w:ascii="Times New Roman" w:eastAsia="Calibri" w:hAnsi="Times New Roman" w:cs="Times New Roman"/>
        </w:rPr>
        <w:t>Naopak, k poklesu dlhu o 1</w:t>
      </w:r>
      <w:r>
        <w:rPr>
          <w:rFonts w:ascii="Times New Roman" w:eastAsia="Calibri" w:hAnsi="Times New Roman" w:cs="Times New Roman"/>
        </w:rPr>
        <w:t>,6</w:t>
      </w:r>
      <w:r w:rsidRPr="009D47F6">
        <w:rPr>
          <w:rFonts w:ascii="Times New Roman" w:eastAsia="Calibri" w:hAnsi="Times New Roman" w:cs="Times New Roman"/>
        </w:rPr>
        <w:t> </w:t>
      </w:r>
      <w:r w:rsidRPr="009D47F6">
        <w:rPr>
          <w:rFonts w:ascii="Times New Roman" w:eastAsia="Calibri" w:hAnsi="Times New Roman" w:cs="Times New Roman" w:hint="default"/>
        </w:rPr>
        <w:t>% HDP prispelo vyšš</w:t>
      </w:r>
      <w:r w:rsidRPr="009D47F6">
        <w:rPr>
          <w:rFonts w:ascii="Times New Roman" w:eastAsia="Calibri" w:hAnsi="Times New Roman" w:cs="Times New Roman" w:hint="default"/>
        </w:rPr>
        <w:t>ie použ</w:t>
      </w:r>
      <w:r w:rsidRPr="009D47F6">
        <w:rPr>
          <w:rFonts w:ascii="Times New Roman" w:eastAsia="Calibri" w:hAnsi="Times New Roman" w:cs="Times New Roman" w:hint="default"/>
        </w:rPr>
        <w:t>itie prostriedkov systé</w:t>
      </w:r>
      <w:r w:rsidRPr="009D47F6">
        <w:rPr>
          <w:rFonts w:ascii="Times New Roman" w:eastAsia="Calibri" w:hAnsi="Times New Roman" w:cs="Times New Roman" w:hint="default"/>
        </w:rPr>
        <w:t>mu š</w:t>
      </w:r>
      <w:r w:rsidRPr="009D47F6">
        <w:rPr>
          <w:rFonts w:ascii="Times New Roman" w:eastAsia="Calibri" w:hAnsi="Times New Roman" w:cs="Times New Roman" w:hint="default"/>
        </w:rPr>
        <w:t>tá</w:t>
      </w:r>
      <w:r w:rsidRPr="009D47F6">
        <w:rPr>
          <w:rFonts w:ascii="Times New Roman" w:eastAsia="Calibri" w:hAnsi="Times New Roman" w:cs="Times New Roman" w:hint="default"/>
        </w:rPr>
        <w:t>tnej pokladnice na financovanie dlhu, č</w:t>
      </w:r>
      <w:r w:rsidRPr="009D47F6">
        <w:rPr>
          <w:rFonts w:ascii="Times New Roman" w:eastAsia="Calibri" w:hAnsi="Times New Roman" w:cs="Times New Roman" w:hint="default"/>
        </w:rPr>
        <w:t>o zníž</w:t>
      </w:r>
      <w:r w:rsidRPr="009D47F6">
        <w:rPr>
          <w:rFonts w:ascii="Times New Roman" w:eastAsia="Calibri" w:hAnsi="Times New Roman" w:cs="Times New Roman" w:hint="default"/>
        </w:rPr>
        <w:t>ilo hotovostnú</w:t>
      </w:r>
      <w:r w:rsidRPr="009D47F6">
        <w:rPr>
          <w:rFonts w:ascii="Times New Roman" w:eastAsia="Calibri" w:hAnsi="Times New Roman" w:cs="Times New Roman" w:hint="default"/>
        </w:rPr>
        <w:t xml:space="preserve"> rezervu š</w:t>
      </w:r>
      <w:r w:rsidRPr="009D47F6">
        <w:rPr>
          <w:rFonts w:ascii="Times New Roman" w:eastAsia="Calibri" w:hAnsi="Times New Roman" w:cs="Times New Roman" w:hint="default"/>
        </w:rPr>
        <w:t>tá</w:t>
      </w:r>
      <w:r w:rsidRPr="009D47F6">
        <w:rPr>
          <w:rFonts w:ascii="Times New Roman" w:eastAsia="Calibri" w:hAnsi="Times New Roman" w:cs="Times New Roman" w:hint="default"/>
        </w:rPr>
        <w:t>tu o 1 262 265 tis. eur. Ministerstv</w:t>
      </w:r>
      <w:r w:rsidRPr="009D47F6">
        <w:rPr>
          <w:rFonts w:ascii="Times New Roman" w:eastAsia="Calibri" w:hAnsi="Times New Roman" w:cs="Times New Roman" w:hint="default"/>
        </w:rPr>
        <w:t>o financií</w:t>
      </w:r>
      <w:r w:rsidRPr="009D47F6">
        <w:rPr>
          <w:rFonts w:ascii="Times New Roman" w:eastAsia="Calibri" w:hAnsi="Times New Roman" w:cs="Times New Roman" w:hint="default"/>
        </w:rPr>
        <w:t xml:space="preserve"> SR v </w:t>
      </w:r>
      <w:r w:rsidRPr="009D47F6">
        <w:rPr>
          <w:rFonts w:ascii="Times New Roman" w:eastAsia="Calibri" w:hAnsi="Times New Roman" w:cs="Times New Roman" w:hint="default"/>
        </w:rPr>
        <w:t>zastú</w:t>
      </w:r>
      <w:r w:rsidRPr="009D47F6">
        <w:rPr>
          <w:rFonts w:ascii="Times New Roman" w:eastAsia="Calibri" w:hAnsi="Times New Roman" w:cs="Times New Roman" w:hint="default"/>
        </w:rPr>
        <w:t>pení</w:t>
      </w:r>
      <w:r w:rsidRPr="009D47F6">
        <w:rPr>
          <w:rFonts w:ascii="Times New Roman" w:eastAsia="Calibri" w:hAnsi="Times New Roman" w:cs="Times New Roman" w:hint="default"/>
        </w:rPr>
        <w:t xml:space="preserve"> Agentú</w:t>
      </w:r>
      <w:r w:rsidRPr="009D47F6">
        <w:rPr>
          <w:rFonts w:ascii="Times New Roman" w:eastAsia="Calibri" w:hAnsi="Times New Roman" w:cs="Times New Roman" w:hint="default"/>
        </w:rPr>
        <w:t>ry pre riadenie dlhu a </w:t>
      </w:r>
      <w:r w:rsidRPr="009D47F6">
        <w:rPr>
          <w:rFonts w:ascii="Times New Roman" w:eastAsia="Calibri" w:hAnsi="Times New Roman" w:cs="Times New Roman" w:hint="default"/>
        </w:rPr>
        <w:t>likvidity (ARDAL) zefektí</w:t>
      </w:r>
      <w:r w:rsidRPr="009D47F6">
        <w:rPr>
          <w:rFonts w:ascii="Times New Roman" w:eastAsia="Calibri" w:hAnsi="Times New Roman" w:cs="Times New Roman" w:hint="default"/>
        </w:rPr>
        <w:t>vň</w:t>
      </w:r>
      <w:r w:rsidRPr="009D47F6">
        <w:rPr>
          <w:rFonts w:ascii="Times New Roman" w:eastAsia="Calibri" w:hAnsi="Times New Roman" w:cs="Times New Roman" w:hint="default"/>
        </w:rPr>
        <w:t>uje riadenie š</w:t>
      </w:r>
      <w:r w:rsidRPr="009D47F6">
        <w:rPr>
          <w:rFonts w:ascii="Times New Roman" w:eastAsia="Calibri" w:hAnsi="Times New Roman" w:cs="Times New Roman" w:hint="default"/>
        </w:rPr>
        <w:t>tá</w:t>
      </w:r>
      <w:r w:rsidRPr="009D47F6">
        <w:rPr>
          <w:rFonts w:ascii="Times New Roman" w:eastAsia="Calibri" w:hAnsi="Times New Roman" w:cs="Times New Roman" w:hint="default"/>
        </w:rPr>
        <w:t>tneho dlhu aktí</w:t>
      </w:r>
      <w:r w:rsidRPr="009D47F6">
        <w:rPr>
          <w:rFonts w:ascii="Times New Roman" w:eastAsia="Calibri" w:hAnsi="Times New Roman" w:cs="Times New Roman" w:hint="default"/>
        </w:rPr>
        <w:t>vnym využí</w:t>
      </w:r>
      <w:r w:rsidRPr="009D47F6">
        <w:rPr>
          <w:rFonts w:ascii="Times New Roman" w:eastAsia="Calibri" w:hAnsi="Times New Roman" w:cs="Times New Roman" w:hint="default"/>
        </w:rPr>
        <w:t>vaní</w:t>
      </w:r>
      <w:r w:rsidRPr="009D47F6">
        <w:rPr>
          <w:rFonts w:ascii="Times New Roman" w:eastAsia="Calibri" w:hAnsi="Times New Roman" w:cs="Times New Roman" w:hint="default"/>
        </w:rPr>
        <w:t>m prostriedkov systé</w:t>
      </w:r>
      <w:r w:rsidRPr="009D47F6">
        <w:rPr>
          <w:rFonts w:ascii="Times New Roman" w:eastAsia="Calibri" w:hAnsi="Times New Roman" w:cs="Times New Roman" w:hint="default"/>
        </w:rPr>
        <w:t>mu š</w:t>
      </w:r>
      <w:r w:rsidRPr="009D47F6">
        <w:rPr>
          <w:rFonts w:ascii="Times New Roman" w:eastAsia="Calibri" w:hAnsi="Times New Roman" w:cs="Times New Roman" w:hint="default"/>
        </w:rPr>
        <w:t>tá</w:t>
      </w:r>
      <w:r w:rsidRPr="009D47F6">
        <w:rPr>
          <w:rFonts w:ascii="Times New Roman" w:eastAsia="Calibri" w:hAnsi="Times New Roman" w:cs="Times New Roman" w:hint="default"/>
        </w:rPr>
        <w:t xml:space="preserve">tnej pokladnice. </w:t>
      </w:r>
    </w:p>
    <w:p w:rsidR="006F14B2" w:rsidRPr="00C50DA5" w:rsidP="006F14B2">
      <w:pPr>
        <w:bidi w:val="0"/>
        <w:spacing w:before="240" w:after="120" w:line="336" w:lineRule="auto"/>
        <w:jc w:val="both"/>
        <w:rPr>
          <w:rFonts w:ascii="Times New Roman" w:eastAsia="Calibri" w:hAnsi="Times New Roman" w:cs="Times New Roman" w:hint="default"/>
        </w:rPr>
      </w:pPr>
      <w:r w:rsidRPr="00C50DA5">
        <w:rPr>
          <w:rFonts w:ascii="Times New Roman" w:eastAsia="Calibri" w:hAnsi="Times New Roman" w:cs="Times New Roman" w:hint="default"/>
        </w:rPr>
        <w:t>Rast nominá</w:t>
      </w:r>
      <w:r w:rsidRPr="00C50DA5">
        <w:rPr>
          <w:rFonts w:ascii="Times New Roman" w:eastAsia="Calibri" w:hAnsi="Times New Roman" w:cs="Times New Roman" w:hint="default"/>
        </w:rPr>
        <w:t>lneho HDP prispel k </w:t>
      </w:r>
      <w:r w:rsidRPr="00C50DA5">
        <w:rPr>
          <w:rFonts w:ascii="Times New Roman" w:eastAsia="Calibri" w:hAnsi="Times New Roman" w:cs="Times New Roman" w:hint="default"/>
        </w:rPr>
        <w:t>medziroč</w:t>
      </w:r>
      <w:r w:rsidRPr="00C50DA5">
        <w:rPr>
          <w:rFonts w:ascii="Times New Roman" w:eastAsia="Calibri" w:hAnsi="Times New Roman" w:cs="Times New Roman" w:hint="default"/>
        </w:rPr>
        <w:t>né</w:t>
      </w:r>
      <w:r w:rsidRPr="00C50DA5">
        <w:rPr>
          <w:rFonts w:ascii="Times New Roman" w:eastAsia="Calibri" w:hAnsi="Times New Roman" w:cs="Times New Roman" w:hint="default"/>
        </w:rPr>
        <w:t>mu zníž</w:t>
      </w:r>
      <w:r w:rsidRPr="00C50DA5">
        <w:rPr>
          <w:rFonts w:ascii="Times New Roman" w:eastAsia="Calibri" w:hAnsi="Times New Roman" w:cs="Times New Roman" w:hint="default"/>
        </w:rPr>
        <w:t>eniu podielu dlhu na HDP o 1,9 p. b.</w:t>
      </w:r>
    </w:p>
    <w:p w:rsidR="006F14B2" w:rsidRPr="0063115A" w:rsidP="006F14B2">
      <w:pPr>
        <w:bidi w:val="0"/>
        <w:spacing w:after="120" w:line="336" w:lineRule="auto"/>
        <w:jc w:val="both"/>
        <w:rPr>
          <w:rFonts w:ascii="Times New Roman" w:hAnsi="Times New Roman" w:cs="Times New Roman"/>
          <w:b/>
        </w:rPr>
      </w:pPr>
      <w:r w:rsidRPr="0063115A">
        <w:rPr>
          <w:rFonts w:ascii="Times New Roman" w:hAnsi="Times New Roman" w:cs="Times New Roman"/>
          <w:b/>
        </w:rPr>
        <w:t>Štruktúra dlhu verejnej správy k 31.12.2015 bola nasledovná:</w:t>
      </w:r>
    </w:p>
    <w:p w:rsidR="006F14B2" w:rsidRPr="0063115A" w:rsidP="006F14B2">
      <w:pPr>
        <w:pStyle w:val="ListParagraph"/>
        <w:numPr>
          <w:numId w:val="15"/>
        </w:numPr>
        <w:bidi w:val="0"/>
        <w:spacing w:after="120" w:line="336" w:lineRule="auto"/>
        <w:ind w:left="357" w:hanging="357"/>
        <w:jc w:val="both"/>
        <w:rPr>
          <w:rFonts w:ascii="Times New Roman" w:eastAsia="Calibri" w:hAnsi="Times New Roman" w:cs="Times New Roman" w:hint="default"/>
        </w:rPr>
      </w:pPr>
      <w:r w:rsidRPr="0063115A">
        <w:rPr>
          <w:rFonts w:ascii="Times New Roman" w:eastAsia="Calibri" w:hAnsi="Times New Roman" w:cs="Times New Roman"/>
        </w:rPr>
        <w:t>Z </w:t>
      </w:r>
      <w:r w:rsidRPr="0063115A">
        <w:rPr>
          <w:rFonts w:ascii="Times New Roman" w:eastAsia="Calibri" w:hAnsi="Times New Roman" w:cs="Times New Roman" w:hint="default"/>
        </w:rPr>
        <w:t>hľ</w:t>
      </w:r>
      <w:r w:rsidRPr="0063115A">
        <w:rPr>
          <w:rFonts w:ascii="Times New Roman" w:eastAsia="Calibri" w:hAnsi="Times New Roman" w:cs="Times New Roman" w:hint="default"/>
        </w:rPr>
        <w:t>adiska zdrojov financovania bol dlh financovaný</w:t>
      </w:r>
      <w:r w:rsidRPr="0063115A">
        <w:rPr>
          <w:rFonts w:ascii="Times New Roman" w:eastAsia="Calibri" w:hAnsi="Times New Roman" w:cs="Times New Roman" w:hint="default"/>
        </w:rPr>
        <w:t xml:space="preserve"> predovš</w:t>
      </w:r>
      <w:r w:rsidRPr="0063115A">
        <w:rPr>
          <w:rFonts w:ascii="Times New Roman" w:eastAsia="Calibri" w:hAnsi="Times New Roman" w:cs="Times New Roman" w:hint="default"/>
        </w:rPr>
        <w:t>etký</w:t>
      </w:r>
      <w:r w:rsidRPr="0063115A">
        <w:rPr>
          <w:rFonts w:ascii="Times New Roman" w:eastAsia="Calibri" w:hAnsi="Times New Roman" w:cs="Times New Roman" w:hint="default"/>
        </w:rPr>
        <w:t>m cenný</w:t>
      </w:r>
      <w:r w:rsidRPr="0063115A">
        <w:rPr>
          <w:rFonts w:ascii="Times New Roman" w:eastAsia="Calibri" w:hAnsi="Times New Roman" w:cs="Times New Roman" w:hint="default"/>
        </w:rPr>
        <w:t>mi papiermi (85,2 %) a </w:t>
      </w:r>
      <w:r w:rsidRPr="0063115A">
        <w:rPr>
          <w:rFonts w:ascii="Times New Roman" w:eastAsia="Calibri" w:hAnsi="Times New Roman" w:cs="Times New Roman" w:hint="default"/>
        </w:rPr>
        <w:t>bankový</w:t>
      </w:r>
      <w:r w:rsidRPr="0063115A">
        <w:rPr>
          <w:rFonts w:ascii="Times New Roman" w:eastAsia="Calibri" w:hAnsi="Times New Roman" w:cs="Times New Roman" w:hint="default"/>
        </w:rPr>
        <w:t>mi ú</w:t>
      </w:r>
      <w:r w:rsidRPr="0063115A">
        <w:rPr>
          <w:rFonts w:ascii="Times New Roman" w:eastAsia="Calibri" w:hAnsi="Times New Roman" w:cs="Times New Roman" w:hint="default"/>
        </w:rPr>
        <w:t>vermi a </w:t>
      </w:r>
      <w:r w:rsidRPr="0063115A">
        <w:rPr>
          <w:rFonts w:ascii="Times New Roman" w:eastAsia="Calibri" w:hAnsi="Times New Roman" w:cs="Times New Roman" w:hint="default"/>
        </w:rPr>
        <w:t>iný</w:t>
      </w:r>
      <w:r w:rsidRPr="0063115A">
        <w:rPr>
          <w:rFonts w:ascii="Times New Roman" w:eastAsia="Calibri" w:hAnsi="Times New Roman" w:cs="Times New Roman" w:hint="default"/>
        </w:rPr>
        <w:t>mi zá</w:t>
      </w:r>
      <w:r w:rsidRPr="0063115A">
        <w:rPr>
          <w:rFonts w:ascii="Times New Roman" w:eastAsia="Calibri" w:hAnsi="Times New Roman" w:cs="Times New Roman" w:hint="default"/>
        </w:rPr>
        <w:t>vä</w:t>
      </w:r>
      <w:r w:rsidRPr="0063115A">
        <w:rPr>
          <w:rFonts w:ascii="Times New Roman" w:eastAsia="Calibri" w:hAnsi="Times New Roman" w:cs="Times New Roman" w:hint="default"/>
        </w:rPr>
        <w:t>zkami (13,7 %), z </w:t>
      </w:r>
      <w:r w:rsidRPr="0063115A">
        <w:rPr>
          <w:rFonts w:ascii="Times New Roman" w:eastAsia="Calibri" w:hAnsi="Times New Roman" w:cs="Times New Roman" w:hint="default"/>
        </w:rPr>
        <w:t>ktorý</w:t>
      </w:r>
      <w:r w:rsidRPr="0063115A">
        <w:rPr>
          <w:rFonts w:ascii="Times New Roman" w:eastAsia="Calibri" w:hAnsi="Times New Roman" w:cs="Times New Roman" w:hint="default"/>
        </w:rPr>
        <w:t>ch 33,2 % predstavuje zá</w:t>
      </w:r>
      <w:r w:rsidRPr="0063115A">
        <w:rPr>
          <w:rFonts w:ascii="Times New Roman" w:eastAsia="Calibri" w:hAnsi="Times New Roman" w:cs="Times New Roman" w:hint="default"/>
        </w:rPr>
        <w:t>vä</w:t>
      </w:r>
      <w:r w:rsidRPr="0063115A">
        <w:rPr>
          <w:rFonts w:ascii="Times New Roman" w:eastAsia="Calibri" w:hAnsi="Times New Roman" w:cs="Times New Roman" w:hint="default"/>
        </w:rPr>
        <w:t>zok Slovenska z EFSF. Zo</w:t>
      </w:r>
      <w:r w:rsidRPr="0063115A">
        <w:rPr>
          <w:rFonts w:ascii="Times New Roman" w:eastAsia="Calibri" w:hAnsi="Times New Roman" w:cs="Times New Roman" w:hint="default"/>
        </w:rPr>
        <w:t>stá</w:t>
      </w:r>
      <w:r w:rsidRPr="0063115A">
        <w:rPr>
          <w:rFonts w:ascii="Times New Roman" w:eastAsia="Calibri" w:hAnsi="Times New Roman" w:cs="Times New Roman" w:hint="default"/>
        </w:rPr>
        <w:t>vajú</w:t>
      </w:r>
      <w:r w:rsidRPr="0063115A">
        <w:rPr>
          <w:rFonts w:ascii="Times New Roman" w:eastAsia="Calibri" w:hAnsi="Times New Roman" w:cs="Times New Roman" w:hint="default"/>
        </w:rPr>
        <w:t>ce 1,0 % tvorili zá</w:t>
      </w:r>
      <w:r w:rsidRPr="0063115A">
        <w:rPr>
          <w:rFonts w:ascii="Times New Roman" w:eastAsia="Calibri" w:hAnsi="Times New Roman" w:cs="Times New Roman" w:hint="default"/>
        </w:rPr>
        <w:t>vä</w:t>
      </w:r>
      <w:r w:rsidRPr="0063115A">
        <w:rPr>
          <w:rFonts w:ascii="Times New Roman" w:eastAsia="Calibri" w:hAnsi="Times New Roman" w:cs="Times New Roman" w:hint="default"/>
        </w:rPr>
        <w:t>zky, ktoré</w:t>
      </w:r>
      <w:r w:rsidRPr="0063115A">
        <w:rPr>
          <w:rFonts w:ascii="Times New Roman" w:eastAsia="Calibri" w:hAnsi="Times New Roman" w:cs="Times New Roman" w:hint="default"/>
        </w:rPr>
        <w:t xml:space="preserve"> vyplý</w:t>
      </w:r>
      <w:r w:rsidRPr="0063115A">
        <w:rPr>
          <w:rFonts w:ascii="Times New Roman" w:eastAsia="Calibri" w:hAnsi="Times New Roman" w:cs="Times New Roman" w:hint="default"/>
        </w:rPr>
        <w:t>vajú</w:t>
      </w:r>
      <w:r w:rsidRPr="0063115A">
        <w:rPr>
          <w:rFonts w:ascii="Times New Roman" w:eastAsia="Calibri" w:hAnsi="Times New Roman" w:cs="Times New Roman" w:hint="default"/>
        </w:rPr>
        <w:t xml:space="preserve"> z </w:t>
      </w:r>
      <w:r w:rsidRPr="0063115A">
        <w:rPr>
          <w:rFonts w:ascii="Times New Roman" w:eastAsia="Calibri" w:hAnsi="Times New Roman" w:cs="Times New Roman" w:hint="default"/>
        </w:rPr>
        <w:t>vkladov peň</w:t>
      </w:r>
      <w:r w:rsidRPr="0063115A">
        <w:rPr>
          <w:rFonts w:ascii="Times New Roman" w:eastAsia="Calibri" w:hAnsi="Times New Roman" w:cs="Times New Roman" w:hint="default"/>
        </w:rPr>
        <w:t>až</w:t>
      </w:r>
      <w:r w:rsidRPr="0063115A">
        <w:rPr>
          <w:rFonts w:ascii="Times New Roman" w:eastAsia="Calibri" w:hAnsi="Times New Roman" w:cs="Times New Roman" w:hint="default"/>
        </w:rPr>
        <w:t>ný</w:t>
      </w:r>
      <w:r w:rsidRPr="0063115A">
        <w:rPr>
          <w:rFonts w:ascii="Times New Roman" w:eastAsia="Calibri" w:hAnsi="Times New Roman" w:cs="Times New Roman" w:hint="default"/>
        </w:rPr>
        <w:t>ch prostriedkov v </w:t>
      </w:r>
      <w:r w:rsidRPr="0063115A">
        <w:rPr>
          <w:rFonts w:ascii="Times New Roman" w:eastAsia="Calibri" w:hAnsi="Times New Roman" w:cs="Times New Roman" w:hint="default"/>
        </w:rPr>
        <w:t>Š</w:t>
      </w:r>
      <w:r w:rsidRPr="0063115A">
        <w:rPr>
          <w:rFonts w:ascii="Times New Roman" w:eastAsia="Calibri" w:hAnsi="Times New Roman" w:cs="Times New Roman" w:hint="default"/>
        </w:rPr>
        <w:t>tá</w:t>
      </w:r>
      <w:r w:rsidRPr="0063115A">
        <w:rPr>
          <w:rFonts w:ascii="Times New Roman" w:eastAsia="Calibri" w:hAnsi="Times New Roman" w:cs="Times New Roman" w:hint="default"/>
        </w:rPr>
        <w:t>tnej pokladnici tý</w:t>
      </w:r>
      <w:r w:rsidRPr="0063115A">
        <w:rPr>
          <w:rFonts w:ascii="Times New Roman" w:eastAsia="Calibri" w:hAnsi="Times New Roman" w:cs="Times New Roman" w:hint="default"/>
        </w:rPr>
        <w:t>ch klientov, ktorí</w:t>
      </w:r>
      <w:r w:rsidRPr="0063115A">
        <w:rPr>
          <w:rFonts w:ascii="Times New Roman" w:eastAsia="Calibri" w:hAnsi="Times New Roman" w:cs="Times New Roman" w:hint="default"/>
        </w:rPr>
        <w:t xml:space="preserve"> nie sú</w:t>
      </w:r>
      <w:r w:rsidRPr="0063115A">
        <w:rPr>
          <w:rFonts w:ascii="Times New Roman" w:eastAsia="Calibri" w:hAnsi="Times New Roman" w:cs="Times New Roman" w:hint="default"/>
        </w:rPr>
        <w:t xml:space="preserve"> súč</w:t>
      </w:r>
      <w:r w:rsidRPr="0063115A">
        <w:rPr>
          <w:rFonts w:ascii="Times New Roman" w:eastAsia="Calibri" w:hAnsi="Times New Roman" w:cs="Times New Roman" w:hint="default"/>
        </w:rPr>
        <w:t>asť</w:t>
      </w:r>
      <w:r w:rsidRPr="0063115A">
        <w:rPr>
          <w:rFonts w:ascii="Times New Roman" w:eastAsia="Calibri" w:hAnsi="Times New Roman" w:cs="Times New Roman" w:hint="default"/>
        </w:rPr>
        <w:t>ou verejnej sprá</w:t>
      </w:r>
      <w:r w:rsidRPr="0063115A">
        <w:rPr>
          <w:rFonts w:ascii="Times New Roman" w:eastAsia="Calibri" w:hAnsi="Times New Roman" w:cs="Times New Roman" w:hint="default"/>
        </w:rPr>
        <w:t>vy.</w:t>
      </w:r>
    </w:p>
    <w:p w:rsidR="006F14B2" w:rsidRPr="0063115A" w:rsidP="006F14B2">
      <w:pPr>
        <w:pStyle w:val="ListParagraph"/>
        <w:numPr>
          <w:numId w:val="15"/>
        </w:numPr>
        <w:bidi w:val="0"/>
        <w:spacing w:after="120" w:line="336" w:lineRule="auto"/>
        <w:jc w:val="both"/>
        <w:rPr>
          <w:rFonts w:ascii="Times New Roman" w:eastAsia="Calibri" w:hAnsi="Times New Roman" w:cs="Times New Roman" w:hint="default"/>
        </w:rPr>
      </w:pPr>
      <w:r w:rsidRPr="0063115A">
        <w:rPr>
          <w:rFonts w:ascii="Times New Roman" w:eastAsia="Calibri" w:hAnsi="Times New Roman" w:cs="Times New Roman"/>
        </w:rPr>
        <w:t>Z </w:t>
      </w:r>
      <w:r w:rsidRPr="0063115A">
        <w:rPr>
          <w:rFonts w:ascii="Times New Roman" w:eastAsia="Calibri" w:hAnsi="Times New Roman" w:cs="Times New Roman" w:hint="default"/>
        </w:rPr>
        <w:t>hľ</w:t>
      </w:r>
      <w:r w:rsidRPr="0063115A">
        <w:rPr>
          <w:rFonts w:ascii="Times New Roman" w:eastAsia="Calibri" w:hAnsi="Times New Roman" w:cs="Times New Roman" w:hint="default"/>
        </w:rPr>
        <w:t>adiska meny bol dlh verejnej sprá</w:t>
      </w:r>
      <w:r w:rsidRPr="0063115A">
        <w:rPr>
          <w:rFonts w:ascii="Times New Roman" w:eastAsia="Calibri" w:hAnsi="Times New Roman" w:cs="Times New Roman" w:hint="default"/>
        </w:rPr>
        <w:t>vy v </w:t>
      </w:r>
      <w:r w:rsidRPr="0063115A">
        <w:rPr>
          <w:rFonts w:ascii="Times New Roman" w:eastAsia="Calibri" w:hAnsi="Times New Roman" w:cs="Times New Roman" w:hint="default"/>
        </w:rPr>
        <w:t>roku 2015 tvorený</w:t>
      </w:r>
      <w:r w:rsidRPr="0063115A">
        <w:rPr>
          <w:rFonts w:ascii="Times New Roman" w:eastAsia="Calibri" w:hAnsi="Times New Roman" w:cs="Times New Roman" w:hint="default"/>
        </w:rPr>
        <w:t xml:space="preserve"> z 93,4 % dlhom v </w:t>
      </w:r>
      <w:r w:rsidRPr="0063115A">
        <w:rPr>
          <w:rFonts w:ascii="Times New Roman" w:eastAsia="Calibri" w:hAnsi="Times New Roman" w:cs="Times New Roman" w:hint="default"/>
        </w:rPr>
        <w:t>eurá</w:t>
      </w:r>
      <w:r w:rsidRPr="0063115A">
        <w:rPr>
          <w:rFonts w:ascii="Times New Roman" w:eastAsia="Calibri" w:hAnsi="Times New Roman" w:cs="Times New Roman" w:hint="default"/>
        </w:rPr>
        <w:t>ch a 6,6 % dlhu pr</w:t>
      </w:r>
      <w:r w:rsidRPr="0063115A">
        <w:rPr>
          <w:rFonts w:ascii="Times New Roman" w:eastAsia="Calibri" w:hAnsi="Times New Roman" w:cs="Times New Roman" w:hint="default"/>
        </w:rPr>
        <w:t>ipadlo na iné</w:t>
      </w:r>
      <w:r w:rsidRPr="0063115A">
        <w:rPr>
          <w:rFonts w:ascii="Times New Roman" w:eastAsia="Calibri" w:hAnsi="Times New Roman" w:cs="Times New Roman" w:hint="default"/>
        </w:rPr>
        <w:t xml:space="preserve"> meny (japonské</w:t>
      </w:r>
      <w:r w:rsidRPr="0063115A">
        <w:rPr>
          <w:rFonts w:ascii="Times New Roman" w:eastAsia="Calibri" w:hAnsi="Times New Roman" w:cs="Times New Roman" w:hint="default"/>
        </w:rPr>
        <w:t xml:space="preserve"> jeny, americké</w:t>
      </w:r>
      <w:r w:rsidRPr="0063115A">
        <w:rPr>
          <w:rFonts w:ascii="Times New Roman" w:eastAsia="Calibri" w:hAnsi="Times New Roman" w:cs="Times New Roman" w:hint="default"/>
        </w:rPr>
        <w:t xml:space="preserve"> dolá</w:t>
      </w:r>
      <w:r w:rsidRPr="0063115A">
        <w:rPr>
          <w:rFonts w:ascii="Times New Roman" w:eastAsia="Calibri" w:hAnsi="Times New Roman" w:cs="Times New Roman" w:hint="default"/>
        </w:rPr>
        <w:t>re, š</w:t>
      </w:r>
      <w:r w:rsidRPr="0063115A">
        <w:rPr>
          <w:rFonts w:ascii="Times New Roman" w:eastAsia="Calibri" w:hAnsi="Times New Roman" w:cs="Times New Roman" w:hint="default"/>
        </w:rPr>
        <w:t>vajč</w:t>
      </w:r>
      <w:r w:rsidRPr="0063115A">
        <w:rPr>
          <w:rFonts w:ascii="Times New Roman" w:eastAsia="Calibri" w:hAnsi="Times New Roman" w:cs="Times New Roman" w:hint="default"/>
        </w:rPr>
        <w:t>iarske franky a iné</w:t>
      </w:r>
      <w:r w:rsidRPr="0063115A">
        <w:rPr>
          <w:rFonts w:ascii="Times New Roman" w:eastAsia="Calibri" w:hAnsi="Times New Roman" w:cs="Times New Roman" w:hint="default"/>
        </w:rPr>
        <w:t>).</w:t>
      </w:r>
    </w:p>
    <w:p w:rsidR="006F14B2" w:rsidRPr="0063115A" w:rsidP="006F14B2">
      <w:pPr>
        <w:pStyle w:val="ListParagraph"/>
        <w:numPr>
          <w:numId w:val="15"/>
        </w:numPr>
        <w:bidi w:val="0"/>
        <w:spacing w:after="120" w:line="336" w:lineRule="auto"/>
        <w:jc w:val="both"/>
        <w:rPr>
          <w:rFonts w:ascii="Times New Roman" w:eastAsia="Calibri" w:hAnsi="Times New Roman" w:cs="Times New Roman" w:hint="default"/>
        </w:rPr>
      </w:pPr>
      <w:r w:rsidRPr="0063115A">
        <w:rPr>
          <w:rFonts w:ascii="Times New Roman" w:eastAsia="Calibri" w:hAnsi="Times New Roman" w:cs="Times New Roman" w:hint="default"/>
        </w:rPr>
        <w:t>Z </w:t>
      </w:r>
      <w:r w:rsidRPr="0063115A">
        <w:rPr>
          <w:rFonts w:ascii="Times New Roman" w:eastAsia="Calibri" w:hAnsi="Times New Roman" w:cs="Times New Roman" w:hint="default"/>
        </w:rPr>
        <w:t>hľ</w:t>
      </w:r>
      <w:r w:rsidRPr="0063115A">
        <w:rPr>
          <w:rFonts w:ascii="Times New Roman" w:eastAsia="Calibri" w:hAnsi="Times New Roman" w:cs="Times New Roman" w:hint="default"/>
        </w:rPr>
        <w:t>adiska pô</w:t>
      </w:r>
      <w:r w:rsidRPr="0063115A">
        <w:rPr>
          <w:rFonts w:ascii="Times New Roman" w:eastAsia="Calibri" w:hAnsi="Times New Roman" w:cs="Times New Roman" w:hint="default"/>
        </w:rPr>
        <w:t>vodnej splatnosti je dlh verejnej sprá</w:t>
      </w:r>
      <w:r w:rsidRPr="0063115A">
        <w:rPr>
          <w:rFonts w:ascii="Times New Roman" w:eastAsia="Calibri" w:hAnsi="Times New Roman" w:cs="Times New Roman" w:hint="default"/>
        </w:rPr>
        <w:t>vy prevaž</w:t>
      </w:r>
      <w:r w:rsidRPr="0063115A">
        <w:rPr>
          <w:rFonts w:ascii="Times New Roman" w:eastAsia="Calibri" w:hAnsi="Times New Roman" w:cs="Times New Roman" w:hint="default"/>
        </w:rPr>
        <w:t>ne dlhodobý</w:t>
      </w:r>
      <w:r w:rsidRPr="0063115A">
        <w:rPr>
          <w:rFonts w:ascii="Times New Roman" w:eastAsia="Calibri" w:hAnsi="Times New Roman" w:cs="Times New Roman" w:hint="default"/>
        </w:rPr>
        <w:t>. Z </w:t>
      </w:r>
      <w:r w:rsidRPr="0063115A">
        <w:rPr>
          <w:rFonts w:ascii="Times New Roman" w:eastAsia="Calibri" w:hAnsi="Times New Roman" w:cs="Times New Roman" w:hint="default"/>
        </w:rPr>
        <w:t>celkovej výš</w:t>
      </w:r>
      <w:r w:rsidRPr="0063115A">
        <w:rPr>
          <w:rFonts w:ascii="Times New Roman" w:eastAsia="Calibri" w:hAnsi="Times New Roman" w:cs="Times New Roman" w:hint="default"/>
        </w:rPr>
        <w:t>ky dlhu 98,5 % tvorí</w:t>
      </w:r>
      <w:r w:rsidRPr="0063115A">
        <w:rPr>
          <w:rFonts w:ascii="Times New Roman" w:eastAsia="Calibri" w:hAnsi="Times New Roman" w:cs="Times New Roman" w:hint="default"/>
        </w:rPr>
        <w:t xml:space="preserve"> dlh so </w:t>
      </w:r>
      <w:r w:rsidRPr="0063115A">
        <w:rPr>
          <w:rFonts w:ascii="Times New Roman" w:eastAsia="Calibri" w:hAnsi="Times New Roman" w:cs="Times New Roman" w:hint="default"/>
        </w:rPr>
        <w:t>splatnosť</w:t>
      </w:r>
      <w:r w:rsidRPr="0063115A">
        <w:rPr>
          <w:rFonts w:ascii="Times New Roman" w:eastAsia="Calibri" w:hAnsi="Times New Roman" w:cs="Times New Roman" w:hint="default"/>
        </w:rPr>
        <w:t>ou dlhš</w:t>
      </w:r>
      <w:r w:rsidRPr="0063115A">
        <w:rPr>
          <w:rFonts w:ascii="Times New Roman" w:eastAsia="Calibri" w:hAnsi="Times New Roman" w:cs="Times New Roman" w:hint="default"/>
        </w:rPr>
        <w:t xml:space="preserve">ou ako jeden rok. </w:t>
      </w:r>
      <w:r>
        <w:rPr>
          <w:rFonts w:ascii="Times New Roman" w:eastAsia="Calibri" w:hAnsi="Times New Roman" w:cs="Times New Roman"/>
        </w:rPr>
        <w:t>Z toho 16,2 % dlhu je splatn</w:t>
      </w:r>
      <w:r>
        <w:rPr>
          <w:rFonts w:ascii="Times New Roman" w:eastAsia="Calibri" w:hAnsi="Times New Roman" w:cs="Times New Roman" w:hint="default"/>
        </w:rPr>
        <w:t>ý</w:t>
      </w:r>
      <w:r>
        <w:rPr>
          <w:rFonts w:ascii="Times New Roman" w:eastAsia="Calibri" w:hAnsi="Times New Roman" w:cs="Times New Roman" w:hint="default"/>
        </w:rPr>
        <w:t>ch v rozpä</w:t>
      </w:r>
      <w:r>
        <w:rPr>
          <w:rFonts w:ascii="Times New Roman" w:eastAsia="Calibri" w:hAnsi="Times New Roman" w:cs="Times New Roman" w:hint="default"/>
        </w:rPr>
        <w:t>tí </w:t>
      </w:r>
      <w:r>
        <w:rPr>
          <w:rFonts w:ascii="Times New Roman" w:eastAsia="Calibri" w:hAnsi="Times New Roman" w:cs="Times New Roman" w:hint="default"/>
        </w:rPr>
        <w:t>1 </w:t>
      </w:r>
      <w:r>
        <w:rPr>
          <w:rFonts w:ascii="Times New Roman" w:eastAsia="Calibri" w:hAnsi="Times New Roman" w:cs="Times New Roman" w:hint="default"/>
        </w:rPr>
        <w:t>až </w:t>
      </w:r>
      <w:r>
        <w:rPr>
          <w:rFonts w:ascii="Times New Roman" w:eastAsia="Calibri" w:hAnsi="Times New Roman" w:cs="Times New Roman" w:hint="default"/>
        </w:rPr>
        <w:t>5 </w:t>
      </w:r>
      <w:r>
        <w:rPr>
          <w:rFonts w:ascii="Times New Roman" w:eastAsia="Calibri" w:hAnsi="Times New Roman" w:cs="Times New Roman" w:hint="default"/>
        </w:rPr>
        <w:t>rokov, 33,5 % dlhu je splatný</w:t>
      </w:r>
      <w:r>
        <w:rPr>
          <w:rFonts w:ascii="Times New Roman" w:eastAsia="Calibri" w:hAnsi="Times New Roman" w:cs="Times New Roman" w:hint="default"/>
        </w:rPr>
        <w:t>ch od 5 do 10 rokov, 29,2 % dlhu je splatný</w:t>
      </w:r>
      <w:r>
        <w:rPr>
          <w:rFonts w:ascii="Times New Roman" w:eastAsia="Calibri" w:hAnsi="Times New Roman" w:cs="Times New Roman" w:hint="default"/>
        </w:rPr>
        <w:t>ch v intervale od 10  do 15  rokov a </w:t>
      </w:r>
      <w:r>
        <w:rPr>
          <w:rFonts w:ascii="Times New Roman" w:eastAsia="Calibri" w:hAnsi="Times New Roman" w:cs="Times New Roman" w:hint="default"/>
        </w:rPr>
        <w:t>splatnosť</w:t>
      </w:r>
      <w:r>
        <w:rPr>
          <w:rFonts w:ascii="Times New Roman" w:eastAsia="Calibri" w:hAnsi="Times New Roman" w:cs="Times New Roman" w:hint="default"/>
        </w:rPr>
        <w:t xml:space="preserve"> 19,5 % dlhu je vyšš</w:t>
      </w:r>
      <w:r>
        <w:rPr>
          <w:rFonts w:ascii="Times New Roman" w:eastAsia="Calibri" w:hAnsi="Times New Roman" w:cs="Times New Roman" w:hint="default"/>
        </w:rPr>
        <w:t xml:space="preserve">ia ako 15 rokov. </w:t>
      </w:r>
      <w:r w:rsidRPr="0063115A">
        <w:rPr>
          <w:rFonts w:ascii="Times New Roman" w:eastAsia="Calibri" w:hAnsi="Times New Roman" w:cs="Times New Roman" w:hint="default"/>
        </w:rPr>
        <w:t>Do jedné</w:t>
      </w:r>
      <w:r w:rsidRPr="0063115A">
        <w:rPr>
          <w:rFonts w:ascii="Times New Roman" w:eastAsia="Calibri" w:hAnsi="Times New Roman" w:cs="Times New Roman" w:hint="default"/>
        </w:rPr>
        <w:t>ho roka je pô</w:t>
      </w:r>
      <w:r w:rsidRPr="0063115A">
        <w:rPr>
          <w:rFonts w:ascii="Times New Roman" w:eastAsia="Calibri" w:hAnsi="Times New Roman" w:cs="Times New Roman" w:hint="default"/>
        </w:rPr>
        <w:t>vodne splatn</w:t>
      </w:r>
      <w:r>
        <w:rPr>
          <w:rFonts w:ascii="Times New Roman" w:eastAsia="Calibri" w:hAnsi="Times New Roman" w:cs="Times New Roman" w:hint="default"/>
        </w:rPr>
        <w:t>ý</w:t>
      </w:r>
      <w:r>
        <w:rPr>
          <w:rFonts w:ascii="Times New Roman" w:eastAsia="Calibri" w:hAnsi="Times New Roman" w:cs="Times New Roman" w:hint="default"/>
        </w:rPr>
        <w:t>ch</w:t>
      </w:r>
      <w:r w:rsidRPr="0063115A">
        <w:rPr>
          <w:rFonts w:ascii="Times New Roman" w:eastAsia="Calibri" w:hAnsi="Times New Roman" w:cs="Times New Roman" w:hint="default"/>
        </w:rPr>
        <w:t xml:space="preserve"> 1,5 % dlhu verejnej sprá</w:t>
      </w:r>
      <w:r w:rsidRPr="0063115A">
        <w:rPr>
          <w:rFonts w:ascii="Times New Roman" w:eastAsia="Calibri" w:hAnsi="Times New Roman" w:cs="Times New Roman" w:hint="default"/>
        </w:rPr>
        <w:t>vy.</w:t>
      </w:r>
    </w:p>
    <w:p w:rsidR="006F14B2" w:rsidRPr="0063115A" w:rsidP="006F14B2">
      <w:pPr>
        <w:pStyle w:val="ListParagraph"/>
        <w:numPr>
          <w:numId w:val="15"/>
        </w:numPr>
        <w:bidi w:val="0"/>
        <w:spacing w:after="120" w:line="336" w:lineRule="auto"/>
        <w:jc w:val="both"/>
        <w:rPr>
          <w:rFonts w:ascii="Times New Roman" w:eastAsia="Calibri" w:hAnsi="Times New Roman" w:cs="Times New Roman" w:hint="default"/>
        </w:rPr>
      </w:pPr>
      <w:r w:rsidRPr="0063115A">
        <w:rPr>
          <w:rFonts w:ascii="Times New Roman" w:eastAsia="Calibri" w:hAnsi="Times New Roman" w:cs="Times New Roman" w:hint="default"/>
        </w:rPr>
        <w:t>Z </w:t>
      </w:r>
      <w:r w:rsidRPr="0063115A">
        <w:rPr>
          <w:rFonts w:ascii="Times New Roman" w:eastAsia="Calibri" w:hAnsi="Times New Roman" w:cs="Times New Roman" w:hint="default"/>
        </w:rPr>
        <w:t>hľ</w:t>
      </w:r>
      <w:r w:rsidRPr="0063115A">
        <w:rPr>
          <w:rFonts w:ascii="Times New Roman" w:eastAsia="Calibri" w:hAnsi="Times New Roman" w:cs="Times New Roman" w:hint="default"/>
        </w:rPr>
        <w:t>adiska teri</w:t>
      </w:r>
      <w:r w:rsidRPr="0063115A">
        <w:rPr>
          <w:rFonts w:ascii="Times New Roman" w:eastAsia="Calibri" w:hAnsi="Times New Roman" w:cs="Times New Roman" w:hint="default"/>
        </w:rPr>
        <w:t>toriá</w:t>
      </w:r>
      <w:r w:rsidRPr="0063115A">
        <w:rPr>
          <w:rFonts w:ascii="Times New Roman" w:eastAsia="Calibri" w:hAnsi="Times New Roman" w:cs="Times New Roman" w:hint="default"/>
        </w:rPr>
        <w:t>lnej š</w:t>
      </w:r>
      <w:r w:rsidRPr="0063115A">
        <w:rPr>
          <w:rFonts w:ascii="Times New Roman" w:eastAsia="Calibri" w:hAnsi="Times New Roman" w:cs="Times New Roman" w:hint="default"/>
        </w:rPr>
        <w:t>truktú</w:t>
      </w:r>
      <w:r w:rsidRPr="0063115A">
        <w:rPr>
          <w:rFonts w:ascii="Times New Roman" w:eastAsia="Calibri" w:hAnsi="Times New Roman" w:cs="Times New Roman" w:hint="default"/>
        </w:rPr>
        <w:t>ry pripadalo na tuzemský</w:t>
      </w:r>
      <w:r w:rsidRPr="0063115A">
        <w:rPr>
          <w:rFonts w:ascii="Times New Roman" w:eastAsia="Calibri" w:hAnsi="Times New Roman" w:cs="Times New Roman" w:hint="default"/>
        </w:rPr>
        <w:t>ch veriteľ</w:t>
      </w:r>
      <w:r w:rsidRPr="0063115A">
        <w:rPr>
          <w:rFonts w:ascii="Times New Roman" w:eastAsia="Calibri" w:hAnsi="Times New Roman" w:cs="Times New Roman" w:hint="default"/>
        </w:rPr>
        <w:t>ov 46,6 % a na </w:t>
      </w:r>
      <w:r w:rsidRPr="0063115A">
        <w:rPr>
          <w:rFonts w:ascii="Times New Roman" w:eastAsia="Calibri" w:hAnsi="Times New Roman" w:cs="Times New Roman" w:hint="default"/>
        </w:rPr>
        <w:t>zahranič</w:t>
      </w:r>
      <w:r w:rsidRPr="0063115A">
        <w:rPr>
          <w:rFonts w:ascii="Times New Roman" w:eastAsia="Calibri" w:hAnsi="Times New Roman" w:cs="Times New Roman" w:hint="default"/>
        </w:rPr>
        <w:t>ný</w:t>
      </w:r>
      <w:r w:rsidRPr="0063115A">
        <w:rPr>
          <w:rFonts w:ascii="Times New Roman" w:eastAsia="Calibri" w:hAnsi="Times New Roman" w:cs="Times New Roman" w:hint="default"/>
        </w:rPr>
        <w:t>ch veriteľ</w:t>
      </w:r>
      <w:r w:rsidRPr="0063115A">
        <w:rPr>
          <w:rFonts w:ascii="Times New Roman" w:eastAsia="Calibri" w:hAnsi="Times New Roman" w:cs="Times New Roman" w:hint="default"/>
        </w:rPr>
        <w:t>ov 53,2 % z </w:t>
      </w:r>
      <w:r w:rsidRPr="0063115A">
        <w:rPr>
          <w:rFonts w:ascii="Times New Roman" w:eastAsia="Calibri" w:hAnsi="Times New Roman" w:cs="Times New Roman" w:hint="default"/>
        </w:rPr>
        <w:t>celkové</w:t>
      </w:r>
      <w:r w:rsidRPr="0063115A">
        <w:rPr>
          <w:rFonts w:ascii="Times New Roman" w:eastAsia="Calibri" w:hAnsi="Times New Roman" w:cs="Times New Roman" w:hint="default"/>
        </w:rPr>
        <w:t>ho dlhu. Tuzemský</w:t>
      </w:r>
      <w:r w:rsidRPr="0063115A">
        <w:rPr>
          <w:rFonts w:ascii="Times New Roman" w:eastAsia="Calibri" w:hAnsi="Times New Roman" w:cs="Times New Roman" w:hint="default"/>
        </w:rPr>
        <w:t>mi veriteľ</w:t>
      </w:r>
      <w:r w:rsidRPr="0063115A">
        <w:rPr>
          <w:rFonts w:ascii="Times New Roman" w:eastAsia="Calibri" w:hAnsi="Times New Roman" w:cs="Times New Roman" w:hint="default"/>
        </w:rPr>
        <w:t>mi sú</w:t>
      </w:r>
      <w:r w:rsidRPr="0063115A">
        <w:rPr>
          <w:rFonts w:ascii="Times New Roman" w:eastAsia="Calibri" w:hAnsi="Times New Roman" w:cs="Times New Roman" w:hint="default"/>
        </w:rPr>
        <w:t xml:space="preserve"> predovš</w:t>
      </w:r>
      <w:r w:rsidRPr="0063115A">
        <w:rPr>
          <w:rFonts w:ascii="Times New Roman" w:eastAsia="Calibri" w:hAnsi="Times New Roman" w:cs="Times New Roman" w:hint="default"/>
        </w:rPr>
        <w:t>etký</w:t>
      </w:r>
      <w:r w:rsidRPr="0063115A">
        <w:rPr>
          <w:rFonts w:ascii="Times New Roman" w:eastAsia="Calibri" w:hAnsi="Times New Roman" w:cs="Times New Roman" w:hint="default"/>
        </w:rPr>
        <w:t>m finanč</w:t>
      </w:r>
      <w:r w:rsidRPr="0063115A">
        <w:rPr>
          <w:rFonts w:ascii="Times New Roman" w:eastAsia="Calibri" w:hAnsi="Times New Roman" w:cs="Times New Roman" w:hint="default"/>
        </w:rPr>
        <w:t>né</w:t>
      </w:r>
      <w:r w:rsidRPr="0063115A">
        <w:rPr>
          <w:rFonts w:ascii="Times New Roman" w:eastAsia="Calibri" w:hAnsi="Times New Roman" w:cs="Times New Roman" w:hint="default"/>
        </w:rPr>
        <w:t xml:space="preserve"> korporá</w:t>
      </w:r>
      <w:r w:rsidRPr="0063115A">
        <w:rPr>
          <w:rFonts w:ascii="Times New Roman" w:eastAsia="Calibri" w:hAnsi="Times New Roman" w:cs="Times New Roman" w:hint="default"/>
        </w:rPr>
        <w:t>cie, ktorý</w:t>
      </w:r>
      <w:r w:rsidRPr="0063115A">
        <w:rPr>
          <w:rFonts w:ascii="Times New Roman" w:eastAsia="Calibri" w:hAnsi="Times New Roman" w:cs="Times New Roman" w:hint="default"/>
        </w:rPr>
        <w:t>ch podiel na celkovom dlhu predstavuje 46,1 %.</w:t>
      </w:r>
    </w:p>
    <w:p w:rsidR="004B28B7" w:rsidP="00652AE0">
      <w:pPr>
        <w:pStyle w:val="Heading2"/>
        <w:numPr>
          <w:numId w:val="48"/>
        </w:numPr>
        <w:bidi w:val="0"/>
        <w:spacing w:before="120" w:after="120" w:line="336" w:lineRule="auto"/>
        <w:ind w:left="425" w:hanging="425"/>
        <w:rPr>
          <w:rFonts w:eastAsiaTheme="minorHAnsi"/>
        </w:rPr>
      </w:pPr>
      <w:bookmarkStart w:id="49" w:name="_Toc465258477"/>
      <w:bookmarkStart w:id="50" w:name="_Toc401920012"/>
      <w:bookmarkStart w:id="51" w:name="_Toc465255013"/>
      <w:r>
        <w:rPr>
          <w:rFonts w:eastAsiaTheme="minorHAnsi"/>
        </w:rPr>
        <w:t>Čistý dlh verejnej správy</w:t>
      </w:r>
      <w:bookmarkEnd w:id="49"/>
    </w:p>
    <w:p w:rsidR="004B28B7" w:rsidRPr="00A53EAC" w:rsidP="004B28B7">
      <w:pPr>
        <w:bidi w:val="0"/>
        <w:spacing w:after="120" w:line="336" w:lineRule="auto"/>
        <w:jc w:val="both"/>
        <w:rPr>
          <w:rFonts w:ascii="Times New Roman" w:hAnsi="Times New Roman" w:cs="Times New Roman"/>
        </w:rPr>
      </w:pPr>
      <w:r w:rsidRPr="00A53EAC">
        <w:rPr>
          <w:rFonts w:ascii="Times New Roman" w:hAnsi="Times New Roman" w:cs="Times New Roman"/>
        </w:rPr>
        <w:t xml:space="preserve">Čistý dlh ukazuje schopnosť štátu splatiť svoj hrubý dlh na základe speňaženia svojich najlikvidnejších finančných aktív. Pokiaľ hrubý dlh verejnej správy prezentovaný v prvej kapitole je presne vymedzený v metodike ESA 2010, metodiku čistého dlhu zatiaľ upravuje len definícia v usmernení Európskej komisie. Podľa tejto definície čistý dlh verejnej správy predstavuje rozdiel medzi hrubým maastrichtským dlhom a súčtom zlata a SDR, hotovosti, cenných papierov v trhovej hodnote (okrem akcií) a kótovaných akcií v trhovej hodnote. </w:t>
      </w:r>
    </w:p>
    <w:p w:rsidR="004B28B7" w:rsidRPr="002B5DC8" w:rsidP="004B28B7">
      <w:pPr>
        <w:bidi w:val="0"/>
        <w:spacing w:before="120" w:after="120" w:line="336" w:lineRule="auto"/>
        <w:jc w:val="both"/>
        <w:rPr>
          <w:rFonts w:ascii="Times New Roman" w:hAnsi="Times New Roman" w:cs="Times New Roman"/>
        </w:rPr>
      </w:pPr>
      <w:r w:rsidRPr="002B5DC8">
        <w:rPr>
          <w:rFonts w:ascii="Times New Roman" w:hAnsi="Times New Roman" w:cs="Times New Roman"/>
        </w:rPr>
        <w:t xml:space="preserve">Čistý dlh verejnej správy je analyticky vhodnejší ukazovateľ ako hrubý dlh pri pohľade na medziročnú dynamiku dlhu, pretože na rozdiel od ukazovateľa hrubého dlhu eliminuje rozdiely vzniknuté nárastom alebo poklesom finančných aktív a tým vernejšie zobrazuje skutočný nárast zadlženosti štátu. Pokým hrubý dlh dosiahol k 31.12.2015 na HDP hodnotu 52,5 % HDP a medziročne poklesol o 1,1 p.b., </w:t>
      </w:r>
      <w:r w:rsidRPr="002B5DC8">
        <w:rPr>
          <w:rFonts w:ascii="Times New Roman" w:hAnsi="Times New Roman" w:cs="Times New Roman"/>
          <w:b/>
        </w:rPr>
        <w:t>čistý dlh Slovenskej republiky dosiahol k 31.12.2015 výšku 37 936 825 tis. eur (48,2 % HDP) a oproti roku 2014 klesol o 1,6 p.b.</w:t>
      </w:r>
      <w:r w:rsidRPr="002B5DC8">
        <w:rPr>
          <w:rFonts w:ascii="Times New Roman" w:hAnsi="Times New Roman" w:cs="Times New Roman"/>
        </w:rPr>
        <w:t xml:space="preserve"> </w:t>
      </w:r>
    </w:p>
    <w:tbl>
      <w:tblPr>
        <w:tblStyle w:val="TableNormal"/>
        <w:tblW w:w="5000" w:type="pct"/>
        <w:tblCellMar>
          <w:left w:w="70" w:type="dxa"/>
          <w:right w:w="70" w:type="dxa"/>
        </w:tblCellMar>
        <w:tblLook w:val="04A0"/>
      </w:tblPr>
      <w:tblGrid>
        <w:gridCol w:w="2553"/>
        <w:gridCol w:w="540"/>
        <w:gridCol w:w="1150"/>
        <w:gridCol w:w="1150"/>
        <w:gridCol w:w="1150"/>
        <w:gridCol w:w="1150"/>
        <w:gridCol w:w="813"/>
        <w:gridCol w:w="705"/>
      </w:tblGrid>
      <w:tr>
        <w:tblPrEx>
          <w:tblW w:w="5000" w:type="pct"/>
          <w:tblCellMar>
            <w:left w:w="70" w:type="dxa"/>
            <w:right w:w="70" w:type="dxa"/>
          </w:tblCellMar>
          <w:tblLook w:val="04A0"/>
        </w:tblPrEx>
        <w:trPr>
          <w:trHeight w:val="255"/>
        </w:trPr>
        <w:tc>
          <w:tcPr>
            <w:tcW w:w="5000" w:type="pct"/>
            <w:gridSpan w:val="8"/>
            <w:tcBorders>
              <w:top w:val="nil"/>
              <w:left w:val="nil"/>
              <w:bottom w:val="nil"/>
              <w:right w:val="nil"/>
            </w:tcBorders>
            <w:shd w:val="clear" w:color="000000" w:fill="000000"/>
            <w:textDirection w:val="lrTb"/>
            <w:vAlign w:val="center"/>
            <w:hideMark/>
          </w:tcPr>
          <w:p w:rsidR="004B28B7" w:rsidRPr="00175FF2" w:rsidP="004947F4">
            <w:pPr>
              <w:bidi w:val="0"/>
              <w:spacing w:after="0" w:line="240" w:lineRule="auto"/>
              <w:jc w:val="both"/>
              <w:rPr>
                <w:rFonts w:ascii="Times New Roman" w:hAnsi="Times New Roman" w:cs="Times New Roman"/>
                <w:b/>
                <w:bCs/>
                <w:color w:val="FFFFFF"/>
                <w:sz w:val="20"/>
                <w:szCs w:val="20"/>
                <w:lang w:eastAsia="sk-SK"/>
              </w:rPr>
            </w:pPr>
            <w:r w:rsidRPr="00175FF2">
              <w:rPr>
                <w:rFonts w:ascii="Times New Roman" w:hAnsi="Times New Roman" w:cs="Times New Roman"/>
                <w:b/>
                <w:bCs/>
                <w:color w:val="FFFFFF"/>
                <w:sz w:val="20"/>
                <w:szCs w:val="20"/>
                <w:lang w:eastAsia="sk-SK"/>
              </w:rPr>
              <w:t>Čistý dlh verejnej správy</w:t>
            </w:r>
          </w:p>
        </w:tc>
      </w:tr>
      <w:tr>
        <w:tblPrEx>
          <w:tblW w:w="5000" w:type="pct"/>
          <w:tblCellMar>
            <w:left w:w="70" w:type="dxa"/>
            <w:right w:w="70" w:type="dxa"/>
          </w:tblCellMar>
          <w:tblLook w:val="04A0"/>
        </w:tblPrEx>
        <w:trPr>
          <w:trHeight w:val="255"/>
        </w:trPr>
        <w:tc>
          <w:tcPr>
            <w:tcW w:w="988" w:type="pct"/>
            <w:tcBorders>
              <w:top w:val="nil"/>
              <w:left w:val="nil"/>
              <w:bottom w:val="nil"/>
              <w:right w:val="nil"/>
            </w:tcBorders>
            <w:shd w:val="clear" w:color="000000" w:fill="C0C0C0"/>
            <w:noWrap/>
            <w:textDirection w:val="lrTb"/>
            <w:vAlign w:val="center"/>
            <w:hideMark/>
          </w:tcPr>
          <w:p w:rsidR="004B28B7" w:rsidRPr="00175FF2" w:rsidP="004947F4">
            <w:pPr>
              <w:bidi w:val="0"/>
              <w:spacing w:after="0" w:line="240" w:lineRule="auto"/>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 </w:t>
            </w:r>
          </w:p>
        </w:tc>
        <w:tc>
          <w:tcPr>
            <w:tcW w:w="164" w:type="pct"/>
            <w:tcBorders>
              <w:top w:val="nil"/>
              <w:left w:val="nil"/>
              <w:bottom w:val="nil"/>
              <w:right w:val="nil"/>
            </w:tcBorders>
            <w:shd w:val="clear" w:color="000000" w:fill="C0C0C0"/>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w:t>
            </w:r>
          </w:p>
        </w:tc>
        <w:tc>
          <w:tcPr>
            <w:tcW w:w="712" w:type="pct"/>
            <w:tcBorders>
              <w:top w:val="nil"/>
              <w:left w:val="nil"/>
              <w:bottom w:val="nil"/>
              <w:right w:val="nil"/>
            </w:tcBorders>
            <w:shd w:val="clear" w:color="000000" w:fill="C0C0C0"/>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w:t>
            </w:r>
          </w:p>
        </w:tc>
        <w:tc>
          <w:tcPr>
            <w:tcW w:w="712" w:type="pct"/>
            <w:tcBorders>
              <w:top w:val="nil"/>
              <w:left w:val="nil"/>
              <w:bottom w:val="nil"/>
              <w:right w:val="nil"/>
            </w:tcBorders>
            <w:shd w:val="clear" w:color="000000" w:fill="C0C0C0"/>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tis. eur</w:t>
            </w:r>
          </w:p>
        </w:tc>
        <w:tc>
          <w:tcPr>
            <w:tcW w:w="712" w:type="pct"/>
            <w:tcBorders>
              <w:top w:val="nil"/>
              <w:left w:val="nil"/>
              <w:bottom w:val="nil"/>
              <w:right w:val="nil"/>
            </w:tcBorders>
            <w:shd w:val="clear" w:color="000000" w:fill="C0C0C0"/>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w:t>
            </w:r>
          </w:p>
        </w:tc>
        <w:tc>
          <w:tcPr>
            <w:tcW w:w="712" w:type="pct"/>
            <w:tcBorders>
              <w:top w:val="nil"/>
              <w:left w:val="nil"/>
              <w:bottom w:val="nil"/>
              <w:right w:val="nil"/>
            </w:tcBorders>
            <w:shd w:val="clear" w:color="000000" w:fill="C0C0C0"/>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w:t>
            </w:r>
          </w:p>
        </w:tc>
        <w:tc>
          <w:tcPr>
            <w:tcW w:w="500" w:type="pct"/>
            <w:tcBorders>
              <w:top w:val="nil"/>
              <w:left w:val="nil"/>
              <w:bottom w:val="nil"/>
              <w:right w:val="nil"/>
            </w:tcBorders>
            <w:shd w:val="clear" w:color="000000" w:fill="C0C0C0"/>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HDP</w:t>
            </w:r>
          </w:p>
        </w:tc>
        <w:tc>
          <w:tcPr>
            <w:tcW w:w="500" w:type="pct"/>
            <w:tcBorders>
              <w:top w:val="nil"/>
              <w:left w:val="nil"/>
              <w:bottom w:val="nil"/>
              <w:right w:val="nil"/>
            </w:tcBorders>
            <w:shd w:val="clear" w:color="000000" w:fill="C0C0C0"/>
            <w:noWrap/>
            <w:textDirection w:val="lrTb"/>
            <w:vAlign w:val="center"/>
            <w:hideMark/>
          </w:tcPr>
          <w:p w:rsidR="004B28B7" w:rsidRPr="00175FF2" w:rsidP="004947F4">
            <w:pPr>
              <w:bidi w:val="0"/>
              <w:spacing w:after="0" w:line="240" w:lineRule="auto"/>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 </w:t>
            </w:r>
          </w:p>
        </w:tc>
      </w:tr>
      <w:tr>
        <w:tblPrEx>
          <w:tblW w:w="5000" w:type="pct"/>
          <w:tblCellMar>
            <w:left w:w="70" w:type="dxa"/>
            <w:right w:w="70" w:type="dxa"/>
          </w:tblCellMar>
          <w:tblLook w:val="04A0"/>
        </w:tblPrEx>
        <w:trPr>
          <w:trHeight w:val="270"/>
        </w:trPr>
        <w:tc>
          <w:tcPr>
            <w:tcW w:w="988" w:type="pct"/>
            <w:tcBorders>
              <w:top w:val="nil"/>
              <w:left w:val="nil"/>
              <w:bottom w:val="single" w:sz="8" w:space="0" w:color="auto"/>
              <w:right w:val="nil"/>
            </w:tcBorders>
            <w:shd w:val="clear" w:color="000000" w:fill="C0C0C0"/>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w:t>
            </w:r>
          </w:p>
        </w:tc>
        <w:tc>
          <w:tcPr>
            <w:tcW w:w="164" w:type="pct"/>
            <w:tcBorders>
              <w:top w:val="nil"/>
              <w:left w:val="nil"/>
              <w:bottom w:val="single" w:sz="8" w:space="0" w:color="auto"/>
              <w:right w:val="nil"/>
            </w:tcBorders>
            <w:shd w:val="clear" w:color="000000" w:fill="C0C0C0"/>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w:t>
            </w:r>
          </w:p>
        </w:tc>
        <w:tc>
          <w:tcPr>
            <w:tcW w:w="712" w:type="pct"/>
            <w:tcBorders>
              <w:top w:val="nil"/>
              <w:left w:val="nil"/>
              <w:bottom w:val="single" w:sz="8" w:space="0" w:color="auto"/>
              <w:right w:val="nil"/>
            </w:tcBorders>
            <w:shd w:val="clear" w:color="000000" w:fill="C0C0C0"/>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2013</w:t>
            </w:r>
          </w:p>
        </w:tc>
        <w:tc>
          <w:tcPr>
            <w:tcW w:w="712" w:type="pct"/>
            <w:tcBorders>
              <w:top w:val="nil"/>
              <w:left w:val="nil"/>
              <w:bottom w:val="single" w:sz="8" w:space="0" w:color="auto"/>
              <w:right w:val="nil"/>
            </w:tcBorders>
            <w:shd w:val="clear" w:color="000000" w:fill="C0C0C0"/>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2014</w:t>
            </w:r>
          </w:p>
        </w:tc>
        <w:tc>
          <w:tcPr>
            <w:tcW w:w="712" w:type="pct"/>
            <w:tcBorders>
              <w:top w:val="nil"/>
              <w:left w:val="nil"/>
              <w:bottom w:val="single" w:sz="8" w:space="0" w:color="auto"/>
              <w:right w:val="nil"/>
            </w:tcBorders>
            <w:shd w:val="clear" w:color="000000" w:fill="C0C0C0"/>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2015</w:t>
            </w:r>
          </w:p>
        </w:tc>
        <w:tc>
          <w:tcPr>
            <w:tcW w:w="712" w:type="pct"/>
            <w:tcBorders>
              <w:top w:val="nil"/>
              <w:left w:val="nil"/>
              <w:bottom w:val="single" w:sz="8" w:space="0" w:color="auto"/>
              <w:right w:val="nil"/>
            </w:tcBorders>
            <w:shd w:val="clear" w:color="000000" w:fill="C0C0C0"/>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2013</w:t>
            </w:r>
          </w:p>
        </w:tc>
        <w:tc>
          <w:tcPr>
            <w:tcW w:w="500" w:type="pct"/>
            <w:tcBorders>
              <w:top w:val="nil"/>
              <w:left w:val="nil"/>
              <w:bottom w:val="single" w:sz="8" w:space="0" w:color="auto"/>
              <w:right w:val="nil"/>
            </w:tcBorders>
            <w:shd w:val="clear" w:color="000000" w:fill="C0C0C0"/>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2014</w:t>
            </w:r>
          </w:p>
        </w:tc>
        <w:tc>
          <w:tcPr>
            <w:tcW w:w="500" w:type="pct"/>
            <w:tcBorders>
              <w:top w:val="nil"/>
              <w:left w:val="nil"/>
              <w:bottom w:val="single" w:sz="8" w:space="0" w:color="auto"/>
              <w:right w:val="nil"/>
            </w:tcBorders>
            <w:shd w:val="clear" w:color="000000" w:fill="C0C0C0"/>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2015</w:t>
            </w:r>
          </w:p>
        </w:tc>
      </w:tr>
      <w:tr>
        <w:tblPrEx>
          <w:tblW w:w="5000" w:type="pct"/>
          <w:tblCellMar>
            <w:left w:w="70" w:type="dxa"/>
            <w:right w:w="70" w:type="dxa"/>
          </w:tblCellMar>
          <w:tblLook w:val="04A0"/>
        </w:tblPrEx>
        <w:trPr>
          <w:trHeight w:val="255"/>
        </w:trPr>
        <w:tc>
          <w:tcPr>
            <w:tcW w:w="988" w:type="pct"/>
            <w:tcBorders>
              <w:top w:val="nil"/>
              <w:left w:val="nil"/>
              <w:bottom w:val="nil"/>
              <w:right w:val="nil"/>
            </w:tcBorders>
            <w:noWrap/>
            <w:textDirection w:val="lrTb"/>
            <w:vAlign w:val="center"/>
            <w:hideMark/>
          </w:tcPr>
          <w:p w:rsidR="004B28B7" w:rsidRPr="00175FF2" w:rsidP="004947F4">
            <w:pPr>
              <w:bidi w:val="0"/>
              <w:spacing w:after="0" w:line="240" w:lineRule="auto"/>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Hrubý dlh verejnej správy</w:t>
            </w:r>
          </w:p>
        </w:tc>
        <w:tc>
          <w:tcPr>
            <w:tcW w:w="164" w:type="pct"/>
            <w:tcBorders>
              <w:top w:val="nil"/>
              <w:left w:val="nil"/>
              <w:bottom w:val="nil"/>
              <w:right w:val="nil"/>
            </w:tcBorders>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(1)</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b/>
                <w:bCs/>
                <w:sz w:val="20"/>
                <w:szCs w:val="20"/>
                <w:lang w:eastAsia="sk-SK"/>
              </w:rPr>
            </w:pPr>
            <w:r w:rsidRPr="00175FF2">
              <w:rPr>
                <w:rFonts w:ascii="Times New Roman" w:hAnsi="Times New Roman" w:cs="Times New Roman"/>
                <w:b/>
                <w:bCs/>
                <w:sz w:val="20"/>
                <w:szCs w:val="20"/>
                <w:lang w:eastAsia="sk-SK"/>
              </w:rPr>
              <w:t>40 600 009</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b/>
                <w:bCs/>
                <w:sz w:val="20"/>
                <w:szCs w:val="20"/>
                <w:lang w:eastAsia="sk-SK"/>
              </w:rPr>
            </w:pPr>
            <w:r w:rsidRPr="00175FF2">
              <w:rPr>
                <w:rFonts w:ascii="Times New Roman" w:hAnsi="Times New Roman" w:cs="Times New Roman"/>
                <w:b/>
                <w:bCs/>
                <w:sz w:val="20"/>
                <w:szCs w:val="20"/>
                <w:lang w:eastAsia="sk-SK"/>
              </w:rPr>
              <w:t>40 725 018</w:t>
            </w:r>
          </w:p>
        </w:tc>
        <w:tc>
          <w:tcPr>
            <w:tcW w:w="712" w:type="pct"/>
            <w:tcBorders>
              <w:top w:val="nil"/>
              <w:left w:val="nil"/>
              <w:bottom w:val="nil"/>
              <w:right w:val="single" w:sz="8" w:space="0" w:color="auto"/>
            </w:tcBorders>
            <w:textDirection w:val="lrTb"/>
            <w:vAlign w:val="center"/>
            <w:hideMark/>
          </w:tcPr>
          <w:p w:rsidR="004B28B7" w:rsidRPr="00175FF2" w:rsidP="004947F4">
            <w:pPr>
              <w:bidi w:val="0"/>
              <w:spacing w:after="0" w:line="240" w:lineRule="auto"/>
              <w:jc w:val="right"/>
              <w:rPr>
                <w:rFonts w:ascii="Times New Roman" w:hAnsi="Times New Roman" w:cs="Times New Roman"/>
                <w:b/>
                <w:bCs/>
                <w:sz w:val="20"/>
                <w:szCs w:val="20"/>
                <w:lang w:eastAsia="sk-SK"/>
              </w:rPr>
            </w:pPr>
            <w:r w:rsidRPr="00175FF2">
              <w:rPr>
                <w:rFonts w:ascii="Times New Roman" w:hAnsi="Times New Roman" w:cs="Times New Roman"/>
                <w:b/>
                <w:bCs/>
                <w:sz w:val="20"/>
                <w:szCs w:val="20"/>
                <w:lang w:eastAsia="sk-SK"/>
              </w:rPr>
              <w:t>41 293 315</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54,7</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53,6</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52,5</w:t>
            </w:r>
          </w:p>
        </w:tc>
      </w:tr>
      <w:tr>
        <w:tblPrEx>
          <w:tblW w:w="5000" w:type="pct"/>
          <w:tblCellMar>
            <w:left w:w="70" w:type="dxa"/>
            <w:right w:w="70" w:type="dxa"/>
          </w:tblCellMar>
          <w:tblLook w:val="04A0"/>
        </w:tblPrEx>
        <w:trPr>
          <w:trHeight w:val="255"/>
        </w:trPr>
        <w:tc>
          <w:tcPr>
            <w:tcW w:w="988" w:type="pct"/>
            <w:tcBorders>
              <w:top w:val="nil"/>
              <w:left w:val="nil"/>
              <w:bottom w:val="nil"/>
              <w:right w:val="nil"/>
            </w:tcBorders>
            <w:noWrap/>
            <w:textDirection w:val="lrTb"/>
            <w:vAlign w:val="center"/>
            <w:hideMark/>
          </w:tcPr>
          <w:p w:rsidR="004B28B7" w:rsidRPr="00175FF2" w:rsidP="004947F4">
            <w:pPr>
              <w:bidi w:val="0"/>
              <w:spacing w:after="0" w:line="240" w:lineRule="auto"/>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xml:space="preserve">Likvidné finančné aktíva:    </w:t>
            </w:r>
          </w:p>
        </w:tc>
        <w:tc>
          <w:tcPr>
            <w:tcW w:w="164" w:type="pct"/>
            <w:tcBorders>
              <w:top w:val="nil"/>
              <w:left w:val="nil"/>
              <w:bottom w:val="nil"/>
              <w:right w:val="nil"/>
            </w:tcBorders>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(2)</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b/>
                <w:bCs/>
                <w:sz w:val="20"/>
                <w:szCs w:val="20"/>
                <w:lang w:eastAsia="sk-SK"/>
              </w:rPr>
            </w:pPr>
            <w:r w:rsidRPr="00175FF2">
              <w:rPr>
                <w:rFonts w:ascii="Times New Roman" w:hAnsi="Times New Roman" w:cs="Times New Roman"/>
                <w:b/>
                <w:bCs/>
                <w:sz w:val="20"/>
                <w:szCs w:val="20"/>
                <w:lang w:eastAsia="sk-SK"/>
              </w:rPr>
              <w:t>4 985 950</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b/>
                <w:bCs/>
                <w:sz w:val="20"/>
                <w:szCs w:val="20"/>
                <w:lang w:eastAsia="sk-SK"/>
              </w:rPr>
            </w:pPr>
            <w:r w:rsidRPr="00175FF2">
              <w:rPr>
                <w:rFonts w:ascii="Times New Roman" w:hAnsi="Times New Roman" w:cs="Times New Roman"/>
                <w:b/>
                <w:bCs/>
                <w:sz w:val="20"/>
                <w:szCs w:val="20"/>
                <w:lang w:eastAsia="sk-SK"/>
              </w:rPr>
              <w:t>2 885 008</w:t>
            </w:r>
          </w:p>
        </w:tc>
        <w:tc>
          <w:tcPr>
            <w:tcW w:w="712" w:type="pct"/>
            <w:tcBorders>
              <w:top w:val="nil"/>
              <w:left w:val="nil"/>
              <w:bottom w:val="nil"/>
              <w:right w:val="single" w:sz="8" w:space="0" w:color="auto"/>
            </w:tcBorders>
            <w:textDirection w:val="lrTb"/>
            <w:vAlign w:val="center"/>
            <w:hideMark/>
          </w:tcPr>
          <w:p w:rsidR="004B28B7" w:rsidRPr="00175FF2" w:rsidP="004947F4">
            <w:pPr>
              <w:bidi w:val="0"/>
              <w:spacing w:after="0" w:line="240" w:lineRule="auto"/>
              <w:jc w:val="right"/>
              <w:rPr>
                <w:rFonts w:ascii="Times New Roman" w:hAnsi="Times New Roman" w:cs="Times New Roman"/>
                <w:b/>
                <w:bCs/>
                <w:sz w:val="20"/>
                <w:szCs w:val="20"/>
                <w:lang w:eastAsia="sk-SK"/>
              </w:rPr>
            </w:pPr>
            <w:r w:rsidRPr="00175FF2">
              <w:rPr>
                <w:rFonts w:ascii="Times New Roman" w:hAnsi="Times New Roman" w:cs="Times New Roman"/>
                <w:b/>
                <w:bCs/>
                <w:sz w:val="20"/>
                <w:szCs w:val="20"/>
                <w:lang w:eastAsia="sk-SK"/>
              </w:rPr>
              <w:t>3 356 490</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6,7</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3,8</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4,3</w:t>
            </w:r>
          </w:p>
        </w:tc>
      </w:tr>
      <w:tr>
        <w:tblPrEx>
          <w:tblW w:w="5000" w:type="pct"/>
          <w:tblCellMar>
            <w:left w:w="70" w:type="dxa"/>
            <w:right w:w="70" w:type="dxa"/>
          </w:tblCellMar>
          <w:tblLook w:val="04A0"/>
        </w:tblPrEx>
        <w:trPr>
          <w:trHeight w:val="330"/>
        </w:trPr>
        <w:tc>
          <w:tcPr>
            <w:tcW w:w="988" w:type="pct"/>
            <w:tcBorders>
              <w:top w:val="nil"/>
              <w:left w:val="nil"/>
              <w:bottom w:val="nil"/>
              <w:right w:val="nil"/>
            </w:tcBorders>
            <w:noWrap/>
            <w:textDirection w:val="lrTb"/>
            <w:vAlign w:val="center"/>
            <w:hideMark/>
          </w:tcPr>
          <w:p w:rsidR="004B28B7" w:rsidRPr="00175FF2" w:rsidP="004947F4">
            <w:pPr>
              <w:bidi w:val="0"/>
              <w:spacing w:after="0" w:line="240" w:lineRule="auto"/>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 xml:space="preserve">         - menové zlato a SDR </w:t>
            </w:r>
          </w:p>
        </w:tc>
        <w:tc>
          <w:tcPr>
            <w:tcW w:w="164" w:type="pct"/>
            <w:tcBorders>
              <w:top w:val="nil"/>
              <w:left w:val="nil"/>
              <w:bottom w:val="nil"/>
              <w:right w:val="nil"/>
            </w:tcBorders>
            <w:noWrap/>
            <w:textDirection w:val="lrTb"/>
            <w:vAlign w:val="bottom"/>
            <w:hideMark/>
          </w:tcPr>
          <w:p w:rsidR="004B28B7" w:rsidRPr="00175FF2" w:rsidP="004947F4">
            <w:pPr>
              <w:bidi w:val="0"/>
              <w:spacing w:after="0" w:line="240" w:lineRule="auto"/>
              <w:rPr>
                <w:rFonts w:ascii="Times New Roman" w:hAnsi="Times New Roman" w:cs="Times New Roman"/>
                <w:color w:val="000000"/>
                <w:sz w:val="20"/>
                <w:szCs w:val="20"/>
                <w:lang w:eastAsia="sk-SK"/>
              </w:rPr>
            </w:pP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0</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0</w:t>
            </w:r>
          </w:p>
        </w:tc>
        <w:tc>
          <w:tcPr>
            <w:tcW w:w="712" w:type="pct"/>
            <w:tcBorders>
              <w:top w:val="nil"/>
              <w:left w:val="nil"/>
              <w:bottom w:val="nil"/>
              <w:right w:val="single" w:sz="8" w:space="0" w:color="auto"/>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0</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0,0</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0,0</w:t>
            </w:r>
          </w:p>
        </w:tc>
      </w:tr>
      <w:tr>
        <w:tblPrEx>
          <w:tblW w:w="5000" w:type="pct"/>
          <w:tblCellMar>
            <w:left w:w="70" w:type="dxa"/>
            <w:right w:w="70" w:type="dxa"/>
          </w:tblCellMar>
          <w:tblLook w:val="04A0"/>
        </w:tblPrEx>
        <w:trPr>
          <w:trHeight w:val="330"/>
        </w:trPr>
        <w:tc>
          <w:tcPr>
            <w:tcW w:w="988" w:type="pct"/>
            <w:tcBorders>
              <w:top w:val="nil"/>
              <w:left w:val="nil"/>
              <w:bottom w:val="nil"/>
              <w:right w:val="nil"/>
            </w:tcBorders>
            <w:noWrap/>
            <w:textDirection w:val="lrTb"/>
            <w:vAlign w:val="center"/>
            <w:hideMark/>
          </w:tcPr>
          <w:p w:rsidR="004B28B7" w:rsidRPr="00175FF2" w:rsidP="004947F4">
            <w:pPr>
              <w:bidi w:val="0"/>
              <w:spacing w:after="0" w:line="240" w:lineRule="auto"/>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 xml:space="preserve">         - hotovosť na účtoch VS </w:t>
            </w:r>
          </w:p>
        </w:tc>
        <w:tc>
          <w:tcPr>
            <w:tcW w:w="164" w:type="pct"/>
            <w:tcBorders>
              <w:top w:val="nil"/>
              <w:left w:val="nil"/>
              <w:bottom w:val="nil"/>
              <w:right w:val="nil"/>
            </w:tcBorders>
            <w:noWrap/>
            <w:textDirection w:val="lrTb"/>
            <w:vAlign w:val="bottom"/>
            <w:hideMark/>
          </w:tcPr>
          <w:p w:rsidR="004B28B7" w:rsidRPr="00175FF2" w:rsidP="004947F4">
            <w:pPr>
              <w:bidi w:val="0"/>
              <w:spacing w:after="0" w:line="240" w:lineRule="auto"/>
              <w:rPr>
                <w:rFonts w:ascii="Times New Roman" w:hAnsi="Times New Roman" w:cs="Times New Roman"/>
                <w:color w:val="000000"/>
                <w:sz w:val="20"/>
                <w:szCs w:val="20"/>
                <w:lang w:eastAsia="sk-SK"/>
              </w:rPr>
            </w:pP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4 965 492</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2 835 006</w:t>
            </w:r>
          </w:p>
        </w:tc>
        <w:tc>
          <w:tcPr>
            <w:tcW w:w="712" w:type="pct"/>
            <w:tcBorders>
              <w:top w:val="nil"/>
              <w:left w:val="nil"/>
              <w:bottom w:val="nil"/>
              <w:right w:val="single" w:sz="8" w:space="0" w:color="auto"/>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3 336 461</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6,7</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3,7</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4,2</w:t>
            </w:r>
          </w:p>
        </w:tc>
      </w:tr>
      <w:tr>
        <w:tblPrEx>
          <w:tblW w:w="5000" w:type="pct"/>
          <w:tblCellMar>
            <w:left w:w="70" w:type="dxa"/>
            <w:right w:w="70" w:type="dxa"/>
          </w:tblCellMar>
          <w:tblLook w:val="04A0"/>
        </w:tblPrEx>
        <w:trPr>
          <w:trHeight w:val="330"/>
        </w:trPr>
        <w:tc>
          <w:tcPr>
            <w:tcW w:w="988" w:type="pct"/>
            <w:tcBorders>
              <w:top w:val="nil"/>
              <w:left w:val="nil"/>
              <w:bottom w:val="nil"/>
              <w:right w:val="nil"/>
            </w:tcBorders>
            <w:noWrap/>
            <w:textDirection w:val="lrTb"/>
            <w:vAlign w:val="center"/>
            <w:hideMark/>
          </w:tcPr>
          <w:p w:rsidR="004B28B7" w:rsidRPr="00175FF2" w:rsidP="004947F4">
            <w:pPr>
              <w:bidi w:val="0"/>
              <w:spacing w:after="0" w:line="240" w:lineRule="auto"/>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 xml:space="preserve">         - cenné papiere</w:t>
            </w:r>
          </w:p>
        </w:tc>
        <w:tc>
          <w:tcPr>
            <w:tcW w:w="164" w:type="pct"/>
            <w:tcBorders>
              <w:top w:val="nil"/>
              <w:left w:val="nil"/>
              <w:bottom w:val="nil"/>
              <w:right w:val="nil"/>
            </w:tcBorders>
            <w:noWrap/>
            <w:textDirection w:val="lrTb"/>
            <w:vAlign w:val="bottom"/>
            <w:hideMark/>
          </w:tcPr>
          <w:p w:rsidR="004B28B7" w:rsidRPr="00175FF2" w:rsidP="004947F4">
            <w:pPr>
              <w:bidi w:val="0"/>
              <w:spacing w:after="0" w:line="240" w:lineRule="auto"/>
              <w:rPr>
                <w:rFonts w:ascii="Times New Roman" w:hAnsi="Times New Roman" w:cs="Times New Roman"/>
                <w:color w:val="000000"/>
                <w:sz w:val="20"/>
                <w:szCs w:val="20"/>
                <w:lang w:eastAsia="sk-SK"/>
              </w:rPr>
            </w:pP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20 458</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50 002</w:t>
            </w:r>
          </w:p>
        </w:tc>
        <w:tc>
          <w:tcPr>
            <w:tcW w:w="712" w:type="pct"/>
            <w:tcBorders>
              <w:top w:val="nil"/>
              <w:left w:val="nil"/>
              <w:bottom w:val="nil"/>
              <w:right w:val="single" w:sz="8" w:space="0" w:color="auto"/>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20 029</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0,1</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0,0</w:t>
            </w:r>
          </w:p>
        </w:tc>
      </w:tr>
      <w:tr>
        <w:tblPrEx>
          <w:tblW w:w="5000" w:type="pct"/>
          <w:tblCellMar>
            <w:left w:w="70" w:type="dxa"/>
            <w:right w:w="70" w:type="dxa"/>
          </w:tblCellMar>
          <w:tblLook w:val="04A0"/>
        </w:tblPrEx>
        <w:trPr>
          <w:trHeight w:val="330"/>
        </w:trPr>
        <w:tc>
          <w:tcPr>
            <w:tcW w:w="988" w:type="pct"/>
            <w:tcBorders>
              <w:top w:val="nil"/>
              <w:left w:val="nil"/>
              <w:bottom w:val="nil"/>
              <w:right w:val="nil"/>
            </w:tcBorders>
            <w:noWrap/>
            <w:textDirection w:val="lrTb"/>
            <w:vAlign w:val="center"/>
            <w:hideMark/>
          </w:tcPr>
          <w:p w:rsidR="004B28B7" w:rsidRPr="00175FF2" w:rsidP="004947F4">
            <w:pPr>
              <w:bidi w:val="0"/>
              <w:spacing w:after="0" w:line="240" w:lineRule="auto"/>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 xml:space="preserve">         - kótované akcie</w:t>
            </w:r>
          </w:p>
        </w:tc>
        <w:tc>
          <w:tcPr>
            <w:tcW w:w="164" w:type="pct"/>
            <w:tcBorders>
              <w:top w:val="nil"/>
              <w:left w:val="nil"/>
              <w:bottom w:val="nil"/>
              <w:right w:val="nil"/>
            </w:tcBorders>
            <w:noWrap/>
            <w:textDirection w:val="lrTb"/>
            <w:vAlign w:val="bottom"/>
            <w:hideMark/>
          </w:tcPr>
          <w:p w:rsidR="004B28B7" w:rsidRPr="00175FF2" w:rsidP="004947F4">
            <w:pPr>
              <w:bidi w:val="0"/>
              <w:spacing w:after="0" w:line="240" w:lineRule="auto"/>
              <w:rPr>
                <w:rFonts w:ascii="Times New Roman" w:hAnsi="Times New Roman" w:cs="Times New Roman"/>
                <w:color w:val="000000"/>
                <w:sz w:val="20"/>
                <w:szCs w:val="20"/>
                <w:lang w:eastAsia="sk-SK"/>
              </w:rPr>
            </w:pP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0</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0</w:t>
            </w:r>
          </w:p>
        </w:tc>
        <w:tc>
          <w:tcPr>
            <w:tcW w:w="712" w:type="pct"/>
            <w:tcBorders>
              <w:top w:val="nil"/>
              <w:left w:val="nil"/>
              <w:bottom w:val="nil"/>
              <w:right w:val="single" w:sz="8" w:space="0" w:color="auto"/>
            </w:tcBorders>
            <w:textDirection w:val="lrTb"/>
            <w:vAlign w:val="center"/>
            <w:hideMark/>
          </w:tcPr>
          <w:p w:rsidR="004B28B7" w:rsidRPr="00175FF2" w:rsidP="004947F4">
            <w:pPr>
              <w:bidi w:val="0"/>
              <w:spacing w:after="0" w:line="240" w:lineRule="auto"/>
              <w:jc w:val="right"/>
              <w:rPr>
                <w:rFonts w:ascii="Times New Roman" w:hAnsi="Times New Roman" w:cs="Times New Roman"/>
                <w:sz w:val="20"/>
                <w:szCs w:val="20"/>
                <w:lang w:eastAsia="sk-SK"/>
              </w:rPr>
            </w:pPr>
            <w:r w:rsidRPr="00175FF2">
              <w:rPr>
                <w:rFonts w:ascii="Times New Roman" w:hAnsi="Times New Roman" w:cs="Times New Roman"/>
                <w:sz w:val="20"/>
                <w:szCs w:val="20"/>
                <w:lang w:eastAsia="sk-SK"/>
              </w:rPr>
              <w:t>0</w:t>
            </w:r>
          </w:p>
        </w:tc>
        <w:tc>
          <w:tcPr>
            <w:tcW w:w="712"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0,0</w:t>
            </w:r>
          </w:p>
        </w:tc>
        <w:tc>
          <w:tcPr>
            <w:tcW w:w="500" w:type="pct"/>
            <w:tcBorders>
              <w:top w:val="nil"/>
              <w:left w:val="nil"/>
              <w:bottom w:val="nil"/>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color w:val="000000"/>
                <w:sz w:val="20"/>
                <w:szCs w:val="20"/>
                <w:lang w:eastAsia="sk-SK"/>
              </w:rPr>
            </w:pPr>
            <w:r w:rsidRPr="00175FF2">
              <w:rPr>
                <w:rFonts w:ascii="Times New Roman" w:hAnsi="Times New Roman" w:cs="Times New Roman"/>
                <w:color w:val="000000"/>
                <w:sz w:val="20"/>
                <w:szCs w:val="20"/>
                <w:lang w:eastAsia="sk-SK"/>
              </w:rPr>
              <w:t>0,0</w:t>
            </w:r>
          </w:p>
        </w:tc>
      </w:tr>
      <w:tr>
        <w:tblPrEx>
          <w:tblW w:w="5000" w:type="pct"/>
          <w:tblCellMar>
            <w:left w:w="70" w:type="dxa"/>
            <w:right w:w="70" w:type="dxa"/>
          </w:tblCellMar>
          <w:tblLook w:val="04A0"/>
        </w:tblPrEx>
        <w:trPr>
          <w:trHeight w:val="270"/>
        </w:trPr>
        <w:tc>
          <w:tcPr>
            <w:tcW w:w="988" w:type="pct"/>
            <w:tcBorders>
              <w:top w:val="nil"/>
              <w:left w:val="nil"/>
              <w:bottom w:val="single" w:sz="8" w:space="0" w:color="auto"/>
              <w:right w:val="nil"/>
            </w:tcBorders>
            <w:noWrap/>
            <w:textDirection w:val="lrTb"/>
            <w:vAlign w:val="center"/>
            <w:hideMark/>
          </w:tcPr>
          <w:p w:rsidR="004B28B7" w:rsidRPr="00175FF2" w:rsidP="004947F4">
            <w:pPr>
              <w:bidi w:val="0"/>
              <w:spacing w:after="0" w:line="240" w:lineRule="auto"/>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 xml:space="preserve">Čistý dlh verejnej správy                               </w:t>
            </w:r>
          </w:p>
        </w:tc>
        <w:tc>
          <w:tcPr>
            <w:tcW w:w="164" w:type="pct"/>
            <w:tcBorders>
              <w:top w:val="nil"/>
              <w:left w:val="nil"/>
              <w:bottom w:val="single" w:sz="8" w:space="0" w:color="auto"/>
              <w:right w:val="nil"/>
            </w:tcBorders>
            <w:noWrap/>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(1-2)</w:t>
            </w:r>
          </w:p>
        </w:tc>
        <w:tc>
          <w:tcPr>
            <w:tcW w:w="712" w:type="pct"/>
            <w:tcBorders>
              <w:top w:val="nil"/>
              <w:left w:val="nil"/>
              <w:bottom w:val="single" w:sz="8" w:space="0" w:color="auto"/>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35 614 059</w:t>
            </w:r>
          </w:p>
        </w:tc>
        <w:tc>
          <w:tcPr>
            <w:tcW w:w="712" w:type="pct"/>
            <w:tcBorders>
              <w:top w:val="nil"/>
              <w:left w:val="nil"/>
              <w:bottom w:val="single" w:sz="8" w:space="0" w:color="auto"/>
              <w:right w:val="nil"/>
            </w:tcBorders>
            <w:textDirection w:val="lrTb"/>
            <w:vAlign w:val="center"/>
            <w:hideMark/>
          </w:tcPr>
          <w:p w:rsidR="004B28B7" w:rsidRPr="00175FF2" w:rsidP="004947F4">
            <w:pPr>
              <w:bidi w:val="0"/>
              <w:spacing w:after="0" w:line="240" w:lineRule="auto"/>
              <w:jc w:val="right"/>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37 840 010</w:t>
            </w:r>
          </w:p>
        </w:tc>
        <w:tc>
          <w:tcPr>
            <w:tcW w:w="712" w:type="pct"/>
            <w:tcBorders>
              <w:top w:val="nil"/>
              <w:left w:val="nil"/>
              <w:bottom w:val="single" w:sz="8" w:space="0" w:color="auto"/>
              <w:right w:val="single" w:sz="8" w:space="0" w:color="auto"/>
            </w:tcBorders>
            <w:textDirection w:val="lrTb"/>
            <w:vAlign w:val="center"/>
            <w:hideMark/>
          </w:tcPr>
          <w:p w:rsidR="004B28B7" w:rsidRPr="00175FF2" w:rsidP="004947F4">
            <w:pPr>
              <w:bidi w:val="0"/>
              <w:spacing w:after="0" w:line="240" w:lineRule="auto"/>
              <w:jc w:val="right"/>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37 936 825</w:t>
            </w:r>
          </w:p>
        </w:tc>
        <w:tc>
          <w:tcPr>
            <w:tcW w:w="712" w:type="pct"/>
            <w:tcBorders>
              <w:top w:val="nil"/>
              <w:left w:val="nil"/>
              <w:bottom w:val="single" w:sz="8" w:space="0" w:color="auto"/>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48,0</w:t>
            </w:r>
          </w:p>
        </w:tc>
        <w:tc>
          <w:tcPr>
            <w:tcW w:w="500" w:type="pct"/>
            <w:tcBorders>
              <w:top w:val="nil"/>
              <w:left w:val="nil"/>
              <w:bottom w:val="single" w:sz="8" w:space="0" w:color="auto"/>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49,8</w:t>
            </w:r>
          </w:p>
        </w:tc>
        <w:tc>
          <w:tcPr>
            <w:tcW w:w="500" w:type="pct"/>
            <w:tcBorders>
              <w:top w:val="nil"/>
              <w:left w:val="nil"/>
              <w:bottom w:val="single" w:sz="8" w:space="0" w:color="auto"/>
              <w:right w:val="nil"/>
            </w:tcBorders>
            <w:textDirection w:val="lrTb"/>
            <w:vAlign w:val="center"/>
            <w:hideMark/>
          </w:tcPr>
          <w:p w:rsidR="004B28B7" w:rsidRPr="00175FF2" w:rsidP="004947F4">
            <w:pPr>
              <w:bidi w:val="0"/>
              <w:spacing w:after="0" w:line="240" w:lineRule="auto"/>
              <w:jc w:val="center"/>
              <w:rPr>
                <w:rFonts w:ascii="Times New Roman" w:hAnsi="Times New Roman" w:cs="Times New Roman"/>
                <w:b/>
                <w:bCs/>
                <w:color w:val="000000"/>
                <w:sz w:val="20"/>
                <w:szCs w:val="20"/>
                <w:lang w:eastAsia="sk-SK"/>
              </w:rPr>
            </w:pPr>
            <w:r w:rsidRPr="00175FF2">
              <w:rPr>
                <w:rFonts w:ascii="Times New Roman" w:hAnsi="Times New Roman" w:cs="Times New Roman"/>
                <w:b/>
                <w:bCs/>
                <w:color w:val="000000"/>
                <w:sz w:val="20"/>
                <w:szCs w:val="20"/>
                <w:lang w:eastAsia="sk-SK"/>
              </w:rPr>
              <w:t>48,2</w:t>
            </w:r>
          </w:p>
        </w:tc>
      </w:tr>
    </w:tbl>
    <w:p w:rsidR="004B28B7" w:rsidRPr="005C44A3" w:rsidP="005C44A3">
      <w:pPr>
        <w:bidi w:val="0"/>
        <w:jc w:val="right"/>
        <w:rPr>
          <w:rFonts w:ascii="Times New Roman" w:hAnsi="Times New Roman" w:cs="Times New Roman"/>
          <w:i/>
          <w:sz w:val="20"/>
          <w:szCs w:val="20"/>
        </w:rPr>
      </w:pPr>
      <w:r w:rsidRPr="005C44A3" w:rsidR="005C44A3">
        <w:rPr>
          <w:rFonts w:ascii="Times New Roman" w:hAnsi="Times New Roman" w:cs="Times New Roman"/>
          <w:i/>
          <w:sz w:val="20"/>
          <w:szCs w:val="20"/>
        </w:rPr>
        <w:t xml:space="preserve">Zdroj: </w:t>
      </w:r>
      <w:r w:rsidR="00D625DF">
        <w:rPr>
          <w:rFonts w:ascii="Times New Roman" w:hAnsi="Times New Roman" w:cs="Times New Roman"/>
          <w:i/>
          <w:sz w:val="20"/>
          <w:szCs w:val="20"/>
        </w:rPr>
        <w:t>MF</w:t>
      </w:r>
      <w:r w:rsidR="005C44A3">
        <w:rPr>
          <w:rFonts w:ascii="Times New Roman" w:hAnsi="Times New Roman" w:cs="Times New Roman"/>
          <w:i/>
          <w:sz w:val="20"/>
          <w:szCs w:val="20"/>
        </w:rPr>
        <w:t xml:space="preserve"> SR</w:t>
      </w:r>
    </w:p>
    <w:p w:rsidR="006F14B2" w:rsidRPr="00A53EAC" w:rsidP="00652AE0">
      <w:pPr>
        <w:pStyle w:val="Heading2"/>
        <w:numPr>
          <w:numId w:val="48"/>
        </w:numPr>
        <w:bidi w:val="0"/>
        <w:spacing w:before="120" w:after="120" w:line="336" w:lineRule="auto"/>
        <w:ind w:left="425" w:hanging="425"/>
        <w:rPr>
          <w:rFonts w:eastAsiaTheme="minorHAnsi"/>
        </w:rPr>
      </w:pPr>
      <w:bookmarkStart w:id="52" w:name="_Toc465258478"/>
      <w:r w:rsidRPr="00A53EAC">
        <w:rPr>
          <w:rFonts w:eastAsiaTheme="minorHAnsi"/>
        </w:rPr>
        <w:t>Rozdiely medzi októbrovou a aprílovou notifikáciou údajov</w:t>
      </w:r>
      <w:bookmarkEnd w:id="50"/>
      <w:bookmarkEnd w:id="51"/>
      <w:bookmarkEnd w:id="52"/>
      <w:r w:rsidRPr="00A53EAC">
        <w:rPr>
          <w:rFonts w:eastAsiaTheme="minorHAnsi"/>
        </w:rPr>
        <w:t xml:space="preserve"> </w:t>
      </w:r>
    </w:p>
    <w:p w:rsidR="006F14B2" w:rsidRPr="00A53EAC" w:rsidP="006F14B2">
      <w:pPr>
        <w:bidi w:val="0"/>
        <w:spacing w:after="120" w:line="336" w:lineRule="auto"/>
        <w:jc w:val="both"/>
        <w:rPr>
          <w:rFonts w:ascii="Times New Roman" w:hAnsi="Times New Roman" w:cs="Times New Roman"/>
        </w:rPr>
      </w:pPr>
      <w:r w:rsidRPr="00A53EAC">
        <w:rPr>
          <w:rFonts w:ascii="Times New Roman" w:hAnsi="Times New Roman" w:cs="Times New Roman"/>
        </w:rPr>
        <w:t>Nariadenie Rady (ES) o uplatňovaní Protokolu o postupe pri nadmernom schodku stanovuje podrobné pravidlá pre organizovanie rýchleho a pravidelného vykazovania plánovaných a skutočných výsledkov hospodárenia s financiami verejnej správy. Podľa tohto nariadenia sa Európskej komisii (Eurostatu) predkladajú výsledky hospodárenia verejnej správy za uplynulé obdobie dvakrát ročne, prvýkrát do</w:t>
      </w:r>
      <w:r>
        <w:rPr>
          <w:rFonts w:ascii="Times New Roman" w:hAnsi="Times New Roman" w:cs="Times New Roman"/>
        </w:rPr>
        <w:t> </w:t>
      </w:r>
      <w:r w:rsidRPr="00A53EAC">
        <w:rPr>
          <w:rFonts w:ascii="Times New Roman" w:hAnsi="Times New Roman" w:cs="Times New Roman"/>
        </w:rPr>
        <w:t>1. apríla bežného roka (tzv. aprílová notifikácia) a aktualizované údaje druhýkrát do 1. októbra bežného roka (tzv. októbrová notifikácia).</w:t>
      </w:r>
    </w:p>
    <w:p w:rsidR="004B28B7" w:rsidP="006F14B2">
      <w:pPr>
        <w:bidi w:val="0"/>
        <w:spacing w:after="120" w:line="336" w:lineRule="auto"/>
        <w:jc w:val="both"/>
        <w:rPr>
          <w:rFonts w:ascii="Times New Roman" w:eastAsia="Calibri" w:hAnsi="Times New Roman" w:cs="Times New Roman"/>
        </w:rPr>
      </w:pPr>
      <w:r w:rsidRPr="00A53EAC" w:rsidR="006F14B2">
        <w:rPr>
          <w:rFonts w:ascii="Times New Roman" w:eastAsia="Calibri" w:hAnsi="Times New Roman" w:cs="Times New Roman" w:hint="default"/>
        </w:rPr>
        <w:t>Schodok hospodá</w:t>
      </w:r>
      <w:r w:rsidRPr="00A53EAC" w:rsidR="006F14B2">
        <w:rPr>
          <w:rFonts w:ascii="Times New Roman" w:eastAsia="Calibri" w:hAnsi="Times New Roman" w:cs="Times New Roman" w:hint="default"/>
        </w:rPr>
        <w:t>renia, ktorý</w:t>
      </w:r>
      <w:r w:rsidRPr="00A53EAC" w:rsidR="006F14B2">
        <w:rPr>
          <w:rFonts w:ascii="Times New Roman" w:eastAsia="Calibri" w:hAnsi="Times New Roman" w:cs="Times New Roman" w:hint="default"/>
        </w:rPr>
        <w:t xml:space="preserve"> bol vyká</w:t>
      </w:r>
      <w:r w:rsidRPr="00A53EAC" w:rsidR="006F14B2">
        <w:rPr>
          <w:rFonts w:ascii="Times New Roman" w:eastAsia="Calibri" w:hAnsi="Times New Roman" w:cs="Times New Roman" w:hint="default"/>
        </w:rPr>
        <w:t>zaný</w:t>
      </w:r>
      <w:r w:rsidRPr="00A53EAC" w:rsidR="006F14B2">
        <w:rPr>
          <w:rFonts w:ascii="Times New Roman" w:eastAsia="Calibri" w:hAnsi="Times New Roman" w:cs="Times New Roman" w:hint="default"/>
        </w:rPr>
        <w:t xml:space="preserve"> k </w:t>
      </w:r>
      <w:r w:rsidRPr="00A53EAC" w:rsidR="006F14B2">
        <w:rPr>
          <w:rFonts w:ascii="Times New Roman" w:eastAsia="Calibri" w:hAnsi="Times New Roman" w:cs="Times New Roman" w:hint="default"/>
        </w:rPr>
        <w:t>1. aprí</w:t>
      </w:r>
      <w:r w:rsidRPr="00A53EAC" w:rsidR="006F14B2">
        <w:rPr>
          <w:rFonts w:ascii="Times New Roman" w:eastAsia="Calibri" w:hAnsi="Times New Roman" w:cs="Times New Roman" w:hint="default"/>
        </w:rPr>
        <w:t>l</w:t>
      </w:r>
      <w:r w:rsidRPr="00A53EAC" w:rsidR="006F14B2">
        <w:rPr>
          <w:rFonts w:ascii="Times New Roman" w:eastAsia="Calibri" w:hAnsi="Times New Roman" w:cs="Times New Roman" w:hint="default"/>
        </w:rPr>
        <w:t>u 201</w:t>
      </w:r>
      <w:r w:rsidR="005E7123">
        <w:rPr>
          <w:rFonts w:ascii="Times New Roman" w:eastAsia="Calibri" w:hAnsi="Times New Roman" w:cs="Times New Roman"/>
        </w:rPr>
        <w:t>6</w:t>
      </w:r>
      <w:r w:rsidRPr="00A53EAC" w:rsidR="006F14B2">
        <w:rPr>
          <w:rFonts w:ascii="Times New Roman" w:eastAsia="Calibri" w:hAnsi="Times New Roman" w:cs="Times New Roman" w:hint="default"/>
        </w:rPr>
        <w:t xml:space="preserve"> sa zníž</w:t>
      </w:r>
      <w:r w:rsidRPr="00A53EAC" w:rsidR="006F14B2">
        <w:rPr>
          <w:rFonts w:ascii="Times New Roman" w:eastAsia="Calibri" w:hAnsi="Times New Roman" w:cs="Times New Roman" w:hint="default"/>
        </w:rPr>
        <w:t>il o 0,</w:t>
      </w:r>
      <w:r w:rsidR="006F14B2">
        <w:rPr>
          <w:rFonts w:ascii="Times New Roman" w:eastAsia="Calibri" w:hAnsi="Times New Roman" w:cs="Times New Roman"/>
        </w:rPr>
        <w:t>3</w:t>
      </w:r>
      <w:r w:rsidRPr="00A53EAC" w:rsidR="006F14B2">
        <w:rPr>
          <w:rFonts w:ascii="Times New Roman" w:eastAsia="Calibri" w:hAnsi="Times New Roman" w:cs="Times New Roman"/>
        </w:rPr>
        <w:t> </w:t>
      </w:r>
      <w:r w:rsidRPr="00A53EAC" w:rsidR="006F14B2">
        <w:rPr>
          <w:rFonts w:ascii="Times New Roman" w:eastAsia="Calibri" w:hAnsi="Times New Roman" w:cs="Times New Roman" w:hint="default"/>
        </w:rPr>
        <w:t>% HDP. Jednotlivé</w:t>
      </w:r>
      <w:r w:rsidRPr="00A53EAC" w:rsidR="006F14B2">
        <w:rPr>
          <w:rFonts w:ascii="Times New Roman" w:eastAsia="Calibri" w:hAnsi="Times New Roman" w:cs="Times New Roman" w:hint="default"/>
        </w:rPr>
        <w:t xml:space="preserve"> polož</w:t>
      </w:r>
      <w:r w:rsidRPr="00A53EAC" w:rsidR="006F14B2">
        <w:rPr>
          <w:rFonts w:ascii="Times New Roman" w:eastAsia="Calibri" w:hAnsi="Times New Roman" w:cs="Times New Roman" w:hint="default"/>
        </w:rPr>
        <w:t>ky aktualizá</w:t>
      </w:r>
      <w:r w:rsidRPr="00A53EAC" w:rsidR="006F14B2">
        <w:rPr>
          <w:rFonts w:ascii="Times New Roman" w:eastAsia="Calibri" w:hAnsi="Times New Roman" w:cs="Times New Roman" w:hint="default"/>
        </w:rPr>
        <w:t>cie ukazuje nasledovná</w:t>
      </w:r>
      <w:r w:rsidRPr="00A53EAC" w:rsidR="006F14B2">
        <w:rPr>
          <w:rFonts w:ascii="Times New Roman" w:eastAsia="Calibri" w:hAnsi="Times New Roman" w:cs="Times New Roman" w:hint="default"/>
        </w:rPr>
        <w:t xml:space="preserve"> tabuľ</w:t>
      </w:r>
      <w:r w:rsidRPr="00A53EAC" w:rsidR="006F14B2">
        <w:rPr>
          <w:rFonts w:ascii="Times New Roman" w:eastAsia="Calibri" w:hAnsi="Times New Roman" w:cs="Times New Roman" w:hint="default"/>
        </w:rPr>
        <w:t>ka.</w:t>
      </w:r>
    </w:p>
    <w:p w:rsidR="004B28B7">
      <w:pPr>
        <w:bidi w:val="0"/>
        <w:rPr>
          <w:rFonts w:ascii="Times New Roman" w:eastAsia="Calibri" w:hAnsi="Times New Roman" w:cs="Times New Roman"/>
        </w:rPr>
      </w:pPr>
      <w:r>
        <w:rPr>
          <w:rFonts w:ascii="Times New Roman" w:eastAsia="Calibri" w:hAnsi="Times New Roman" w:cs="Times New Roman"/>
        </w:rPr>
        <w:br w:type="page"/>
      </w:r>
    </w:p>
    <w:tbl>
      <w:tblPr>
        <w:tblStyle w:val="TableNormal"/>
        <w:tblW w:w="5000" w:type="pct"/>
        <w:tblLayout w:type="fixed"/>
        <w:tblCellMar>
          <w:left w:w="70" w:type="dxa"/>
          <w:right w:w="70" w:type="dxa"/>
        </w:tblCellMar>
        <w:tblLook w:val="04A0"/>
      </w:tblPr>
      <w:tblGrid>
        <w:gridCol w:w="3596"/>
        <w:gridCol w:w="1249"/>
        <w:gridCol w:w="676"/>
        <w:gridCol w:w="3690"/>
      </w:tblGrid>
      <w:tr>
        <w:tblPrEx>
          <w:tblW w:w="5000" w:type="pct"/>
          <w:tblLayout w:type="fixed"/>
          <w:tblCellMar>
            <w:left w:w="70" w:type="dxa"/>
            <w:right w:w="70" w:type="dxa"/>
          </w:tblCellMar>
          <w:tblLook w:val="04A0"/>
        </w:tblPrEx>
        <w:trPr>
          <w:trHeight w:val="255"/>
        </w:trPr>
        <w:tc>
          <w:tcPr>
            <w:tcW w:w="5000" w:type="pct"/>
            <w:gridSpan w:val="4"/>
            <w:tcBorders>
              <w:top w:val="single" w:sz="4" w:space="0" w:color="auto"/>
              <w:left w:val="nil"/>
              <w:bottom w:val="single" w:sz="4" w:space="0" w:color="auto"/>
              <w:right w:val="nil"/>
            </w:tcBorders>
            <w:shd w:val="clear" w:color="000000" w:fill="000000"/>
            <w:noWrap/>
            <w:textDirection w:val="lrTb"/>
            <w:vAlign w:val="center"/>
            <w:hideMark/>
          </w:tcPr>
          <w:p w:rsidR="006F14B2" w:rsidRPr="00B45E64" w:rsidP="000B4414">
            <w:pPr>
              <w:bidi w:val="0"/>
              <w:spacing w:after="0" w:line="240" w:lineRule="auto"/>
              <w:rPr>
                <w:rFonts w:ascii="Times New Roman" w:hAnsi="Times New Roman" w:cs="Times New Roman"/>
                <w:b/>
                <w:bCs/>
                <w:color w:val="FFFFFF"/>
                <w:sz w:val="20"/>
                <w:szCs w:val="20"/>
                <w:lang w:eastAsia="sk-SK"/>
              </w:rPr>
            </w:pPr>
            <w:r w:rsidRPr="00B45E64">
              <w:rPr>
                <w:rFonts w:ascii="Times New Roman" w:hAnsi="Times New Roman" w:cs="Times New Roman"/>
                <w:b/>
                <w:bCs/>
                <w:color w:val="FFFFFF"/>
                <w:sz w:val="20"/>
                <w:szCs w:val="20"/>
                <w:lang w:eastAsia="sk-SK"/>
              </w:rPr>
              <w:t>Úpravy schodku za rok 2015 pri októbrovej notifikácii v metodike ESA 2010</w:t>
            </w:r>
          </w:p>
        </w:tc>
      </w:tr>
      <w:tr>
        <w:tblPrEx>
          <w:tblW w:w="5000" w:type="pct"/>
          <w:tblLayout w:type="fixed"/>
          <w:tblCellMar>
            <w:left w:w="70" w:type="dxa"/>
            <w:right w:w="70" w:type="dxa"/>
          </w:tblCellMar>
          <w:tblLook w:val="04A0"/>
        </w:tblPrEx>
        <w:trPr>
          <w:trHeight w:val="510"/>
        </w:trPr>
        <w:tc>
          <w:tcPr>
            <w:tcW w:w="1952" w:type="pct"/>
            <w:tcBorders>
              <w:top w:val="nil"/>
              <w:left w:val="nil"/>
              <w:bottom w:val="nil"/>
              <w:right w:val="nil"/>
            </w:tcBorders>
            <w:shd w:val="clear" w:color="000000" w:fill="808080"/>
            <w:textDirection w:val="lrTb"/>
            <w:vAlign w:val="center"/>
            <w:hideMark/>
          </w:tcPr>
          <w:p w:rsidR="006F14B2" w:rsidRPr="00B45E64" w:rsidP="000B4414">
            <w:pPr>
              <w:bidi w:val="0"/>
              <w:spacing w:after="0" w:line="240" w:lineRule="auto"/>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Upravené položky</w:t>
            </w:r>
          </w:p>
        </w:tc>
        <w:tc>
          <w:tcPr>
            <w:tcW w:w="678" w:type="pct"/>
            <w:tcBorders>
              <w:top w:val="nil"/>
              <w:left w:val="nil"/>
              <w:bottom w:val="nil"/>
              <w:right w:val="nil"/>
            </w:tcBorders>
            <w:shd w:val="clear" w:color="000000" w:fill="808080"/>
            <w:textDirection w:val="lrTb"/>
            <w:vAlign w:val="center"/>
            <w:hideMark/>
          </w:tcPr>
          <w:p w:rsidR="006F14B2" w:rsidRPr="00B45E64" w:rsidP="000B4414">
            <w:pPr>
              <w:bidi w:val="0"/>
              <w:spacing w:after="0" w:line="240" w:lineRule="auto"/>
              <w:jc w:val="center"/>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tis. €</w:t>
            </w:r>
          </w:p>
        </w:tc>
        <w:tc>
          <w:tcPr>
            <w:tcW w:w="367" w:type="pct"/>
            <w:tcBorders>
              <w:top w:val="nil"/>
              <w:left w:val="nil"/>
              <w:bottom w:val="nil"/>
              <w:right w:val="nil"/>
            </w:tcBorders>
            <w:shd w:val="clear" w:color="000000" w:fill="808080"/>
            <w:textDirection w:val="lrTb"/>
            <w:vAlign w:val="center"/>
            <w:hideMark/>
          </w:tcPr>
          <w:p w:rsidR="006F14B2" w:rsidRPr="00B45E64" w:rsidP="000B4414">
            <w:pPr>
              <w:bidi w:val="0"/>
              <w:spacing w:after="0" w:line="240" w:lineRule="auto"/>
              <w:jc w:val="center"/>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 xml:space="preserve">% </w:t>
              <w:br/>
              <w:t>HDP</w:t>
            </w:r>
          </w:p>
        </w:tc>
        <w:tc>
          <w:tcPr>
            <w:tcW w:w="2003" w:type="pct"/>
            <w:tcBorders>
              <w:top w:val="nil"/>
              <w:left w:val="nil"/>
              <w:bottom w:val="nil"/>
              <w:right w:val="nil"/>
            </w:tcBorders>
            <w:shd w:val="clear" w:color="000000" w:fill="808080"/>
            <w:textDirection w:val="lrTb"/>
            <w:vAlign w:val="center"/>
            <w:hideMark/>
          </w:tcPr>
          <w:p w:rsidR="006F14B2" w:rsidRPr="00B45E64" w:rsidP="000B4414">
            <w:pPr>
              <w:bidi w:val="0"/>
              <w:spacing w:after="0" w:line="240" w:lineRule="auto"/>
              <w:jc w:val="center"/>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Zdôvodnenie úprav</w:t>
            </w:r>
          </w:p>
        </w:tc>
      </w:tr>
      <w:tr>
        <w:tblPrEx>
          <w:tblW w:w="5000" w:type="pct"/>
          <w:tblLayout w:type="fixed"/>
          <w:tblCellMar>
            <w:left w:w="70" w:type="dxa"/>
            <w:right w:w="70" w:type="dxa"/>
          </w:tblCellMar>
          <w:tblLook w:val="04A0"/>
        </w:tblPrEx>
        <w:trPr>
          <w:trHeight w:val="255"/>
        </w:trPr>
        <w:tc>
          <w:tcPr>
            <w:tcW w:w="1952" w:type="pct"/>
            <w:tcBorders>
              <w:top w:val="single" w:sz="4" w:space="0" w:color="auto"/>
              <w:left w:val="nil"/>
              <w:bottom w:val="single" w:sz="4" w:space="0" w:color="auto"/>
              <w:right w:val="nil"/>
            </w:tcBorders>
            <w:shd w:val="clear" w:color="000000" w:fill="BFBFBF"/>
            <w:noWrap/>
            <w:textDirection w:val="lrTb"/>
            <w:vAlign w:val="center"/>
            <w:hideMark/>
          </w:tcPr>
          <w:p w:rsidR="006F14B2" w:rsidRPr="00B45E64" w:rsidP="000B4414">
            <w:pPr>
              <w:bidi w:val="0"/>
              <w:spacing w:after="0" w:line="240" w:lineRule="auto"/>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Schodok VS - apríl 2016</w:t>
            </w:r>
          </w:p>
        </w:tc>
        <w:tc>
          <w:tcPr>
            <w:tcW w:w="678" w:type="pct"/>
            <w:tcBorders>
              <w:top w:val="single" w:sz="4" w:space="0" w:color="auto"/>
              <w:left w:val="nil"/>
              <w:bottom w:val="single" w:sz="4" w:space="0" w:color="auto"/>
              <w:right w:val="nil"/>
            </w:tcBorders>
            <w:shd w:val="clear" w:color="000000" w:fill="BFBFBF"/>
            <w:noWrap/>
            <w:textDirection w:val="lrTb"/>
            <w:vAlign w:val="center"/>
            <w:hideMark/>
          </w:tcPr>
          <w:p w:rsidR="006F14B2" w:rsidRPr="00B45E64" w:rsidP="000B4414">
            <w:pPr>
              <w:bidi w:val="0"/>
              <w:spacing w:after="0" w:line="240" w:lineRule="auto"/>
              <w:jc w:val="right"/>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-2 318 236</w:t>
            </w:r>
          </w:p>
        </w:tc>
        <w:tc>
          <w:tcPr>
            <w:tcW w:w="367" w:type="pct"/>
            <w:tcBorders>
              <w:top w:val="single" w:sz="4" w:space="0" w:color="auto"/>
              <w:left w:val="nil"/>
              <w:bottom w:val="single" w:sz="4" w:space="0" w:color="auto"/>
              <w:right w:val="nil"/>
            </w:tcBorders>
            <w:shd w:val="clear" w:color="000000" w:fill="BFBFBF"/>
            <w:noWrap/>
            <w:textDirection w:val="lrTb"/>
            <w:vAlign w:val="center"/>
            <w:hideMark/>
          </w:tcPr>
          <w:p w:rsidR="006F14B2" w:rsidRPr="00B45E64" w:rsidP="000B4414">
            <w:pPr>
              <w:bidi w:val="0"/>
              <w:spacing w:after="0" w:line="240" w:lineRule="auto"/>
              <w:jc w:val="right"/>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-2,969</w:t>
            </w:r>
          </w:p>
        </w:tc>
        <w:tc>
          <w:tcPr>
            <w:tcW w:w="2003" w:type="pct"/>
            <w:tcBorders>
              <w:top w:val="single" w:sz="4" w:space="0" w:color="auto"/>
              <w:left w:val="nil"/>
              <w:bottom w:val="single" w:sz="4" w:space="0" w:color="auto"/>
              <w:right w:val="nil"/>
            </w:tcBorders>
            <w:shd w:val="clear" w:color="000000" w:fill="BFBFBF"/>
            <w:noWrap/>
            <w:textDirection w:val="lrTb"/>
            <w:vAlign w:val="center"/>
            <w:hideMark/>
          </w:tcPr>
          <w:p w:rsidR="006F14B2" w:rsidRPr="00B45E64" w:rsidP="000B4414">
            <w:pPr>
              <w:bidi w:val="0"/>
              <w:spacing w:after="0" w:line="240" w:lineRule="auto"/>
              <w:jc w:val="center"/>
              <w:rPr>
                <w:rFonts w:ascii="Times New Roman" w:hAnsi="Times New Roman" w:cs="Times New Roman"/>
                <w:sz w:val="20"/>
                <w:szCs w:val="20"/>
                <w:lang w:eastAsia="sk-SK"/>
              </w:rPr>
            </w:pPr>
            <w:r w:rsidRPr="00B45E64">
              <w:rPr>
                <w:rFonts w:ascii="Times New Roman" w:hAnsi="Times New Roman" w:cs="Times New Roman"/>
                <w:sz w:val="20"/>
                <w:szCs w:val="20"/>
                <w:lang w:eastAsia="sk-SK"/>
              </w:rPr>
              <w:t> </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Štátny dlh</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-2 322</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-0,003</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 xml:space="preserve"> vylúčenie príjmových úrokov z poskytnutej pôžičky Cargu</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Štátne finančné aktíva</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9 729</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0,012</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daňových priznaní</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Slovenská konsolidačná, a.s.</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-1 335</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-0,002</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Verejné vysoké školy</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-1 934</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-0,002</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Rozhlas a televízia Slovenska</w:t>
            </w:r>
          </w:p>
        </w:tc>
        <w:tc>
          <w:tcPr>
            <w:tcW w:w="678" w:type="pct"/>
            <w:tcBorders>
              <w:top w:val="nil"/>
              <w:left w:val="nil"/>
              <w:bottom w:val="nil"/>
              <w:right w:val="nil"/>
            </w:tcBorders>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81</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0,000</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Fond národného majetku</w:t>
            </w:r>
          </w:p>
        </w:tc>
        <w:tc>
          <w:tcPr>
            <w:tcW w:w="678" w:type="pct"/>
            <w:tcBorders>
              <w:top w:val="nil"/>
              <w:left w:val="nil"/>
              <w:bottom w:val="nil"/>
              <w:right w:val="nil"/>
            </w:tcBorders>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193</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0,000</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Zdravo</w:t>
            </w:r>
            <w:r>
              <w:rPr>
                <w:rFonts w:ascii="Times New Roman" w:hAnsi="Times New Roman" w:cs="Times New Roman"/>
                <w:sz w:val="20"/>
                <w:szCs w:val="20"/>
                <w:lang w:eastAsia="sk-SK"/>
              </w:rPr>
              <w:t>t</w:t>
            </w:r>
            <w:r w:rsidRPr="00B45E64">
              <w:rPr>
                <w:rFonts w:ascii="Times New Roman" w:hAnsi="Times New Roman" w:cs="Times New Roman"/>
                <w:sz w:val="20"/>
                <w:szCs w:val="20"/>
                <w:lang w:eastAsia="sk-SK"/>
              </w:rPr>
              <w:t>nícke zariadenia - ústredné</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1 640</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0,002</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Železničná spoločnosť Slovensko</w:t>
            </w:r>
          </w:p>
        </w:tc>
        <w:tc>
          <w:tcPr>
            <w:tcW w:w="678" w:type="pct"/>
            <w:tcBorders>
              <w:top w:val="nil"/>
              <w:left w:val="nil"/>
              <w:bottom w:val="nil"/>
              <w:right w:val="nil"/>
            </w:tcBorders>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20 660</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0,026</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JAVYS, a.s.</w:t>
            </w:r>
          </w:p>
        </w:tc>
        <w:tc>
          <w:tcPr>
            <w:tcW w:w="678" w:type="pct"/>
            <w:tcBorders>
              <w:top w:val="nil"/>
              <w:left w:val="nil"/>
              <w:bottom w:val="nil"/>
              <w:right w:val="nil"/>
            </w:tcBorders>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17 419</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0,022</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zahrnutie subjektu do verejnej správy</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MH Invest, s.r.o.</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-79</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0,000</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Národná diaľničná spoločnosť, a.s.</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10 691</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0,014</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Neziskové organizácie štátu</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-1 417</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-0,002</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Eximbanka</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-1 267</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-0,002</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Dopravné podniky</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-7 603</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-0,010</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účtovných závierok</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Pr>
                <w:rFonts w:ascii="Times New Roman" w:hAnsi="Times New Roman" w:cs="Times New Roman"/>
                <w:sz w:val="20"/>
                <w:szCs w:val="20"/>
                <w:lang w:eastAsia="sk-SK"/>
              </w:rPr>
              <w:t>Zníženie pohľadávky voči EÚ</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754</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0,001</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údajov z dôvodu korekcií</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sidRPr="00B45E64">
              <w:rPr>
                <w:rFonts w:ascii="Times New Roman" w:hAnsi="Times New Roman" w:cs="Times New Roman"/>
                <w:sz w:val="20"/>
                <w:szCs w:val="20"/>
                <w:lang w:eastAsia="sk-SK"/>
              </w:rPr>
              <w:t>Daňové a odvodové príjmy</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175 629</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0,223</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aktualizácia z daňových priznaní</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Pr>
                <w:rFonts w:ascii="Times New Roman" w:hAnsi="Times New Roman" w:cs="Times New Roman"/>
                <w:sz w:val="20"/>
                <w:szCs w:val="20"/>
                <w:lang w:eastAsia="sk-SK"/>
              </w:rPr>
              <w:t xml:space="preserve">Environmentálny </w:t>
            </w:r>
            <w:r w:rsidRPr="00B45E64">
              <w:rPr>
                <w:rFonts w:ascii="Times New Roman" w:hAnsi="Times New Roman" w:cs="Times New Roman"/>
                <w:sz w:val="20"/>
                <w:szCs w:val="20"/>
                <w:lang w:eastAsia="sk-SK"/>
              </w:rPr>
              <w:t>fond</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600</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0,001</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revízia zaznamenávania emisných kvót</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rPr>
                <w:rFonts w:ascii="Times New Roman" w:hAnsi="Times New Roman" w:cs="Times New Roman"/>
                <w:sz w:val="20"/>
                <w:szCs w:val="20"/>
                <w:lang w:eastAsia="sk-SK"/>
              </w:rPr>
            </w:pPr>
            <w:r>
              <w:rPr>
                <w:rFonts w:ascii="Times New Roman" w:hAnsi="Times New Roman" w:cs="Times New Roman"/>
                <w:sz w:val="20"/>
                <w:szCs w:val="20"/>
                <w:lang w:eastAsia="sk-SK"/>
              </w:rPr>
              <w:t>Národný rezolučný fond</w:t>
            </w:r>
          </w:p>
        </w:tc>
        <w:tc>
          <w:tcPr>
            <w:tcW w:w="678"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-33 510</w:t>
            </w:r>
          </w:p>
        </w:tc>
        <w:tc>
          <w:tcPr>
            <w:tcW w:w="367"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sidRPr="00B45E64">
              <w:rPr>
                <w:rFonts w:ascii="Times New Roman" w:hAnsi="Times New Roman" w:cs="Times New Roman"/>
                <w:sz w:val="20"/>
                <w:szCs w:val="20"/>
                <w:lang w:eastAsia="sk-SK"/>
              </w:rPr>
              <w:t>-0,043</w:t>
            </w:r>
          </w:p>
        </w:tc>
        <w:tc>
          <w:tcPr>
            <w:tcW w:w="2003" w:type="pct"/>
            <w:tcBorders>
              <w:top w:val="nil"/>
              <w:left w:val="nil"/>
              <w:bottom w:val="nil"/>
              <w:right w:val="nil"/>
            </w:tcBorders>
            <w:shd w:val="clear" w:color="000000" w:fill="FFFFFF"/>
            <w:noWrap/>
            <w:textDirection w:val="lrTb"/>
            <w:vAlign w:val="center"/>
            <w:hideMark/>
          </w:tcPr>
          <w:p w:rsidR="006F14B2" w:rsidRPr="00B45E64" w:rsidP="000B4414">
            <w:pPr>
              <w:bidi w:val="0"/>
              <w:spacing w:after="0" w:line="240" w:lineRule="auto"/>
              <w:jc w:val="right"/>
              <w:rPr>
                <w:rFonts w:ascii="Times New Roman" w:hAnsi="Times New Roman" w:cs="Times New Roman"/>
                <w:sz w:val="20"/>
                <w:szCs w:val="20"/>
                <w:lang w:eastAsia="sk-SK"/>
              </w:rPr>
            </w:pPr>
            <w:r>
              <w:rPr>
                <w:rFonts w:ascii="Times New Roman" w:hAnsi="Times New Roman" w:cs="Times New Roman"/>
                <w:sz w:val="20"/>
                <w:szCs w:val="20"/>
                <w:lang w:eastAsia="sk-SK"/>
              </w:rPr>
              <w:t xml:space="preserve">akruálne zaznamenanie </w:t>
            </w:r>
            <w:r w:rsidRPr="00B45E64">
              <w:rPr>
                <w:rFonts w:ascii="Times New Roman" w:hAnsi="Times New Roman" w:cs="Times New Roman"/>
                <w:sz w:val="20"/>
                <w:szCs w:val="20"/>
                <w:lang w:eastAsia="sk-SK"/>
              </w:rPr>
              <w:t xml:space="preserve">výdavkového kap. transferu </w:t>
            </w:r>
          </w:p>
        </w:tc>
      </w:tr>
      <w:tr>
        <w:tblPrEx>
          <w:tblW w:w="5000" w:type="pct"/>
          <w:tblLayout w:type="fixed"/>
          <w:tblCellMar>
            <w:left w:w="70" w:type="dxa"/>
            <w:right w:w="70" w:type="dxa"/>
          </w:tblCellMar>
          <w:tblLook w:val="04A0"/>
        </w:tblPrEx>
        <w:trPr>
          <w:trHeight w:val="255"/>
        </w:trPr>
        <w:tc>
          <w:tcPr>
            <w:tcW w:w="1952" w:type="pct"/>
            <w:tcBorders>
              <w:top w:val="single" w:sz="4" w:space="0" w:color="auto"/>
              <w:left w:val="nil"/>
              <w:bottom w:val="single" w:sz="4" w:space="0" w:color="auto"/>
              <w:right w:val="nil"/>
            </w:tcBorders>
            <w:shd w:val="clear" w:color="000000" w:fill="BFBFBF"/>
            <w:textDirection w:val="lrTb"/>
            <w:vAlign w:val="center"/>
            <w:hideMark/>
          </w:tcPr>
          <w:p w:rsidR="006F14B2" w:rsidRPr="00B45E64" w:rsidP="000B4414">
            <w:pPr>
              <w:bidi w:val="0"/>
              <w:spacing w:after="0" w:line="240" w:lineRule="auto"/>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Schodok VS - september 2016</w:t>
            </w:r>
          </w:p>
        </w:tc>
        <w:tc>
          <w:tcPr>
            <w:tcW w:w="678" w:type="pct"/>
            <w:tcBorders>
              <w:top w:val="single" w:sz="4" w:space="0" w:color="auto"/>
              <w:left w:val="nil"/>
              <w:bottom w:val="single" w:sz="4" w:space="0" w:color="auto"/>
              <w:right w:val="nil"/>
            </w:tcBorders>
            <w:shd w:val="clear" w:color="000000" w:fill="BFBFBF"/>
            <w:textDirection w:val="lrTb"/>
            <w:vAlign w:val="center"/>
            <w:hideMark/>
          </w:tcPr>
          <w:p w:rsidR="006F14B2" w:rsidRPr="00B45E64" w:rsidP="000B4414">
            <w:pPr>
              <w:bidi w:val="0"/>
              <w:spacing w:after="0" w:line="240" w:lineRule="auto"/>
              <w:jc w:val="right"/>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-2 130 307</w:t>
            </w:r>
          </w:p>
        </w:tc>
        <w:tc>
          <w:tcPr>
            <w:tcW w:w="367" w:type="pct"/>
            <w:tcBorders>
              <w:top w:val="single" w:sz="4" w:space="0" w:color="auto"/>
              <w:left w:val="nil"/>
              <w:bottom w:val="single" w:sz="4" w:space="0" w:color="auto"/>
              <w:right w:val="nil"/>
            </w:tcBorders>
            <w:shd w:val="clear" w:color="000000" w:fill="BFBFBF"/>
            <w:textDirection w:val="lrTb"/>
            <w:vAlign w:val="center"/>
            <w:hideMark/>
          </w:tcPr>
          <w:p w:rsidR="006F14B2" w:rsidRPr="00B45E64" w:rsidP="000B4414">
            <w:pPr>
              <w:bidi w:val="0"/>
              <w:spacing w:after="0" w:line="240" w:lineRule="auto"/>
              <w:jc w:val="right"/>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-2,707</w:t>
            </w:r>
          </w:p>
        </w:tc>
        <w:tc>
          <w:tcPr>
            <w:tcW w:w="2003" w:type="pct"/>
            <w:tcBorders>
              <w:top w:val="single" w:sz="4" w:space="0" w:color="auto"/>
              <w:left w:val="nil"/>
              <w:bottom w:val="single" w:sz="4" w:space="0" w:color="auto"/>
              <w:right w:val="nil"/>
            </w:tcBorders>
            <w:shd w:val="clear" w:color="000000" w:fill="BFBFBF"/>
            <w:noWrap/>
            <w:textDirection w:val="lrTb"/>
            <w:vAlign w:val="center"/>
            <w:hideMark/>
          </w:tcPr>
          <w:p w:rsidR="006F14B2" w:rsidRPr="00B45E64" w:rsidP="000B4414">
            <w:pPr>
              <w:bidi w:val="0"/>
              <w:spacing w:after="0" w:line="240" w:lineRule="auto"/>
              <w:jc w:val="center"/>
              <w:rPr>
                <w:rFonts w:ascii="Times New Roman" w:hAnsi="Times New Roman" w:cs="Times New Roman"/>
                <w:b/>
                <w:bCs/>
                <w:sz w:val="20"/>
                <w:szCs w:val="20"/>
                <w:lang w:eastAsia="sk-SK"/>
              </w:rPr>
            </w:pPr>
            <w:r w:rsidRPr="00B45E64">
              <w:rPr>
                <w:rFonts w:ascii="Times New Roman" w:hAnsi="Times New Roman" w:cs="Times New Roman"/>
                <w:b/>
                <w:bCs/>
                <w:sz w:val="20"/>
                <w:szCs w:val="20"/>
                <w:lang w:eastAsia="sk-SK"/>
              </w:rPr>
              <w:t> </w:t>
            </w:r>
          </w:p>
        </w:tc>
      </w:tr>
      <w:tr>
        <w:tblPrEx>
          <w:tblW w:w="5000" w:type="pct"/>
          <w:tblLayout w:type="fixed"/>
          <w:tblCellMar>
            <w:left w:w="70" w:type="dxa"/>
            <w:right w:w="70" w:type="dxa"/>
          </w:tblCellMar>
          <w:tblLook w:val="04A0"/>
        </w:tblPrEx>
        <w:trPr>
          <w:trHeight w:val="255"/>
        </w:trPr>
        <w:tc>
          <w:tcPr>
            <w:tcW w:w="1952" w:type="pct"/>
            <w:tcBorders>
              <w:top w:val="nil"/>
              <w:left w:val="nil"/>
              <w:bottom w:val="nil"/>
              <w:right w:val="nil"/>
            </w:tcBorders>
            <w:noWrap/>
            <w:textDirection w:val="lrTb"/>
            <w:vAlign w:val="bottom"/>
            <w:hideMark/>
          </w:tcPr>
          <w:p w:rsidR="006F14B2" w:rsidRPr="00B45E64" w:rsidP="000B4414">
            <w:pPr>
              <w:bidi w:val="0"/>
              <w:spacing w:after="0" w:line="240" w:lineRule="auto"/>
              <w:jc w:val="center"/>
              <w:rPr>
                <w:rFonts w:ascii="Times New Roman" w:hAnsi="Times New Roman" w:cs="Times New Roman"/>
                <w:b/>
                <w:bCs/>
                <w:sz w:val="20"/>
                <w:szCs w:val="20"/>
                <w:lang w:eastAsia="sk-SK"/>
              </w:rPr>
            </w:pPr>
          </w:p>
        </w:tc>
        <w:tc>
          <w:tcPr>
            <w:tcW w:w="678" w:type="pct"/>
            <w:tcBorders>
              <w:top w:val="nil"/>
              <w:left w:val="nil"/>
              <w:bottom w:val="nil"/>
              <w:right w:val="nil"/>
            </w:tcBorders>
            <w:noWrap/>
            <w:textDirection w:val="lrTb"/>
            <w:vAlign w:val="bottom"/>
            <w:hideMark/>
          </w:tcPr>
          <w:p w:rsidR="006F14B2" w:rsidRPr="00B45E64" w:rsidP="000B4414">
            <w:pPr>
              <w:bidi w:val="0"/>
              <w:spacing w:after="0" w:line="240" w:lineRule="auto"/>
              <w:rPr>
                <w:rFonts w:ascii="Times New Roman" w:hAnsi="Times New Roman" w:cs="Times New Roman"/>
                <w:sz w:val="20"/>
                <w:szCs w:val="20"/>
                <w:lang w:eastAsia="sk-SK"/>
              </w:rPr>
            </w:pPr>
          </w:p>
        </w:tc>
        <w:tc>
          <w:tcPr>
            <w:tcW w:w="367" w:type="pct"/>
            <w:tcBorders>
              <w:top w:val="nil"/>
              <w:left w:val="nil"/>
              <w:bottom w:val="nil"/>
              <w:right w:val="nil"/>
            </w:tcBorders>
            <w:noWrap/>
            <w:textDirection w:val="lrTb"/>
            <w:vAlign w:val="bottom"/>
            <w:hideMark/>
          </w:tcPr>
          <w:p w:rsidR="006F14B2" w:rsidRPr="00B45E64" w:rsidP="000B4414">
            <w:pPr>
              <w:bidi w:val="0"/>
              <w:spacing w:after="0" w:line="240" w:lineRule="auto"/>
              <w:rPr>
                <w:rFonts w:ascii="Times New Roman" w:hAnsi="Times New Roman" w:cs="Times New Roman"/>
                <w:sz w:val="20"/>
                <w:szCs w:val="20"/>
                <w:lang w:eastAsia="sk-SK"/>
              </w:rPr>
            </w:pPr>
          </w:p>
        </w:tc>
        <w:tc>
          <w:tcPr>
            <w:tcW w:w="2003" w:type="pct"/>
            <w:tcBorders>
              <w:top w:val="nil"/>
              <w:left w:val="nil"/>
              <w:bottom w:val="nil"/>
              <w:right w:val="nil"/>
            </w:tcBorders>
            <w:noWrap/>
            <w:textDirection w:val="lrTb"/>
            <w:vAlign w:val="top"/>
            <w:hideMark/>
          </w:tcPr>
          <w:p w:rsidR="006F14B2" w:rsidRPr="00B45E64" w:rsidP="000B4414">
            <w:pPr>
              <w:bidi w:val="0"/>
              <w:spacing w:after="0" w:line="240" w:lineRule="auto"/>
              <w:jc w:val="right"/>
              <w:rPr>
                <w:rFonts w:ascii="Times New Roman" w:hAnsi="Times New Roman" w:cs="Times New Roman"/>
                <w:sz w:val="16"/>
                <w:szCs w:val="16"/>
                <w:lang w:eastAsia="sk-SK"/>
              </w:rPr>
            </w:pPr>
            <w:r w:rsidRPr="00B45E64">
              <w:rPr>
                <w:rFonts w:ascii="Times New Roman" w:hAnsi="Times New Roman" w:cs="Times New Roman"/>
                <w:sz w:val="16"/>
                <w:szCs w:val="16"/>
                <w:lang w:eastAsia="sk-SK"/>
              </w:rPr>
              <w:t>Zdroj: MF SR</w:t>
            </w:r>
          </w:p>
        </w:tc>
      </w:tr>
    </w:tbl>
    <w:p w:rsidR="006F14B2" w:rsidRPr="00A53EAC" w:rsidP="006F14B2">
      <w:pPr>
        <w:bidi w:val="0"/>
        <w:spacing w:before="240" w:after="0" w:line="336" w:lineRule="auto"/>
        <w:jc w:val="both"/>
        <w:rPr>
          <w:rFonts w:ascii="Times New Roman" w:eastAsia="Calibri" w:hAnsi="Times New Roman" w:cs="Times New Roman" w:hint="default"/>
        </w:rPr>
      </w:pPr>
      <w:r w:rsidRPr="00A53EAC">
        <w:rPr>
          <w:rFonts w:ascii="Times New Roman" w:eastAsia="Calibri" w:hAnsi="Times New Roman" w:cs="Times New Roman" w:hint="default"/>
        </w:rPr>
        <w:t>Okrem aktualizá</w:t>
      </w:r>
      <w:r w:rsidRPr="00A53EAC">
        <w:rPr>
          <w:rFonts w:ascii="Times New Roman" w:eastAsia="Calibri" w:hAnsi="Times New Roman" w:cs="Times New Roman" w:hint="default"/>
        </w:rPr>
        <w:t>cie ú</w:t>
      </w:r>
      <w:r w:rsidRPr="00A53EAC">
        <w:rPr>
          <w:rFonts w:ascii="Times New Roman" w:eastAsia="Calibri" w:hAnsi="Times New Roman" w:cs="Times New Roman" w:hint="default"/>
        </w:rPr>
        <w:t>dajov z </w:t>
      </w:r>
      <w:r w:rsidRPr="00A53EAC">
        <w:rPr>
          <w:rFonts w:ascii="Times New Roman" w:eastAsia="Calibri" w:hAnsi="Times New Roman" w:cs="Times New Roman" w:hint="default"/>
        </w:rPr>
        <w:t>úč</w:t>
      </w:r>
      <w:r w:rsidRPr="00A53EAC">
        <w:rPr>
          <w:rFonts w:ascii="Times New Roman" w:eastAsia="Calibri" w:hAnsi="Times New Roman" w:cs="Times New Roman" w:hint="default"/>
        </w:rPr>
        <w:t>tovný</w:t>
      </w:r>
      <w:r w:rsidRPr="00A53EAC">
        <w:rPr>
          <w:rFonts w:ascii="Times New Roman" w:eastAsia="Calibri" w:hAnsi="Times New Roman" w:cs="Times New Roman" w:hint="default"/>
        </w:rPr>
        <w:t>ch zá</w:t>
      </w:r>
      <w:r w:rsidRPr="00A53EAC">
        <w:rPr>
          <w:rFonts w:ascii="Times New Roman" w:eastAsia="Calibri" w:hAnsi="Times New Roman" w:cs="Times New Roman" w:hint="default"/>
        </w:rPr>
        <w:t>vierok malo vplyv na schodok verejnej sprá</w:t>
      </w:r>
      <w:r w:rsidRPr="00A53EAC">
        <w:rPr>
          <w:rFonts w:ascii="Times New Roman" w:eastAsia="Calibri" w:hAnsi="Times New Roman" w:cs="Times New Roman" w:hint="default"/>
        </w:rPr>
        <w:t>vy:</w:t>
      </w:r>
    </w:p>
    <w:p w:rsidR="0044282A" w:rsidRPr="009A4C5C" w:rsidP="0044282A">
      <w:pPr>
        <w:pStyle w:val="ListParagraph"/>
        <w:numPr>
          <w:numId w:val="18"/>
        </w:numPr>
        <w:bidi w:val="0"/>
        <w:spacing w:line="336" w:lineRule="auto"/>
        <w:contextualSpacing w:val="0"/>
        <w:jc w:val="both"/>
        <w:rPr>
          <w:rFonts w:ascii="Times New Roman" w:hAnsi="Times New Roman" w:cs="Times New Roman"/>
        </w:rPr>
      </w:pPr>
      <w:r w:rsidRPr="009A4C5C">
        <w:rPr>
          <w:rFonts w:ascii="Times New Roman" w:hAnsi="Times New Roman" w:cs="Times New Roman"/>
        </w:rPr>
        <w:t>aktualizované údaje o výške akruálnych daňových a odvodových príjmov (zníženie schodku o</w:t>
      </w:r>
      <w:r>
        <w:rPr>
          <w:rFonts w:ascii="Times New Roman" w:hAnsi="Times New Roman" w:cs="Times New Roman"/>
        </w:rPr>
        <w:t> 175 629</w:t>
      </w:r>
      <w:r w:rsidRPr="009A4C5C">
        <w:rPr>
          <w:rFonts w:ascii="Times New Roman" w:hAnsi="Times New Roman" w:cs="Times New Roman"/>
        </w:rPr>
        <w:t xml:space="preserve"> tis. eur);</w:t>
      </w:r>
    </w:p>
    <w:p w:rsidR="006F14B2" w:rsidP="006F14B2">
      <w:pPr>
        <w:pStyle w:val="ListParagraph"/>
        <w:numPr>
          <w:numId w:val="18"/>
        </w:numPr>
        <w:bidi w:val="0"/>
        <w:spacing w:line="336" w:lineRule="auto"/>
        <w:contextualSpacing w:val="0"/>
        <w:jc w:val="both"/>
        <w:rPr>
          <w:rFonts w:ascii="Times New Roman" w:hAnsi="Times New Roman" w:cs="Times New Roman"/>
        </w:rPr>
      </w:pPr>
      <w:r>
        <w:rPr>
          <w:rFonts w:ascii="Times New Roman" w:hAnsi="Times New Roman" w:cs="Times New Roman"/>
        </w:rPr>
        <w:t>vylúčenie príjmových úrokov z poskytnutej pôžičky Cargu (zvýšenie schodku o 2 322 tis. eur);</w:t>
      </w:r>
    </w:p>
    <w:p w:rsidR="006F14B2" w:rsidP="006F14B2">
      <w:pPr>
        <w:pStyle w:val="ListParagraph"/>
        <w:numPr>
          <w:numId w:val="18"/>
        </w:numPr>
        <w:bidi w:val="0"/>
        <w:spacing w:line="336" w:lineRule="auto"/>
        <w:contextualSpacing w:val="0"/>
        <w:jc w:val="both"/>
        <w:rPr>
          <w:rFonts w:ascii="Times New Roman" w:hAnsi="Times New Roman" w:cs="Times New Roman"/>
        </w:rPr>
      </w:pPr>
      <w:r>
        <w:rPr>
          <w:rFonts w:ascii="Times New Roman" w:hAnsi="Times New Roman" w:cs="Times New Roman"/>
        </w:rPr>
        <w:t>aktualizované údaje z daňových priznaní na štátnych finančných aktívach (zníženie schodku o 9 729 tis. eur);</w:t>
      </w:r>
    </w:p>
    <w:p w:rsidR="006F14B2" w:rsidP="006F14B2">
      <w:pPr>
        <w:pStyle w:val="ListParagraph"/>
        <w:numPr>
          <w:numId w:val="18"/>
        </w:numPr>
        <w:bidi w:val="0"/>
        <w:spacing w:line="336" w:lineRule="auto"/>
        <w:contextualSpacing w:val="0"/>
        <w:jc w:val="both"/>
        <w:rPr>
          <w:rFonts w:ascii="Times New Roman" w:hAnsi="Times New Roman" w:cs="Times New Roman"/>
        </w:rPr>
      </w:pPr>
      <w:r>
        <w:rPr>
          <w:rFonts w:ascii="Times New Roman" w:hAnsi="Times New Roman" w:cs="Times New Roman"/>
        </w:rPr>
        <w:t>zahrnutie akciovej spoločnosti JAVYS do sektora verejnej správy (zníženie schodku o 17 419 tis. eur);</w:t>
      </w:r>
    </w:p>
    <w:p w:rsidR="006F14B2" w:rsidRPr="009A4C5C" w:rsidP="006F14B2">
      <w:pPr>
        <w:pStyle w:val="ListParagraph"/>
        <w:numPr>
          <w:numId w:val="18"/>
        </w:numPr>
        <w:bidi w:val="0"/>
        <w:spacing w:line="336" w:lineRule="auto"/>
        <w:contextualSpacing w:val="0"/>
        <w:jc w:val="both"/>
        <w:rPr>
          <w:rFonts w:ascii="Times New Roman" w:hAnsi="Times New Roman" w:cs="Times New Roman"/>
        </w:rPr>
      </w:pPr>
      <w:r>
        <w:rPr>
          <w:rFonts w:ascii="Times New Roman" w:hAnsi="Times New Roman" w:cs="Times New Roman"/>
        </w:rPr>
        <w:t>zvýšenie</w:t>
      </w:r>
      <w:r w:rsidRPr="009A4C5C">
        <w:rPr>
          <w:rFonts w:ascii="Times New Roman" w:hAnsi="Times New Roman" w:cs="Times New Roman"/>
        </w:rPr>
        <w:t xml:space="preserve"> pohľadávky voči EU z dôvodu aktualizácie výšky korekcií (z</w:t>
      </w:r>
      <w:r>
        <w:rPr>
          <w:rFonts w:ascii="Times New Roman" w:hAnsi="Times New Roman" w:cs="Times New Roman"/>
        </w:rPr>
        <w:t>níž</w:t>
      </w:r>
      <w:r w:rsidRPr="009A4C5C">
        <w:rPr>
          <w:rFonts w:ascii="Times New Roman" w:hAnsi="Times New Roman" w:cs="Times New Roman"/>
        </w:rPr>
        <w:t>enie schodku o</w:t>
      </w:r>
      <w:r>
        <w:rPr>
          <w:rFonts w:ascii="Times New Roman" w:hAnsi="Times New Roman" w:cs="Times New Roman"/>
        </w:rPr>
        <w:t> 754 </w:t>
      </w:r>
      <w:r w:rsidRPr="009A4C5C">
        <w:rPr>
          <w:rFonts w:ascii="Times New Roman" w:hAnsi="Times New Roman" w:cs="Times New Roman"/>
        </w:rPr>
        <w:t>tis.</w:t>
      </w:r>
      <w:r>
        <w:rPr>
          <w:rFonts w:ascii="Times New Roman" w:hAnsi="Times New Roman" w:cs="Times New Roman"/>
        </w:rPr>
        <w:t> </w:t>
      </w:r>
      <w:r w:rsidRPr="009A4C5C">
        <w:rPr>
          <w:rFonts w:ascii="Times New Roman" w:hAnsi="Times New Roman" w:cs="Times New Roman"/>
        </w:rPr>
        <w:t>eur);</w:t>
      </w:r>
    </w:p>
    <w:p w:rsidR="006F14B2" w:rsidRPr="00A53EAC" w:rsidP="006F14B2">
      <w:pPr>
        <w:numPr>
          <w:numId w:val="18"/>
        </w:numPr>
        <w:bidi w:val="0"/>
        <w:spacing w:after="120" w:line="336" w:lineRule="auto"/>
        <w:contextualSpacing/>
        <w:jc w:val="both"/>
        <w:rPr>
          <w:rFonts w:ascii="Times New Roman" w:hAnsi="Times New Roman" w:cs="Times New Roman"/>
          <w:szCs w:val="22"/>
          <w:lang w:eastAsia="sk-SK"/>
        </w:rPr>
      </w:pPr>
      <w:r w:rsidRPr="00A53EAC">
        <w:rPr>
          <w:rFonts w:ascii="Times New Roman" w:hAnsi="Times New Roman" w:cs="Times New Roman"/>
          <w:szCs w:val="22"/>
          <w:lang w:eastAsia="sk-SK"/>
        </w:rPr>
        <w:t xml:space="preserve">revízia zaznamenávania emisných kvót </w:t>
      </w:r>
      <w:r>
        <w:rPr>
          <w:rFonts w:ascii="Times New Roman" w:hAnsi="Times New Roman" w:cs="Times New Roman"/>
          <w:szCs w:val="22"/>
          <w:lang w:eastAsia="sk-SK"/>
        </w:rPr>
        <w:t>Environmentálneho fondu</w:t>
      </w:r>
      <w:r w:rsidRPr="00A53EAC">
        <w:rPr>
          <w:rFonts w:ascii="Times New Roman" w:hAnsi="Times New Roman" w:cs="Times New Roman"/>
          <w:szCs w:val="22"/>
          <w:lang w:eastAsia="sk-SK"/>
        </w:rPr>
        <w:t xml:space="preserve"> (z</w:t>
      </w:r>
      <w:r>
        <w:rPr>
          <w:rFonts w:ascii="Times New Roman" w:hAnsi="Times New Roman" w:cs="Times New Roman"/>
          <w:szCs w:val="22"/>
          <w:lang w:eastAsia="sk-SK"/>
        </w:rPr>
        <w:t xml:space="preserve">níženie </w:t>
      </w:r>
      <w:r w:rsidRPr="00A53EAC">
        <w:rPr>
          <w:rFonts w:ascii="Times New Roman" w:hAnsi="Times New Roman" w:cs="Times New Roman"/>
          <w:szCs w:val="22"/>
          <w:lang w:eastAsia="sk-SK"/>
        </w:rPr>
        <w:t>schodku o </w:t>
      </w:r>
      <w:r>
        <w:rPr>
          <w:rFonts w:ascii="Times New Roman" w:hAnsi="Times New Roman" w:cs="Times New Roman"/>
          <w:szCs w:val="22"/>
          <w:lang w:eastAsia="sk-SK"/>
        </w:rPr>
        <w:t>600</w:t>
      </w:r>
      <w:r w:rsidRPr="00A53EAC">
        <w:rPr>
          <w:rFonts w:ascii="Times New Roman" w:hAnsi="Times New Roman" w:cs="Times New Roman"/>
          <w:szCs w:val="22"/>
          <w:lang w:eastAsia="sk-SK"/>
        </w:rPr>
        <w:t> tis. eur);</w:t>
      </w:r>
    </w:p>
    <w:p w:rsidR="006F14B2" w:rsidRPr="00E37E7C" w:rsidP="006F14B2">
      <w:pPr>
        <w:pStyle w:val="ListParagraph"/>
        <w:numPr>
          <w:numId w:val="18"/>
        </w:numPr>
        <w:bidi w:val="0"/>
        <w:spacing w:after="120" w:line="276" w:lineRule="auto"/>
        <w:jc w:val="both"/>
        <w:rPr>
          <w:rFonts w:ascii="Times New Roman" w:hAnsi="Times New Roman" w:cs="Times New Roman"/>
        </w:rPr>
      </w:pPr>
      <w:r w:rsidRPr="00E37E7C">
        <w:rPr>
          <w:rFonts w:ascii="Times New Roman" w:hAnsi="Times New Roman" w:cs="Times New Roman"/>
        </w:rPr>
        <w:t>zaznamenanie výdavkového kapitálového transferu z Národného rezolučného fondu do</w:t>
      </w:r>
      <w:r>
        <w:rPr>
          <w:rFonts w:ascii="Times New Roman" w:hAnsi="Times New Roman" w:cs="Times New Roman"/>
        </w:rPr>
        <w:t> </w:t>
      </w:r>
      <w:r w:rsidRPr="00E37E7C">
        <w:rPr>
          <w:rFonts w:ascii="Times New Roman" w:hAnsi="Times New Roman" w:cs="Times New Roman"/>
        </w:rPr>
        <w:t>Nadnárodného rezolučného fondu (zvýšenie schodku o 33 510 tis. eur.) Táto úprava bola zapracovaná až po vydaní oficiálneho usmernenia Eurostatu dňa 26.9.2016.</w:t>
      </w:r>
    </w:p>
    <w:p w:rsidR="004B28B7">
      <w:pPr>
        <w:bidi w:val="0"/>
        <w:rPr>
          <w:rFonts w:ascii="Times New Roman" w:eastAsia="Calibri" w:hAnsi="Times New Roman" w:cs="Times New Roman"/>
        </w:rPr>
      </w:pPr>
      <w:r>
        <w:rPr>
          <w:rFonts w:ascii="Times New Roman" w:eastAsia="Calibri" w:hAnsi="Times New Roman" w:cs="Times New Roman"/>
        </w:rPr>
        <w:br w:type="page"/>
      </w:r>
    </w:p>
    <w:p w:rsidR="006F14B2" w:rsidP="006F14B2">
      <w:pPr>
        <w:bidi w:val="0"/>
        <w:spacing w:after="120" w:line="336" w:lineRule="auto"/>
        <w:jc w:val="both"/>
        <w:rPr>
          <w:rFonts w:ascii="Times New Roman" w:eastAsia="Calibri" w:hAnsi="Times New Roman" w:cs="Times New Roman"/>
        </w:rPr>
      </w:pPr>
      <w:r>
        <w:rPr>
          <w:rFonts w:ascii="Times New Roman" w:eastAsia="Calibri" w:hAnsi="Times New Roman" w:cs="Times New Roman" w:hint="default"/>
        </w:rPr>
        <w:t>Dlh verejnej sprá</w:t>
      </w:r>
      <w:r>
        <w:rPr>
          <w:rFonts w:ascii="Times New Roman" w:eastAsia="Calibri" w:hAnsi="Times New Roman" w:cs="Times New Roman" w:hint="default"/>
        </w:rPr>
        <w:t>vy</w:t>
      </w:r>
      <w:r w:rsidRPr="00A40A94">
        <w:rPr>
          <w:rFonts w:ascii="Times New Roman" w:eastAsia="Calibri" w:hAnsi="Times New Roman" w:cs="Times New Roman" w:hint="default"/>
        </w:rPr>
        <w:t>, ktorý</w:t>
      </w:r>
      <w:r w:rsidRPr="00A40A94">
        <w:rPr>
          <w:rFonts w:ascii="Times New Roman" w:eastAsia="Calibri" w:hAnsi="Times New Roman" w:cs="Times New Roman" w:hint="default"/>
        </w:rPr>
        <w:t xml:space="preserve"> bol vyká</w:t>
      </w:r>
      <w:r w:rsidRPr="00A40A94">
        <w:rPr>
          <w:rFonts w:ascii="Times New Roman" w:eastAsia="Calibri" w:hAnsi="Times New Roman" w:cs="Times New Roman" w:hint="default"/>
        </w:rPr>
        <w:t>zaný</w:t>
      </w:r>
      <w:r w:rsidRPr="00A40A94">
        <w:rPr>
          <w:rFonts w:ascii="Times New Roman" w:eastAsia="Calibri" w:hAnsi="Times New Roman" w:cs="Times New Roman" w:hint="default"/>
        </w:rPr>
        <w:t xml:space="preserve"> k </w:t>
      </w:r>
      <w:r w:rsidRPr="00A40A94">
        <w:rPr>
          <w:rFonts w:ascii="Times New Roman" w:eastAsia="Calibri" w:hAnsi="Times New Roman" w:cs="Times New Roman" w:hint="default"/>
        </w:rPr>
        <w:t>1. aprí</w:t>
      </w:r>
      <w:r w:rsidRPr="00A40A94">
        <w:rPr>
          <w:rFonts w:ascii="Times New Roman" w:eastAsia="Calibri" w:hAnsi="Times New Roman" w:cs="Times New Roman" w:hint="default"/>
        </w:rPr>
        <w:t>lu 201</w:t>
      </w:r>
      <w:r w:rsidR="005E7123">
        <w:rPr>
          <w:rFonts w:ascii="Times New Roman" w:eastAsia="Calibri" w:hAnsi="Times New Roman" w:cs="Times New Roman"/>
        </w:rPr>
        <w:t>6</w:t>
      </w:r>
      <w:r w:rsidRPr="00A40A94">
        <w:rPr>
          <w:rFonts w:ascii="Times New Roman" w:eastAsia="Calibri" w:hAnsi="Times New Roman" w:cs="Times New Roman" w:hint="default"/>
        </w:rPr>
        <w:t xml:space="preserve"> sa zníž</w:t>
      </w:r>
      <w:r w:rsidRPr="00A40A94">
        <w:rPr>
          <w:rFonts w:ascii="Times New Roman" w:eastAsia="Calibri" w:hAnsi="Times New Roman" w:cs="Times New Roman" w:hint="default"/>
        </w:rPr>
        <w:t>il o</w:t>
      </w:r>
      <w:r w:rsidR="005E7123">
        <w:rPr>
          <w:rFonts w:ascii="Times New Roman" w:eastAsia="Calibri" w:hAnsi="Times New Roman" w:cs="Times New Roman"/>
        </w:rPr>
        <w:t> </w:t>
      </w:r>
      <w:r w:rsidR="005E7123">
        <w:rPr>
          <w:rFonts w:ascii="Times New Roman" w:eastAsia="Calibri" w:hAnsi="Times New Roman" w:cs="Times New Roman"/>
        </w:rPr>
        <w:t>0,4</w:t>
      </w:r>
      <w:r w:rsidRPr="00A40A94">
        <w:rPr>
          <w:rFonts w:ascii="Times New Roman" w:eastAsia="Calibri" w:hAnsi="Times New Roman" w:cs="Times New Roman"/>
        </w:rPr>
        <w:t> </w:t>
      </w:r>
      <w:r w:rsidRPr="00A40A94">
        <w:rPr>
          <w:rFonts w:ascii="Times New Roman" w:eastAsia="Calibri" w:hAnsi="Times New Roman" w:cs="Times New Roman" w:hint="default"/>
        </w:rPr>
        <w:t>% HDP. Jednotlivé</w:t>
      </w:r>
      <w:r w:rsidRPr="00A40A94">
        <w:rPr>
          <w:rFonts w:ascii="Times New Roman" w:eastAsia="Calibri" w:hAnsi="Times New Roman" w:cs="Times New Roman" w:hint="default"/>
        </w:rPr>
        <w:t xml:space="preserve"> </w:t>
      </w:r>
      <w:r w:rsidRPr="00A40A94">
        <w:rPr>
          <w:rFonts w:ascii="Times New Roman" w:eastAsia="Calibri" w:hAnsi="Times New Roman" w:cs="Times New Roman" w:hint="default"/>
        </w:rPr>
        <w:t>polož</w:t>
      </w:r>
      <w:r w:rsidRPr="00A40A94">
        <w:rPr>
          <w:rFonts w:ascii="Times New Roman" w:eastAsia="Calibri" w:hAnsi="Times New Roman" w:cs="Times New Roman" w:hint="default"/>
        </w:rPr>
        <w:t>ky aktualizá</w:t>
      </w:r>
      <w:r w:rsidRPr="00A40A94">
        <w:rPr>
          <w:rFonts w:ascii="Times New Roman" w:eastAsia="Calibri" w:hAnsi="Times New Roman" w:cs="Times New Roman" w:hint="default"/>
        </w:rPr>
        <w:t>cie ukazuje nasledovná</w:t>
      </w:r>
      <w:r w:rsidRPr="00A40A94">
        <w:rPr>
          <w:rFonts w:ascii="Times New Roman" w:eastAsia="Calibri" w:hAnsi="Times New Roman" w:cs="Times New Roman" w:hint="default"/>
        </w:rPr>
        <w:t xml:space="preserve"> tabuľ</w:t>
      </w:r>
      <w:r w:rsidRPr="00A40A94">
        <w:rPr>
          <w:rFonts w:ascii="Times New Roman" w:eastAsia="Calibri" w:hAnsi="Times New Roman" w:cs="Times New Roman" w:hint="default"/>
        </w:rPr>
        <w:t>ka.</w:t>
      </w:r>
    </w:p>
    <w:tbl>
      <w:tblPr>
        <w:tblStyle w:val="TableNormal"/>
        <w:tblW w:w="5000" w:type="pct"/>
        <w:tblCellMar>
          <w:left w:w="70" w:type="dxa"/>
          <w:right w:w="70" w:type="dxa"/>
        </w:tblCellMar>
        <w:tblLook w:val="04A0"/>
      </w:tblPr>
      <w:tblGrid>
        <w:gridCol w:w="3398"/>
        <w:gridCol w:w="1056"/>
        <w:gridCol w:w="704"/>
        <w:gridCol w:w="4053"/>
      </w:tblGrid>
      <w:tr>
        <w:tblPrEx>
          <w:tblW w:w="5000" w:type="pct"/>
          <w:tblCellMar>
            <w:left w:w="70" w:type="dxa"/>
            <w:right w:w="70" w:type="dxa"/>
          </w:tblCellMar>
          <w:tblLook w:val="04A0"/>
        </w:tblPrEx>
        <w:trPr>
          <w:trHeight w:val="255"/>
        </w:trPr>
        <w:tc>
          <w:tcPr>
            <w:tcW w:w="5000" w:type="pct"/>
            <w:gridSpan w:val="4"/>
            <w:tcBorders>
              <w:top w:val="single" w:sz="4" w:space="0" w:color="auto"/>
              <w:left w:val="nil"/>
              <w:bottom w:val="single" w:sz="4" w:space="0" w:color="auto"/>
              <w:right w:val="nil"/>
            </w:tcBorders>
            <w:shd w:val="clear" w:color="000000" w:fill="000000"/>
            <w:noWrap/>
            <w:textDirection w:val="lrTb"/>
            <w:vAlign w:val="center"/>
            <w:hideMark/>
          </w:tcPr>
          <w:p w:rsidR="006F14B2" w:rsidRPr="00EF53AA" w:rsidP="000B4414">
            <w:pPr>
              <w:bidi w:val="0"/>
              <w:spacing w:after="0" w:line="240" w:lineRule="auto"/>
              <w:rPr>
                <w:rFonts w:ascii="Times New Roman" w:hAnsi="Times New Roman" w:cs="Times New Roman"/>
                <w:b/>
                <w:bCs/>
                <w:color w:val="FFFFFF"/>
                <w:sz w:val="20"/>
                <w:szCs w:val="20"/>
                <w:lang w:eastAsia="sk-SK"/>
              </w:rPr>
            </w:pPr>
            <w:r w:rsidRPr="00EF53AA">
              <w:rPr>
                <w:rFonts w:ascii="Times New Roman" w:hAnsi="Times New Roman" w:cs="Times New Roman"/>
                <w:b/>
                <w:bCs/>
                <w:color w:val="FFFFFF"/>
                <w:sz w:val="20"/>
                <w:szCs w:val="20"/>
                <w:lang w:eastAsia="sk-SK"/>
              </w:rPr>
              <w:t>Úpravy dlhu za rok 2015 pri októbrovej notifikácii</w:t>
            </w:r>
          </w:p>
        </w:tc>
      </w:tr>
      <w:tr>
        <w:tblPrEx>
          <w:tblW w:w="5000" w:type="pct"/>
          <w:tblCellMar>
            <w:left w:w="70" w:type="dxa"/>
            <w:right w:w="70" w:type="dxa"/>
          </w:tblCellMar>
          <w:tblLook w:val="04A0"/>
        </w:tblPrEx>
        <w:trPr>
          <w:trHeight w:val="510"/>
        </w:trPr>
        <w:tc>
          <w:tcPr>
            <w:tcW w:w="1845" w:type="pct"/>
            <w:tcBorders>
              <w:top w:val="nil"/>
              <w:left w:val="nil"/>
              <w:bottom w:val="nil"/>
              <w:right w:val="nil"/>
            </w:tcBorders>
            <w:shd w:val="clear" w:color="000000" w:fill="808080"/>
            <w:textDirection w:val="lrTb"/>
            <w:vAlign w:val="center"/>
            <w:hideMark/>
          </w:tcPr>
          <w:p w:rsidR="006F14B2" w:rsidRPr="00EF53AA" w:rsidP="000B4414">
            <w:pPr>
              <w:bidi w:val="0"/>
              <w:spacing w:after="0" w:line="240" w:lineRule="auto"/>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Upravené položky</w:t>
            </w:r>
          </w:p>
        </w:tc>
        <w:tc>
          <w:tcPr>
            <w:tcW w:w="573" w:type="pct"/>
            <w:tcBorders>
              <w:top w:val="nil"/>
              <w:left w:val="nil"/>
              <w:bottom w:val="nil"/>
              <w:right w:val="nil"/>
            </w:tcBorders>
            <w:shd w:val="clear" w:color="000000" w:fill="808080"/>
            <w:textDirection w:val="lrTb"/>
            <w:vAlign w:val="center"/>
            <w:hideMark/>
          </w:tcPr>
          <w:p w:rsidR="006F14B2" w:rsidRPr="00EF53AA" w:rsidP="000B4414">
            <w:pPr>
              <w:bidi w:val="0"/>
              <w:spacing w:after="0" w:line="240" w:lineRule="auto"/>
              <w:jc w:val="center"/>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tis. €</w:t>
            </w:r>
          </w:p>
        </w:tc>
        <w:tc>
          <w:tcPr>
            <w:tcW w:w="382" w:type="pct"/>
            <w:tcBorders>
              <w:top w:val="nil"/>
              <w:left w:val="nil"/>
              <w:bottom w:val="nil"/>
              <w:right w:val="nil"/>
            </w:tcBorders>
            <w:shd w:val="clear" w:color="000000" w:fill="808080"/>
            <w:textDirection w:val="lrTb"/>
            <w:vAlign w:val="center"/>
            <w:hideMark/>
          </w:tcPr>
          <w:p w:rsidR="006F14B2" w:rsidRPr="00EF53AA" w:rsidP="000B4414">
            <w:pPr>
              <w:bidi w:val="0"/>
              <w:spacing w:after="0" w:line="240" w:lineRule="auto"/>
              <w:jc w:val="center"/>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 xml:space="preserve">% </w:t>
              <w:br/>
              <w:t>HDP</w:t>
            </w:r>
          </w:p>
        </w:tc>
        <w:tc>
          <w:tcPr>
            <w:tcW w:w="2200" w:type="pct"/>
            <w:tcBorders>
              <w:top w:val="nil"/>
              <w:left w:val="nil"/>
              <w:bottom w:val="nil"/>
              <w:right w:val="nil"/>
            </w:tcBorders>
            <w:shd w:val="clear" w:color="000000" w:fill="808080"/>
            <w:textDirection w:val="lrTb"/>
            <w:vAlign w:val="center"/>
            <w:hideMark/>
          </w:tcPr>
          <w:p w:rsidR="006F14B2" w:rsidRPr="00EF53AA" w:rsidP="000B4414">
            <w:pPr>
              <w:bidi w:val="0"/>
              <w:spacing w:after="0" w:line="240" w:lineRule="auto"/>
              <w:jc w:val="center"/>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Zdôvodnenie úprav</w:t>
            </w:r>
          </w:p>
        </w:tc>
      </w:tr>
      <w:tr>
        <w:tblPrEx>
          <w:tblW w:w="5000" w:type="pct"/>
          <w:tblCellMar>
            <w:left w:w="70" w:type="dxa"/>
            <w:right w:w="70" w:type="dxa"/>
          </w:tblCellMar>
          <w:tblLook w:val="04A0"/>
        </w:tblPrEx>
        <w:trPr>
          <w:trHeight w:val="255"/>
        </w:trPr>
        <w:tc>
          <w:tcPr>
            <w:tcW w:w="1845" w:type="pct"/>
            <w:tcBorders>
              <w:top w:val="single" w:sz="4" w:space="0" w:color="auto"/>
              <w:left w:val="nil"/>
              <w:bottom w:val="single" w:sz="4" w:space="0" w:color="auto"/>
              <w:right w:val="nil"/>
            </w:tcBorders>
            <w:shd w:val="clear" w:color="000000" w:fill="BFBFBF"/>
            <w:noWrap/>
            <w:textDirection w:val="lrTb"/>
            <w:vAlign w:val="center"/>
            <w:hideMark/>
          </w:tcPr>
          <w:p w:rsidR="006F14B2" w:rsidRPr="00EF53AA" w:rsidP="000B4414">
            <w:pPr>
              <w:bidi w:val="0"/>
              <w:spacing w:after="0" w:line="240" w:lineRule="auto"/>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Maastrichtský dlh VS - apríl 2016</w:t>
            </w:r>
          </w:p>
        </w:tc>
        <w:tc>
          <w:tcPr>
            <w:tcW w:w="573" w:type="pct"/>
            <w:tcBorders>
              <w:top w:val="single" w:sz="4" w:space="0" w:color="auto"/>
              <w:left w:val="nil"/>
              <w:bottom w:val="single" w:sz="4" w:space="0" w:color="auto"/>
              <w:right w:val="nil"/>
            </w:tcBorders>
            <w:shd w:val="clear" w:color="000000" w:fill="BFBFBF"/>
            <w:noWrap/>
            <w:textDirection w:val="lrTb"/>
            <w:vAlign w:val="center"/>
            <w:hideMark/>
          </w:tcPr>
          <w:p w:rsidR="006F14B2" w:rsidRPr="00EF53AA" w:rsidP="000B4414">
            <w:pPr>
              <w:bidi w:val="0"/>
              <w:spacing w:after="0" w:line="240" w:lineRule="auto"/>
              <w:jc w:val="right"/>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41 305 732</w:t>
            </w:r>
          </w:p>
        </w:tc>
        <w:tc>
          <w:tcPr>
            <w:tcW w:w="382" w:type="pct"/>
            <w:tcBorders>
              <w:top w:val="single" w:sz="4" w:space="0" w:color="auto"/>
              <w:left w:val="nil"/>
              <w:bottom w:val="single" w:sz="4" w:space="0" w:color="auto"/>
              <w:right w:val="nil"/>
            </w:tcBorders>
            <w:shd w:val="clear" w:color="000000" w:fill="BFBFBF"/>
            <w:noWrap/>
            <w:textDirection w:val="lrTb"/>
            <w:vAlign w:val="center"/>
            <w:hideMark/>
          </w:tcPr>
          <w:p w:rsidR="006F14B2" w:rsidRPr="00EF53AA" w:rsidP="000B4414">
            <w:pPr>
              <w:bidi w:val="0"/>
              <w:spacing w:after="0" w:line="240" w:lineRule="auto"/>
              <w:jc w:val="right"/>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52,91</w:t>
            </w:r>
          </w:p>
        </w:tc>
        <w:tc>
          <w:tcPr>
            <w:tcW w:w="2200" w:type="pct"/>
            <w:tcBorders>
              <w:top w:val="single" w:sz="4" w:space="0" w:color="auto"/>
              <w:left w:val="nil"/>
              <w:bottom w:val="single" w:sz="4" w:space="0" w:color="auto"/>
              <w:right w:val="nil"/>
            </w:tcBorders>
            <w:shd w:val="clear" w:color="000000" w:fill="BFBFBF"/>
            <w:noWrap/>
            <w:textDirection w:val="lrTb"/>
            <w:vAlign w:val="center"/>
            <w:hideMark/>
          </w:tcPr>
          <w:p w:rsidR="006F14B2" w:rsidRPr="00EF53AA" w:rsidP="000B4414">
            <w:pPr>
              <w:bidi w:val="0"/>
              <w:spacing w:after="0" w:line="240" w:lineRule="auto"/>
              <w:jc w:val="center"/>
              <w:rPr>
                <w:rFonts w:ascii="Times New Roman" w:hAnsi="Times New Roman" w:cs="Times New Roman"/>
                <w:sz w:val="20"/>
                <w:szCs w:val="20"/>
                <w:lang w:eastAsia="sk-SK"/>
              </w:rPr>
            </w:pPr>
            <w:r w:rsidRPr="00EF53AA">
              <w:rPr>
                <w:rFonts w:ascii="Times New Roman" w:hAnsi="Times New Roman" w:cs="Times New Roman"/>
                <w:sz w:val="20"/>
                <w:szCs w:val="20"/>
                <w:lang w:eastAsia="sk-SK"/>
              </w:rPr>
              <w:t> </w:t>
            </w:r>
          </w:p>
        </w:tc>
      </w:tr>
      <w:tr>
        <w:tblPrEx>
          <w:tblW w:w="5000" w:type="pct"/>
          <w:tblCellMar>
            <w:left w:w="70" w:type="dxa"/>
            <w:right w:w="70" w:type="dxa"/>
          </w:tblCellMar>
          <w:tblLook w:val="04A0"/>
        </w:tblPrEx>
        <w:trPr>
          <w:trHeight w:val="255"/>
        </w:trPr>
        <w:tc>
          <w:tcPr>
            <w:tcW w:w="1845" w:type="pct"/>
            <w:tcBorders>
              <w:top w:val="nil"/>
              <w:left w:val="nil"/>
              <w:bottom w:val="nil"/>
              <w:right w:val="nil"/>
            </w:tcBorders>
            <w:noWrap/>
            <w:textDirection w:val="lrTb"/>
            <w:vAlign w:val="center"/>
            <w:hideMark/>
          </w:tcPr>
          <w:p w:rsidR="006F14B2" w:rsidRPr="00EF53AA" w:rsidP="000B4414">
            <w:pPr>
              <w:bidi w:val="0"/>
              <w:spacing w:after="0" w:line="240" w:lineRule="auto"/>
              <w:rPr>
                <w:rFonts w:ascii="Times New Roman" w:hAnsi="Times New Roman" w:cs="Times New Roman"/>
                <w:sz w:val="20"/>
                <w:szCs w:val="20"/>
                <w:lang w:eastAsia="sk-SK"/>
              </w:rPr>
            </w:pPr>
            <w:r w:rsidRPr="00EF53AA">
              <w:rPr>
                <w:rFonts w:ascii="Times New Roman" w:hAnsi="Times New Roman" w:cs="Times New Roman"/>
                <w:sz w:val="20"/>
                <w:szCs w:val="20"/>
                <w:lang w:eastAsia="sk-SK"/>
              </w:rPr>
              <w:t>Fond národného majetku SR</w:t>
            </w:r>
          </w:p>
        </w:tc>
        <w:tc>
          <w:tcPr>
            <w:tcW w:w="573" w:type="pct"/>
            <w:tcBorders>
              <w:top w:val="nil"/>
              <w:left w:val="nil"/>
              <w:bottom w:val="nil"/>
              <w:right w:val="nil"/>
            </w:tcBorders>
            <w:noWrap/>
            <w:textDirection w:val="lrTb"/>
            <w:vAlign w:val="center"/>
            <w:hideMark/>
          </w:tcPr>
          <w:p w:rsidR="006F14B2" w:rsidRPr="00EF53AA" w:rsidP="000B4414">
            <w:pPr>
              <w:bidi w:val="0"/>
              <w:spacing w:after="0" w:line="240" w:lineRule="auto"/>
              <w:jc w:val="right"/>
              <w:rPr>
                <w:rFonts w:ascii="Times New Roman" w:hAnsi="Times New Roman" w:cs="Times New Roman"/>
                <w:sz w:val="20"/>
                <w:szCs w:val="20"/>
                <w:lang w:eastAsia="sk-SK"/>
              </w:rPr>
            </w:pPr>
            <w:r w:rsidRPr="00EF53AA">
              <w:rPr>
                <w:rFonts w:ascii="Times New Roman" w:hAnsi="Times New Roman" w:cs="Times New Roman"/>
                <w:sz w:val="20"/>
                <w:szCs w:val="20"/>
                <w:lang w:eastAsia="sk-SK"/>
              </w:rPr>
              <w:t>-9</w:t>
            </w:r>
          </w:p>
        </w:tc>
        <w:tc>
          <w:tcPr>
            <w:tcW w:w="382" w:type="pct"/>
            <w:tcBorders>
              <w:top w:val="nil"/>
              <w:left w:val="nil"/>
              <w:bottom w:val="nil"/>
              <w:right w:val="nil"/>
            </w:tcBorders>
            <w:noWrap/>
            <w:textDirection w:val="lrTb"/>
            <w:vAlign w:val="center"/>
            <w:hideMark/>
          </w:tcPr>
          <w:p w:rsidR="006F14B2" w:rsidRPr="00EF53AA" w:rsidP="000B4414">
            <w:pPr>
              <w:bidi w:val="0"/>
              <w:spacing w:after="0" w:line="240" w:lineRule="auto"/>
              <w:jc w:val="right"/>
              <w:rPr>
                <w:rFonts w:ascii="Times New Roman" w:hAnsi="Times New Roman" w:cs="Times New Roman"/>
                <w:sz w:val="20"/>
                <w:szCs w:val="20"/>
                <w:lang w:eastAsia="sk-SK"/>
              </w:rPr>
            </w:pPr>
            <w:r w:rsidRPr="00EF53AA">
              <w:rPr>
                <w:rFonts w:ascii="Times New Roman" w:hAnsi="Times New Roman" w:cs="Times New Roman"/>
                <w:sz w:val="20"/>
                <w:szCs w:val="20"/>
                <w:lang w:eastAsia="sk-SK"/>
              </w:rPr>
              <w:t>0,000</w:t>
            </w:r>
          </w:p>
        </w:tc>
        <w:tc>
          <w:tcPr>
            <w:tcW w:w="2200" w:type="pct"/>
            <w:tcBorders>
              <w:top w:val="nil"/>
              <w:left w:val="nil"/>
              <w:bottom w:val="nil"/>
              <w:right w:val="nil"/>
            </w:tcBorders>
            <w:noWrap/>
            <w:textDirection w:val="lrTb"/>
            <w:vAlign w:val="center"/>
            <w:hideMark/>
          </w:tcPr>
          <w:p w:rsidR="006F14B2" w:rsidRPr="00EF53AA" w:rsidP="000B4414">
            <w:pPr>
              <w:bidi w:val="0"/>
              <w:spacing w:after="0" w:line="240" w:lineRule="auto"/>
              <w:ind w:firstLine="200" w:firstLineChars="100"/>
              <w:rPr>
                <w:rFonts w:ascii="Times New Roman" w:hAnsi="Times New Roman" w:cs="Times New Roman"/>
                <w:sz w:val="20"/>
                <w:szCs w:val="20"/>
                <w:lang w:eastAsia="sk-SK"/>
              </w:rPr>
            </w:pPr>
            <w:r w:rsidRPr="00EF53AA">
              <w:rPr>
                <w:rFonts w:ascii="Times New Roman" w:hAnsi="Times New Roman" w:cs="Times New Roman"/>
                <w:sz w:val="20"/>
                <w:szCs w:val="20"/>
                <w:lang w:eastAsia="sk-SK"/>
              </w:rPr>
              <w:t>aktualizácia hodnoty dlhopisov</w:t>
            </w:r>
          </w:p>
        </w:tc>
      </w:tr>
      <w:tr>
        <w:tblPrEx>
          <w:tblW w:w="5000" w:type="pct"/>
          <w:tblCellMar>
            <w:left w:w="70" w:type="dxa"/>
            <w:right w:w="70" w:type="dxa"/>
          </w:tblCellMar>
          <w:tblLook w:val="04A0"/>
        </w:tblPrEx>
        <w:trPr>
          <w:trHeight w:val="255"/>
        </w:trPr>
        <w:tc>
          <w:tcPr>
            <w:tcW w:w="1845" w:type="pct"/>
            <w:tcBorders>
              <w:top w:val="nil"/>
              <w:left w:val="nil"/>
              <w:bottom w:val="nil"/>
              <w:right w:val="nil"/>
            </w:tcBorders>
            <w:noWrap/>
            <w:textDirection w:val="lrTb"/>
            <w:vAlign w:val="center"/>
            <w:hideMark/>
          </w:tcPr>
          <w:p w:rsidR="006F14B2" w:rsidRPr="00EF53AA" w:rsidP="000B4414">
            <w:pPr>
              <w:bidi w:val="0"/>
              <w:spacing w:after="0" w:line="240" w:lineRule="auto"/>
              <w:rPr>
                <w:rFonts w:ascii="Times New Roman" w:hAnsi="Times New Roman" w:cs="Times New Roman"/>
                <w:sz w:val="20"/>
                <w:szCs w:val="20"/>
                <w:lang w:eastAsia="sk-SK"/>
              </w:rPr>
            </w:pPr>
            <w:r w:rsidRPr="00EF53AA">
              <w:rPr>
                <w:rFonts w:ascii="Times New Roman" w:hAnsi="Times New Roman" w:cs="Times New Roman"/>
                <w:sz w:val="20"/>
                <w:szCs w:val="20"/>
                <w:lang w:eastAsia="sk-SK"/>
              </w:rPr>
              <w:t>Dopravné podniky</w:t>
            </w:r>
          </w:p>
        </w:tc>
        <w:tc>
          <w:tcPr>
            <w:tcW w:w="573" w:type="pct"/>
            <w:tcBorders>
              <w:top w:val="nil"/>
              <w:left w:val="nil"/>
              <w:bottom w:val="nil"/>
              <w:right w:val="nil"/>
            </w:tcBorders>
            <w:noWrap/>
            <w:textDirection w:val="lrTb"/>
            <w:vAlign w:val="center"/>
            <w:hideMark/>
          </w:tcPr>
          <w:p w:rsidR="006F14B2" w:rsidRPr="00EF53AA" w:rsidP="000B4414">
            <w:pPr>
              <w:bidi w:val="0"/>
              <w:spacing w:after="0" w:line="240" w:lineRule="auto"/>
              <w:jc w:val="right"/>
              <w:rPr>
                <w:rFonts w:ascii="Times New Roman" w:hAnsi="Times New Roman" w:cs="Times New Roman"/>
                <w:sz w:val="20"/>
                <w:szCs w:val="20"/>
                <w:lang w:eastAsia="sk-SK"/>
              </w:rPr>
            </w:pPr>
            <w:r w:rsidRPr="00EF53AA">
              <w:rPr>
                <w:rFonts w:ascii="Times New Roman" w:hAnsi="Times New Roman" w:cs="Times New Roman"/>
                <w:sz w:val="20"/>
                <w:szCs w:val="20"/>
                <w:lang w:eastAsia="sk-SK"/>
              </w:rPr>
              <w:t>-12 409</w:t>
            </w:r>
          </w:p>
        </w:tc>
        <w:tc>
          <w:tcPr>
            <w:tcW w:w="382" w:type="pct"/>
            <w:tcBorders>
              <w:top w:val="nil"/>
              <w:left w:val="nil"/>
              <w:bottom w:val="nil"/>
              <w:right w:val="nil"/>
            </w:tcBorders>
            <w:noWrap/>
            <w:textDirection w:val="lrTb"/>
            <w:vAlign w:val="center"/>
            <w:hideMark/>
          </w:tcPr>
          <w:p w:rsidR="006F14B2" w:rsidRPr="00EF53AA" w:rsidP="000B4414">
            <w:pPr>
              <w:bidi w:val="0"/>
              <w:spacing w:after="0" w:line="240" w:lineRule="auto"/>
              <w:jc w:val="right"/>
              <w:rPr>
                <w:rFonts w:ascii="Times New Roman" w:hAnsi="Times New Roman" w:cs="Times New Roman"/>
                <w:sz w:val="20"/>
                <w:szCs w:val="20"/>
                <w:lang w:eastAsia="sk-SK"/>
              </w:rPr>
            </w:pPr>
            <w:r w:rsidRPr="00EF53AA">
              <w:rPr>
                <w:rFonts w:ascii="Times New Roman" w:hAnsi="Times New Roman" w:cs="Times New Roman"/>
                <w:sz w:val="20"/>
                <w:szCs w:val="20"/>
                <w:lang w:eastAsia="sk-SK"/>
              </w:rPr>
              <w:t>-0,016</w:t>
            </w:r>
          </w:p>
        </w:tc>
        <w:tc>
          <w:tcPr>
            <w:tcW w:w="2200" w:type="pct"/>
            <w:tcBorders>
              <w:top w:val="nil"/>
              <w:left w:val="nil"/>
              <w:bottom w:val="nil"/>
              <w:right w:val="nil"/>
            </w:tcBorders>
            <w:noWrap/>
            <w:textDirection w:val="lrTb"/>
            <w:vAlign w:val="center"/>
            <w:hideMark/>
          </w:tcPr>
          <w:p w:rsidR="006F14B2" w:rsidRPr="00EF53AA" w:rsidP="000B4414">
            <w:pPr>
              <w:bidi w:val="0"/>
              <w:spacing w:after="0" w:line="240" w:lineRule="auto"/>
              <w:ind w:firstLine="200" w:firstLineChars="100"/>
              <w:rPr>
                <w:rFonts w:ascii="Times New Roman" w:hAnsi="Times New Roman" w:cs="Times New Roman"/>
                <w:sz w:val="20"/>
                <w:szCs w:val="20"/>
                <w:lang w:eastAsia="sk-SK"/>
              </w:rPr>
            </w:pPr>
            <w:r w:rsidRPr="00EF53AA">
              <w:rPr>
                <w:rFonts w:ascii="Times New Roman" w:hAnsi="Times New Roman" w:cs="Times New Roman"/>
                <w:sz w:val="20"/>
                <w:szCs w:val="20"/>
                <w:lang w:eastAsia="sk-SK"/>
              </w:rPr>
              <w:t>DP BA aktualizácia výšky bankových úverov</w:t>
            </w:r>
          </w:p>
        </w:tc>
      </w:tr>
      <w:tr>
        <w:tblPrEx>
          <w:tblW w:w="5000" w:type="pct"/>
          <w:tblCellMar>
            <w:left w:w="70" w:type="dxa"/>
            <w:right w:w="70" w:type="dxa"/>
          </w:tblCellMar>
          <w:tblLook w:val="04A0"/>
        </w:tblPrEx>
        <w:trPr>
          <w:trHeight w:val="255"/>
        </w:trPr>
        <w:tc>
          <w:tcPr>
            <w:tcW w:w="1845" w:type="pct"/>
            <w:tcBorders>
              <w:top w:val="nil"/>
              <w:left w:val="nil"/>
              <w:bottom w:val="nil"/>
              <w:right w:val="nil"/>
            </w:tcBorders>
            <w:noWrap/>
            <w:textDirection w:val="lrTb"/>
            <w:vAlign w:val="center"/>
            <w:hideMark/>
          </w:tcPr>
          <w:p w:rsidR="006F14B2" w:rsidRPr="00EF53AA" w:rsidP="000B4414">
            <w:pPr>
              <w:bidi w:val="0"/>
              <w:spacing w:after="0" w:line="240" w:lineRule="auto"/>
              <w:rPr>
                <w:rFonts w:ascii="Times New Roman" w:hAnsi="Times New Roman" w:cs="Times New Roman"/>
                <w:sz w:val="20"/>
                <w:szCs w:val="20"/>
                <w:lang w:eastAsia="sk-SK"/>
              </w:rPr>
            </w:pPr>
            <w:r w:rsidRPr="00EF53AA">
              <w:rPr>
                <w:rFonts w:ascii="Times New Roman" w:hAnsi="Times New Roman" w:cs="Times New Roman"/>
                <w:sz w:val="20"/>
                <w:szCs w:val="20"/>
                <w:lang w:eastAsia="sk-SK"/>
              </w:rPr>
              <w:t>Jadrová a vyraďovacia spoločnosť, a.</w:t>
            </w:r>
            <w:r>
              <w:rPr>
                <w:rFonts w:ascii="Times New Roman" w:hAnsi="Times New Roman" w:cs="Times New Roman"/>
                <w:sz w:val="20"/>
                <w:szCs w:val="20"/>
                <w:lang w:eastAsia="sk-SK"/>
              </w:rPr>
              <w:t xml:space="preserve"> </w:t>
            </w:r>
            <w:r w:rsidRPr="00EF53AA">
              <w:rPr>
                <w:rFonts w:ascii="Times New Roman" w:hAnsi="Times New Roman" w:cs="Times New Roman"/>
                <w:sz w:val="20"/>
                <w:szCs w:val="20"/>
                <w:lang w:eastAsia="sk-SK"/>
              </w:rPr>
              <w:t>s.</w:t>
            </w:r>
          </w:p>
        </w:tc>
        <w:tc>
          <w:tcPr>
            <w:tcW w:w="573" w:type="pct"/>
            <w:tcBorders>
              <w:top w:val="nil"/>
              <w:left w:val="nil"/>
              <w:bottom w:val="nil"/>
              <w:right w:val="nil"/>
            </w:tcBorders>
            <w:noWrap/>
            <w:textDirection w:val="lrTb"/>
            <w:vAlign w:val="center"/>
            <w:hideMark/>
          </w:tcPr>
          <w:p w:rsidR="006F14B2" w:rsidRPr="00EF53AA" w:rsidP="000B4414">
            <w:pPr>
              <w:bidi w:val="0"/>
              <w:spacing w:after="0" w:line="240" w:lineRule="auto"/>
              <w:jc w:val="right"/>
              <w:rPr>
                <w:rFonts w:ascii="Times New Roman" w:hAnsi="Times New Roman" w:cs="Times New Roman"/>
                <w:sz w:val="20"/>
                <w:szCs w:val="20"/>
                <w:lang w:eastAsia="sk-SK"/>
              </w:rPr>
            </w:pPr>
            <w:r w:rsidRPr="00EF53AA">
              <w:rPr>
                <w:rFonts w:ascii="Times New Roman" w:hAnsi="Times New Roman" w:cs="Times New Roman"/>
                <w:sz w:val="20"/>
                <w:szCs w:val="20"/>
                <w:lang w:eastAsia="sk-SK"/>
              </w:rPr>
              <w:t>1</w:t>
            </w:r>
          </w:p>
        </w:tc>
        <w:tc>
          <w:tcPr>
            <w:tcW w:w="382" w:type="pct"/>
            <w:tcBorders>
              <w:top w:val="nil"/>
              <w:left w:val="nil"/>
              <w:bottom w:val="nil"/>
              <w:right w:val="nil"/>
            </w:tcBorders>
            <w:noWrap/>
            <w:textDirection w:val="lrTb"/>
            <w:vAlign w:val="center"/>
            <w:hideMark/>
          </w:tcPr>
          <w:p w:rsidR="006F14B2" w:rsidRPr="00EF53AA" w:rsidP="000B4414">
            <w:pPr>
              <w:bidi w:val="0"/>
              <w:spacing w:after="0" w:line="240" w:lineRule="auto"/>
              <w:jc w:val="right"/>
              <w:rPr>
                <w:rFonts w:ascii="Times New Roman" w:hAnsi="Times New Roman" w:cs="Times New Roman"/>
                <w:sz w:val="20"/>
                <w:szCs w:val="20"/>
                <w:lang w:eastAsia="sk-SK"/>
              </w:rPr>
            </w:pPr>
            <w:r w:rsidRPr="00EF53AA">
              <w:rPr>
                <w:rFonts w:ascii="Times New Roman" w:hAnsi="Times New Roman" w:cs="Times New Roman"/>
                <w:sz w:val="20"/>
                <w:szCs w:val="20"/>
                <w:lang w:eastAsia="sk-SK"/>
              </w:rPr>
              <w:t>0,000</w:t>
            </w:r>
          </w:p>
        </w:tc>
        <w:tc>
          <w:tcPr>
            <w:tcW w:w="2200" w:type="pct"/>
            <w:tcBorders>
              <w:top w:val="nil"/>
              <w:left w:val="nil"/>
              <w:bottom w:val="nil"/>
              <w:right w:val="nil"/>
            </w:tcBorders>
            <w:noWrap/>
            <w:textDirection w:val="lrTb"/>
            <w:vAlign w:val="center"/>
            <w:hideMark/>
          </w:tcPr>
          <w:p w:rsidR="006F14B2" w:rsidRPr="00EF53AA" w:rsidP="000B4414">
            <w:pPr>
              <w:bidi w:val="0"/>
              <w:spacing w:after="0" w:line="240" w:lineRule="auto"/>
              <w:ind w:firstLine="200" w:firstLineChars="100"/>
              <w:rPr>
                <w:rFonts w:ascii="Times New Roman" w:hAnsi="Times New Roman" w:cs="Times New Roman"/>
                <w:sz w:val="20"/>
                <w:szCs w:val="20"/>
                <w:lang w:eastAsia="sk-SK"/>
              </w:rPr>
            </w:pPr>
            <w:r>
              <w:rPr>
                <w:rFonts w:ascii="Times New Roman" w:hAnsi="Times New Roman" w:cs="Times New Roman"/>
                <w:sz w:val="20"/>
                <w:szCs w:val="20"/>
                <w:lang w:eastAsia="sk-SK"/>
              </w:rPr>
              <w:t>p</w:t>
            </w:r>
            <w:r w:rsidRPr="00EF53AA">
              <w:rPr>
                <w:rFonts w:ascii="Times New Roman" w:hAnsi="Times New Roman" w:cs="Times New Roman"/>
                <w:sz w:val="20"/>
                <w:szCs w:val="20"/>
                <w:lang w:eastAsia="sk-SK"/>
              </w:rPr>
              <w:t>reklasifikovanie subjektu do sektora VS</w:t>
            </w:r>
          </w:p>
        </w:tc>
      </w:tr>
      <w:tr>
        <w:tblPrEx>
          <w:tblW w:w="5000" w:type="pct"/>
          <w:tblCellMar>
            <w:left w:w="70" w:type="dxa"/>
            <w:right w:w="70" w:type="dxa"/>
          </w:tblCellMar>
          <w:tblLook w:val="04A0"/>
        </w:tblPrEx>
        <w:trPr>
          <w:trHeight w:val="255"/>
        </w:trPr>
        <w:tc>
          <w:tcPr>
            <w:tcW w:w="1845" w:type="pct"/>
            <w:tcBorders>
              <w:top w:val="single" w:sz="4" w:space="0" w:color="auto"/>
              <w:left w:val="nil"/>
              <w:bottom w:val="single" w:sz="4" w:space="0" w:color="auto"/>
              <w:right w:val="nil"/>
            </w:tcBorders>
            <w:textDirection w:val="lrTb"/>
            <w:vAlign w:val="center"/>
            <w:hideMark/>
          </w:tcPr>
          <w:p w:rsidR="006F14B2" w:rsidRPr="00EF53AA" w:rsidP="000B4414">
            <w:pPr>
              <w:bidi w:val="0"/>
              <w:spacing w:after="0" w:line="240" w:lineRule="auto"/>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Maastrichtský dlh  VS - október 2016</w:t>
            </w:r>
          </w:p>
        </w:tc>
        <w:tc>
          <w:tcPr>
            <w:tcW w:w="573" w:type="pct"/>
            <w:tcBorders>
              <w:top w:val="single" w:sz="4" w:space="0" w:color="auto"/>
              <w:left w:val="nil"/>
              <w:bottom w:val="single" w:sz="4" w:space="0" w:color="auto"/>
              <w:right w:val="nil"/>
            </w:tcBorders>
            <w:textDirection w:val="lrTb"/>
            <w:vAlign w:val="center"/>
            <w:hideMark/>
          </w:tcPr>
          <w:p w:rsidR="006F14B2" w:rsidRPr="00EF53AA" w:rsidP="000B4414">
            <w:pPr>
              <w:bidi w:val="0"/>
              <w:spacing w:after="0" w:line="240" w:lineRule="auto"/>
              <w:jc w:val="right"/>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41 293 315</w:t>
            </w:r>
          </w:p>
        </w:tc>
        <w:tc>
          <w:tcPr>
            <w:tcW w:w="382" w:type="pct"/>
            <w:tcBorders>
              <w:top w:val="single" w:sz="4" w:space="0" w:color="auto"/>
              <w:left w:val="nil"/>
              <w:bottom w:val="single" w:sz="4" w:space="0" w:color="auto"/>
              <w:right w:val="nil"/>
            </w:tcBorders>
            <w:textDirection w:val="lrTb"/>
            <w:vAlign w:val="center"/>
            <w:hideMark/>
          </w:tcPr>
          <w:p w:rsidR="006F14B2" w:rsidRPr="00EF53AA" w:rsidP="000B4414">
            <w:pPr>
              <w:bidi w:val="0"/>
              <w:spacing w:after="0" w:line="240" w:lineRule="auto"/>
              <w:jc w:val="right"/>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52,48</w:t>
            </w:r>
          </w:p>
        </w:tc>
        <w:tc>
          <w:tcPr>
            <w:tcW w:w="2200" w:type="pct"/>
            <w:tcBorders>
              <w:top w:val="single" w:sz="4" w:space="0" w:color="auto"/>
              <w:left w:val="nil"/>
              <w:bottom w:val="single" w:sz="4" w:space="0" w:color="auto"/>
              <w:right w:val="nil"/>
            </w:tcBorders>
            <w:noWrap/>
            <w:textDirection w:val="lrTb"/>
            <w:vAlign w:val="center"/>
            <w:hideMark/>
          </w:tcPr>
          <w:p w:rsidR="006F14B2" w:rsidRPr="00EF53AA" w:rsidP="000B4414">
            <w:pPr>
              <w:bidi w:val="0"/>
              <w:spacing w:after="0" w:line="240" w:lineRule="auto"/>
              <w:jc w:val="center"/>
              <w:rPr>
                <w:rFonts w:ascii="Times New Roman" w:hAnsi="Times New Roman" w:cs="Times New Roman"/>
                <w:b/>
                <w:bCs/>
                <w:sz w:val="20"/>
                <w:szCs w:val="20"/>
                <w:lang w:eastAsia="sk-SK"/>
              </w:rPr>
            </w:pPr>
            <w:r w:rsidRPr="00EF53AA">
              <w:rPr>
                <w:rFonts w:ascii="Times New Roman" w:hAnsi="Times New Roman" w:cs="Times New Roman"/>
                <w:b/>
                <w:bCs/>
                <w:sz w:val="20"/>
                <w:szCs w:val="20"/>
                <w:lang w:eastAsia="sk-SK"/>
              </w:rPr>
              <w:t> </w:t>
            </w:r>
          </w:p>
        </w:tc>
      </w:tr>
    </w:tbl>
    <w:p w:rsidR="006F14B2" w:rsidRPr="00F9224F" w:rsidP="006F14B2">
      <w:pPr>
        <w:pStyle w:val="ListParagraph"/>
        <w:bidi w:val="0"/>
        <w:spacing w:line="276" w:lineRule="auto"/>
        <w:ind w:left="360"/>
        <w:contextualSpacing w:val="0"/>
        <w:jc w:val="right"/>
      </w:pPr>
      <w:r w:rsidRPr="00B45E64">
        <w:rPr>
          <w:rFonts w:ascii="Times New Roman" w:hAnsi="Times New Roman" w:cs="Times New Roman"/>
          <w:sz w:val="16"/>
          <w:szCs w:val="16"/>
        </w:rPr>
        <w:t>Zdroj: MF SR</w:t>
      </w:r>
    </w:p>
    <w:p w:rsidR="006F14B2" w:rsidRPr="00EF53AA" w:rsidP="006F14B2">
      <w:pPr>
        <w:bidi w:val="0"/>
        <w:spacing w:before="240" w:after="0" w:line="336" w:lineRule="auto"/>
        <w:jc w:val="both"/>
        <w:rPr>
          <w:rFonts w:ascii="Times New Roman" w:hAnsi="Times New Roman" w:cs="Times New Roman"/>
        </w:rPr>
      </w:pPr>
      <w:r w:rsidRPr="00ED3D31">
        <w:rPr>
          <w:rFonts w:ascii="Times New Roman" w:hAnsi="Times New Roman" w:cs="Times New Roman"/>
        </w:rPr>
        <w:t>Zníženie dlhu verejnej správy pri októbrovej notifikácii opr</w:t>
      </w:r>
      <w:r w:rsidR="005C44A3">
        <w:rPr>
          <w:rFonts w:ascii="Times New Roman" w:hAnsi="Times New Roman" w:cs="Times New Roman"/>
        </w:rPr>
        <w:t>oti aprílu o 0,4 % HDP spôsobila revízia HDP a</w:t>
      </w:r>
      <w:r w:rsidRPr="00EF53AA">
        <w:rPr>
          <w:rFonts w:ascii="Times New Roman" w:hAnsi="Times New Roman" w:cs="Times New Roman"/>
        </w:rPr>
        <w:t xml:space="preserve"> nasledovné faktory:</w:t>
      </w:r>
    </w:p>
    <w:p w:rsidR="006F14B2" w:rsidP="006F14B2">
      <w:pPr>
        <w:pStyle w:val="ListParagraph"/>
        <w:numPr>
          <w:numId w:val="18"/>
        </w:numPr>
        <w:bidi w:val="0"/>
        <w:spacing w:line="360" w:lineRule="auto"/>
        <w:ind w:left="357" w:hanging="357"/>
        <w:jc w:val="both"/>
        <w:rPr>
          <w:rFonts w:ascii="Times New Roman" w:hAnsi="Times New Roman" w:cs="Times New Roman"/>
        </w:rPr>
      </w:pPr>
      <w:r w:rsidRPr="00F9224F">
        <w:rPr>
          <w:rFonts w:ascii="Times New Roman" w:hAnsi="Times New Roman" w:cs="Times New Roman"/>
        </w:rPr>
        <w:t>aktualizácia údajov  o bankových úveroch z účtovných výkazov dopravných podnikov (z</w:t>
      </w:r>
      <w:r>
        <w:rPr>
          <w:rFonts w:ascii="Times New Roman" w:hAnsi="Times New Roman" w:cs="Times New Roman"/>
        </w:rPr>
        <w:t>níženie dlhu o 12 409 tis. eur);</w:t>
      </w:r>
    </w:p>
    <w:p w:rsidR="006F14B2" w:rsidRPr="00F9224F" w:rsidP="006F14B2">
      <w:pPr>
        <w:pStyle w:val="ListParagraph"/>
        <w:numPr>
          <w:numId w:val="18"/>
        </w:numPr>
        <w:bidi w:val="0"/>
        <w:spacing w:line="360" w:lineRule="auto"/>
        <w:ind w:left="357" w:hanging="357"/>
        <w:jc w:val="both"/>
        <w:rPr>
          <w:rFonts w:ascii="Times New Roman" w:hAnsi="Times New Roman" w:cs="Times New Roman"/>
        </w:rPr>
      </w:pPr>
      <w:r w:rsidRPr="00F9224F">
        <w:rPr>
          <w:rFonts w:ascii="Times New Roman" w:hAnsi="Times New Roman" w:cs="Times New Roman"/>
        </w:rPr>
        <w:t xml:space="preserve">zaradenie </w:t>
      </w:r>
      <w:r>
        <w:rPr>
          <w:rFonts w:ascii="Times New Roman" w:hAnsi="Times New Roman" w:cs="Times New Roman"/>
        </w:rPr>
        <w:t xml:space="preserve">spoločnosti </w:t>
      </w:r>
      <w:r w:rsidRPr="00F9224F">
        <w:rPr>
          <w:rFonts w:ascii="Times New Roman" w:hAnsi="Times New Roman" w:cs="Times New Roman"/>
        </w:rPr>
        <w:t>JAVYS</w:t>
      </w:r>
      <w:r>
        <w:rPr>
          <w:rFonts w:ascii="Times New Roman" w:hAnsi="Times New Roman" w:cs="Times New Roman"/>
        </w:rPr>
        <w:t>, a. s.</w:t>
      </w:r>
      <w:r w:rsidRPr="00F9224F">
        <w:rPr>
          <w:rFonts w:ascii="Times New Roman" w:hAnsi="Times New Roman" w:cs="Times New Roman"/>
        </w:rPr>
        <w:t xml:space="preserve"> do sektora verejnej správy (zvýšenie dlhu o 1 tis. eur);</w:t>
      </w:r>
    </w:p>
    <w:p w:rsidR="006F14B2" w:rsidP="006F14B2">
      <w:pPr>
        <w:pStyle w:val="ListParagraph"/>
        <w:numPr>
          <w:numId w:val="18"/>
        </w:numPr>
        <w:bidi w:val="0"/>
        <w:spacing w:line="360" w:lineRule="auto"/>
        <w:ind w:left="357" w:hanging="357"/>
        <w:jc w:val="both"/>
        <w:rPr>
          <w:rFonts w:ascii="Times New Roman" w:hAnsi="Times New Roman" w:cs="Times New Roman"/>
        </w:rPr>
      </w:pPr>
      <w:r w:rsidRPr="00F9224F">
        <w:rPr>
          <w:rFonts w:ascii="Times New Roman" w:hAnsi="Times New Roman" w:cs="Times New Roman"/>
        </w:rPr>
        <w:t>aktualizácia údajov z účtovných výkazov FNM o dlhových cenných papieroch (zníženie dlhu o</w:t>
      </w:r>
      <w:r>
        <w:rPr>
          <w:rFonts w:ascii="Times New Roman" w:hAnsi="Times New Roman" w:cs="Times New Roman"/>
        </w:rPr>
        <w:t> </w:t>
      </w:r>
      <w:r w:rsidRPr="00F9224F">
        <w:rPr>
          <w:rFonts w:ascii="Times New Roman" w:hAnsi="Times New Roman" w:cs="Times New Roman"/>
        </w:rPr>
        <w:t>9</w:t>
      </w:r>
      <w:r>
        <w:rPr>
          <w:rFonts w:ascii="Times New Roman" w:hAnsi="Times New Roman" w:cs="Times New Roman"/>
        </w:rPr>
        <w:t> </w:t>
      </w:r>
      <w:r w:rsidRPr="00F9224F">
        <w:rPr>
          <w:rFonts w:ascii="Times New Roman" w:hAnsi="Times New Roman" w:cs="Times New Roman"/>
        </w:rPr>
        <w:t>tis. eur)</w:t>
      </w:r>
      <w:r w:rsidR="005C44A3">
        <w:rPr>
          <w:rFonts w:ascii="Times New Roman" w:hAnsi="Times New Roman" w:cs="Times New Roman"/>
        </w:rPr>
        <w:t>,</w:t>
      </w:r>
    </w:p>
    <w:p w:rsidR="003A760D" w:rsidRPr="0094291A" w:rsidP="00652AE0">
      <w:pPr>
        <w:pStyle w:val="Heading2"/>
        <w:numPr>
          <w:numId w:val="48"/>
        </w:numPr>
        <w:bidi w:val="0"/>
        <w:spacing w:before="120" w:after="120" w:line="336" w:lineRule="auto"/>
        <w:ind w:left="425" w:hanging="425"/>
        <w:rPr>
          <w:rFonts w:eastAsiaTheme="minorHAnsi"/>
        </w:rPr>
      </w:pPr>
      <w:bookmarkStart w:id="53" w:name="_Toc401920010"/>
      <w:bookmarkStart w:id="54" w:name="_Toc433099270"/>
      <w:bookmarkStart w:id="55" w:name="_Toc465255014"/>
      <w:bookmarkStart w:id="56" w:name="_Toc465258479"/>
      <w:r w:rsidRPr="0094291A">
        <w:rPr>
          <w:rFonts w:eastAsiaTheme="minorHAnsi"/>
        </w:rPr>
        <w:t>Porovnanie salda a dlhu verejnej správy v rámci Európskej únie</w:t>
      </w:r>
      <w:bookmarkEnd w:id="33"/>
      <w:bookmarkEnd w:id="53"/>
      <w:bookmarkEnd w:id="54"/>
      <w:bookmarkEnd w:id="55"/>
      <w:bookmarkEnd w:id="56"/>
    </w:p>
    <w:p w:rsidR="00445BDC" w:rsidP="00445BDC">
      <w:pPr>
        <w:bidi w:val="0"/>
        <w:spacing w:after="120" w:line="336" w:lineRule="auto"/>
        <w:jc w:val="both"/>
        <w:rPr>
          <w:rFonts w:ascii="Times New Roman" w:eastAsia="Calibri" w:hAnsi="Times New Roman" w:cs="Times New Roman"/>
          <w:b/>
        </w:rPr>
      </w:pPr>
      <w:bookmarkStart w:id="57" w:name="_Toc399324360"/>
      <w:r w:rsidRPr="001E6B33">
        <w:rPr>
          <w:rFonts w:ascii="Times New Roman" w:eastAsia="Calibri" w:hAnsi="Times New Roman" w:cs="Times New Roman"/>
        </w:rPr>
        <w:t>V </w:t>
      </w:r>
      <w:r w:rsidRPr="001E6B33">
        <w:rPr>
          <w:rFonts w:ascii="Times New Roman" w:eastAsia="Calibri" w:hAnsi="Times New Roman" w:cs="Times New Roman" w:hint="default"/>
        </w:rPr>
        <w:t>rá</w:t>
      </w:r>
      <w:r w:rsidRPr="001E6B33">
        <w:rPr>
          <w:rFonts w:ascii="Times New Roman" w:eastAsia="Calibri" w:hAnsi="Times New Roman" w:cs="Times New Roman" w:hint="default"/>
        </w:rPr>
        <w:t xml:space="preserve">mci </w:t>
      </w:r>
      <w:r w:rsidRPr="001E6B33">
        <w:rPr>
          <w:rFonts w:ascii="Times New Roman" w:eastAsia="Calibri" w:hAnsi="Times New Roman" w:cs="Times New Roman" w:hint="default"/>
        </w:rPr>
        <w:t>Euró</w:t>
      </w:r>
      <w:r w:rsidRPr="001E6B33">
        <w:rPr>
          <w:rFonts w:ascii="Times New Roman" w:eastAsia="Calibri" w:hAnsi="Times New Roman" w:cs="Times New Roman" w:hint="default"/>
        </w:rPr>
        <w:t>pskej ú</w:t>
      </w:r>
      <w:r w:rsidRPr="001E6B33">
        <w:rPr>
          <w:rFonts w:ascii="Times New Roman" w:eastAsia="Calibri" w:hAnsi="Times New Roman" w:cs="Times New Roman" w:hint="default"/>
        </w:rPr>
        <w:t>nie (28 krají</w:t>
      </w:r>
      <w:r w:rsidRPr="001E6B33">
        <w:rPr>
          <w:rFonts w:ascii="Times New Roman" w:eastAsia="Calibri" w:hAnsi="Times New Roman" w:cs="Times New Roman" w:hint="default"/>
        </w:rPr>
        <w:t>n) v roku 201</w:t>
      </w:r>
      <w:r>
        <w:rPr>
          <w:rFonts w:ascii="Times New Roman" w:eastAsia="Calibri" w:hAnsi="Times New Roman" w:cs="Times New Roman"/>
        </w:rPr>
        <w:t>5</w:t>
      </w:r>
      <w:r w:rsidRPr="001E6B33">
        <w:rPr>
          <w:rFonts w:ascii="Times New Roman" w:eastAsia="Calibri" w:hAnsi="Times New Roman" w:cs="Times New Roman"/>
        </w:rPr>
        <w:t xml:space="preserve"> </w:t>
      </w:r>
      <w:r w:rsidRPr="00760DCB">
        <w:rPr>
          <w:rFonts w:ascii="Times New Roman" w:eastAsia="Calibri" w:hAnsi="Times New Roman" w:cs="Times New Roman" w:hint="default"/>
        </w:rPr>
        <w:t>dosiahlo 7 krají</w:t>
      </w:r>
      <w:r w:rsidRPr="00760DCB">
        <w:rPr>
          <w:rFonts w:ascii="Times New Roman" w:eastAsia="Calibri" w:hAnsi="Times New Roman" w:cs="Times New Roman" w:hint="default"/>
        </w:rPr>
        <w:t>n vyšší</w:t>
      </w:r>
      <w:r w:rsidRPr="00760DCB">
        <w:rPr>
          <w:rFonts w:ascii="Times New Roman" w:eastAsia="Calibri" w:hAnsi="Times New Roman" w:cs="Times New Roman" w:hint="default"/>
        </w:rPr>
        <w:t xml:space="preserve"> schodok a 17 </w:t>
      </w:r>
      <w:r w:rsidRPr="00706FBD">
        <w:rPr>
          <w:rFonts w:ascii="Times New Roman" w:eastAsia="Calibri" w:hAnsi="Times New Roman" w:cs="Times New Roman" w:hint="default"/>
        </w:rPr>
        <w:t>krají</w:t>
      </w:r>
      <w:r w:rsidRPr="00706FBD">
        <w:rPr>
          <w:rFonts w:ascii="Times New Roman" w:eastAsia="Calibri" w:hAnsi="Times New Roman" w:cs="Times New Roman" w:hint="default"/>
        </w:rPr>
        <w:t>n dosiahlo vyšší</w:t>
      </w:r>
      <w:r w:rsidRPr="00706FBD">
        <w:rPr>
          <w:rFonts w:ascii="Times New Roman" w:eastAsia="Calibri" w:hAnsi="Times New Roman" w:cs="Times New Roman" w:hint="default"/>
        </w:rPr>
        <w:t xml:space="preserve"> dlh verejnej sprá</w:t>
      </w:r>
      <w:r w:rsidRPr="00706FBD">
        <w:rPr>
          <w:rFonts w:ascii="Times New Roman" w:eastAsia="Calibri" w:hAnsi="Times New Roman" w:cs="Times New Roman" w:hint="default"/>
        </w:rPr>
        <w:t xml:space="preserve">vy </w:t>
      </w:r>
      <w:r w:rsidRPr="001E6B33">
        <w:rPr>
          <w:rFonts w:ascii="Times New Roman" w:eastAsia="Calibri" w:hAnsi="Times New Roman" w:cs="Times New Roman" w:hint="default"/>
        </w:rPr>
        <w:t>ako Slovenská</w:t>
      </w:r>
      <w:r w:rsidRPr="001E6B33">
        <w:rPr>
          <w:rFonts w:ascii="Times New Roman" w:eastAsia="Calibri" w:hAnsi="Times New Roman" w:cs="Times New Roman" w:hint="default"/>
        </w:rPr>
        <w:t xml:space="preserve"> republika. </w:t>
      </w:r>
      <w:r w:rsidRPr="00706FBD">
        <w:rPr>
          <w:rFonts w:ascii="Times New Roman" w:eastAsia="Calibri" w:hAnsi="Times New Roman" w:cs="Times New Roman" w:hint="default"/>
          <w:b/>
        </w:rPr>
        <w:t>Priemerný</w:t>
      </w:r>
      <w:r w:rsidRPr="00706FBD">
        <w:rPr>
          <w:rFonts w:ascii="Times New Roman" w:eastAsia="Calibri" w:hAnsi="Times New Roman" w:cs="Times New Roman" w:hint="default"/>
          <w:b/>
        </w:rPr>
        <w:t xml:space="preserve"> schodok EÚ </w:t>
      </w:r>
      <w:r w:rsidRPr="00706FBD">
        <w:rPr>
          <w:rFonts w:ascii="Times New Roman" w:eastAsia="Calibri" w:hAnsi="Times New Roman" w:cs="Times New Roman" w:hint="default"/>
          <w:b/>
        </w:rPr>
        <w:t xml:space="preserve">28 bol </w:t>
      </w:r>
      <w:r w:rsidRPr="00760DCB">
        <w:rPr>
          <w:rFonts w:ascii="Times New Roman" w:eastAsia="Calibri" w:hAnsi="Times New Roman" w:cs="Times New Roman"/>
          <w:b/>
        </w:rPr>
        <w:t>2,4 </w:t>
      </w:r>
      <w:r w:rsidRPr="00706FBD">
        <w:rPr>
          <w:rFonts w:ascii="Times New Roman" w:eastAsia="Calibri" w:hAnsi="Times New Roman" w:cs="Times New Roman"/>
          <w:b/>
        </w:rPr>
        <w:t>% HDP (Slovensko</w:t>
      </w:r>
      <w:r w:rsidRPr="00706FBD">
        <w:rPr>
          <w:rFonts w:ascii="Times New Roman" w:eastAsia="Calibri" w:hAnsi="Times New Roman" w:cs="Times New Roman"/>
          <w:b/>
          <w:color w:val="FF0000"/>
        </w:rPr>
        <w:t> </w:t>
      </w:r>
      <w:r w:rsidRPr="00760DCB">
        <w:rPr>
          <w:rFonts w:ascii="Times New Roman" w:eastAsia="Calibri" w:hAnsi="Times New Roman" w:cs="Times New Roman"/>
          <w:b/>
        </w:rPr>
        <w:t>2,7 </w:t>
      </w:r>
      <w:r w:rsidRPr="00706FBD">
        <w:rPr>
          <w:rFonts w:ascii="Times New Roman" w:eastAsia="Calibri" w:hAnsi="Times New Roman" w:cs="Times New Roman"/>
          <w:b/>
        </w:rPr>
        <w:t>% HDP) a </w:t>
      </w:r>
      <w:r w:rsidRPr="00706FBD">
        <w:rPr>
          <w:rFonts w:ascii="Times New Roman" w:eastAsia="Calibri" w:hAnsi="Times New Roman" w:cs="Times New Roman" w:hint="default"/>
          <w:b/>
        </w:rPr>
        <w:t>priemerný</w:t>
      </w:r>
      <w:r w:rsidRPr="00706FBD">
        <w:rPr>
          <w:rFonts w:ascii="Times New Roman" w:eastAsia="Calibri" w:hAnsi="Times New Roman" w:cs="Times New Roman" w:hint="default"/>
          <w:b/>
        </w:rPr>
        <w:t xml:space="preserve"> dlh verejnej sprá</w:t>
      </w:r>
      <w:r w:rsidRPr="00706FBD">
        <w:rPr>
          <w:rFonts w:ascii="Times New Roman" w:eastAsia="Calibri" w:hAnsi="Times New Roman" w:cs="Times New Roman" w:hint="default"/>
          <w:b/>
        </w:rPr>
        <w:t>vy EÚ </w:t>
      </w:r>
      <w:r w:rsidRPr="00706FBD">
        <w:rPr>
          <w:rFonts w:ascii="Times New Roman" w:eastAsia="Calibri" w:hAnsi="Times New Roman" w:cs="Times New Roman" w:hint="default"/>
          <w:b/>
        </w:rPr>
        <w:t xml:space="preserve">28 bol </w:t>
      </w:r>
      <w:r w:rsidRPr="00760DCB">
        <w:rPr>
          <w:rFonts w:ascii="Times New Roman" w:eastAsia="Calibri" w:hAnsi="Times New Roman" w:cs="Times New Roman"/>
          <w:b/>
        </w:rPr>
        <w:t>85 </w:t>
      </w:r>
      <w:r w:rsidRPr="00706FBD">
        <w:rPr>
          <w:rFonts w:ascii="Times New Roman" w:eastAsia="Calibri" w:hAnsi="Times New Roman" w:cs="Times New Roman"/>
          <w:b/>
        </w:rPr>
        <w:t xml:space="preserve">% HDP (Slovensko </w:t>
      </w:r>
      <w:r w:rsidRPr="00760DCB">
        <w:rPr>
          <w:rFonts w:ascii="Times New Roman" w:eastAsia="Calibri" w:hAnsi="Times New Roman" w:cs="Times New Roman"/>
          <w:b/>
        </w:rPr>
        <w:t>52,5 </w:t>
      </w:r>
      <w:r w:rsidRPr="00706FBD">
        <w:rPr>
          <w:rFonts w:ascii="Times New Roman" w:eastAsia="Calibri" w:hAnsi="Times New Roman" w:cs="Times New Roman"/>
          <w:b/>
        </w:rPr>
        <w:t>% HDP) v </w:t>
      </w:r>
      <w:r>
        <w:rPr>
          <w:rFonts w:ascii="Times New Roman" w:eastAsia="Calibri" w:hAnsi="Times New Roman" w:cs="Times New Roman"/>
          <w:b/>
        </w:rPr>
        <w:t>roku 2015</w:t>
      </w:r>
      <w:r w:rsidRPr="008F41B1">
        <w:rPr>
          <w:rFonts w:ascii="Times New Roman" w:eastAsia="Calibri" w:hAnsi="Times New Roman" w:cs="Times New Roman"/>
          <w:b/>
        </w:rPr>
        <w:t>.</w:t>
      </w:r>
      <w:r>
        <w:rPr>
          <w:rFonts w:ascii="Times New Roman" w:eastAsia="Calibri" w:hAnsi="Times New Roman" w:cs="Times New Roman"/>
          <w:b/>
        </w:rPr>
        <w:t xml:space="preserve"> </w:t>
      </w:r>
    </w:p>
    <w:p w:rsidR="00445BDC" w:rsidRPr="0041365C" w:rsidP="00445BDC">
      <w:pPr>
        <w:bidi w:val="0"/>
        <w:spacing w:after="120" w:line="336" w:lineRule="auto"/>
        <w:jc w:val="both"/>
        <w:rPr>
          <w:rFonts w:ascii="Times New Roman" w:eastAsia="Calibri" w:hAnsi="Times New Roman" w:cs="Times New Roman" w:hint="default"/>
        </w:rPr>
      </w:pPr>
      <w:r w:rsidRPr="001E6B33">
        <w:rPr>
          <w:rFonts w:ascii="Times New Roman" w:eastAsia="Calibri" w:hAnsi="Times New Roman" w:cs="Times New Roman" w:hint="default"/>
        </w:rPr>
        <w:t>Najvyšš</w:t>
      </w:r>
      <w:r w:rsidRPr="001E6B33">
        <w:rPr>
          <w:rFonts w:ascii="Times New Roman" w:eastAsia="Calibri" w:hAnsi="Times New Roman" w:cs="Times New Roman" w:hint="default"/>
        </w:rPr>
        <w:t>ie schodky verejnej sprá</w:t>
      </w:r>
      <w:r w:rsidRPr="001E6B33">
        <w:rPr>
          <w:rFonts w:ascii="Times New Roman" w:eastAsia="Calibri" w:hAnsi="Times New Roman" w:cs="Times New Roman" w:hint="default"/>
        </w:rPr>
        <w:t>vy v </w:t>
      </w:r>
      <w:r w:rsidRPr="001E6B33">
        <w:rPr>
          <w:rFonts w:ascii="Times New Roman" w:eastAsia="Calibri" w:hAnsi="Times New Roman" w:cs="Times New Roman" w:hint="default"/>
        </w:rPr>
        <w:t>rá</w:t>
      </w:r>
      <w:r w:rsidRPr="001E6B33">
        <w:rPr>
          <w:rFonts w:ascii="Times New Roman" w:eastAsia="Calibri" w:hAnsi="Times New Roman" w:cs="Times New Roman" w:hint="default"/>
        </w:rPr>
        <w:t>mci EÚ </w:t>
      </w:r>
      <w:r w:rsidRPr="001E6B33">
        <w:rPr>
          <w:rFonts w:ascii="Times New Roman" w:eastAsia="Calibri" w:hAnsi="Times New Roman" w:cs="Times New Roman" w:hint="default"/>
        </w:rPr>
        <w:t>28 v roku 201</w:t>
      </w:r>
      <w:r>
        <w:rPr>
          <w:rFonts w:ascii="Times New Roman" w:eastAsia="Calibri" w:hAnsi="Times New Roman" w:cs="Times New Roman"/>
        </w:rPr>
        <w:t>5</w:t>
      </w:r>
      <w:r w:rsidRPr="001E6B33">
        <w:rPr>
          <w:rFonts w:ascii="Times New Roman" w:eastAsia="Calibri" w:hAnsi="Times New Roman" w:cs="Times New Roman" w:hint="default"/>
        </w:rPr>
        <w:t xml:space="preserve"> vyká</w:t>
      </w:r>
      <w:r w:rsidRPr="001E6B33">
        <w:rPr>
          <w:rFonts w:ascii="Times New Roman" w:eastAsia="Calibri" w:hAnsi="Times New Roman" w:cs="Times New Roman" w:hint="default"/>
        </w:rPr>
        <w:t xml:space="preserve">zali </w:t>
      </w:r>
      <w:r>
        <w:rPr>
          <w:rFonts w:ascii="Times New Roman" w:eastAsia="Calibri" w:hAnsi="Times New Roman" w:cs="Times New Roman" w:hint="default"/>
        </w:rPr>
        <w:t>podobne krajiny, ktoré</w:t>
      </w:r>
      <w:r>
        <w:rPr>
          <w:rFonts w:ascii="Times New Roman" w:eastAsia="Calibri" w:hAnsi="Times New Roman" w:cs="Times New Roman" w:hint="default"/>
        </w:rPr>
        <w:t xml:space="preserve"> aj v </w:t>
      </w:r>
      <w:r>
        <w:rPr>
          <w:rFonts w:ascii="Times New Roman" w:eastAsia="Calibri" w:hAnsi="Times New Roman" w:cs="Times New Roman" w:hint="default"/>
        </w:rPr>
        <w:t>predchá</w:t>
      </w:r>
      <w:r>
        <w:rPr>
          <w:rFonts w:ascii="Times New Roman" w:eastAsia="Calibri" w:hAnsi="Times New Roman" w:cs="Times New Roman" w:hint="default"/>
        </w:rPr>
        <w:t>dzajú</w:t>
      </w:r>
      <w:r>
        <w:rPr>
          <w:rFonts w:ascii="Times New Roman" w:eastAsia="Calibri" w:hAnsi="Times New Roman" w:cs="Times New Roman" w:hint="default"/>
        </w:rPr>
        <w:t>cich rokoch vykazovali najvyšš</w:t>
      </w:r>
      <w:r>
        <w:rPr>
          <w:rFonts w:ascii="Times New Roman" w:eastAsia="Calibri" w:hAnsi="Times New Roman" w:cs="Times New Roman" w:hint="default"/>
        </w:rPr>
        <w:t>ie schodky verejnej sprá</w:t>
      </w:r>
      <w:r>
        <w:rPr>
          <w:rFonts w:ascii="Times New Roman" w:eastAsia="Calibri" w:hAnsi="Times New Roman" w:cs="Times New Roman" w:hint="default"/>
        </w:rPr>
        <w:t>vy</w:t>
      </w:r>
      <w:r w:rsidRPr="0079527B">
        <w:rPr>
          <w:rFonts w:ascii="Times New Roman" w:eastAsia="Calibri" w:hAnsi="Times New Roman" w:cs="Times New Roman"/>
        </w:rPr>
        <w:t>.</w:t>
      </w:r>
      <w:r w:rsidRPr="00230754">
        <w:rPr>
          <w:rFonts w:ascii="Times New Roman" w:eastAsia="Calibri" w:hAnsi="Times New Roman" w:cs="Times New Roman"/>
          <w:color w:val="FF0000"/>
        </w:rPr>
        <w:t xml:space="preserve"> </w:t>
      </w:r>
      <w:r w:rsidRPr="00A170B2">
        <w:rPr>
          <w:rFonts w:ascii="Times New Roman" w:eastAsia="Calibri" w:hAnsi="Times New Roman" w:cs="Times New Roman" w:hint="default"/>
        </w:rPr>
        <w:t>Š</w:t>
      </w:r>
      <w:r w:rsidRPr="00A170B2">
        <w:rPr>
          <w:rFonts w:ascii="Times New Roman" w:eastAsia="Calibri" w:hAnsi="Times New Roman" w:cs="Times New Roman" w:hint="default"/>
        </w:rPr>
        <w:t>panielsko dosiahlo schodok 5,1 % HDP, Portuga</w:t>
      </w:r>
      <w:r w:rsidRPr="00A170B2">
        <w:rPr>
          <w:rFonts w:ascii="Times New Roman" w:eastAsia="Calibri" w:hAnsi="Times New Roman" w:cs="Times New Roman" w:hint="default"/>
        </w:rPr>
        <w:t>lsko 4,4 % HDP a </w:t>
      </w:r>
      <w:r w:rsidRPr="00A170B2">
        <w:rPr>
          <w:rFonts w:ascii="Times New Roman" w:eastAsia="Calibri" w:hAnsi="Times New Roman" w:cs="Times New Roman" w:hint="default"/>
        </w:rPr>
        <w:t>Veľ</w:t>
      </w:r>
      <w:r w:rsidRPr="00A170B2">
        <w:rPr>
          <w:rFonts w:ascii="Times New Roman" w:eastAsia="Calibri" w:hAnsi="Times New Roman" w:cs="Times New Roman" w:hint="default"/>
        </w:rPr>
        <w:t>ká</w:t>
      </w:r>
      <w:r w:rsidRPr="00A170B2">
        <w:rPr>
          <w:rFonts w:ascii="Times New Roman" w:eastAsia="Calibri" w:hAnsi="Times New Roman" w:cs="Times New Roman" w:hint="default"/>
        </w:rPr>
        <w:t xml:space="preserve"> Britá</w:t>
      </w:r>
      <w:r w:rsidRPr="00A170B2">
        <w:rPr>
          <w:rFonts w:ascii="Times New Roman" w:eastAsia="Calibri" w:hAnsi="Times New Roman" w:cs="Times New Roman" w:hint="default"/>
        </w:rPr>
        <w:t>nia 4,3 % HDP. Ú</w:t>
      </w:r>
      <w:r w:rsidRPr="00A170B2">
        <w:rPr>
          <w:rFonts w:ascii="Times New Roman" w:eastAsia="Calibri" w:hAnsi="Times New Roman" w:cs="Times New Roman" w:hint="default"/>
        </w:rPr>
        <w:t>plne najvyšší</w:t>
      </w:r>
      <w:r w:rsidRPr="00A170B2">
        <w:rPr>
          <w:rFonts w:ascii="Times New Roman" w:eastAsia="Calibri" w:hAnsi="Times New Roman" w:cs="Times New Roman" w:hint="default"/>
        </w:rPr>
        <w:t xml:space="preserve"> schodok v </w:t>
      </w:r>
      <w:r w:rsidRPr="00A170B2">
        <w:rPr>
          <w:rFonts w:ascii="Times New Roman" w:eastAsia="Calibri" w:hAnsi="Times New Roman" w:cs="Times New Roman" w:hint="default"/>
        </w:rPr>
        <w:t>roku 2015 vyká</w:t>
      </w:r>
      <w:r w:rsidRPr="00A170B2">
        <w:rPr>
          <w:rFonts w:ascii="Times New Roman" w:eastAsia="Calibri" w:hAnsi="Times New Roman" w:cs="Times New Roman" w:hint="default"/>
        </w:rPr>
        <w:t>zalo Gré</w:t>
      </w:r>
      <w:r w:rsidRPr="00A170B2">
        <w:rPr>
          <w:rFonts w:ascii="Times New Roman" w:eastAsia="Calibri" w:hAnsi="Times New Roman" w:cs="Times New Roman" w:hint="default"/>
        </w:rPr>
        <w:t>cko vo výš</w:t>
      </w:r>
      <w:r w:rsidRPr="00A170B2">
        <w:rPr>
          <w:rFonts w:ascii="Times New Roman" w:eastAsia="Calibri" w:hAnsi="Times New Roman" w:cs="Times New Roman" w:hint="default"/>
        </w:rPr>
        <w:t xml:space="preserve">ke 7,5 % HDP. </w:t>
      </w:r>
      <w:r w:rsidRPr="00E600E2">
        <w:rPr>
          <w:rFonts w:ascii="Times New Roman" w:eastAsia="Calibri" w:hAnsi="Times New Roman" w:cs="Times New Roman"/>
        </w:rPr>
        <w:t>Medzi krajiny s </w:t>
      </w:r>
      <w:r w:rsidRPr="00E600E2">
        <w:rPr>
          <w:rFonts w:ascii="Times New Roman" w:eastAsia="Calibri" w:hAnsi="Times New Roman" w:cs="Times New Roman" w:hint="default"/>
        </w:rPr>
        <w:t>najnižší</w:t>
      </w:r>
      <w:r w:rsidRPr="00E600E2">
        <w:rPr>
          <w:rFonts w:ascii="Times New Roman" w:eastAsia="Calibri" w:hAnsi="Times New Roman" w:cs="Times New Roman" w:hint="default"/>
        </w:rPr>
        <w:t>m schodkom patrili tradič</w:t>
      </w:r>
      <w:r w:rsidRPr="00E600E2">
        <w:rPr>
          <w:rFonts w:ascii="Times New Roman" w:eastAsia="Calibri" w:hAnsi="Times New Roman" w:cs="Times New Roman" w:hint="default"/>
        </w:rPr>
        <w:t>ne severské</w:t>
      </w:r>
      <w:r w:rsidRPr="00E600E2">
        <w:rPr>
          <w:rFonts w:ascii="Times New Roman" w:eastAsia="Calibri" w:hAnsi="Times New Roman" w:cs="Times New Roman" w:hint="default"/>
        </w:rPr>
        <w:t xml:space="preserve"> a </w:t>
      </w:r>
      <w:r w:rsidRPr="00E600E2">
        <w:rPr>
          <w:rFonts w:ascii="Times New Roman" w:eastAsia="Calibri" w:hAnsi="Times New Roman" w:cs="Times New Roman" w:hint="default"/>
        </w:rPr>
        <w:t>pobaltské</w:t>
      </w:r>
      <w:r w:rsidRPr="00E600E2">
        <w:rPr>
          <w:rFonts w:ascii="Times New Roman" w:eastAsia="Calibri" w:hAnsi="Times New Roman" w:cs="Times New Roman" w:hint="default"/>
        </w:rPr>
        <w:t xml:space="preserve"> krajiny. Luxembursko, Nemecko, Š</w:t>
      </w:r>
      <w:r w:rsidRPr="00E600E2">
        <w:rPr>
          <w:rFonts w:ascii="Times New Roman" w:eastAsia="Calibri" w:hAnsi="Times New Roman" w:cs="Times New Roman" w:hint="default"/>
        </w:rPr>
        <w:t>vé</w:t>
      </w:r>
      <w:r w:rsidRPr="00E600E2">
        <w:rPr>
          <w:rFonts w:ascii="Times New Roman" w:eastAsia="Calibri" w:hAnsi="Times New Roman" w:cs="Times New Roman" w:hint="default"/>
        </w:rPr>
        <w:t>dsko a </w:t>
      </w:r>
      <w:r w:rsidRPr="00E600E2">
        <w:rPr>
          <w:rFonts w:ascii="Times New Roman" w:eastAsia="Calibri" w:hAnsi="Times New Roman" w:cs="Times New Roman" w:hint="default"/>
        </w:rPr>
        <w:t>Estó</w:t>
      </w:r>
      <w:r w:rsidRPr="00E600E2">
        <w:rPr>
          <w:rFonts w:ascii="Times New Roman" w:eastAsia="Calibri" w:hAnsi="Times New Roman" w:cs="Times New Roman" w:hint="default"/>
        </w:rPr>
        <w:t>nsko boli jediný</w:t>
      </w:r>
      <w:r w:rsidRPr="00E600E2">
        <w:rPr>
          <w:rFonts w:ascii="Times New Roman" w:eastAsia="Calibri" w:hAnsi="Times New Roman" w:cs="Times New Roman" w:hint="default"/>
        </w:rPr>
        <w:t>mi kraji</w:t>
      </w:r>
      <w:r w:rsidRPr="00E600E2">
        <w:rPr>
          <w:rFonts w:ascii="Times New Roman" w:eastAsia="Calibri" w:hAnsi="Times New Roman" w:cs="Times New Roman" w:hint="default"/>
        </w:rPr>
        <w:t>nami v </w:t>
      </w:r>
      <w:r w:rsidRPr="00E600E2">
        <w:rPr>
          <w:rFonts w:ascii="Times New Roman" w:eastAsia="Calibri" w:hAnsi="Times New Roman" w:cs="Times New Roman" w:hint="default"/>
        </w:rPr>
        <w:t>rá</w:t>
      </w:r>
      <w:r w:rsidRPr="00E600E2">
        <w:rPr>
          <w:rFonts w:ascii="Times New Roman" w:eastAsia="Calibri" w:hAnsi="Times New Roman" w:cs="Times New Roman" w:hint="default"/>
        </w:rPr>
        <w:t>mci EÚ </w:t>
      </w:r>
      <w:r w:rsidRPr="00E600E2">
        <w:rPr>
          <w:rFonts w:ascii="Times New Roman" w:eastAsia="Calibri" w:hAnsi="Times New Roman" w:cs="Times New Roman" w:hint="default"/>
        </w:rPr>
        <w:t>28, ktoré</w:t>
      </w:r>
      <w:r w:rsidRPr="00E600E2">
        <w:rPr>
          <w:rFonts w:ascii="Times New Roman" w:eastAsia="Calibri" w:hAnsi="Times New Roman" w:cs="Times New Roman" w:hint="default"/>
        </w:rPr>
        <w:t xml:space="preserve"> za rok 2015 vyká</w:t>
      </w:r>
      <w:r w:rsidRPr="00E600E2">
        <w:rPr>
          <w:rFonts w:ascii="Times New Roman" w:eastAsia="Calibri" w:hAnsi="Times New Roman" w:cs="Times New Roman" w:hint="default"/>
        </w:rPr>
        <w:t>zali prebytok.</w:t>
      </w:r>
      <w:r w:rsidRPr="00230754">
        <w:rPr>
          <w:rFonts w:ascii="Times New Roman" w:eastAsia="Calibri" w:hAnsi="Times New Roman" w:cs="Times New Roman"/>
          <w:color w:val="FF0000"/>
        </w:rPr>
        <w:t xml:space="preserve"> </w:t>
      </w:r>
      <w:r w:rsidRPr="0041365C">
        <w:rPr>
          <w:rFonts w:ascii="Times New Roman" w:eastAsia="Calibri" w:hAnsi="Times New Roman" w:cs="Times New Roman" w:hint="default"/>
        </w:rPr>
        <w:t>Luxembursko vo výš</w:t>
      </w:r>
      <w:r w:rsidRPr="0041365C">
        <w:rPr>
          <w:rFonts w:ascii="Times New Roman" w:eastAsia="Calibri" w:hAnsi="Times New Roman" w:cs="Times New Roman" w:hint="default"/>
        </w:rPr>
        <w:t>ke 1,6 % HDP, Nemecko vo výš</w:t>
      </w:r>
      <w:r w:rsidRPr="0041365C">
        <w:rPr>
          <w:rFonts w:ascii="Times New Roman" w:eastAsia="Calibri" w:hAnsi="Times New Roman" w:cs="Times New Roman" w:hint="default"/>
        </w:rPr>
        <w:t>ke 0,7 </w:t>
      </w:r>
      <w:r w:rsidRPr="0041365C">
        <w:rPr>
          <w:rFonts w:ascii="Times New Roman" w:eastAsia="Calibri" w:hAnsi="Times New Roman" w:cs="Times New Roman" w:hint="default"/>
        </w:rPr>
        <w:t>% HDP, Š</w:t>
      </w:r>
      <w:r w:rsidRPr="0041365C">
        <w:rPr>
          <w:rFonts w:ascii="Times New Roman" w:eastAsia="Calibri" w:hAnsi="Times New Roman" w:cs="Times New Roman" w:hint="default"/>
        </w:rPr>
        <w:t>vé</w:t>
      </w:r>
      <w:r w:rsidRPr="0041365C">
        <w:rPr>
          <w:rFonts w:ascii="Times New Roman" w:eastAsia="Calibri" w:hAnsi="Times New Roman" w:cs="Times New Roman" w:hint="default"/>
        </w:rPr>
        <w:t>dsko vo výš</w:t>
      </w:r>
      <w:r w:rsidRPr="0041365C">
        <w:rPr>
          <w:rFonts w:ascii="Times New Roman" w:eastAsia="Calibri" w:hAnsi="Times New Roman" w:cs="Times New Roman" w:hint="default"/>
        </w:rPr>
        <w:t>ke 0,2 % HDP a Estó</w:t>
      </w:r>
      <w:r w:rsidRPr="0041365C">
        <w:rPr>
          <w:rFonts w:ascii="Times New Roman" w:eastAsia="Calibri" w:hAnsi="Times New Roman" w:cs="Times New Roman" w:hint="default"/>
        </w:rPr>
        <w:t>nsko vo výš</w:t>
      </w:r>
      <w:r w:rsidRPr="0041365C">
        <w:rPr>
          <w:rFonts w:ascii="Times New Roman" w:eastAsia="Calibri" w:hAnsi="Times New Roman" w:cs="Times New Roman" w:hint="default"/>
        </w:rPr>
        <w:t>ke 0,1 % HDP.</w:t>
      </w:r>
    </w:p>
    <w:p w:rsidR="004B28B7" w:rsidP="00445BDC">
      <w:pPr>
        <w:pStyle w:val="Heading3"/>
        <w:numPr>
          <w:ilvl w:val="0"/>
          <w:numId w:val="0"/>
        </w:numPr>
        <w:bidi w:val="0"/>
        <w:ind w:firstLine="0"/>
        <w:rPr>
          <w:rFonts w:eastAsiaTheme="minorHAnsi"/>
          <w:b w:val="0"/>
          <w:szCs w:val="36"/>
          <w:lang w:eastAsia="en-US"/>
        </w:rPr>
      </w:pPr>
      <w:bookmarkStart w:id="58" w:name="_Toc401920011"/>
      <w:bookmarkStart w:id="59" w:name="_Toc465255015"/>
      <w:bookmarkStart w:id="60" w:name="_Toc465255615"/>
      <w:bookmarkStart w:id="61" w:name="_Toc465257924"/>
      <w:bookmarkStart w:id="62" w:name="_Toc465258105"/>
      <w:bookmarkStart w:id="63" w:name="_Toc465258480"/>
      <w:r w:rsidRPr="005632C3" w:rsidR="00445BDC">
        <w:rPr>
          <w:rFonts w:eastAsiaTheme="minorHAnsi"/>
          <w:b w:val="0"/>
          <w:szCs w:val="36"/>
          <w:lang w:eastAsia="en-US"/>
        </w:rPr>
        <w:t>Pohľad na najvyšší dlh verejnej správy ukazuje podobný výsledok ako pohľad na schodky.</w:t>
      </w:r>
      <w:r w:rsidR="00445BDC">
        <w:rPr>
          <w:rFonts w:eastAsiaTheme="minorHAnsi"/>
          <w:b w:val="0"/>
          <w:color w:val="FF0000"/>
          <w:szCs w:val="36"/>
          <w:lang w:eastAsia="en-US"/>
        </w:rPr>
        <w:t xml:space="preserve"> </w:t>
      </w:r>
      <w:r w:rsidRPr="005632C3" w:rsidR="00445BDC">
        <w:rPr>
          <w:rFonts w:eastAsiaTheme="minorHAnsi"/>
          <w:b w:val="0"/>
          <w:szCs w:val="36"/>
          <w:lang w:eastAsia="en-US"/>
        </w:rPr>
        <w:t>Medzi krajinami s najvyšším dlhom sa opäť nachádzajú aj krajiny s dlhodobo vysokými dlhmi ako Taliansko a Belgicko</w:t>
      </w:r>
      <w:r w:rsidRPr="00955009" w:rsidR="00445BDC">
        <w:rPr>
          <w:rFonts w:eastAsiaTheme="minorHAnsi"/>
          <w:b w:val="0"/>
          <w:szCs w:val="36"/>
          <w:lang w:eastAsia="en-US"/>
        </w:rPr>
        <w:t xml:space="preserve">. </w:t>
      </w:r>
      <w:r w:rsidR="00445BDC">
        <w:rPr>
          <w:rFonts w:eastAsiaTheme="minorHAnsi"/>
          <w:b w:val="0"/>
          <w:szCs w:val="36"/>
          <w:lang w:eastAsia="en-US"/>
        </w:rPr>
        <w:t xml:space="preserve">Päť krajín dosiahlo úroveň zadlženosti nad 100%. </w:t>
      </w:r>
      <w:r w:rsidRPr="00955009" w:rsidR="00445BDC">
        <w:rPr>
          <w:rFonts w:eastAsiaTheme="minorHAnsi"/>
          <w:b w:val="0"/>
          <w:szCs w:val="36"/>
          <w:lang w:eastAsia="en-US"/>
        </w:rPr>
        <w:t>Najvyšší</w:t>
      </w:r>
      <w:r w:rsidR="00445BDC">
        <w:rPr>
          <w:rFonts w:eastAsiaTheme="minorHAnsi"/>
          <w:b w:val="0"/>
          <w:szCs w:val="36"/>
          <w:lang w:eastAsia="en-US"/>
        </w:rPr>
        <w:t xml:space="preserve"> dlh verejnej správy v roku 2015</w:t>
      </w:r>
      <w:r w:rsidRPr="00955009" w:rsidR="00445BDC">
        <w:rPr>
          <w:rFonts w:eastAsiaTheme="minorHAnsi"/>
          <w:b w:val="0"/>
          <w:szCs w:val="36"/>
          <w:lang w:eastAsia="en-US"/>
        </w:rPr>
        <w:t xml:space="preserve"> vykázalo</w:t>
      </w:r>
      <w:r w:rsidRPr="00230754" w:rsidR="00445BDC">
        <w:rPr>
          <w:rFonts w:eastAsiaTheme="minorHAnsi"/>
          <w:b w:val="0"/>
          <w:color w:val="FF0000"/>
          <w:szCs w:val="36"/>
          <w:lang w:eastAsia="en-US"/>
        </w:rPr>
        <w:t xml:space="preserve"> </w:t>
      </w:r>
      <w:r w:rsidRPr="005632C3" w:rsidR="00445BDC">
        <w:rPr>
          <w:rFonts w:eastAsiaTheme="minorHAnsi"/>
          <w:b w:val="0"/>
          <w:szCs w:val="36"/>
          <w:lang w:eastAsia="en-US"/>
        </w:rPr>
        <w:t>Grécko 177,4 % HDP, Taliansko 132,3 % HDP a Portugalsko 129,0 % HDP.</w:t>
      </w:r>
      <w:r w:rsidRPr="00230754" w:rsidR="00445BDC">
        <w:rPr>
          <w:rFonts w:eastAsiaTheme="minorHAnsi"/>
          <w:b w:val="0"/>
          <w:color w:val="FF0000"/>
          <w:szCs w:val="36"/>
          <w:lang w:eastAsia="en-US"/>
        </w:rPr>
        <w:t xml:space="preserve"> </w:t>
      </w:r>
      <w:r w:rsidRPr="006B6B7C" w:rsidR="00445BDC">
        <w:rPr>
          <w:rFonts w:eastAsiaTheme="minorHAnsi"/>
          <w:b w:val="0"/>
          <w:szCs w:val="36"/>
          <w:lang w:eastAsia="en-US"/>
        </w:rPr>
        <w:t>Najnižší dlh vykázalo Estónsko vo výške 10,1 % HDP.</w:t>
      </w:r>
      <w:r w:rsidRPr="00230754" w:rsidR="00445BDC">
        <w:rPr>
          <w:rFonts w:eastAsiaTheme="minorHAnsi"/>
          <w:b w:val="0"/>
          <w:color w:val="FF0000"/>
          <w:szCs w:val="36"/>
          <w:lang w:eastAsia="en-US"/>
        </w:rPr>
        <w:t xml:space="preserve"> </w:t>
      </w:r>
      <w:r w:rsidRPr="006B6B7C" w:rsidR="00445BDC">
        <w:rPr>
          <w:rFonts w:eastAsiaTheme="minorHAnsi"/>
          <w:b w:val="0"/>
          <w:szCs w:val="36"/>
          <w:lang w:eastAsia="en-US"/>
        </w:rPr>
        <w:t>Slovensko so svojím dlhom 52,5 % HDP patrí naďalej medzi krajiny s nižším dlhom, čo je dôležité z pohľadu dlhodobej udržateľnosti verejných financií.</w:t>
      </w:r>
      <w:bookmarkEnd w:id="58"/>
      <w:bookmarkEnd w:id="59"/>
      <w:bookmarkEnd w:id="60"/>
      <w:bookmarkEnd w:id="61"/>
      <w:bookmarkEnd w:id="62"/>
      <w:bookmarkEnd w:id="63"/>
    </w:p>
    <w:p w:rsidR="004B28B7">
      <w:pPr>
        <w:bidi w:val="0"/>
        <w:rPr>
          <w:rFonts w:ascii="Times New Roman" w:hAnsi="Times New Roman" w:cs="Times New Roman"/>
        </w:rPr>
      </w:pPr>
      <w:r>
        <w:rPr>
          <w:b/>
        </w:rPr>
        <w:br w:type="page"/>
      </w:r>
    </w:p>
    <w:tbl>
      <w:tblPr>
        <w:tblStyle w:val="TableNormal"/>
        <w:tblW w:w="5000" w:type="pct"/>
        <w:tblCellMar>
          <w:left w:w="70" w:type="dxa"/>
          <w:right w:w="70" w:type="dxa"/>
        </w:tblCellMar>
        <w:tblLook w:val="04A0"/>
      </w:tblPr>
      <w:tblGrid>
        <w:gridCol w:w="2190"/>
        <w:gridCol w:w="1037"/>
        <w:gridCol w:w="1004"/>
        <w:gridCol w:w="1006"/>
        <w:gridCol w:w="289"/>
        <w:gridCol w:w="1229"/>
        <w:gridCol w:w="1227"/>
        <w:gridCol w:w="1229"/>
      </w:tblGrid>
      <w:tr>
        <w:tblPrEx>
          <w:tblW w:w="5000" w:type="pct"/>
          <w:tblCellMar>
            <w:left w:w="70" w:type="dxa"/>
            <w:right w:w="70" w:type="dxa"/>
          </w:tblCellMar>
          <w:tblLook w:val="04A0"/>
        </w:tblPrEx>
        <w:trPr>
          <w:trHeight w:val="330"/>
        </w:trPr>
        <w:tc>
          <w:tcPr>
            <w:tcW w:w="5000" w:type="pct"/>
            <w:gridSpan w:val="8"/>
            <w:tcBorders>
              <w:top w:val="nil"/>
              <w:left w:val="nil"/>
              <w:bottom w:val="nil"/>
              <w:right w:val="nil"/>
            </w:tcBorders>
            <w:shd w:val="clear" w:color="000000" w:fill="000000"/>
            <w:noWrap/>
            <w:textDirection w:val="lrTb"/>
            <w:vAlign w:val="center"/>
            <w:hideMark/>
          </w:tcPr>
          <w:p w:rsidR="00445BDC" w:rsidRPr="002D5C6E" w:rsidP="000B4414">
            <w:pPr>
              <w:bidi w:val="0"/>
              <w:spacing w:after="0" w:line="240" w:lineRule="auto"/>
              <w:rPr>
                <w:rFonts w:ascii="Times New Roman" w:hAnsi="Times New Roman" w:cs="Times New Roman"/>
                <w:b/>
                <w:bCs/>
                <w:color w:val="FFFFFF"/>
                <w:sz w:val="20"/>
                <w:szCs w:val="20"/>
                <w:lang w:eastAsia="sk-SK"/>
              </w:rPr>
            </w:pPr>
            <w:r w:rsidRPr="002D5C6E">
              <w:rPr>
                <w:rFonts w:ascii="Times New Roman" w:hAnsi="Times New Roman" w:cs="Times New Roman"/>
                <w:b/>
                <w:bCs/>
                <w:color w:val="FFFFFF"/>
                <w:sz w:val="20"/>
                <w:szCs w:val="20"/>
                <w:lang w:eastAsia="sk-SK"/>
              </w:rPr>
              <w:t>Saldo a dlh verejnej správy v EÚ 28 (% HDP)</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 </w:t>
            </w:r>
          </w:p>
        </w:tc>
        <w:tc>
          <w:tcPr>
            <w:tcW w:w="1654" w:type="pct"/>
            <w:gridSpan w:val="3"/>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 xml:space="preserve">Saldo verejnej správy </w:t>
            </w:r>
          </w:p>
        </w:tc>
        <w:tc>
          <w:tcPr>
            <w:tcW w:w="157"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 </w:t>
            </w:r>
          </w:p>
        </w:tc>
        <w:tc>
          <w:tcPr>
            <w:tcW w:w="2000" w:type="pct"/>
            <w:gridSpan w:val="3"/>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 xml:space="preserve">Hrubý dlh verejnej správy </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 </w:t>
            </w:r>
          </w:p>
        </w:tc>
        <w:tc>
          <w:tcPr>
            <w:tcW w:w="563"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2013</w:t>
            </w:r>
          </w:p>
        </w:tc>
        <w:tc>
          <w:tcPr>
            <w:tcW w:w="545"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2014</w:t>
            </w:r>
          </w:p>
        </w:tc>
        <w:tc>
          <w:tcPr>
            <w:tcW w:w="546"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2015</w:t>
            </w:r>
          </w:p>
        </w:tc>
        <w:tc>
          <w:tcPr>
            <w:tcW w:w="157"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 </w:t>
            </w:r>
          </w:p>
        </w:tc>
        <w:tc>
          <w:tcPr>
            <w:tcW w:w="667"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2013</w:t>
            </w:r>
          </w:p>
        </w:tc>
        <w:tc>
          <w:tcPr>
            <w:tcW w:w="666"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2014</w:t>
            </w:r>
          </w:p>
        </w:tc>
        <w:tc>
          <w:tcPr>
            <w:tcW w:w="667" w:type="pct"/>
            <w:tcBorders>
              <w:top w:val="nil"/>
              <w:left w:val="nil"/>
              <w:bottom w:val="nil"/>
              <w:right w:val="nil"/>
            </w:tcBorders>
            <w:shd w:val="clear" w:color="000000" w:fill="C0C0C0"/>
            <w:textDirection w:val="lrTb"/>
            <w:vAlign w:val="center"/>
            <w:hideMark/>
          </w:tcPr>
          <w:p w:rsidR="00445BDC" w:rsidRPr="002D5C6E" w:rsidP="000B4414">
            <w:pPr>
              <w:bidi w:val="0"/>
              <w:spacing w:after="0" w:line="240" w:lineRule="auto"/>
              <w:jc w:val="center"/>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2015</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445BDC" w:rsidRPr="002D5C6E" w:rsidP="000B4414">
            <w:pPr>
              <w:bidi w:val="0"/>
              <w:spacing w:after="0" w:line="240" w:lineRule="auto"/>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EÚ (28 krajín)</w:t>
            </w:r>
          </w:p>
        </w:tc>
        <w:tc>
          <w:tcPr>
            <w:tcW w:w="563"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-3,3</w:t>
            </w:r>
          </w:p>
        </w:tc>
        <w:tc>
          <w:tcPr>
            <w:tcW w:w="545"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-3,0</w:t>
            </w:r>
          </w:p>
        </w:tc>
        <w:tc>
          <w:tcPr>
            <w:tcW w:w="54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-2,4</w:t>
            </w:r>
          </w:p>
        </w:tc>
        <w:tc>
          <w:tcPr>
            <w:tcW w:w="15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85,7</w:t>
            </w:r>
          </w:p>
        </w:tc>
        <w:tc>
          <w:tcPr>
            <w:tcW w:w="66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86,7</w:t>
            </w: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85,0</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445BDC" w:rsidRPr="002D5C6E" w:rsidP="000B4414">
            <w:pPr>
              <w:bidi w:val="0"/>
              <w:spacing w:after="0" w:line="240" w:lineRule="auto"/>
              <w:rPr>
                <w:rFonts w:ascii="Times New Roman" w:hAnsi="Times New Roman" w:cs="Times New Roman"/>
                <w:b/>
                <w:bCs/>
                <w:sz w:val="20"/>
                <w:szCs w:val="20"/>
                <w:lang w:eastAsia="sk-SK"/>
              </w:rPr>
            </w:pPr>
            <w:r w:rsidRPr="002D5C6E">
              <w:rPr>
                <w:rFonts w:ascii="Times New Roman" w:hAnsi="Times New Roman" w:cs="Times New Roman"/>
                <w:b/>
                <w:bCs/>
                <w:sz w:val="20"/>
                <w:szCs w:val="20"/>
                <w:lang w:eastAsia="sk-SK"/>
              </w:rPr>
              <w:t>Euro zóna</w:t>
            </w:r>
          </w:p>
        </w:tc>
        <w:tc>
          <w:tcPr>
            <w:tcW w:w="563"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-3,0</w:t>
            </w:r>
          </w:p>
        </w:tc>
        <w:tc>
          <w:tcPr>
            <w:tcW w:w="545"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-2,6</w:t>
            </w:r>
          </w:p>
        </w:tc>
        <w:tc>
          <w:tcPr>
            <w:tcW w:w="54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-2,1</w:t>
            </w:r>
          </w:p>
        </w:tc>
        <w:tc>
          <w:tcPr>
            <w:tcW w:w="15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91,3</w:t>
            </w:r>
          </w:p>
        </w:tc>
        <w:tc>
          <w:tcPr>
            <w:tcW w:w="66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92,0</w:t>
            </w: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b/>
                <w:bCs/>
                <w:color w:val="000000"/>
                <w:sz w:val="20"/>
                <w:szCs w:val="20"/>
                <w:lang w:eastAsia="sk-SK"/>
              </w:rPr>
            </w:pPr>
            <w:r w:rsidRPr="002D5C6E">
              <w:rPr>
                <w:rFonts w:ascii="Times New Roman" w:hAnsi="Times New Roman" w:cs="Times New Roman"/>
                <w:b/>
                <w:bCs/>
                <w:color w:val="000000"/>
                <w:sz w:val="20"/>
                <w:szCs w:val="20"/>
                <w:lang w:eastAsia="sk-SK"/>
              </w:rPr>
              <w:t>90,4</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Grécko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-13,2</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-3,6</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-7,5</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177,4</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179,7</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177,4</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Španielsko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-7,0</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-6,0</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-5,1</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95,4</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100,4</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99,8</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Portugalsko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-4,8</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-7,2</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-4,4</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129,0</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130,6</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129,0</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Veľká Británia</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-5,7</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-5,7</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-4,3</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 </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86,2</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88,1</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89,1</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Francúzsko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-4,0</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-4,0</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-3,5</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92,3</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95,3</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96,2</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Chorvátsko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-5,3</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-5,4</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-3,3</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82,2</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86,6</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86,7</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Fínsko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-2,6</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-3,2</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-2,8</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56,5</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60,2</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63,6</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Slovinsko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-15,0</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-5,0</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-2,7</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71,0</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80,9</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83,1</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
                <w:bCs/>
                <w:sz w:val="20"/>
                <w:szCs w:val="20"/>
                <w:lang w:eastAsia="sk-SK"/>
              </w:rPr>
            </w:pPr>
            <w:r w:rsidRPr="00EE2F4F">
              <w:rPr>
                <w:rFonts w:ascii="Times New Roman" w:hAnsi="Times New Roman" w:cs="Times New Roman"/>
                <w:b/>
                <w:bCs/>
                <w:sz w:val="20"/>
                <w:szCs w:val="20"/>
                <w:lang w:eastAsia="sk-SK"/>
              </w:rPr>
              <w:t>Slovensko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
                <w:bCs/>
                <w:color w:val="000000"/>
                <w:sz w:val="20"/>
                <w:szCs w:val="20"/>
                <w:lang w:eastAsia="sk-SK"/>
              </w:rPr>
            </w:pPr>
            <w:r w:rsidRPr="00EE2F4F">
              <w:rPr>
                <w:rFonts w:ascii="Times New Roman" w:hAnsi="Times New Roman" w:cs="Times New Roman"/>
                <w:b/>
                <w:bCs/>
                <w:color w:val="000000"/>
                <w:sz w:val="20"/>
                <w:szCs w:val="20"/>
                <w:lang w:eastAsia="sk-SK"/>
              </w:rPr>
              <w:t>-2,7</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
                <w:bCs/>
                <w:color w:val="000000"/>
                <w:sz w:val="20"/>
                <w:szCs w:val="20"/>
                <w:lang w:eastAsia="sk-SK"/>
              </w:rPr>
            </w:pPr>
            <w:r w:rsidRPr="00EE2F4F">
              <w:rPr>
                <w:rFonts w:ascii="Times New Roman" w:hAnsi="Times New Roman" w:cs="Times New Roman"/>
                <w:b/>
                <w:bCs/>
                <w:color w:val="000000"/>
                <w:sz w:val="20"/>
                <w:szCs w:val="20"/>
                <w:lang w:eastAsia="sk-SK"/>
              </w:rPr>
              <w:t>-2,7</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
                <w:bCs/>
                <w:color w:val="000000"/>
                <w:sz w:val="20"/>
                <w:szCs w:val="20"/>
                <w:lang w:eastAsia="sk-SK"/>
              </w:rPr>
            </w:pPr>
            <w:r w:rsidRPr="00EE2F4F">
              <w:rPr>
                <w:rFonts w:ascii="Times New Roman" w:hAnsi="Times New Roman" w:cs="Times New Roman"/>
                <w:b/>
                <w:bCs/>
                <w:color w:val="000000"/>
                <w:sz w:val="20"/>
                <w:szCs w:val="20"/>
                <w:lang w:eastAsia="sk-SK"/>
              </w:rPr>
              <w:t>-2,7</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
                <w:bCs/>
                <w:color w:val="000000"/>
                <w:sz w:val="20"/>
                <w:szCs w:val="20"/>
                <w:lang w:eastAsia="sk-SK"/>
              </w:rPr>
            </w:pPr>
            <w:r w:rsidRPr="00EE2F4F">
              <w:rPr>
                <w:rFonts w:ascii="Times New Roman" w:hAnsi="Times New Roman" w:cs="Times New Roman"/>
                <w:b/>
                <w:bCs/>
                <w:color w:val="000000"/>
                <w:sz w:val="20"/>
                <w:szCs w:val="20"/>
                <w:lang w:eastAsia="sk-SK"/>
              </w:rPr>
              <w:t>54,7</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
                <w:bCs/>
                <w:color w:val="000000"/>
                <w:sz w:val="20"/>
                <w:szCs w:val="20"/>
                <w:lang w:eastAsia="sk-SK"/>
              </w:rPr>
            </w:pPr>
            <w:r w:rsidRPr="00EE2F4F">
              <w:rPr>
                <w:rFonts w:ascii="Times New Roman" w:hAnsi="Times New Roman" w:cs="Times New Roman"/>
                <w:b/>
                <w:bCs/>
                <w:color w:val="000000"/>
                <w:sz w:val="20"/>
                <w:szCs w:val="20"/>
                <w:lang w:eastAsia="sk-SK"/>
              </w:rPr>
              <w:t>53,6</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
                <w:bCs/>
                <w:color w:val="000000"/>
                <w:sz w:val="20"/>
                <w:szCs w:val="20"/>
                <w:lang w:eastAsia="sk-SK"/>
              </w:rPr>
            </w:pPr>
            <w:r w:rsidRPr="00EE2F4F">
              <w:rPr>
                <w:rFonts w:ascii="Times New Roman" w:hAnsi="Times New Roman" w:cs="Times New Roman"/>
                <w:b/>
                <w:bCs/>
                <w:color w:val="000000"/>
                <w:sz w:val="20"/>
                <w:szCs w:val="20"/>
                <w:lang w:eastAsia="sk-SK"/>
              </w:rPr>
              <w:t>52,5</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Taliansko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-2,7</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-3,0</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-2,6</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129,0</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131,9</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132,3</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EE2F4F" w:rsidP="006C66C7">
            <w:pPr>
              <w:bidi w:val="0"/>
              <w:spacing w:after="0" w:line="240" w:lineRule="auto"/>
              <w:rPr>
                <w:rFonts w:ascii="Times New Roman" w:hAnsi="Times New Roman" w:cs="Times New Roman"/>
                <w:bCs/>
                <w:sz w:val="20"/>
                <w:szCs w:val="20"/>
                <w:lang w:eastAsia="sk-SK"/>
              </w:rPr>
            </w:pPr>
            <w:r w:rsidRPr="00EE2F4F">
              <w:rPr>
                <w:rFonts w:ascii="Times New Roman" w:hAnsi="Times New Roman" w:cs="Times New Roman"/>
                <w:bCs/>
                <w:sz w:val="20"/>
                <w:szCs w:val="20"/>
                <w:lang w:eastAsia="sk-SK"/>
              </w:rPr>
              <w:t>Poľsko</w:t>
            </w:r>
          </w:p>
        </w:tc>
        <w:tc>
          <w:tcPr>
            <w:tcW w:w="563"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-4,1</w:t>
            </w:r>
          </w:p>
        </w:tc>
        <w:tc>
          <w:tcPr>
            <w:tcW w:w="545"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-3,4</w:t>
            </w:r>
          </w:p>
        </w:tc>
        <w:tc>
          <w:tcPr>
            <w:tcW w:w="54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-2,6</w:t>
            </w:r>
          </w:p>
        </w:tc>
        <w:tc>
          <w:tcPr>
            <w:tcW w:w="15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55,7</w:t>
            </w:r>
          </w:p>
        </w:tc>
        <w:tc>
          <w:tcPr>
            <w:tcW w:w="666"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50,2</w:t>
            </w:r>
          </w:p>
        </w:tc>
        <w:tc>
          <w:tcPr>
            <w:tcW w:w="667" w:type="pct"/>
            <w:tcBorders>
              <w:top w:val="nil"/>
              <w:left w:val="nil"/>
              <w:bottom w:val="nil"/>
              <w:right w:val="nil"/>
            </w:tcBorders>
            <w:noWrap/>
            <w:textDirection w:val="lrTb"/>
            <w:vAlign w:val="center"/>
            <w:hideMark/>
          </w:tcPr>
          <w:p w:rsidR="00EE2F4F" w:rsidRPr="00EE2F4F" w:rsidP="006C66C7">
            <w:pPr>
              <w:bidi w:val="0"/>
              <w:spacing w:after="0" w:line="240" w:lineRule="auto"/>
              <w:jc w:val="center"/>
              <w:rPr>
                <w:rFonts w:ascii="Times New Roman" w:hAnsi="Times New Roman" w:cs="Times New Roman"/>
                <w:bCs/>
                <w:color w:val="000000"/>
                <w:sz w:val="20"/>
                <w:szCs w:val="20"/>
                <w:lang w:eastAsia="sk-SK"/>
              </w:rPr>
            </w:pPr>
            <w:r w:rsidRPr="00EE2F4F">
              <w:rPr>
                <w:rFonts w:ascii="Times New Roman" w:hAnsi="Times New Roman" w:cs="Times New Roman"/>
                <w:bCs/>
                <w:color w:val="000000"/>
                <w:sz w:val="20"/>
                <w:szCs w:val="20"/>
                <w:lang w:eastAsia="sk-SK"/>
              </w:rPr>
              <w:t>51,1</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445BDC" w:rsidRPr="002D5C6E" w:rsidP="000B4414">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Belgicko</w:t>
            </w:r>
          </w:p>
        </w:tc>
        <w:tc>
          <w:tcPr>
            <w:tcW w:w="563"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-3,0</w:t>
            </w:r>
          </w:p>
        </w:tc>
        <w:tc>
          <w:tcPr>
            <w:tcW w:w="545"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-3,1</w:t>
            </w:r>
          </w:p>
        </w:tc>
        <w:tc>
          <w:tcPr>
            <w:tcW w:w="54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-2,5</w:t>
            </w:r>
          </w:p>
        </w:tc>
        <w:tc>
          <w:tcPr>
            <w:tcW w:w="15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105,4</w:t>
            </w:r>
          </w:p>
        </w:tc>
        <w:tc>
          <w:tcPr>
            <w:tcW w:w="66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106,5</w:t>
            </w: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105,8</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Írsko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-5,7</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-3,7</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-1,9</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119,5</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105,2</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78,6</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Holandsko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-2,4</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-2,3</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-1,9</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67,7</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67,9</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65,1</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445BDC" w:rsidRPr="002D5C6E" w:rsidP="000B4414">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Bulharsko</w:t>
            </w:r>
          </w:p>
        </w:tc>
        <w:tc>
          <w:tcPr>
            <w:tcW w:w="563"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-0,4</w:t>
            </w:r>
          </w:p>
        </w:tc>
        <w:tc>
          <w:tcPr>
            <w:tcW w:w="545"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-5,5</w:t>
            </w:r>
          </w:p>
        </w:tc>
        <w:tc>
          <w:tcPr>
            <w:tcW w:w="54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-1,7</w:t>
            </w:r>
          </w:p>
        </w:tc>
        <w:tc>
          <w:tcPr>
            <w:tcW w:w="15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17,0</w:t>
            </w:r>
          </w:p>
        </w:tc>
        <w:tc>
          <w:tcPr>
            <w:tcW w:w="66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27,0</w:t>
            </w: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26,0</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Dánsko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-1,1</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1,5</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-1,7</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44,7</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44,8</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40,4</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Maďarsko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-2,6</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-2,1</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-1,6</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76,6</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75,7</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74,7</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Malta</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-2,6</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-2,1</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-1,4</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68,4</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67,0</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64,0</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Lotyšsko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-0,9</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-1,6</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-1,3</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39,0</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40,7</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36,3</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Cyprus</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-4,9</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-8,8</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-1,1</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102,2</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107,1</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107,5</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Rakúsko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-1,4</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-2,7</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81,3</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84,4</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85,5</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Rumunsko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-2,1</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-0,8</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-0,8</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37,8</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39,4</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37,9</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445BDC" w:rsidRPr="002D5C6E" w:rsidP="000B4414">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Česká republika</w:t>
            </w:r>
          </w:p>
        </w:tc>
        <w:tc>
          <w:tcPr>
            <w:tcW w:w="563"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-1,2</w:t>
            </w:r>
          </w:p>
        </w:tc>
        <w:tc>
          <w:tcPr>
            <w:tcW w:w="545"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-1,9</w:t>
            </w:r>
          </w:p>
        </w:tc>
        <w:tc>
          <w:tcPr>
            <w:tcW w:w="54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-0,6</w:t>
            </w:r>
          </w:p>
        </w:tc>
        <w:tc>
          <w:tcPr>
            <w:tcW w:w="15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44,9</w:t>
            </w:r>
          </w:p>
        </w:tc>
        <w:tc>
          <w:tcPr>
            <w:tcW w:w="66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42,2</w:t>
            </w: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40,3</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Litva</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-2,6</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-0,7</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-0,2</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38,7</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40,5</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42,7</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445BDC" w:rsidRPr="002D5C6E" w:rsidP="000B4414">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Estónsko</w:t>
            </w:r>
          </w:p>
        </w:tc>
        <w:tc>
          <w:tcPr>
            <w:tcW w:w="563"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-0,2</w:t>
            </w:r>
          </w:p>
        </w:tc>
        <w:tc>
          <w:tcPr>
            <w:tcW w:w="545"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0,7</w:t>
            </w:r>
          </w:p>
        </w:tc>
        <w:tc>
          <w:tcPr>
            <w:tcW w:w="54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0,1</w:t>
            </w:r>
          </w:p>
        </w:tc>
        <w:tc>
          <w:tcPr>
            <w:tcW w:w="15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10,2</w:t>
            </w:r>
          </w:p>
        </w:tc>
        <w:tc>
          <w:tcPr>
            <w:tcW w:w="666"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10,7</w:t>
            </w:r>
          </w:p>
        </w:tc>
        <w:tc>
          <w:tcPr>
            <w:tcW w:w="667" w:type="pct"/>
            <w:tcBorders>
              <w:top w:val="nil"/>
              <w:left w:val="nil"/>
              <w:bottom w:val="nil"/>
              <w:right w:val="nil"/>
            </w:tcBorders>
            <w:noWrap/>
            <w:textDirection w:val="lrTb"/>
            <w:vAlign w:val="center"/>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10,1</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Švédsko</w:t>
            </w:r>
          </w:p>
        </w:tc>
        <w:tc>
          <w:tcPr>
            <w:tcW w:w="563"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-1,4</w:t>
            </w:r>
          </w:p>
        </w:tc>
        <w:tc>
          <w:tcPr>
            <w:tcW w:w="545"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-1,6</w:t>
            </w:r>
          </w:p>
        </w:tc>
        <w:tc>
          <w:tcPr>
            <w:tcW w:w="54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0,2</w:t>
            </w:r>
          </w:p>
        </w:tc>
        <w:tc>
          <w:tcPr>
            <w:tcW w:w="15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40,4</w:t>
            </w:r>
          </w:p>
        </w:tc>
        <w:tc>
          <w:tcPr>
            <w:tcW w:w="666"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45,2</w:t>
            </w:r>
          </w:p>
        </w:tc>
        <w:tc>
          <w:tcPr>
            <w:tcW w:w="667" w:type="pct"/>
            <w:tcBorders>
              <w:top w:val="nil"/>
              <w:left w:val="nil"/>
              <w:bottom w:val="nil"/>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43,9</w:t>
            </w:r>
          </w:p>
        </w:tc>
      </w:tr>
      <w:tr>
        <w:tblPrEx>
          <w:tblW w:w="5000" w:type="pct"/>
          <w:tblCellMar>
            <w:left w:w="70" w:type="dxa"/>
            <w:right w:w="70" w:type="dxa"/>
          </w:tblCellMar>
          <w:tblLook w:val="04A0"/>
        </w:tblPrEx>
        <w:trPr>
          <w:trHeight w:val="330"/>
        </w:trPr>
        <w:tc>
          <w:tcPr>
            <w:tcW w:w="1189"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Nemecko</w:t>
            </w:r>
          </w:p>
        </w:tc>
        <w:tc>
          <w:tcPr>
            <w:tcW w:w="563"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-0,2</w:t>
            </w:r>
          </w:p>
        </w:tc>
        <w:tc>
          <w:tcPr>
            <w:tcW w:w="545"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0,3</w:t>
            </w:r>
          </w:p>
        </w:tc>
        <w:tc>
          <w:tcPr>
            <w:tcW w:w="546"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0,7</w:t>
            </w:r>
          </w:p>
        </w:tc>
        <w:tc>
          <w:tcPr>
            <w:tcW w:w="157"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77,5</w:t>
            </w:r>
          </w:p>
        </w:tc>
        <w:tc>
          <w:tcPr>
            <w:tcW w:w="666"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74,9</w:t>
            </w:r>
          </w:p>
        </w:tc>
        <w:tc>
          <w:tcPr>
            <w:tcW w:w="667" w:type="pct"/>
            <w:tcBorders>
              <w:top w:val="nil"/>
              <w:left w:val="nil"/>
              <w:bottom w:val="none" w:sz="0" w:space="0" w:color="auto"/>
              <w:right w:val="nil"/>
            </w:tcBorders>
            <w:noWrap/>
            <w:textDirection w:val="lrTb"/>
            <w:vAlign w:val="center"/>
            <w:hideMark/>
          </w:tcPr>
          <w:p w:rsidR="00EE2F4F"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71,2</w:t>
            </w:r>
          </w:p>
        </w:tc>
      </w:tr>
      <w:tr>
        <w:tblPrEx>
          <w:tblW w:w="5000" w:type="pct"/>
          <w:tblCellMar>
            <w:left w:w="70" w:type="dxa"/>
            <w:right w:w="70" w:type="dxa"/>
          </w:tblCellMar>
          <w:tblLook w:val="04A0"/>
        </w:tblPrEx>
        <w:trPr>
          <w:trHeight w:val="330"/>
        </w:trPr>
        <w:tc>
          <w:tcPr>
            <w:tcW w:w="1189" w:type="pct"/>
            <w:tcBorders>
              <w:top w:val="nil"/>
              <w:left w:val="nil"/>
              <w:bottom w:val="nil"/>
              <w:right w:val="nil"/>
            </w:tcBorders>
            <w:noWrap/>
            <w:textDirection w:val="lrTb"/>
            <w:vAlign w:val="center"/>
            <w:hideMark/>
          </w:tcPr>
          <w:p w:rsidR="002210E0" w:rsidRPr="002D5C6E" w:rsidP="006C66C7">
            <w:pPr>
              <w:bidi w:val="0"/>
              <w:spacing w:after="0" w:line="240" w:lineRule="auto"/>
              <w:rPr>
                <w:rFonts w:ascii="Times New Roman" w:hAnsi="Times New Roman" w:cs="Times New Roman"/>
                <w:sz w:val="20"/>
                <w:szCs w:val="20"/>
                <w:lang w:eastAsia="sk-SK"/>
              </w:rPr>
            </w:pPr>
            <w:r w:rsidRPr="002D5C6E">
              <w:rPr>
                <w:rFonts w:ascii="Times New Roman" w:hAnsi="Times New Roman" w:cs="Times New Roman"/>
                <w:sz w:val="20"/>
                <w:szCs w:val="20"/>
                <w:lang w:eastAsia="sk-SK"/>
              </w:rPr>
              <w:t>Luxembursko</w:t>
            </w:r>
          </w:p>
        </w:tc>
        <w:tc>
          <w:tcPr>
            <w:tcW w:w="563" w:type="pct"/>
            <w:tcBorders>
              <w:top w:val="nil"/>
              <w:left w:val="nil"/>
              <w:bottom w:val="nil"/>
              <w:right w:val="nil"/>
            </w:tcBorders>
            <w:noWrap/>
            <w:textDirection w:val="lrTb"/>
            <w:vAlign w:val="center"/>
            <w:hideMark/>
          </w:tcPr>
          <w:p w:rsidR="002210E0"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1,0</w:t>
            </w:r>
          </w:p>
        </w:tc>
        <w:tc>
          <w:tcPr>
            <w:tcW w:w="545" w:type="pct"/>
            <w:tcBorders>
              <w:top w:val="nil"/>
              <w:left w:val="nil"/>
              <w:bottom w:val="nil"/>
              <w:right w:val="nil"/>
            </w:tcBorders>
            <w:noWrap/>
            <w:textDirection w:val="lrTb"/>
            <w:vAlign w:val="center"/>
            <w:hideMark/>
          </w:tcPr>
          <w:p w:rsidR="002210E0"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1,5</w:t>
            </w:r>
          </w:p>
        </w:tc>
        <w:tc>
          <w:tcPr>
            <w:tcW w:w="546" w:type="pct"/>
            <w:tcBorders>
              <w:top w:val="nil"/>
              <w:left w:val="nil"/>
              <w:bottom w:val="nil"/>
              <w:right w:val="nil"/>
            </w:tcBorders>
            <w:noWrap/>
            <w:textDirection w:val="lrTb"/>
            <w:vAlign w:val="center"/>
            <w:hideMark/>
          </w:tcPr>
          <w:p w:rsidR="002210E0"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1,6</w:t>
            </w:r>
          </w:p>
        </w:tc>
        <w:tc>
          <w:tcPr>
            <w:tcW w:w="157" w:type="pct"/>
            <w:tcBorders>
              <w:top w:val="nil"/>
              <w:left w:val="nil"/>
              <w:bottom w:val="nil"/>
              <w:right w:val="nil"/>
            </w:tcBorders>
            <w:noWrap/>
            <w:textDirection w:val="lrTb"/>
            <w:vAlign w:val="center"/>
            <w:hideMark/>
          </w:tcPr>
          <w:p w:rsidR="002210E0" w:rsidRPr="002D5C6E" w:rsidP="006C66C7">
            <w:pPr>
              <w:bidi w:val="0"/>
              <w:spacing w:after="0" w:line="240" w:lineRule="auto"/>
              <w:jc w:val="center"/>
              <w:rPr>
                <w:rFonts w:ascii="Times New Roman" w:hAnsi="Times New Roman" w:cs="Times New Roman"/>
                <w:color w:val="000000"/>
                <w:sz w:val="20"/>
                <w:szCs w:val="20"/>
                <w:lang w:eastAsia="sk-SK"/>
              </w:rPr>
            </w:pPr>
          </w:p>
        </w:tc>
        <w:tc>
          <w:tcPr>
            <w:tcW w:w="667" w:type="pct"/>
            <w:tcBorders>
              <w:top w:val="nil"/>
              <w:left w:val="nil"/>
              <w:bottom w:val="nil"/>
              <w:right w:val="nil"/>
            </w:tcBorders>
            <w:noWrap/>
            <w:textDirection w:val="lrTb"/>
            <w:vAlign w:val="center"/>
            <w:hideMark/>
          </w:tcPr>
          <w:p w:rsidR="002210E0"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23,5</w:t>
            </w:r>
          </w:p>
        </w:tc>
        <w:tc>
          <w:tcPr>
            <w:tcW w:w="666" w:type="pct"/>
            <w:tcBorders>
              <w:top w:val="nil"/>
              <w:left w:val="nil"/>
              <w:bottom w:val="nil"/>
              <w:right w:val="nil"/>
            </w:tcBorders>
            <w:noWrap/>
            <w:textDirection w:val="lrTb"/>
            <w:vAlign w:val="center"/>
            <w:hideMark/>
          </w:tcPr>
          <w:p w:rsidR="002210E0"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22,7</w:t>
            </w:r>
          </w:p>
        </w:tc>
        <w:tc>
          <w:tcPr>
            <w:tcW w:w="667" w:type="pct"/>
            <w:tcBorders>
              <w:top w:val="nil"/>
              <w:left w:val="nil"/>
              <w:bottom w:val="nil"/>
              <w:right w:val="nil"/>
            </w:tcBorders>
            <w:noWrap/>
            <w:textDirection w:val="lrTb"/>
            <w:vAlign w:val="center"/>
            <w:hideMark/>
          </w:tcPr>
          <w:p w:rsidR="002210E0" w:rsidRPr="002D5C6E" w:rsidP="006C66C7">
            <w:pPr>
              <w:bidi w:val="0"/>
              <w:spacing w:after="0" w:line="240" w:lineRule="auto"/>
              <w:jc w:val="center"/>
              <w:rPr>
                <w:rFonts w:ascii="Times New Roman" w:hAnsi="Times New Roman" w:cs="Times New Roman"/>
                <w:color w:val="000000"/>
                <w:sz w:val="20"/>
                <w:szCs w:val="20"/>
                <w:lang w:eastAsia="sk-SK"/>
              </w:rPr>
            </w:pPr>
            <w:r w:rsidRPr="002D5C6E">
              <w:rPr>
                <w:rFonts w:ascii="Times New Roman" w:hAnsi="Times New Roman" w:cs="Times New Roman"/>
                <w:color w:val="000000"/>
                <w:sz w:val="20"/>
                <w:szCs w:val="20"/>
                <w:lang w:eastAsia="sk-SK"/>
              </w:rPr>
              <w:t>22,1</w:t>
            </w:r>
          </w:p>
        </w:tc>
      </w:tr>
      <w:tr>
        <w:tblPrEx>
          <w:tblW w:w="5000" w:type="pct"/>
          <w:tblCellMar>
            <w:left w:w="70" w:type="dxa"/>
            <w:right w:w="70" w:type="dxa"/>
          </w:tblCellMar>
          <w:tblLook w:val="04A0"/>
        </w:tblPrEx>
        <w:trPr>
          <w:trHeight w:val="225"/>
        </w:trPr>
        <w:tc>
          <w:tcPr>
            <w:tcW w:w="1189" w:type="pct"/>
            <w:tcBorders>
              <w:top w:val="single" w:sz="4" w:space="0" w:color="auto"/>
              <w:left w:val="nil"/>
              <w:bottom w:val="nil"/>
              <w:right w:val="nil"/>
            </w:tcBorders>
            <w:noWrap/>
            <w:textDirection w:val="lrTb"/>
            <w:vAlign w:val="bottom"/>
            <w:hideMark/>
          </w:tcPr>
          <w:p w:rsidR="00445BDC" w:rsidRPr="002D5C6E" w:rsidP="000B4414">
            <w:pPr>
              <w:bidi w:val="0"/>
              <w:spacing w:after="0" w:line="240" w:lineRule="auto"/>
              <w:jc w:val="center"/>
              <w:rPr>
                <w:rFonts w:ascii="Times New Roman" w:hAnsi="Times New Roman" w:cs="Times New Roman"/>
                <w:color w:val="000000"/>
                <w:sz w:val="20"/>
                <w:szCs w:val="20"/>
                <w:lang w:eastAsia="sk-SK"/>
              </w:rPr>
            </w:pPr>
          </w:p>
        </w:tc>
        <w:tc>
          <w:tcPr>
            <w:tcW w:w="563" w:type="pct"/>
            <w:tcBorders>
              <w:top w:val="single" w:sz="4" w:space="0" w:color="auto"/>
              <w:left w:val="nil"/>
              <w:bottom w:val="nil"/>
              <w:right w:val="nil"/>
            </w:tcBorders>
            <w:noWrap/>
            <w:textDirection w:val="lrTb"/>
            <w:vAlign w:val="bottom"/>
            <w:hideMark/>
          </w:tcPr>
          <w:p w:rsidR="00445BDC" w:rsidRPr="002D5C6E" w:rsidP="000B4414">
            <w:pPr>
              <w:bidi w:val="0"/>
              <w:spacing w:after="0" w:line="240" w:lineRule="auto"/>
              <w:rPr>
                <w:rFonts w:ascii="Times New Roman" w:hAnsi="Times New Roman" w:cs="Times New Roman"/>
                <w:sz w:val="20"/>
                <w:szCs w:val="20"/>
                <w:lang w:eastAsia="sk-SK"/>
              </w:rPr>
            </w:pPr>
          </w:p>
        </w:tc>
        <w:tc>
          <w:tcPr>
            <w:tcW w:w="545" w:type="pct"/>
            <w:tcBorders>
              <w:top w:val="single" w:sz="4" w:space="0" w:color="auto"/>
              <w:left w:val="nil"/>
              <w:bottom w:val="nil"/>
              <w:right w:val="nil"/>
            </w:tcBorders>
            <w:noWrap/>
            <w:textDirection w:val="lrTb"/>
            <w:vAlign w:val="bottom"/>
            <w:hideMark/>
          </w:tcPr>
          <w:p w:rsidR="00445BDC" w:rsidRPr="002D5C6E" w:rsidP="000B4414">
            <w:pPr>
              <w:bidi w:val="0"/>
              <w:spacing w:after="0" w:line="240" w:lineRule="auto"/>
              <w:rPr>
                <w:rFonts w:ascii="Times New Roman" w:hAnsi="Times New Roman" w:cs="Times New Roman"/>
                <w:sz w:val="20"/>
                <w:szCs w:val="20"/>
                <w:lang w:eastAsia="sk-SK"/>
              </w:rPr>
            </w:pPr>
          </w:p>
        </w:tc>
        <w:tc>
          <w:tcPr>
            <w:tcW w:w="546" w:type="pct"/>
            <w:tcBorders>
              <w:top w:val="single" w:sz="4" w:space="0" w:color="auto"/>
              <w:left w:val="nil"/>
              <w:bottom w:val="nil"/>
              <w:right w:val="nil"/>
            </w:tcBorders>
            <w:noWrap/>
            <w:textDirection w:val="lrTb"/>
            <w:vAlign w:val="bottom"/>
            <w:hideMark/>
          </w:tcPr>
          <w:p w:rsidR="00445BDC" w:rsidRPr="002D5C6E" w:rsidP="000B4414">
            <w:pPr>
              <w:bidi w:val="0"/>
              <w:spacing w:after="0" w:line="240" w:lineRule="auto"/>
              <w:rPr>
                <w:rFonts w:ascii="Times New Roman" w:hAnsi="Times New Roman" w:cs="Times New Roman"/>
                <w:sz w:val="20"/>
                <w:szCs w:val="20"/>
                <w:lang w:eastAsia="sk-SK"/>
              </w:rPr>
            </w:pPr>
          </w:p>
        </w:tc>
        <w:tc>
          <w:tcPr>
            <w:tcW w:w="157" w:type="pct"/>
            <w:tcBorders>
              <w:top w:val="single" w:sz="4" w:space="0" w:color="auto"/>
              <w:left w:val="nil"/>
              <w:bottom w:val="nil"/>
              <w:right w:val="nil"/>
            </w:tcBorders>
            <w:noWrap/>
            <w:textDirection w:val="lrTb"/>
            <w:vAlign w:val="bottom"/>
            <w:hideMark/>
          </w:tcPr>
          <w:p w:rsidR="00445BDC" w:rsidRPr="002D5C6E" w:rsidP="000B4414">
            <w:pPr>
              <w:bidi w:val="0"/>
              <w:spacing w:after="0" w:line="240" w:lineRule="auto"/>
              <w:rPr>
                <w:rFonts w:ascii="Times New Roman" w:hAnsi="Times New Roman" w:cs="Times New Roman"/>
                <w:sz w:val="20"/>
                <w:szCs w:val="20"/>
                <w:lang w:eastAsia="sk-SK"/>
              </w:rPr>
            </w:pPr>
          </w:p>
        </w:tc>
        <w:tc>
          <w:tcPr>
            <w:tcW w:w="667" w:type="pct"/>
            <w:tcBorders>
              <w:top w:val="single" w:sz="4" w:space="0" w:color="auto"/>
              <w:left w:val="nil"/>
              <w:bottom w:val="nil"/>
              <w:right w:val="nil"/>
            </w:tcBorders>
            <w:noWrap/>
            <w:textDirection w:val="lrTb"/>
            <w:vAlign w:val="bottom"/>
            <w:hideMark/>
          </w:tcPr>
          <w:p w:rsidR="00445BDC" w:rsidRPr="002D5C6E" w:rsidP="000B4414">
            <w:pPr>
              <w:bidi w:val="0"/>
              <w:spacing w:after="0" w:line="240" w:lineRule="auto"/>
              <w:rPr>
                <w:rFonts w:ascii="Times New Roman" w:hAnsi="Times New Roman" w:cs="Times New Roman"/>
                <w:sz w:val="20"/>
                <w:szCs w:val="20"/>
                <w:lang w:eastAsia="sk-SK"/>
              </w:rPr>
            </w:pPr>
          </w:p>
        </w:tc>
        <w:tc>
          <w:tcPr>
            <w:tcW w:w="1333" w:type="pct"/>
            <w:gridSpan w:val="2"/>
            <w:tcBorders>
              <w:top w:val="single" w:sz="4" w:space="0" w:color="auto"/>
              <w:left w:val="nil"/>
              <w:bottom w:val="nil"/>
              <w:right w:val="nil"/>
            </w:tcBorders>
            <w:noWrap/>
            <w:textDirection w:val="lrTb"/>
            <w:vAlign w:val="bottom"/>
            <w:hideMark/>
          </w:tcPr>
          <w:p w:rsidR="00445BDC" w:rsidRPr="002D5C6E" w:rsidP="000B4414">
            <w:pPr>
              <w:bidi w:val="0"/>
              <w:spacing w:after="0" w:line="240" w:lineRule="auto"/>
              <w:jc w:val="right"/>
              <w:rPr>
                <w:rFonts w:ascii="Times New Roman" w:hAnsi="Times New Roman" w:cs="Times New Roman"/>
                <w:i/>
                <w:iCs/>
                <w:color w:val="000000"/>
                <w:sz w:val="16"/>
                <w:szCs w:val="16"/>
                <w:lang w:eastAsia="sk-SK"/>
              </w:rPr>
            </w:pPr>
            <w:r w:rsidRPr="002D5C6E">
              <w:rPr>
                <w:rFonts w:ascii="Times New Roman" w:hAnsi="Times New Roman" w:cs="Times New Roman"/>
                <w:i/>
                <w:iCs/>
                <w:color w:val="000000"/>
                <w:sz w:val="16"/>
                <w:szCs w:val="16"/>
                <w:lang w:eastAsia="sk-SK"/>
              </w:rPr>
              <w:t>Zdroj: Eurostat</w:t>
            </w:r>
          </w:p>
        </w:tc>
      </w:tr>
    </w:tbl>
    <w:p w:rsidR="0094291A" w:rsidP="0094291A">
      <w:pPr>
        <w:pStyle w:val="Heading3"/>
        <w:numPr>
          <w:ilvl w:val="0"/>
          <w:numId w:val="0"/>
        </w:numPr>
        <w:bidi w:val="0"/>
        <w:ind w:firstLine="0"/>
        <w:rPr>
          <w:rFonts w:eastAsiaTheme="minorHAnsi"/>
          <w:b w:val="0"/>
          <w:szCs w:val="36"/>
          <w:lang w:eastAsia="en-US"/>
        </w:rPr>
      </w:pPr>
    </w:p>
    <w:p w:rsidR="00C30406" w:rsidRPr="00A53EAC" w:rsidP="00C30406">
      <w:pPr>
        <w:bidi w:val="0"/>
        <w:spacing w:line="336" w:lineRule="auto"/>
        <w:jc w:val="both"/>
        <w:rPr>
          <w:rFonts w:ascii="Times New Roman" w:hAnsi="Times New Roman" w:cs="Times New Roman"/>
        </w:rPr>
      </w:pPr>
      <w:bookmarkStart w:id="64" w:name="_Toc399324362"/>
      <w:bookmarkStart w:id="65" w:name="_Toc401920015"/>
      <w:bookmarkEnd w:id="57"/>
    </w:p>
    <w:p w:rsidR="00C30406" w:rsidRPr="00A53EAC" w:rsidP="00C30406">
      <w:pPr>
        <w:bidi w:val="0"/>
        <w:spacing w:before="240" w:line="336" w:lineRule="auto"/>
        <w:jc w:val="both"/>
        <w:rPr>
          <w:rFonts w:ascii="Times New Roman" w:hAnsi="Times New Roman" w:cs="Times New Roman"/>
        </w:rPr>
      </w:pPr>
    </w:p>
    <w:p w:rsidR="00472200" w:rsidRPr="00A53EAC">
      <w:pPr>
        <w:bidi w:val="0"/>
        <w:rPr>
          <w:rFonts w:ascii="Times New Roman" w:hAnsi="Times New Roman" w:cs="Times New Roman"/>
        </w:rPr>
      </w:pPr>
      <w:r w:rsidRPr="00A53EAC" w:rsidR="001D45CC">
        <w:rPr>
          <w:rFonts w:ascii="Times New Roman" w:hAnsi="Times New Roman" w:cs="Times New Roman"/>
        </w:rPr>
        <w:t xml:space="preserve"> </w:t>
      </w:r>
    </w:p>
    <w:p w:rsidR="0035366F" w:rsidP="00BB7DF9">
      <w:pPr>
        <w:pStyle w:val="Heading1"/>
        <w:numPr>
          <w:numId w:val="3"/>
        </w:numPr>
        <w:bidi w:val="0"/>
        <w:spacing w:before="120" w:line="336" w:lineRule="auto"/>
        <w:ind w:left="425" w:hanging="425"/>
      </w:pPr>
      <w:bookmarkStart w:id="66" w:name="_Toc465255016"/>
      <w:bookmarkStart w:id="67" w:name="_Toc465258481"/>
      <w:r w:rsidRPr="00A53EAC">
        <w:rPr>
          <w:rFonts w:hint="default"/>
        </w:rPr>
        <w:t>Hospodá</w:t>
      </w:r>
      <w:r w:rsidRPr="00A53EAC">
        <w:rPr>
          <w:rFonts w:hint="default"/>
        </w:rPr>
        <w:t>renie verejnej sprá</w:t>
      </w:r>
      <w:r w:rsidRPr="00A53EAC">
        <w:rPr>
          <w:rFonts w:hint="default"/>
        </w:rPr>
        <w:t xml:space="preserve">vy </w:t>
      </w:r>
      <w:r w:rsidRPr="00A53EAC">
        <w:rPr>
          <w:rFonts w:hint="default"/>
        </w:rPr>
        <w:t>–</w:t>
      </w:r>
      <w:r w:rsidRPr="00A53EAC">
        <w:rPr>
          <w:rFonts w:hint="default"/>
        </w:rPr>
        <w:t xml:space="preserve"> pož</w:t>
      </w:r>
      <w:r w:rsidRPr="00A53EAC">
        <w:rPr>
          <w:rFonts w:hint="default"/>
        </w:rPr>
        <w:t>iadavky ú</w:t>
      </w:r>
      <w:r w:rsidRPr="00A53EAC">
        <w:rPr>
          <w:rFonts w:hint="default"/>
        </w:rPr>
        <w:t>stavné</w:t>
      </w:r>
      <w:r w:rsidRPr="00A53EAC">
        <w:rPr>
          <w:rFonts w:hint="default"/>
        </w:rPr>
        <w:t>ho zá</w:t>
      </w:r>
      <w:r w:rsidRPr="00A53EAC">
        <w:rPr>
          <w:rFonts w:hint="default"/>
        </w:rPr>
        <w:t>kona o </w:t>
      </w:r>
      <w:r w:rsidRPr="00A53EAC">
        <w:rPr>
          <w:rFonts w:hint="default"/>
        </w:rPr>
        <w:t>rozpoč</w:t>
      </w:r>
      <w:r w:rsidRPr="00A53EAC">
        <w:rPr>
          <w:rFonts w:hint="default"/>
        </w:rPr>
        <w:t>tovej zodpovednosti</w:t>
      </w:r>
      <w:bookmarkEnd w:id="64"/>
      <w:bookmarkEnd w:id="65"/>
      <w:bookmarkEnd w:id="66"/>
      <w:bookmarkEnd w:id="67"/>
    </w:p>
    <w:p w:rsidR="00AC70A4" w:rsidRPr="00AC70A4" w:rsidP="00AC70A4">
      <w:pPr>
        <w:bidi w:val="0"/>
        <w:spacing w:after="120" w:line="336" w:lineRule="auto"/>
        <w:jc w:val="both"/>
        <w:rPr>
          <w:rFonts w:ascii="Times New Roman" w:hAnsi="Times New Roman" w:cs="Times New Roman"/>
          <w:b/>
        </w:rPr>
      </w:pPr>
      <w:r w:rsidRPr="00AC70A4">
        <w:rPr>
          <w:rFonts w:ascii="Times New Roman" w:hAnsi="Times New Roman" w:cs="Times New Roman"/>
        </w:rPr>
        <w:t>Táto kapitola hodnotí vývoj verejnej správy najmä z pohľadu informácií, ktoré má obsahovať súhrnná výročná správa na základe ústavného zákona o rozpočtovej zodpovednosti (bilancia rozpočtu verejnej správy, jednorazové vplyvy a vyhodnotenie stratégie riadenia štátneho dlhu). Špecifikom týchto údajov a informácií je fakt, že z väčšej časti</w:t>
      </w:r>
      <w:r>
        <w:rPr>
          <w:rStyle w:val="FootnoteReference"/>
          <w:rFonts w:ascii="Times New Roman" w:hAnsi="Times New Roman"/>
          <w:rtl w:val="0"/>
        </w:rPr>
        <w:footnoteReference w:id="2"/>
      </w:r>
      <w:r w:rsidRPr="00AC70A4">
        <w:rPr>
          <w:rFonts w:ascii="Times New Roman" w:hAnsi="Times New Roman" w:cs="Times New Roman"/>
        </w:rPr>
        <w:t xml:space="preserve"> nie sú založené na štandardnej metodike ESA 2010 a v niektorých prípadoch sú postavené na odhadoch a metodike Ministerstva financií SR (jednorazové vplyvy, cyklická zložka, štrukturálne saldo), rozširujú však analytický pohľad na hospodárenie verejnej správy nad rámec salda a dlhu. </w:t>
      </w:r>
    </w:p>
    <w:p w:rsidR="00712D70" w:rsidP="001767F0">
      <w:pPr>
        <w:pStyle w:val="Heading2"/>
        <w:numPr>
          <w:numId w:val="3"/>
        </w:numPr>
        <w:bidi w:val="0"/>
        <w:spacing w:before="120" w:after="120"/>
        <w:ind w:left="425" w:hanging="425"/>
      </w:pPr>
      <w:bookmarkStart w:id="68" w:name="_Toc399324363"/>
      <w:bookmarkStart w:id="69" w:name="_Toc401920016"/>
      <w:bookmarkStart w:id="70" w:name="_Toc465255017"/>
      <w:bookmarkStart w:id="71" w:name="_Toc465258482"/>
      <w:bookmarkStart w:id="72" w:name="_Toc399324366"/>
      <w:bookmarkStart w:id="73" w:name="_Toc401920020"/>
      <w:r w:rsidRPr="00712D70">
        <w:rPr>
          <w:rFonts w:hint="default"/>
        </w:rPr>
        <w:t>Bilancia rozpoč</w:t>
      </w:r>
      <w:r w:rsidRPr="00712D70">
        <w:rPr>
          <w:rFonts w:hint="default"/>
        </w:rPr>
        <w:t>tu verejnej sprá</w:t>
      </w:r>
      <w:r w:rsidRPr="00712D70">
        <w:rPr>
          <w:rFonts w:hint="default"/>
        </w:rPr>
        <w:t>vy</w:t>
      </w:r>
      <w:bookmarkEnd w:id="68"/>
      <w:bookmarkEnd w:id="69"/>
      <w:bookmarkEnd w:id="70"/>
      <w:bookmarkEnd w:id="71"/>
    </w:p>
    <w:p w:rsidR="00AC70A4" w:rsidRPr="00D6078A" w:rsidP="00AC70A4">
      <w:pPr>
        <w:bidi w:val="0"/>
        <w:spacing w:before="240" w:after="120" w:line="336" w:lineRule="auto"/>
        <w:jc w:val="both"/>
        <w:rPr>
          <w:rFonts w:ascii="Times New Roman" w:hAnsi="Times New Roman" w:cs="Times New Roman"/>
        </w:rPr>
      </w:pPr>
      <w:r w:rsidRPr="00D6078A">
        <w:rPr>
          <w:rFonts w:ascii="Times New Roman" w:hAnsi="Times New Roman" w:cs="Times New Roman"/>
        </w:rPr>
        <w:t>Bilancia rozpočtu verejnej správy poskytuje analytický pohľad na vývoj hlavných príjmových a výdavkových položiek verejnej správy ako celku za daný rok. Bilancia je konsolidovaná, teda sú vylúčené transakcie medzi jednotlivými subjektmi verejnej správy. Štruktúra prezentovanej bilancie pozostáva z kombinácie klasifikácie kódov ESA 2010 a rozpočtovej klasifikácie. Kombinácia metodík umožňuje prezentáciu analytických a zároveň medzinárodne porovnateľných údajov. Rozpočtová klasifikácia poskytuje vecný pohľad na jednotlivé kategórie príjmov a výdavkov a metodika ESA 2010 umožňuje medzinárodné porovnania a je konzistentná s makroekonomickými kategóriami národných účtov (HDP, spotreba verejnej správy).</w:t>
      </w:r>
    </w:p>
    <w:p w:rsidR="000B4414" w:rsidRPr="000B4414" w:rsidP="000B4414">
      <w:pPr>
        <w:pStyle w:val="ListParagraph"/>
        <w:keepNext/>
        <w:keepLines/>
        <w:numPr>
          <w:numId w:val="33"/>
        </w:numPr>
        <w:bidi w:val="0"/>
        <w:spacing w:after="200" w:line="276" w:lineRule="auto"/>
        <w:contextualSpacing w:val="0"/>
        <w:outlineLvl w:val="0"/>
        <w:rPr>
          <w:rStyle w:val="Heading3Char"/>
          <w:rFonts w:eastAsiaTheme="majorEastAsia"/>
          <w:bCs/>
          <w:vanish/>
          <w:sz w:val="26"/>
          <w:szCs w:val="24"/>
          <w:lang w:val="sk-SK" w:eastAsia="en-US"/>
        </w:rPr>
      </w:pPr>
      <w:bookmarkStart w:id="74" w:name="_Toc465255590"/>
      <w:bookmarkStart w:id="75" w:name="_Toc465255618"/>
      <w:bookmarkStart w:id="76" w:name="_Toc465257927"/>
      <w:bookmarkStart w:id="77" w:name="_Toc465258108"/>
      <w:bookmarkStart w:id="78" w:name="_Toc465258483"/>
      <w:bookmarkStart w:id="79" w:name="_Toc399324364"/>
      <w:bookmarkStart w:id="80" w:name="_Toc401920017"/>
      <w:bookmarkStart w:id="81" w:name="_Toc465255018"/>
      <w:bookmarkEnd w:id="74"/>
      <w:bookmarkEnd w:id="75"/>
      <w:bookmarkEnd w:id="76"/>
      <w:bookmarkEnd w:id="77"/>
      <w:bookmarkEnd w:id="78"/>
    </w:p>
    <w:p w:rsidR="000B4414" w:rsidRPr="000B4414" w:rsidP="000B4414">
      <w:pPr>
        <w:pStyle w:val="ListParagraph"/>
        <w:keepNext/>
        <w:keepLines/>
        <w:numPr>
          <w:numId w:val="33"/>
        </w:numPr>
        <w:bidi w:val="0"/>
        <w:spacing w:after="200" w:line="276" w:lineRule="auto"/>
        <w:contextualSpacing w:val="0"/>
        <w:outlineLvl w:val="0"/>
        <w:rPr>
          <w:rStyle w:val="Heading3Char"/>
          <w:rFonts w:eastAsiaTheme="majorEastAsia"/>
          <w:bCs/>
          <w:vanish/>
          <w:sz w:val="26"/>
          <w:szCs w:val="24"/>
          <w:lang w:val="sk-SK" w:eastAsia="en-US"/>
        </w:rPr>
      </w:pPr>
      <w:bookmarkStart w:id="82" w:name="_Toc465255591"/>
      <w:bookmarkStart w:id="83" w:name="_Toc465255619"/>
      <w:bookmarkStart w:id="84" w:name="_Toc465257928"/>
      <w:bookmarkStart w:id="85" w:name="_Toc465258109"/>
      <w:bookmarkStart w:id="86" w:name="_Toc465258484"/>
      <w:bookmarkEnd w:id="82"/>
      <w:bookmarkEnd w:id="83"/>
      <w:bookmarkEnd w:id="84"/>
      <w:bookmarkEnd w:id="85"/>
      <w:bookmarkEnd w:id="86"/>
    </w:p>
    <w:p w:rsidR="00712D70" w:rsidRPr="0069113D" w:rsidP="000B4414">
      <w:pPr>
        <w:pStyle w:val="Heading2"/>
        <w:numPr>
          <w:ilvl w:val="2"/>
          <w:numId w:val="34"/>
        </w:numPr>
        <w:bidi w:val="0"/>
        <w:spacing w:after="200"/>
        <w:ind w:left="709" w:hanging="709"/>
        <w:rPr>
          <w:rFonts w:hint="default"/>
          <w:sz w:val="22"/>
          <w:szCs w:val="22"/>
        </w:rPr>
      </w:pPr>
      <w:bookmarkStart w:id="87" w:name="_Toc465258485"/>
      <w:r w:rsidRPr="0069113D">
        <w:rPr>
          <w:rStyle w:val="Heading3Char"/>
          <w:rFonts w:eastAsiaTheme="majorEastAsia"/>
          <w:lang w:val="sk-SK" w:eastAsia="en-US"/>
        </w:rPr>
        <w:t>P</w:t>
      </w:r>
      <w:r w:rsidRPr="0069113D">
        <w:rPr>
          <w:rFonts w:hint="default"/>
          <w:sz w:val="22"/>
          <w:szCs w:val="22"/>
        </w:rPr>
        <w:t>rí</w:t>
      </w:r>
      <w:r w:rsidRPr="0069113D">
        <w:rPr>
          <w:rFonts w:hint="default"/>
          <w:sz w:val="22"/>
          <w:szCs w:val="22"/>
        </w:rPr>
        <w:t>jmy verejnej sprá</w:t>
      </w:r>
      <w:r w:rsidRPr="0069113D">
        <w:rPr>
          <w:rFonts w:hint="default"/>
          <w:sz w:val="22"/>
          <w:szCs w:val="22"/>
        </w:rPr>
        <w:t>vy</w:t>
      </w:r>
      <w:bookmarkEnd w:id="79"/>
      <w:bookmarkEnd w:id="80"/>
      <w:bookmarkEnd w:id="81"/>
      <w:bookmarkEnd w:id="87"/>
    </w:p>
    <w:p w:rsidR="00AC70A4" w:rsidRPr="00AC70A4" w:rsidP="00AC70A4">
      <w:pPr>
        <w:bidi w:val="0"/>
        <w:spacing w:after="120" w:line="336" w:lineRule="auto"/>
        <w:jc w:val="both"/>
        <w:rPr>
          <w:rFonts w:ascii="Times New Roman" w:hAnsi="Times New Roman" w:cs="Times New Roman"/>
        </w:rPr>
      </w:pPr>
      <w:bookmarkStart w:id="88" w:name="_Toc399324365"/>
      <w:r w:rsidRPr="00AC70A4">
        <w:rPr>
          <w:rFonts w:ascii="Times New Roman" w:hAnsi="Times New Roman" w:cs="Times New Roman"/>
          <w:b/>
        </w:rPr>
        <w:t xml:space="preserve">Celkové príjmy </w:t>
      </w:r>
      <w:r w:rsidRPr="00AC70A4">
        <w:rPr>
          <w:rFonts w:ascii="Times New Roman" w:hAnsi="Times New Roman" w:cs="Times New Roman"/>
        </w:rPr>
        <w:t>rozpočtu verejnej správy v metodike ESA 2010 dosiahli v roku 2015 výšku 33 720 112 tis. eur (42,9 % HDP), medziročne sa celkové príjmy zvýšili o 12,9 %. Pozitívny rast dosiahli všetky typy príjmov, najvýraznejší rast o 76,3 % zaznamenali granty a transfery.</w:t>
      </w:r>
    </w:p>
    <w:p w:rsidR="00AC70A4" w:rsidP="00AC70A4">
      <w:pPr>
        <w:bidi w:val="0"/>
        <w:spacing w:after="120" w:line="336" w:lineRule="auto"/>
        <w:jc w:val="both"/>
        <w:rPr>
          <w:rFonts w:ascii="Times New Roman" w:hAnsi="Times New Roman" w:cs="Times New Roman"/>
        </w:rPr>
      </w:pPr>
      <w:r w:rsidRPr="00AC70A4">
        <w:rPr>
          <w:rFonts w:ascii="Times New Roman" w:hAnsi="Times New Roman" w:cs="Times New Roman"/>
          <w:b/>
        </w:rPr>
        <w:t>Daňové a odvodové príjmy</w:t>
      </w:r>
      <w:r w:rsidRPr="00AC70A4">
        <w:rPr>
          <w:rFonts w:ascii="Times New Roman" w:hAnsi="Times New Roman" w:cs="Times New Roman"/>
        </w:rPr>
        <w:t xml:space="preserve"> v roku 2015 tvorili 75,2 % všetkých príjmov verejnej správy a zaznamenali medziročný rast o 7,5 %. Príspevok makroekonomického vývoja k rastu daňových príjmov bol 4,3 p.b. Slovenská ekonomika dosiahla tempo rastu 3,6 %, čo možno pripísať aj zrýchlenému čerpaniu eurofondov na konci programového obdobia. Pozitívny vývoj sa prejavil na trhu práce, keď mzdová báza medziročne rástla o 5,1 %. Zo všetkých makroekonomických základní bol zaznamenaný pokles iba v prípade úrokovej bázy z dôvodu pokračujúceho poklesu úrokových mier, čím bol negatívne ovplyvnený výnos dane z príjmov vyberanej zrážkou. Príspevok vyššej úspešnosti výberu k rastu daňových a odvodových príjmov bol 2,2 p.b.  Vyššia efektívnosť výberu bola zaznamenaná najmä v prípade dane z príjmov právnických osôb a dane z pridanej hodnoty. Legislatívne opatrenia a jednorazové efekty  prispeli k medziročnému rastu príjmov o 0,9 p.b.</w:t>
      </w:r>
    </w:p>
    <w:p w:rsidR="00AC70A4">
      <w:pPr>
        <w:bidi w:val="0"/>
        <w:rPr>
          <w:rFonts w:ascii="Times New Roman" w:hAnsi="Times New Roman" w:cs="Times New Roman"/>
        </w:rPr>
      </w:pPr>
      <w:r>
        <w:rPr>
          <w:rFonts w:ascii="Times New Roman" w:hAnsi="Times New Roman" w:cs="Times New Roman"/>
        </w:rPr>
        <w:br w:type="page"/>
      </w:r>
    </w:p>
    <w:tbl>
      <w:tblPr>
        <w:tblStyle w:val="TableNormal"/>
        <w:tblW w:w="5000" w:type="pct"/>
        <w:tblCellMar>
          <w:left w:w="70" w:type="dxa"/>
          <w:right w:w="70" w:type="dxa"/>
        </w:tblCellMar>
        <w:tblLook w:val="04A0"/>
      </w:tblPr>
      <w:tblGrid>
        <w:gridCol w:w="4580"/>
        <w:gridCol w:w="1041"/>
        <w:gridCol w:w="1096"/>
        <w:gridCol w:w="1098"/>
        <w:gridCol w:w="1396"/>
      </w:tblGrid>
      <w:tr>
        <w:tblPrEx>
          <w:tblW w:w="5000" w:type="pct"/>
          <w:tblCellMar>
            <w:left w:w="70" w:type="dxa"/>
            <w:right w:w="70" w:type="dxa"/>
          </w:tblCellMar>
          <w:tblLook w:val="04A0"/>
        </w:tblPrEx>
        <w:trPr>
          <w:trHeight w:val="255"/>
        </w:trPr>
        <w:tc>
          <w:tcPr>
            <w:tcW w:w="2486" w:type="pct"/>
            <w:tcBorders>
              <w:top w:val="nil"/>
              <w:left w:val="nil"/>
              <w:bottom w:val="nil"/>
              <w:right w:val="nil"/>
            </w:tcBorders>
            <w:shd w:val="clear" w:color="000000" w:fill="000000"/>
            <w:noWrap/>
            <w:textDirection w:val="lrTb"/>
            <w:vAlign w:val="center"/>
            <w:hideMark/>
          </w:tcPr>
          <w:p w:rsidR="00AC70A4" w:rsidRPr="00883440" w:rsidP="00A97D6F">
            <w:pPr>
              <w:bidi w:val="0"/>
              <w:spacing w:after="0" w:line="240" w:lineRule="auto"/>
              <w:rPr>
                <w:rFonts w:ascii="Times New Roman" w:hAnsi="Times New Roman" w:cs="Times New Roman"/>
                <w:b/>
                <w:bCs/>
                <w:color w:val="FFFFFF"/>
                <w:sz w:val="20"/>
                <w:szCs w:val="20"/>
                <w:lang w:eastAsia="sk-SK"/>
              </w:rPr>
            </w:pPr>
            <w:r w:rsidRPr="00883440">
              <w:rPr>
                <w:rFonts w:ascii="Times New Roman" w:hAnsi="Times New Roman" w:cs="Times New Roman"/>
                <w:b/>
                <w:bCs/>
                <w:color w:val="FFFFFF"/>
                <w:sz w:val="20"/>
                <w:szCs w:val="20"/>
                <w:lang w:eastAsia="sk-SK"/>
              </w:rPr>
              <w:t>Príjmy verejnej správy (ESA 2010)</w:t>
            </w:r>
          </w:p>
        </w:tc>
        <w:tc>
          <w:tcPr>
            <w:tcW w:w="565" w:type="pct"/>
            <w:tcBorders>
              <w:top w:val="nil"/>
              <w:left w:val="nil"/>
              <w:bottom w:val="nil"/>
              <w:right w:val="nil"/>
            </w:tcBorders>
            <w:shd w:val="clear" w:color="000000" w:fill="000000"/>
            <w:noWrap/>
            <w:textDirection w:val="lrTb"/>
            <w:vAlign w:val="center"/>
            <w:hideMark/>
          </w:tcPr>
          <w:p w:rsidR="00AC70A4" w:rsidRPr="00883440" w:rsidP="00A97D6F">
            <w:pPr>
              <w:bidi w:val="0"/>
              <w:spacing w:after="0" w:line="240" w:lineRule="auto"/>
              <w:rPr>
                <w:rFonts w:ascii="Times New Roman" w:hAnsi="Times New Roman" w:cs="Times New Roman"/>
                <w:b/>
                <w:bCs/>
                <w:color w:val="FFFFFF"/>
                <w:sz w:val="20"/>
                <w:szCs w:val="20"/>
                <w:lang w:eastAsia="sk-SK"/>
              </w:rPr>
            </w:pPr>
            <w:r w:rsidRPr="00883440">
              <w:rPr>
                <w:rFonts w:ascii="Times New Roman" w:hAnsi="Times New Roman" w:cs="Times New Roman"/>
                <w:b/>
                <w:bCs/>
                <w:color w:val="FFFFFF"/>
                <w:sz w:val="20"/>
                <w:szCs w:val="20"/>
                <w:lang w:eastAsia="sk-SK"/>
              </w:rPr>
              <w:t> </w:t>
            </w:r>
          </w:p>
        </w:tc>
        <w:tc>
          <w:tcPr>
            <w:tcW w:w="595" w:type="pct"/>
            <w:tcBorders>
              <w:top w:val="nil"/>
              <w:left w:val="nil"/>
              <w:bottom w:val="nil"/>
              <w:right w:val="nil"/>
            </w:tcBorders>
            <w:shd w:val="clear" w:color="000000" w:fill="000000"/>
            <w:noWrap/>
            <w:textDirection w:val="lrTb"/>
            <w:vAlign w:val="center"/>
            <w:hideMark/>
          </w:tcPr>
          <w:p w:rsidR="00AC70A4" w:rsidRPr="00883440" w:rsidP="00A97D6F">
            <w:pPr>
              <w:bidi w:val="0"/>
              <w:spacing w:after="0" w:line="240" w:lineRule="auto"/>
              <w:rPr>
                <w:rFonts w:ascii="Times New Roman" w:hAnsi="Times New Roman" w:cs="Times New Roman"/>
                <w:b/>
                <w:bCs/>
                <w:color w:val="FFFFFF"/>
                <w:sz w:val="20"/>
                <w:szCs w:val="20"/>
                <w:lang w:eastAsia="sk-SK"/>
              </w:rPr>
            </w:pPr>
            <w:r w:rsidRPr="00883440">
              <w:rPr>
                <w:rFonts w:ascii="Times New Roman" w:hAnsi="Times New Roman" w:cs="Times New Roman"/>
                <w:b/>
                <w:bCs/>
                <w:color w:val="FFFFFF"/>
                <w:sz w:val="20"/>
                <w:szCs w:val="20"/>
                <w:lang w:eastAsia="sk-SK"/>
              </w:rPr>
              <w:t> </w:t>
            </w:r>
          </w:p>
        </w:tc>
        <w:tc>
          <w:tcPr>
            <w:tcW w:w="596" w:type="pct"/>
            <w:tcBorders>
              <w:top w:val="nil"/>
              <w:left w:val="nil"/>
              <w:bottom w:val="nil"/>
              <w:right w:val="nil"/>
            </w:tcBorders>
            <w:shd w:val="clear" w:color="000000" w:fill="000000"/>
            <w:noWrap/>
            <w:textDirection w:val="lrTb"/>
            <w:vAlign w:val="center"/>
            <w:hideMark/>
          </w:tcPr>
          <w:p w:rsidR="00AC70A4" w:rsidRPr="00883440" w:rsidP="00A97D6F">
            <w:pPr>
              <w:bidi w:val="0"/>
              <w:spacing w:after="0" w:line="240" w:lineRule="auto"/>
              <w:rPr>
                <w:rFonts w:ascii="Times New Roman" w:hAnsi="Times New Roman" w:cs="Times New Roman"/>
                <w:b/>
                <w:bCs/>
                <w:color w:val="FFFFFF"/>
                <w:sz w:val="20"/>
                <w:szCs w:val="20"/>
                <w:lang w:eastAsia="sk-SK"/>
              </w:rPr>
            </w:pPr>
            <w:r w:rsidRPr="00883440">
              <w:rPr>
                <w:rFonts w:ascii="Times New Roman" w:hAnsi="Times New Roman" w:cs="Times New Roman"/>
                <w:b/>
                <w:bCs/>
                <w:color w:val="FFFFFF"/>
                <w:sz w:val="20"/>
                <w:szCs w:val="20"/>
                <w:lang w:eastAsia="sk-SK"/>
              </w:rPr>
              <w:t> </w:t>
            </w:r>
          </w:p>
        </w:tc>
        <w:tc>
          <w:tcPr>
            <w:tcW w:w="758" w:type="pct"/>
            <w:tcBorders>
              <w:top w:val="nil"/>
              <w:left w:val="nil"/>
              <w:bottom w:val="nil"/>
              <w:right w:val="nil"/>
            </w:tcBorders>
            <w:shd w:val="clear" w:color="000000" w:fill="000000"/>
            <w:noWrap/>
            <w:textDirection w:val="lrTb"/>
            <w:vAlign w:val="center"/>
            <w:hideMark/>
          </w:tcPr>
          <w:p w:rsidR="00AC70A4" w:rsidRPr="00883440" w:rsidP="00A97D6F">
            <w:pPr>
              <w:bidi w:val="0"/>
              <w:spacing w:after="0" w:line="240" w:lineRule="auto"/>
              <w:jc w:val="right"/>
              <w:rPr>
                <w:rFonts w:ascii="Times New Roman" w:hAnsi="Times New Roman" w:cs="Times New Roman"/>
                <w:b/>
                <w:bCs/>
                <w:color w:val="FFFFFF"/>
                <w:sz w:val="20"/>
                <w:szCs w:val="20"/>
                <w:lang w:eastAsia="sk-SK"/>
              </w:rPr>
            </w:pPr>
            <w:r w:rsidRPr="00883440">
              <w:rPr>
                <w:rFonts w:ascii="Times New Roman" w:hAnsi="Times New Roman" w:cs="Times New Roman"/>
                <w:b/>
                <w:bCs/>
                <w:color w:val="FFFFFF"/>
                <w:sz w:val="20"/>
                <w:szCs w:val="20"/>
                <w:lang w:eastAsia="sk-SK"/>
              </w:rPr>
              <w:t>v tis. eur</w:t>
            </w:r>
          </w:p>
        </w:tc>
      </w:tr>
      <w:tr>
        <w:tblPrEx>
          <w:tblW w:w="5000" w:type="pct"/>
          <w:tblCellMar>
            <w:left w:w="70" w:type="dxa"/>
            <w:right w:w="70" w:type="dxa"/>
          </w:tblCellMar>
          <w:tblLook w:val="04A0"/>
        </w:tblPrEx>
        <w:trPr>
          <w:trHeight w:val="255"/>
        </w:trPr>
        <w:tc>
          <w:tcPr>
            <w:tcW w:w="2486" w:type="pct"/>
            <w:tcBorders>
              <w:top w:val="single" w:sz="4" w:space="0" w:color="auto"/>
              <w:left w:val="nil"/>
              <w:bottom w:val="nil"/>
              <w:right w:val="nil"/>
            </w:tcBorders>
            <w:shd w:val="clear" w:color="000000" w:fill="BFBFBF"/>
            <w:noWrap/>
            <w:textDirection w:val="lrTb"/>
            <w:vAlign w:val="center"/>
            <w:hideMark/>
          </w:tcPr>
          <w:p w:rsidR="00AC70A4" w:rsidRPr="00883440" w:rsidP="00A97D6F">
            <w:pPr>
              <w:bidi w:val="0"/>
              <w:spacing w:after="0" w:line="240" w:lineRule="auto"/>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 </w:t>
            </w:r>
          </w:p>
        </w:tc>
        <w:tc>
          <w:tcPr>
            <w:tcW w:w="565" w:type="pct"/>
            <w:tcBorders>
              <w:top w:val="single" w:sz="4" w:space="0" w:color="auto"/>
              <w:left w:val="nil"/>
              <w:bottom w:val="nil"/>
              <w:right w:val="nil"/>
            </w:tcBorders>
            <w:shd w:val="clear" w:color="000000" w:fill="BFBFBF"/>
            <w:noWrap/>
            <w:textDirection w:val="lrTb"/>
            <w:vAlign w:val="center"/>
            <w:hideMark/>
          </w:tcPr>
          <w:p w:rsidR="00AC70A4" w:rsidRPr="00883440" w:rsidP="00A97D6F">
            <w:pPr>
              <w:bidi w:val="0"/>
              <w:spacing w:after="0" w:line="240" w:lineRule="auto"/>
              <w:jc w:val="center"/>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2 013</w:t>
            </w:r>
          </w:p>
        </w:tc>
        <w:tc>
          <w:tcPr>
            <w:tcW w:w="595" w:type="pct"/>
            <w:tcBorders>
              <w:top w:val="single" w:sz="4" w:space="0" w:color="auto"/>
              <w:left w:val="nil"/>
              <w:bottom w:val="nil"/>
              <w:right w:val="nil"/>
            </w:tcBorders>
            <w:shd w:val="clear" w:color="000000" w:fill="BFBFBF"/>
            <w:noWrap/>
            <w:textDirection w:val="lrTb"/>
            <w:vAlign w:val="center"/>
            <w:hideMark/>
          </w:tcPr>
          <w:p w:rsidR="00AC70A4" w:rsidRPr="00883440" w:rsidP="00A97D6F">
            <w:pPr>
              <w:bidi w:val="0"/>
              <w:spacing w:after="0" w:line="240" w:lineRule="auto"/>
              <w:jc w:val="center"/>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2 014</w:t>
            </w:r>
          </w:p>
        </w:tc>
        <w:tc>
          <w:tcPr>
            <w:tcW w:w="596" w:type="pct"/>
            <w:tcBorders>
              <w:top w:val="single" w:sz="4" w:space="0" w:color="auto"/>
              <w:left w:val="nil"/>
              <w:bottom w:val="nil"/>
              <w:right w:val="nil"/>
            </w:tcBorders>
            <w:shd w:val="clear" w:color="000000" w:fill="BFBFBF"/>
            <w:noWrap/>
            <w:textDirection w:val="lrTb"/>
            <w:vAlign w:val="center"/>
            <w:hideMark/>
          </w:tcPr>
          <w:p w:rsidR="00AC70A4" w:rsidRPr="00883440" w:rsidP="00A97D6F">
            <w:pPr>
              <w:bidi w:val="0"/>
              <w:spacing w:after="0" w:line="240" w:lineRule="auto"/>
              <w:jc w:val="center"/>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2 015</w:t>
            </w:r>
          </w:p>
        </w:tc>
        <w:tc>
          <w:tcPr>
            <w:tcW w:w="758" w:type="pct"/>
            <w:tcBorders>
              <w:top w:val="single" w:sz="4" w:space="0" w:color="auto"/>
              <w:left w:val="nil"/>
              <w:bottom w:val="nil"/>
              <w:right w:val="nil"/>
            </w:tcBorders>
            <w:shd w:val="clear" w:color="000000" w:fill="BFBFBF"/>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2015/2014 v %</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Daňové príjmy</w:t>
            </w:r>
          </w:p>
        </w:tc>
        <w:tc>
          <w:tcPr>
            <w:tcW w:w="56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12 346 804</w:t>
            </w:r>
          </w:p>
        </w:tc>
        <w:tc>
          <w:tcPr>
            <w:tcW w:w="59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13 251 973</w:t>
            </w:r>
          </w:p>
        </w:tc>
        <w:tc>
          <w:tcPr>
            <w:tcW w:w="596"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14 330 962</w:t>
            </w:r>
          </w:p>
        </w:tc>
        <w:tc>
          <w:tcPr>
            <w:tcW w:w="758" w:type="pct"/>
            <w:tcBorders>
              <w:top w:val="nil"/>
              <w:left w:val="nil"/>
              <w:bottom w:val="nil"/>
              <w:right w:val="nil"/>
            </w:tcBorders>
            <w:noWrap/>
            <w:textDirection w:val="lrTb"/>
            <w:vAlign w:val="center"/>
            <w:hideMark/>
          </w:tcPr>
          <w:p w:rsidR="00AC70A4" w:rsidRPr="00883440" w:rsidP="00A97D6F">
            <w:pPr>
              <w:bidi w:val="0"/>
              <w:spacing w:after="0" w:line="240" w:lineRule="auto"/>
              <w:jc w:val="center"/>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8,1</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Dane z produkcie a dovozu</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7 632 281</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8 045 254</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8 505 784</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5,7</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Daň z pridanej hodnoty</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4 696 120</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5 021 131</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5 420 173</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7,9</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Spotrebné dane</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1 984 783</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2 014 994</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2 108 224</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4,6</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Dovozné clo</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58</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-7</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20</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-385,7</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Dane z majetku a iné</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222 652</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224 873</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228 214</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1,5</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Bežné dane z dôchodkov, majetku</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4 714 516</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5 206 715</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5 825 184</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11,9</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Daň z príjmov fyzických osôb</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2 175 025</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2 275 117</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2 464 414</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8,3</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bottom"/>
            <w:hideMark/>
          </w:tcPr>
          <w:p w:rsidR="00AC70A4" w:rsidRPr="00883440" w:rsidP="00A97D6F">
            <w:pPr>
              <w:bidi w:val="0"/>
              <w:spacing w:after="0" w:line="240" w:lineRule="auto"/>
              <w:ind w:firstLine="400" w:firstLineChars="2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zo závislej činnosti</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002D57A2">
              <w:rPr>
                <w:rFonts w:ascii="Times New Roman" w:hAnsi="Times New Roman" w:cs="Times New Roman"/>
                <w:color w:val="000000"/>
                <w:sz w:val="20"/>
                <w:szCs w:val="20"/>
                <w:lang w:eastAsia="sk-SK"/>
              </w:rPr>
              <w:t>2 082 526</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002D57A2">
              <w:rPr>
                <w:rFonts w:ascii="Times New Roman" w:hAnsi="Times New Roman" w:cs="Times New Roman"/>
                <w:color w:val="000000"/>
                <w:sz w:val="20"/>
                <w:szCs w:val="20"/>
                <w:lang w:eastAsia="sk-SK"/>
              </w:rPr>
              <w:t>2 132 904</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00CC77ED">
              <w:rPr>
                <w:rFonts w:ascii="Times New Roman" w:hAnsi="Times New Roman" w:cs="Times New Roman"/>
                <w:color w:val="000000"/>
                <w:sz w:val="20"/>
                <w:szCs w:val="20"/>
                <w:lang w:eastAsia="sk-SK"/>
              </w:rPr>
              <w:t>2 319 132</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00CC77ED">
              <w:rPr>
                <w:rFonts w:ascii="Times New Roman" w:hAnsi="Times New Roman" w:cs="Times New Roman"/>
                <w:color w:val="000000"/>
                <w:sz w:val="20"/>
                <w:szCs w:val="20"/>
                <w:lang w:eastAsia="sk-SK"/>
              </w:rPr>
              <w:t>8,7</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bottom"/>
            <w:hideMark/>
          </w:tcPr>
          <w:p w:rsidR="00AC70A4" w:rsidRPr="00883440" w:rsidP="00A97D6F">
            <w:pPr>
              <w:bidi w:val="0"/>
              <w:spacing w:after="0" w:line="240" w:lineRule="auto"/>
              <w:ind w:firstLine="400" w:firstLineChars="2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z podnikania a inej samostatnej činnosti</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002D57A2">
              <w:rPr>
                <w:rFonts w:ascii="Times New Roman" w:hAnsi="Times New Roman" w:cs="Times New Roman"/>
                <w:color w:val="000000"/>
                <w:sz w:val="20"/>
                <w:szCs w:val="20"/>
                <w:lang w:eastAsia="sk-SK"/>
              </w:rPr>
              <w:t>92 499</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002D57A2">
              <w:rPr>
                <w:rFonts w:ascii="Times New Roman" w:hAnsi="Times New Roman" w:cs="Times New Roman"/>
                <w:color w:val="000000"/>
                <w:sz w:val="20"/>
                <w:szCs w:val="20"/>
                <w:lang w:eastAsia="sk-SK"/>
              </w:rPr>
              <w:t>142 213</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00CC77ED">
              <w:rPr>
                <w:rFonts w:ascii="Times New Roman" w:hAnsi="Times New Roman" w:cs="Times New Roman"/>
                <w:color w:val="000000"/>
                <w:sz w:val="20"/>
                <w:szCs w:val="20"/>
                <w:lang w:eastAsia="sk-SK"/>
              </w:rPr>
              <w:t>145 282</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00CC77ED">
              <w:rPr>
                <w:rFonts w:ascii="Times New Roman" w:hAnsi="Times New Roman" w:cs="Times New Roman"/>
                <w:color w:val="000000"/>
                <w:sz w:val="20"/>
                <w:szCs w:val="20"/>
                <w:lang w:eastAsia="sk-SK"/>
              </w:rPr>
              <w:t>2,2</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Daň z príjmov právnických osôb</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2 117 833</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2 504 402</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2 945 325</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17,6</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bottom"/>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Daň z príjmov vyberaná zrážkou </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177 784</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175 061</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162 006</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-7,5</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Dane z majetku a iné</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104 579</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105 777</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106 937</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1,1</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Dane z kapitálu</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7</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4</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-6</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-250,0</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Príspevky na sociálne zabezpečenie</w:t>
            </w:r>
          </w:p>
        </w:tc>
        <w:tc>
          <w:tcPr>
            <w:tcW w:w="56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10 006 788</w:t>
            </w:r>
          </w:p>
        </w:tc>
        <w:tc>
          <w:tcPr>
            <w:tcW w:w="59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10 360 111</w:t>
            </w:r>
          </w:p>
        </w:tc>
        <w:tc>
          <w:tcPr>
            <w:tcW w:w="596"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11 042 304</w:t>
            </w:r>
          </w:p>
        </w:tc>
        <w:tc>
          <w:tcPr>
            <w:tcW w:w="758" w:type="pct"/>
            <w:tcBorders>
              <w:top w:val="nil"/>
              <w:left w:val="nil"/>
              <w:bottom w:val="nil"/>
              <w:right w:val="nil"/>
            </w:tcBorders>
            <w:noWrap/>
            <w:textDirection w:val="lrTb"/>
            <w:vAlign w:val="center"/>
            <w:hideMark/>
          </w:tcPr>
          <w:p w:rsidR="00AC70A4" w:rsidRPr="00883440" w:rsidP="00A97D6F">
            <w:pPr>
              <w:bidi w:val="0"/>
              <w:spacing w:after="0" w:line="240" w:lineRule="auto"/>
              <w:jc w:val="center"/>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6,6</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Skutočné príspevky na sociálne zabezpečenie</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9 864 496</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10 206 748</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10 871 448</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6,5</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Príspevky zamestnávateľov</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5 555 532</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5 831 566</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6 282 744</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7,7</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Príspevky zamestnancov</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2 254 846</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2 292 381</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2 477 656</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8,1</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Príspevky SZČO a nepracujúcich osôb</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2 054 118</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2 082 801</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2 111 048</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1,4</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Imputované príspevky na sociálne zabezpečenie</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142 292</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153 363</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170 856</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11,4</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Nedaňové príjmy</w:t>
            </w:r>
          </w:p>
        </w:tc>
        <w:tc>
          <w:tcPr>
            <w:tcW w:w="56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3 902 570</w:t>
            </w:r>
          </w:p>
        </w:tc>
        <w:tc>
          <w:tcPr>
            <w:tcW w:w="59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3 842 378</w:t>
            </w:r>
          </w:p>
        </w:tc>
        <w:tc>
          <w:tcPr>
            <w:tcW w:w="596"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4 115 361</w:t>
            </w:r>
          </w:p>
        </w:tc>
        <w:tc>
          <w:tcPr>
            <w:tcW w:w="758" w:type="pct"/>
            <w:tcBorders>
              <w:top w:val="nil"/>
              <w:left w:val="nil"/>
              <w:bottom w:val="nil"/>
              <w:right w:val="nil"/>
            </w:tcBorders>
            <w:noWrap/>
            <w:textDirection w:val="lrTb"/>
            <w:vAlign w:val="center"/>
            <w:hideMark/>
          </w:tcPr>
          <w:p w:rsidR="00AC70A4" w:rsidRPr="00883440" w:rsidP="00A97D6F">
            <w:pPr>
              <w:bidi w:val="0"/>
              <w:spacing w:after="0" w:line="240" w:lineRule="auto"/>
              <w:jc w:val="center"/>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7,1</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Tržby</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3 233 445</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3 290 152</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3 482 302</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5,8</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Produkcia trhová + pre vlastné konečné použitie</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3 069 486</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3 126 937</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3 336 133</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6,7</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Platby za ostatnú netrhovú produkciu</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163 959</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163 215</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146 169</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-10,4</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Dôchodky z majetku</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669 125</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552 226</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633 059</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14,6</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Dividendy</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460 009</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396 975</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444 674</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12,0</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 xml:space="preserve"> - Úroky</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155 855</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191 410</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226 809</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18,5</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Granty a transfery</w:t>
            </w:r>
          </w:p>
        </w:tc>
        <w:tc>
          <w:tcPr>
            <w:tcW w:w="56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2 462 977</w:t>
            </w:r>
          </w:p>
        </w:tc>
        <w:tc>
          <w:tcPr>
            <w:tcW w:w="595"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2 400 038</w:t>
            </w:r>
          </w:p>
        </w:tc>
        <w:tc>
          <w:tcPr>
            <w:tcW w:w="596" w:type="pct"/>
            <w:tcBorders>
              <w:top w:val="nil"/>
              <w:left w:val="nil"/>
              <w:bottom w:val="nil"/>
              <w:right w:val="nil"/>
            </w:tcBorders>
            <w:noWrap/>
            <w:textDirection w:val="lrTb"/>
            <w:vAlign w:val="center"/>
            <w:hideMark/>
          </w:tcPr>
          <w:p w:rsidR="00AC70A4" w:rsidRPr="00883440" w:rsidP="00A97D6F">
            <w:pPr>
              <w:bidi w:val="0"/>
              <w:spacing w:after="0" w:line="240" w:lineRule="auto"/>
              <w:jc w:val="right"/>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4 231 485</w:t>
            </w:r>
          </w:p>
        </w:tc>
        <w:tc>
          <w:tcPr>
            <w:tcW w:w="758" w:type="pct"/>
            <w:tcBorders>
              <w:top w:val="nil"/>
              <w:left w:val="nil"/>
              <w:bottom w:val="nil"/>
              <w:right w:val="nil"/>
            </w:tcBorders>
            <w:noWrap/>
            <w:textDirection w:val="lrTb"/>
            <w:vAlign w:val="center"/>
            <w:hideMark/>
          </w:tcPr>
          <w:p w:rsidR="00AC70A4" w:rsidRPr="00883440" w:rsidP="00A97D6F">
            <w:pPr>
              <w:bidi w:val="0"/>
              <w:spacing w:after="0" w:line="240" w:lineRule="auto"/>
              <w:jc w:val="center"/>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76,3</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z toho: z EÚ</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808 674</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1 194 671</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2 599 530</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117,6</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Ostatné bežné transfery</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1 477 714</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1 438 031</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2 157 163</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50,0</w:t>
            </w:r>
          </w:p>
        </w:tc>
      </w:tr>
      <w:tr>
        <w:tblPrEx>
          <w:tblW w:w="5000" w:type="pct"/>
          <w:tblCellMar>
            <w:left w:w="70" w:type="dxa"/>
            <w:right w:w="70" w:type="dxa"/>
          </w:tblCellMar>
          <w:tblLook w:val="04A0"/>
        </w:tblPrEx>
        <w:trPr>
          <w:trHeight w:val="255"/>
        </w:trPr>
        <w:tc>
          <w:tcPr>
            <w:tcW w:w="2486" w:type="pct"/>
            <w:tcBorders>
              <w:top w:val="nil"/>
              <w:left w:val="nil"/>
              <w:bottom w:val="single" w:sz="4" w:space="0" w:color="auto"/>
              <w:right w:val="nil"/>
            </w:tcBorders>
            <w:noWrap/>
            <w:textDirection w:val="lrTb"/>
            <w:vAlign w:val="center"/>
            <w:hideMark/>
          </w:tcPr>
          <w:p w:rsidR="00AC70A4" w:rsidRPr="00883440" w:rsidP="00A97D6F">
            <w:pPr>
              <w:bidi w:val="0"/>
              <w:spacing w:after="0" w:line="240" w:lineRule="auto"/>
              <w:ind w:firstLine="200" w:firstLineChars="100"/>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Kapitálové transfery</w:t>
            </w: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985 263</w:t>
            </w: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962 007</w:t>
            </w: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jc w:val="right"/>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2 074 322</w:t>
            </w:r>
          </w:p>
        </w:tc>
        <w:tc>
          <w:tcPr>
            <w:tcW w:w="758" w:type="pct"/>
            <w:tcBorders>
              <w:top w:val="nil"/>
              <w:left w:val="nil"/>
              <w:bottom w:val="nil"/>
              <w:right w:val="nil"/>
            </w:tcBorders>
            <w:noWrap/>
            <w:textDirection w:val="lrTb"/>
            <w:vAlign w:val="bottom"/>
            <w:hideMark/>
          </w:tcPr>
          <w:p w:rsidR="00AC70A4" w:rsidRPr="00883440" w:rsidP="00A97D6F">
            <w:pPr>
              <w:bidi w:val="0"/>
              <w:spacing w:after="0" w:line="240" w:lineRule="auto"/>
              <w:jc w:val="center"/>
              <w:rPr>
                <w:rFonts w:ascii="Times New Roman" w:hAnsi="Times New Roman" w:cs="Times New Roman"/>
                <w:color w:val="000000"/>
                <w:sz w:val="20"/>
                <w:szCs w:val="20"/>
                <w:lang w:eastAsia="sk-SK"/>
              </w:rPr>
            </w:pPr>
            <w:r w:rsidRPr="00883440">
              <w:rPr>
                <w:rFonts w:ascii="Times New Roman" w:hAnsi="Times New Roman" w:cs="Times New Roman"/>
                <w:color w:val="000000"/>
                <w:sz w:val="20"/>
                <w:szCs w:val="20"/>
                <w:lang w:eastAsia="sk-SK"/>
              </w:rPr>
              <w:t>115,6</w:t>
            </w:r>
          </w:p>
        </w:tc>
      </w:tr>
      <w:tr>
        <w:tblPrEx>
          <w:tblW w:w="5000" w:type="pct"/>
          <w:tblCellMar>
            <w:left w:w="70" w:type="dxa"/>
            <w:right w:w="70" w:type="dxa"/>
          </w:tblCellMar>
          <w:tblLook w:val="04A0"/>
        </w:tblPrEx>
        <w:trPr>
          <w:trHeight w:val="255"/>
        </w:trPr>
        <w:tc>
          <w:tcPr>
            <w:tcW w:w="2486" w:type="pct"/>
            <w:tcBorders>
              <w:top w:val="single" w:sz="4" w:space="0" w:color="auto"/>
              <w:left w:val="nil"/>
              <w:bottom w:val="nil"/>
              <w:right w:val="nil"/>
            </w:tcBorders>
            <w:shd w:val="clear" w:color="000000" w:fill="BFBFBF"/>
            <w:textDirection w:val="lrTb"/>
            <w:vAlign w:val="center"/>
            <w:hideMark/>
          </w:tcPr>
          <w:p w:rsidR="00AC70A4" w:rsidRPr="00883440" w:rsidP="00A97D6F">
            <w:pPr>
              <w:bidi w:val="0"/>
              <w:spacing w:after="0" w:line="240" w:lineRule="auto"/>
              <w:jc w:val="both"/>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Príjmy spolu</w:t>
            </w:r>
          </w:p>
        </w:tc>
        <w:tc>
          <w:tcPr>
            <w:tcW w:w="565" w:type="pct"/>
            <w:tcBorders>
              <w:top w:val="single" w:sz="4" w:space="0" w:color="auto"/>
              <w:left w:val="nil"/>
              <w:bottom w:val="nil"/>
              <w:right w:val="nil"/>
            </w:tcBorders>
            <w:shd w:val="clear" w:color="000000" w:fill="BFBFBF"/>
            <w:noWrap/>
            <w:textDirection w:val="lrTb"/>
            <w:vAlign w:val="bottom"/>
            <w:hideMark/>
          </w:tcPr>
          <w:p w:rsidR="00AC70A4" w:rsidRPr="00883440" w:rsidP="00A97D6F">
            <w:pPr>
              <w:bidi w:val="0"/>
              <w:spacing w:after="0" w:line="240" w:lineRule="auto"/>
              <w:jc w:val="right"/>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28 719 139</w:t>
            </w:r>
          </w:p>
        </w:tc>
        <w:tc>
          <w:tcPr>
            <w:tcW w:w="595" w:type="pct"/>
            <w:tcBorders>
              <w:top w:val="single" w:sz="4" w:space="0" w:color="auto"/>
              <w:left w:val="nil"/>
              <w:bottom w:val="nil"/>
              <w:right w:val="nil"/>
            </w:tcBorders>
            <w:shd w:val="clear" w:color="000000" w:fill="BFBFBF"/>
            <w:noWrap/>
            <w:textDirection w:val="lrTb"/>
            <w:vAlign w:val="bottom"/>
            <w:hideMark/>
          </w:tcPr>
          <w:p w:rsidR="00AC70A4" w:rsidRPr="00883440" w:rsidP="00A97D6F">
            <w:pPr>
              <w:bidi w:val="0"/>
              <w:spacing w:after="0" w:line="240" w:lineRule="auto"/>
              <w:jc w:val="right"/>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29 854 500</w:t>
            </w:r>
          </w:p>
        </w:tc>
        <w:tc>
          <w:tcPr>
            <w:tcW w:w="596" w:type="pct"/>
            <w:tcBorders>
              <w:top w:val="single" w:sz="4" w:space="0" w:color="auto"/>
              <w:left w:val="nil"/>
              <w:bottom w:val="nil"/>
              <w:right w:val="nil"/>
            </w:tcBorders>
            <w:shd w:val="clear" w:color="000000" w:fill="BFBFBF"/>
            <w:noWrap/>
            <w:textDirection w:val="lrTb"/>
            <w:vAlign w:val="bottom"/>
            <w:hideMark/>
          </w:tcPr>
          <w:p w:rsidR="00AC70A4" w:rsidRPr="00883440" w:rsidP="00A97D6F">
            <w:pPr>
              <w:bidi w:val="0"/>
              <w:spacing w:after="0" w:line="240" w:lineRule="auto"/>
              <w:jc w:val="right"/>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33 720 112</w:t>
            </w:r>
          </w:p>
        </w:tc>
        <w:tc>
          <w:tcPr>
            <w:tcW w:w="758" w:type="pct"/>
            <w:tcBorders>
              <w:top w:val="single" w:sz="4" w:space="0" w:color="auto"/>
              <w:left w:val="nil"/>
              <w:bottom w:val="nil"/>
              <w:right w:val="nil"/>
            </w:tcBorders>
            <w:shd w:val="clear" w:color="000000" w:fill="BFBFBF"/>
            <w:noWrap/>
            <w:textDirection w:val="lrTb"/>
            <w:vAlign w:val="bottom"/>
            <w:hideMark/>
          </w:tcPr>
          <w:p w:rsidR="00AC70A4" w:rsidRPr="00883440" w:rsidP="00A97D6F">
            <w:pPr>
              <w:bidi w:val="0"/>
              <w:spacing w:after="0" w:line="240" w:lineRule="auto"/>
              <w:jc w:val="center"/>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12,9</w:t>
            </w:r>
          </w:p>
        </w:tc>
      </w:tr>
      <w:tr>
        <w:tblPrEx>
          <w:tblW w:w="5000" w:type="pct"/>
          <w:tblCellMar>
            <w:left w:w="70" w:type="dxa"/>
            <w:right w:w="70" w:type="dxa"/>
          </w:tblCellMar>
          <w:tblLook w:val="04A0"/>
        </w:tblPrEx>
        <w:trPr>
          <w:trHeight w:val="255"/>
        </w:trPr>
        <w:tc>
          <w:tcPr>
            <w:tcW w:w="2486" w:type="pct"/>
            <w:tcBorders>
              <w:top w:val="nil"/>
              <w:left w:val="nil"/>
              <w:bottom w:val="single" w:sz="4" w:space="0" w:color="auto"/>
              <w:right w:val="nil"/>
            </w:tcBorders>
            <w:shd w:val="clear" w:color="000000" w:fill="BFBFBF"/>
            <w:noWrap/>
            <w:textDirection w:val="lrTb"/>
            <w:vAlign w:val="center"/>
            <w:hideMark/>
          </w:tcPr>
          <w:p w:rsidR="00AC70A4" w:rsidRPr="00883440" w:rsidP="00A97D6F">
            <w:pPr>
              <w:bidi w:val="0"/>
              <w:spacing w:after="0" w:line="240" w:lineRule="auto"/>
              <w:rPr>
                <w:rFonts w:ascii="Times New Roman" w:hAnsi="Times New Roman" w:cs="Times New Roman"/>
                <w:b/>
                <w:bCs/>
                <w:sz w:val="20"/>
                <w:szCs w:val="20"/>
                <w:lang w:eastAsia="sk-SK"/>
              </w:rPr>
            </w:pPr>
            <w:r w:rsidRPr="00883440">
              <w:rPr>
                <w:rFonts w:ascii="Times New Roman" w:hAnsi="Times New Roman" w:cs="Times New Roman"/>
                <w:b/>
                <w:bCs/>
                <w:sz w:val="20"/>
                <w:szCs w:val="20"/>
                <w:lang w:eastAsia="sk-SK"/>
              </w:rPr>
              <w:t xml:space="preserve">     % z HDP</w:t>
            </w:r>
          </w:p>
        </w:tc>
        <w:tc>
          <w:tcPr>
            <w:tcW w:w="565" w:type="pct"/>
            <w:tcBorders>
              <w:top w:val="nil"/>
              <w:left w:val="nil"/>
              <w:bottom w:val="single" w:sz="4" w:space="0" w:color="auto"/>
              <w:right w:val="nil"/>
            </w:tcBorders>
            <w:shd w:val="clear" w:color="000000" w:fill="BFBFBF"/>
            <w:noWrap/>
            <w:textDirection w:val="lrTb"/>
            <w:vAlign w:val="bottom"/>
            <w:hideMark/>
          </w:tcPr>
          <w:p w:rsidR="00AC70A4" w:rsidRPr="00883440" w:rsidP="00A97D6F">
            <w:pPr>
              <w:bidi w:val="0"/>
              <w:spacing w:after="0" w:line="240" w:lineRule="auto"/>
              <w:jc w:val="right"/>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38,7</w:t>
            </w:r>
          </w:p>
        </w:tc>
        <w:tc>
          <w:tcPr>
            <w:tcW w:w="595" w:type="pct"/>
            <w:tcBorders>
              <w:top w:val="nil"/>
              <w:left w:val="nil"/>
              <w:bottom w:val="single" w:sz="4" w:space="0" w:color="auto"/>
              <w:right w:val="nil"/>
            </w:tcBorders>
            <w:shd w:val="clear" w:color="000000" w:fill="BFBFBF"/>
            <w:noWrap/>
            <w:textDirection w:val="lrTb"/>
            <w:vAlign w:val="bottom"/>
            <w:hideMark/>
          </w:tcPr>
          <w:p w:rsidR="00AC70A4" w:rsidRPr="00883440" w:rsidP="00A97D6F">
            <w:pPr>
              <w:bidi w:val="0"/>
              <w:spacing w:after="0" w:line="240" w:lineRule="auto"/>
              <w:jc w:val="right"/>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39,3</w:t>
            </w:r>
          </w:p>
        </w:tc>
        <w:tc>
          <w:tcPr>
            <w:tcW w:w="596" w:type="pct"/>
            <w:tcBorders>
              <w:top w:val="nil"/>
              <w:left w:val="nil"/>
              <w:bottom w:val="single" w:sz="4" w:space="0" w:color="auto"/>
              <w:right w:val="nil"/>
            </w:tcBorders>
            <w:shd w:val="clear" w:color="000000" w:fill="BFBFBF"/>
            <w:noWrap/>
            <w:textDirection w:val="lrTb"/>
            <w:vAlign w:val="bottom"/>
            <w:hideMark/>
          </w:tcPr>
          <w:p w:rsidR="00AC70A4" w:rsidRPr="00883440" w:rsidP="00A97D6F">
            <w:pPr>
              <w:bidi w:val="0"/>
              <w:spacing w:after="0" w:line="240" w:lineRule="auto"/>
              <w:jc w:val="right"/>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42,9</w:t>
            </w:r>
          </w:p>
        </w:tc>
        <w:tc>
          <w:tcPr>
            <w:tcW w:w="758" w:type="pct"/>
            <w:tcBorders>
              <w:top w:val="nil"/>
              <w:left w:val="nil"/>
              <w:bottom w:val="single" w:sz="4" w:space="0" w:color="auto"/>
              <w:right w:val="nil"/>
            </w:tcBorders>
            <w:shd w:val="clear" w:color="000000" w:fill="BFBFBF"/>
            <w:noWrap/>
            <w:textDirection w:val="lrTb"/>
            <w:vAlign w:val="bottom"/>
            <w:hideMark/>
          </w:tcPr>
          <w:p w:rsidR="00AC70A4" w:rsidRPr="00883440" w:rsidP="00A97D6F">
            <w:pPr>
              <w:bidi w:val="0"/>
              <w:spacing w:after="0" w:line="240" w:lineRule="auto"/>
              <w:jc w:val="center"/>
              <w:rPr>
                <w:rFonts w:ascii="Times New Roman" w:hAnsi="Times New Roman" w:cs="Times New Roman"/>
                <w:b/>
                <w:bCs/>
                <w:color w:val="000000"/>
                <w:sz w:val="20"/>
                <w:szCs w:val="20"/>
                <w:lang w:eastAsia="sk-SK"/>
              </w:rPr>
            </w:pPr>
            <w:r w:rsidRPr="00883440">
              <w:rPr>
                <w:rFonts w:ascii="Times New Roman" w:hAnsi="Times New Roman" w:cs="Times New Roman"/>
                <w:b/>
                <w:bCs/>
                <w:color w:val="000000"/>
                <w:sz w:val="20"/>
                <w:szCs w:val="20"/>
                <w:lang w:eastAsia="sk-SK"/>
              </w:rPr>
              <w:t>3,5</w:t>
            </w:r>
          </w:p>
        </w:tc>
      </w:tr>
      <w:tr>
        <w:tblPrEx>
          <w:tblW w:w="5000" w:type="pct"/>
          <w:tblCellMar>
            <w:left w:w="70" w:type="dxa"/>
            <w:right w:w="70" w:type="dxa"/>
          </w:tblCellMar>
          <w:tblLook w:val="04A0"/>
        </w:tblPrEx>
        <w:trPr>
          <w:trHeight w:val="255"/>
        </w:trPr>
        <w:tc>
          <w:tcPr>
            <w:tcW w:w="2486" w:type="pct"/>
            <w:tcBorders>
              <w:top w:val="nil"/>
              <w:left w:val="nil"/>
              <w:bottom w:val="nil"/>
              <w:right w:val="nil"/>
            </w:tcBorders>
            <w:noWrap/>
            <w:textDirection w:val="lrTb"/>
            <w:vAlign w:val="center"/>
            <w:hideMark/>
          </w:tcPr>
          <w:p w:rsidR="00AC70A4" w:rsidRPr="00883440" w:rsidP="00A97D6F">
            <w:pPr>
              <w:bidi w:val="0"/>
              <w:spacing w:after="0" w:line="240" w:lineRule="auto"/>
              <w:jc w:val="center"/>
              <w:rPr>
                <w:rFonts w:ascii="Times New Roman" w:hAnsi="Times New Roman" w:cs="Times New Roman"/>
                <w:b/>
                <w:bCs/>
                <w:color w:val="000000"/>
                <w:sz w:val="20"/>
                <w:szCs w:val="20"/>
                <w:lang w:eastAsia="sk-SK"/>
              </w:rPr>
            </w:pPr>
          </w:p>
        </w:tc>
        <w:tc>
          <w:tcPr>
            <w:tcW w:w="565" w:type="pct"/>
            <w:tcBorders>
              <w:top w:val="nil"/>
              <w:left w:val="nil"/>
              <w:bottom w:val="nil"/>
              <w:right w:val="nil"/>
            </w:tcBorders>
            <w:noWrap/>
            <w:textDirection w:val="lrTb"/>
            <w:vAlign w:val="bottom"/>
            <w:hideMark/>
          </w:tcPr>
          <w:p w:rsidR="00AC70A4" w:rsidRPr="00883440" w:rsidP="00A97D6F">
            <w:pPr>
              <w:bidi w:val="0"/>
              <w:spacing w:after="0" w:line="240" w:lineRule="auto"/>
              <w:rPr>
                <w:rFonts w:ascii="Times New Roman" w:hAnsi="Times New Roman" w:cs="Times New Roman"/>
                <w:sz w:val="20"/>
                <w:szCs w:val="20"/>
                <w:lang w:eastAsia="sk-SK"/>
              </w:rPr>
            </w:pPr>
          </w:p>
        </w:tc>
        <w:tc>
          <w:tcPr>
            <w:tcW w:w="595" w:type="pct"/>
            <w:tcBorders>
              <w:top w:val="nil"/>
              <w:left w:val="nil"/>
              <w:bottom w:val="nil"/>
              <w:right w:val="nil"/>
            </w:tcBorders>
            <w:noWrap/>
            <w:textDirection w:val="lrTb"/>
            <w:vAlign w:val="bottom"/>
            <w:hideMark/>
          </w:tcPr>
          <w:p w:rsidR="00AC70A4" w:rsidRPr="00883440" w:rsidP="00A97D6F">
            <w:pPr>
              <w:bidi w:val="0"/>
              <w:spacing w:after="0" w:line="240" w:lineRule="auto"/>
              <w:rPr>
                <w:rFonts w:ascii="Times New Roman" w:hAnsi="Times New Roman" w:cs="Times New Roman"/>
                <w:sz w:val="20"/>
                <w:szCs w:val="20"/>
                <w:lang w:eastAsia="sk-SK"/>
              </w:rPr>
            </w:pPr>
          </w:p>
        </w:tc>
        <w:tc>
          <w:tcPr>
            <w:tcW w:w="596" w:type="pct"/>
            <w:tcBorders>
              <w:top w:val="nil"/>
              <w:left w:val="nil"/>
              <w:bottom w:val="nil"/>
              <w:right w:val="nil"/>
            </w:tcBorders>
            <w:noWrap/>
            <w:textDirection w:val="lrTb"/>
            <w:vAlign w:val="bottom"/>
            <w:hideMark/>
          </w:tcPr>
          <w:p w:rsidR="00AC70A4" w:rsidRPr="00883440" w:rsidP="00A97D6F">
            <w:pPr>
              <w:bidi w:val="0"/>
              <w:spacing w:after="0" w:line="240" w:lineRule="auto"/>
              <w:rPr>
                <w:rFonts w:ascii="Times New Roman" w:hAnsi="Times New Roman" w:cs="Times New Roman"/>
                <w:sz w:val="20"/>
                <w:szCs w:val="20"/>
                <w:lang w:eastAsia="sk-SK"/>
              </w:rPr>
            </w:pPr>
          </w:p>
        </w:tc>
        <w:tc>
          <w:tcPr>
            <w:tcW w:w="758" w:type="pct"/>
            <w:tcBorders>
              <w:top w:val="nil"/>
              <w:left w:val="nil"/>
              <w:bottom w:val="nil"/>
              <w:right w:val="nil"/>
            </w:tcBorders>
            <w:noWrap/>
            <w:textDirection w:val="lrTb"/>
            <w:vAlign w:val="top"/>
            <w:hideMark/>
          </w:tcPr>
          <w:p w:rsidR="00AC70A4" w:rsidRPr="005F3D32" w:rsidP="00A97D6F">
            <w:pPr>
              <w:bidi w:val="0"/>
              <w:spacing w:after="0" w:line="240" w:lineRule="auto"/>
              <w:jc w:val="right"/>
              <w:rPr>
                <w:rFonts w:ascii="Times New Roman" w:hAnsi="Times New Roman" w:cs="Times New Roman"/>
                <w:i/>
                <w:sz w:val="16"/>
                <w:szCs w:val="16"/>
                <w:lang w:eastAsia="sk-SK"/>
              </w:rPr>
            </w:pPr>
            <w:r w:rsidRPr="005F3D32">
              <w:rPr>
                <w:rFonts w:ascii="Times New Roman" w:hAnsi="Times New Roman" w:cs="Times New Roman"/>
                <w:i/>
                <w:sz w:val="16"/>
                <w:szCs w:val="16"/>
                <w:lang w:eastAsia="sk-SK"/>
              </w:rPr>
              <w:t>Zdroj: MF SR</w:t>
            </w:r>
          </w:p>
        </w:tc>
      </w:tr>
    </w:tbl>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hint="default"/>
        </w:rPr>
        <w:t>Daň</w:t>
      </w:r>
      <w:r w:rsidRPr="00AC70A4">
        <w:rPr>
          <w:rFonts w:ascii="Times New Roman" w:eastAsia="Calibri" w:hAnsi="Times New Roman" w:cs="Times New Roman" w:hint="default"/>
        </w:rPr>
        <w:t xml:space="preserve"> z pridanej hodnoty v roku 2015 vzrá</w:t>
      </w:r>
      <w:r w:rsidRPr="00AC70A4">
        <w:rPr>
          <w:rFonts w:ascii="Times New Roman" w:eastAsia="Calibri" w:hAnsi="Times New Roman" w:cs="Times New Roman" w:hint="default"/>
        </w:rPr>
        <w:t>stla o 399 042 tis. eur (7,9 %), prič</w:t>
      </w:r>
      <w:r w:rsidRPr="00AC70A4">
        <w:rPr>
          <w:rFonts w:ascii="Times New Roman" w:eastAsia="Calibri" w:hAnsi="Times New Roman" w:cs="Times New Roman" w:hint="default"/>
        </w:rPr>
        <w:t xml:space="preserve">om </w:t>
      </w:r>
      <w:r w:rsidR="0044282A">
        <w:rPr>
          <w:rFonts w:ascii="Times New Roman" w:eastAsia="Calibri" w:hAnsi="Times New Roman" w:cs="Times New Roman"/>
        </w:rPr>
        <w:t>r</w:t>
      </w:r>
      <w:r w:rsidRPr="00AC70A4" w:rsidR="0044282A">
        <w:rPr>
          <w:rFonts w:ascii="Times New Roman" w:eastAsia="Calibri" w:hAnsi="Times New Roman" w:cs="Times New Roman" w:hint="default"/>
        </w:rPr>
        <w:t>ast efektí</w:t>
      </w:r>
      <w:r w:rsidRPr="00AC70A4" w:rsidR="0044282A">
        <w:rPr>
          <w:rFonts w:ascii="Times New Roman" w:eastAsia="Calibri" w:hAnsi="Times New Roman" w:cs="Times New Roman" w:hint="default"/>
        </w:rPr>
        <w:t>vnej daň</w:t>
      </w:r>
      <w:r w:rsidRPr="00AC70A4" w:rsidR="0044282A">
        <w:rPr>
          <w:rFonts w:ascii="Times New Roman" w:eastAsia="Calibri" w:hAnsi="Times New Roman" w:cs="Times New Roman" w:hint="default"/>
        </w:rPr>
        <w:t>ovej sadzby sa podieľ</w:t>
      </w:r>
      <w:r w:rsidRPr="00AC70A4" w:rsidR="0044282A">
        <w:rPr>
          <w:rFonts w:ascii="Times New Roman" w:eastAsia="Calibri" w:hAnsi="Times New Roman" w:cs="Times New Roman" w:hint="default"/>
        </w:rPr>
        <w:t>al na vyšš</w:t>
      </w:r>
      <w:r w:rsidRPr="00AC70A4" w:rsidR="0044282A">
        <w:rPr>
          <w:rFonts w:ascii="Times New Roman" w:eastAsia="Calibri" w:hAnsi="Times New Roman" w:cs="Times New Roman" w:hint="default"/>
        </w:rPr>
        <w:t>om vý</w:t>
      </w:r>
      <w:r w:rsidRPr="00AC70A4" w:rsidR="0044282A">
        <w:rPr>
          <w:rFonts w:ascii="Times New Roman" w:eastAsia="Calibri" w:hAnsi="Times New Roman" w:cs="Times New Roman" w:hint="default"/>
        </w:rPr>
        <w:t>nose takmer na ú</w:t>
      </w:r>
      <w:r w:rsidRPr="00AC70A4" w:rsidR="0044282A">
        <w:rPr>
          <w:rFonts w:ascii="Times New Roman" w:eastAsia="Calibri" w:hAnsi="Times New Roman" w:cs="Times New Roman" w:hint="default"/>
        </w:rPr>
        <w:t xml:space="preserve">rovni jednej tretiny. </w:t>
      </w:r>
      <w:r w:rsidRPr="00AC70A4">
        <w:rPr>
          <w:rFonts w:ascii="Times New Roman" w:eastAsia="Calibri" w:hAnsi="Times New Roman" w:cs="Times New Roman" w:hint="default"/>
        </w:rPr>
        <w:t>Silný</w:t>
      </w:r>
      <w:r w:rsidRPr="00AC70A4">
        <w:rPr>
          <w:rFonts w:ascii="Times New Roman" w:eastAsia="Calibri" w:hAnsi="Times New Roman" w:cs="Times New Roman" w:hint="default"/>
        </w:rPr>
        <w:t xml:space="preserve"> ekonomický</w:t>
      </w:r>
      <w:r w:rsidRPr="00AC70A4">
        <w:rPr>
          <w:rFonts w:ascii="Times New Roman" w:eastAsia="Calibri" w:hAnsi="Times New Roman" w:cs="Times New Roman" w:hint="default"/>
        </w:rPr>
        <w:t xml:space="preserve"> rast sa premietol do daň</w:t>
      </w:r>
      <w:r w:rsidRPr="00AC70A4">
        <w:rPr>
          <w:rFonts w:ascii="Times New Roman" w:eastAsia="Calibri" w:hAnsi="Times New Roman" w:cs="Times New Roman" w:hint="default"/>
        </w:rPr>
        <w:t>ovej zá</w:t>
      </w:r>
      <w:r w:rsidRPr="00AC70A4">
        <w:rPr>
          <w:rFonts w:ascii="Times New Roman" w:eastAsia="Calibri" w:hAnsi="Times New Roman" w:cs="Times New Roman" w:hint="default"/>
        </w:rPr>
        <w:t>kladne vď</w:t>
      </w:r>
      <w:r w:rsidRPr="00AC70A4">
        <w:rPr>
          <w:rFonts w:ascii="Times New Roman" w:eastAsia="Calibri" w:hAnsi="Times New Roman" w:cs="Times New Roman" w:hint="default"/>
        </w:rPr>
        <w:t>aka rastu koneč</w:t>
      </w:r>
      <w:r w:rsidRPr="00AC70A4">
        <w:rPr>
          <w:rFonts w:ascii="Times New Roman" w:eastAsia="Calibri" w:hAnsi="Times New Roman" w:cs="Times New Roman" w:hint="default"/>
        </w:rPr>
        <w:t>nej spotreby domá</w:t>
      </w:r>
      <w:r w:rsidRPr="00AC70A4">
        <w:rPr>
          <w:rFonts w:ascii="Times New Roman" w:eastAsia="Calibri" w:hAnsi="Times New Roman" w:cs="Times New Roman" w:hint="default"/>
        </w:rPr>
        <w:t>cností</w:t>
      </w:r>
      <w:r w:rsidRPr="00AC70A4">
        <w:rPr>
          <w:rFonts w:ascii="Times New Roman" w:eastAsia="Calibri" w:hAnsi="Times New Roman" w:cs="Times New Roman" w:hint="default"/>
        </w:rPr>
        <w:t xml:space="preserve"> a vý</w:t>
      </w:r>
      <w:r w:rsidRPr="00AC70A4">
        <w:rPr>
          <w:rFonts w:ascii="Times New Roman" w:eastAsia="Calibri" w:hAnsi="Times New Roman" w:cs="Times New Roman" w:hint="default"/>
        </w:rPr>
        <w:t>razné</w:t>
      </w:r>
      <w:r w:rsidRPr="00AC70A4">
        <w:rPr>
          <w:rFonts w:ascii="Times New Roman" w:eastAsia="Calibri" w:hAnsi="Times New Roman" w:cs="Times New Roman" w:hint="default"/>
        </w:rPr>
        <w:t>mu ná</w:t>
      </w:r>
      <w:r w:rsidRPr="00AC70A4">
        <w:rPr>
          <w:rFonts w:ascii="Times New Roman" w:eastAsia="Calibri" w:hAnsi="Times New Roman" w:cs="Times New Roman" w:hint="default"/>
        </w:rPr>
        <w:t>rastu vlá</w:t>
      </w:r>
      <w:r w:rsidRPr="00AC70A4">
        <w:rPr>
          <w:rFonts w:ascii="Times New Roman" w:eastAsia="Calibri" w:hAnsi="Times New Roman" w:cs="Times New Roman" w:hint="default"/>
        </w:rPr>
        <w:t>dnych investí</w:t>
      </w:r>
      <w:r w:rsidRPr="00AC70A4">
        <w:rPr>
          <w:rFonts w:ascii="Times New Roman" w:eastAsia="Calibri" w:hAnsi="Times New Roman" w:cs="Times New Roman" w:hint="default"/>
        </w:rPr>
        <w:t>cií</w:t>
      </w:r>
      <w:r w:rsidRPr="00AC70A4">
        <w:rPr>
          <w:rFonts w:ascii="Times New Roman" w:eastAsia="Calibri" w:hAnsi="Times New Roman" w:cs="Times New Roman" w:hint="default"/>
        </w:rPr>
        <w:t>, ktorý</w:t>
      </w:r>
      <w:r w:rsidRPr="00AC70A4">
        <w:rPr>
          <w:rFonts w:ascii="Times New Roman" w:eastAsia="Calibri" w:hAnsi="Times New Roman" w:cs="Times New Roman" w:hint="default"/>
        </w:rPr>
        <w:t xml:space="preserve"> vychá</w:t>
      </w:r>
      <w:r w:rsidRPr="00AC70A4">
        <w:rPr>
          <w:rFonts w:ascii="Times New Roman" w:eastAsia="Calibri" w:hAnsi="Times New Roman" w:cs="Times New Roman" w:hint="default"/>
        </w:rPr>
        <w:t>dzal z č</w:t>
      </w:r>
      <w:r w:rsidRPr="00AC70A4">
        <w:rPr>
          <w:rFonts w:ascii="Times New Roman" w:eastAsia="Calibri" w:hAnsi="Times New Roman" w:cs="Times New Roman" w:hint="default"/>
        </w:rPr>
        <w:t xml:space="preserve">erpania eurofondov. </w:t>
      </w:r>
      <w:r w:rsidR="0044282A">
        <w:rPr>
          <w:rFonts w:ascii="Times New Roman" w:eastAsia="Calibri" w:hAnsi="Times New Roman" w:cs="Times New Roman" w:hint="default"/>
        </w:rPr>
        <w:t>Vplyvu makroekonomické</w:t>
      </w:r>
      <w:r w:rsidR="0044282A">
        <w:rPr>
          <w:rFonts w:ascii="Times New Roman" w:eastAsia="Calibri" w:hAnsi="Times New Roman" w:cs="Times New Roman" w:hint="default"/>
        </w:rPr>
        <w:t>ho prostredia mož</w:t>
      </w:r>
      <w:r w:rsidR="0044282A">
        <w:rPr>
          <w:rFonts w:ascii="Times New Roman" w:eastAsia="Calibri" w:hAnsi="Times New Roman" w:cs="Times New Roman" w:hint="default"/>
        </w:rPr>
        <w:t>no pripí</w:t>
      </w:r>
      <w:r w:rsidR="0044282A">
        <w:rPr>
          <w:rFonts w:ascii="Times New Roman" w:eastAsia="Calibri" w:hAnsi="Times New Roman" w:cs="Times New Roman" w:hint="default"/>
        </w:rPr>
        <w:t>sať</w:t>
      </w:r>
      <w:r w:rsidR="0044282A">
        <w:rPr>
          <w:rFonts w:ascii="Times New Roman" w:eastAsia="Calibri" w:hAnsi="Times New Roman" w:cs="Times New Roman" w:hint="default"/>
        </w:rPr>
        <w:t xml:space="preserve"> až</w:t>
      </w:r>
      <w:r w:rsidR="0044282A">
        <w:rPr>
          <w:rFonts w:ascii="Times New Roman" w:eastAsia="Calibri" w:hAnsi="Times New Roman" w:cs="Times New Roman" w:hint="default"/>
        </w:rPr>
        <w:t xml:space="preserve"> 60 % ná</w:t>
      </w:r>
      <w:r w:rsidR="0044282A">
        <w:rPr>
          <w:rFonts w:ascii="Times New Roman" w:eastAsia="Calibri" w:hAnsi="Times New Roman" w:cs="Times New Roman" w:hint="default"/>
        </w:rPr>
        <w:t>rastu dane z pridan</w:t>
      </w:r>
      <w:r w:rsidR="0044282A">
        <w:rPr>
          <w:rFonts w:ascii="Times New Roman" w:eastAsia="Calibri" w:hAnsi="Times New Roman" w:cs="Times New Roman" w:hint="default"/>
        </w:rPr>
        <w:t xml:space="preserve">ej hodnoty. </w:t>
      </w:r>
      <w:r w:rsidRPr="00AC70A4">
        <w:rPr>
          <w:rFonts w:ascii="Times New Roman" w:eastAsia="Calibri" w:hAnsi="Times New Roman" w:cs="Times New Roman" w:hint="default"/>
        </w:rPr>
        <w:t>Zvyš</w:t>
      </w:r>
      <w:r w:rsidRPr="00AC70A4">
        <w:rPr>
          <w:rFonts w:ascii="Times New Roman" w:eastAsia="Calibri" w:hAnsi="Times New Roman" w:cs="Times New Roman" w:hint="default"/>
        </w:rPr>
        <w:t>ok mož</w:t>
      </w:r>
      <w:r w:rsidRPr="00AC70A4">
        <w:rPr>
          <w:rFonts w:ascii="Times New Roman" w:eastAsia="Calibri" w:hAnsi="Times New Roman" w:cs="Times New Roman" w:hint="default"/>
        </w:rPr>
        <w:t>no prisú</w:t>
      </w:r>
      <w:r w:rsidRPr="00AC70A4">
        <w:rPr>
          <w:rFonts w:ascii="Times New Roman" w:eastAsia="Calibri" w:hAnsi="Times New Roman" w:cs="Times New Roman" w:hint="default"/>
        </w:rPr>
        <w:t>diť</w:t>
      </w:r>
      <w:r w:rsidRPr="00AC70A4">
        <w:rPr>
          <w:rFonts w:ascii="Times New Roman" w:eastAsia="Calibri" w:hAnsi="Times New Roman" w:cs="Times New Roman" w:hint="default"/>
        </w:rPr>
        <w:t xml:space="preserve"> legislatí</w:t>
      </w:r>
      <w:r w:rsidRPr="00AC70A4">
        <w:rPr>
          <w:rFonts w:ascii="Times New Roman" w:eastAsia="Calibri" w:hAnsi="Times New Roman" w:cs="Times New Roman" w:hint="default"/>
        </w:rPr>
        <w:t>vnym opatreniam, konkré</w:t>
      </w:r>
      <w:r w:rsidRPr="00AC70A4">
        <w:rPr>
          <w:rFonts w:ascii="Times New Roman" w:eastAsia="Calibri" w:hAnsi="Times New Roman" w:cs="Times New Roman" w:hint="default"/>
        </w:rPr>
        <w:t>tne rozší</w:t>
      </w:r>
      <w:r w:rsidRPr="00AC70A4">
        <w:rPr>
          <w:rFonts w:ascii="Times New Roman" w:eastAsia="Calibri" w:hAnsi="Times New Roman" w:cs="Times New Roman" w:hint="default"/>
        </w:rPr>
        <w:t>reniu povinnosti použí</w:t>
      </w:r>
      <w:r w:rsidRPr="00AC70A4">
        <w:rPr>
          <w:rFonts w:ascii="Times New Roman" w:eastAsia="Calibri" w:hAnsi="Times New Roman" w:cs="Times New Roman" w:hint="default"/>
        </w:rPr>
        <w:t>vať</w:t>
      </w:r>
      <w:r w:rsidRPr="00AC70A4">
        <w:rPr>
          <w:rFonts w:ascii="Times New Roman" w:eastAsia="Calibri" w:hAnsi="Times New Roman" w:cs="Times New Roman" w:hint="default"/>
        </w:rPr>
        <w:t xml:space="preserve"> registrač</w:t>
      </w:r>
      <w:r w:rsidRPr="00AC70A4">
        <w:rPr>
          <w:rFonts w:ascii="Times New Roman" w:eastAsia="Calibri" w:hAnsi="Times New Roman" w:cs="Times New Roman" w:hint="default"/>
        </w:rPr>
        <w:t>né</w:t>
      </w:r>
      <w:r w:rsidRPr="00AC70A4">
        <w:rPr>
          <w:rFonts w:ascii="Times New Roman" w:eastAsia="Calibri" w:hAnsi="Times New Roman" w:cs="Times New Roman" w:hint="default"/>
        </w:rPr>
        <w:t xml:space="preserve"> pokladne na ď</w:t>
      </w:r>
      <w:r w:rsidRPr="00AC70A4">
        <w:rPr>
          <w:rFonts w:ascii="Times New Roman" w:eastAsia="Calibri" w:hAnsi="Times New Roman" w:cs="Times New Roman" w:hint="default"/>
        </w:rPr>
        <w:t>alš</w:t>
      </w:r>
      <w:r w:rsidRPr="00AC70A4">
        <w:rPr>
          <w:rFonts w:ascii="Times New Roman" w:eastAsia="Calibri" w:hAnsi="Times New Roman" w:cs="Times New Roman" w:hint="default"/>
        </w:rPr>
        <w:t>ie odvetvia.</w:t>
      </w:r>
    </w:p>
    <w:p w:rsidR="00033696" w:rsidP="00AC70A4">
      <w:pPr>
        <w:bidi w:val="0"/>
        <w:spacing w:after="120" w:line="336" w:lineRule="auto"/>
        <w:jc w:val="both"/>
        <w:rPr>
          <w:rFonts w:ascii="Times New Roman" w:eastAsia="Calibri" w:hAnsi="Times New Roman" w:cs="Times New Roman"/>
        </w:rPr>
      </w:pPr>
      <w:r w:rsidRPr="00AC70A4">
        <w:rPr>
          <w:rFonts w:ascii="Times New Roman" w:eastAsia="Calibri" w:hAnsi="Times New Roman" w:cs="Times New Roman" w:hint="default"/>
        </w:rPr>
        <w:t>Spomedzi hlavný</w:t>
      </w:r>
      <w:r w:rsidRPr="00AC70A4">
        <w:rPr>
          <w:rFonts w:ascii="Times New Roman" w:eastAsia="Calibri" w:hAnsi="Times New Roman" w:cs="Times New Roman" w:hint="default"/>
        </w:rPr>
        <w:t>ch daní</w:t>
      </w:r>
      <w:r w:rsidRPr="00AC70A4">
        <w:rPr>
          <w:rFonts w:ascii="Times New Roman" w:eastAsia="Calibri" w:hAnsi="Times New Roman" w:cs="Times New Roman" w:hint="default"/>
        </w:rPr>
        <w:t xml:space="preserve"> zaznamenala najvyšší</w:t>
      </w:r>
      <w:r w:rsidRPr="00AC70A4">
        <w:rPr>
          <w:rFonts w:ascii="Times New Roman" w:eastAsia="Calibri" w:hAnsi="Times New Roman" w:cs="Times New Roman" w:hint="default"/>
        </w:rPr>
        <w:t xml:space="preserve"> medziroč</w:t>
      </w:r>
      <w:r w:rsidRPr="00AC70A4">
        <w:rPr>
          <w:rFonts w:ascii="Times New Roman" w:eastAsia="Calibri" w:hAnsi="Times New Roman" w:cs="Times New Roman" w:hint="default"/>
        </w:rPr>
        <w:t>ný</w:t>
      </w:r>
      <w:r w:rsidRPr="00AC70A4">
        <w:rPr>
          <w:rFonts w:ascii="Times New Roman" w:eastAsia="Calibri" w:hAnsi="Times New Roman" w:cs="Times New Roman" w:hint="default"/>
        </w:rPr>
        <w:t xml:space="preserve"> rast, až</w:t>
      </w:r>
      <w:r w:rsidRPr="00AC70A4">
        <w:rPr>
          <w:rFonts w:ascii="Times New Roman" w:eastAsia="Calibri" w:hAnsi="Times New Roman" w:cs="Times New Roman" w:hint="default"/>
        </w:rPr>
        <w:t xml:space="preserve"> 17,6 % (440 </w:t>
      </w:r>
      <w:r w:rsidRPr="00AC70A4">
        <w:rPr>
          <w:rFonts w:ascii="Times New Roman" w:eastAsia="Calibri" w:hAnsi="Times New Roman" w:cs="Times New Roman" w:hint="default"/>
        </w:rPr>
        <w:t>923 tis. eur) daň</w:t>
      </w:r>
      <w:r w:rsidRPr="00AC70A4">
        <w:rPr>
          <w:rFonts w:ascii="Times New Roman" w:eastAsia="Calibri" w:hAnsi="Times New Roman" w:cs="Times New Roman" w:hint="default"/>
        </w:rPr>
        <w:t xml:space="preserve"> z </w:t>
      </w:r>
      <w:r w:rsidRPr="00AC70A4">
        <w:rPr>
          <w:rFonts w:ascii="Times New Roman" w:eastAsia="Calibri" w:hAnsi="Times New Roman" w:cs="Times New Roman" w:hint="default"/>
        </w:rPr>
        <w:t>prí</w:t>
      </w:r>
      <w:r w:rsidRPr="00AC70A4">
        <w:rPr>
          <w:rFonts w:ascii="Times New Roman" w:eastAsia="Calibri" w:hAnsi="Times New Roman" w:cs="Times New Roman" w:hint="default"/>
        </w:rPr>
        <w:t>jmu prá</w:t>
      </w:r>
      <w:r w:rsidRPr="00AC70A4">
        <w:rPr>
          <w:rFonts w:ascii="Times New Roman" w:eastAsia="Calibri" w:hAnsi="Times New Roman" w:cs="Times New Roman" w:hint="default"/>
        </w:rPr>
        <w:t>vnický</w:t>
      </w:r>
      <w:r w:rsidRPr="00AC70A4">
        <w:rPr>
          <w:rFonts w:ascii="Times New Roman" w:eastAsia="Calibri" w:hAnsi="Times New Roman" w:cs="Times New Roman" w:hint="default"/>
        </w:rPr>
        <w:t>ch</w:t>
      </w:r>
      <w:r w:rsidRPr="00AC70A4">
        <w:rPr>
          <w:rFonts w:ascii="Times New Roman" w:eastAsia="Calibri" w:hAnsi="Times New Roman" w:cs="Times New Roman" w:hint="default"/>
        </w:rPr>
        <w:t xml:space="preserve"> osô</w:t>
      </w:r>
      <w:r w:rsidRPr="00AC70A4">
        <w:rPr>
          <w:rFonts w:ascii="Times New Roman" w:eastAsia="Calibri" w:hAnsi="Times New Roman" w:cs="Times New Roman" w:hint="default"/>
        </w:rPr>
        <w:t>b (DPPO). Viac ako polovicu ná</w:t>
      </w:r>
      <w:r w:rsidRPr="00AC70A4">
        <w:rPr>
          <w:rFonts w:ascii="Times New Roman" w:eastAsia="Calibri" w:hAnsi="Times New Roman" w:cs="Times New Roman" w:hint="default"/>
        </w:rPr>
        <w:t>rastu mož</w:t>
      </w:r>
      <w:r w:rsidRPr="00AC70A4">
        <w:rPr>
          <w:rFonts w:ascii="Times New Roman" w:eastAsia="Calibri" w:hAnsi="Times New Roman" w:cs="Times New Roman" w:hint="default"/>
        </w:rPr>
        <w:t>no pripí</w:t>
      </w:r>
      <w:r w:rsidRPr="00AC70A4">
        <w:rPr>
          <w:rFonts w:ascii="Times New Roman" w:eastAsia="Calibri" w:hAnsi="Times New Roman" w:cs="Times New Roman" w:hint="default"/>
        </w:rPr>
        <w:t>sať</w:t>
      </w:r>
      <w:r w:rsidRPr="00AC70A4">
        <w:rPr>
          <w:rFonts w:ascii="Times New Roman" w:eastAsia="Calibri" w:hAnsi="Times New Roman" w:cs="Times New Roman" w:hint="default"/>
        </w:rPr>
        <w:t xml:space="preserve"> vyšš</w:t>
      </w:r>
      <w:r w:rsidRPr="00AC70A4">
        <w:rPr>
          <w:rFonts w:ascii="Times New Roman" w:eastAsia="Calibri" w:hAnsi="Times New Roman" w:cs="Times New Roman" w:hint="default"/>
        </w:rPr>
        <w:t>ej efektí</w:t>
      </w:r>
      <w:r w:rsidRPr="00AC70A4">
        <w:rPr>
          <w:rFonts w:ascii="Times New Roman" w:eastAsia="Calibri" w:hAnsi="Times New Roman" w:cs="Times New Roman" w:hint="default"/>
        </w:rPr>
        <w:t>vnosti vý</w:t>
      </w:r>
      <w:r w:rsidRPr="00AC70A4">
        <w:rPr>
          <w:rFonts w:ascii="Times New Roman" w:eastAsia="Calibri" w:hAnsi="Times New Roman" w:cs="Times New Roman" w:hint="default"/>
        </w:rPr>
        <w:t>beru dane. Efektí</w:t>
      </w:r>
      <w:r w:rsidRPr="00AC70A4">
        <w:rPr>
          <w:rFonts w:ascii="Times New Roman" w:eastAsia="Calibri" w:hAnsi="Times New Roman" w:cs="Times New Roman" w:hint="default"/>
        </w:rPr>
        <w:t>vna daň</w:t>
      </w:r>
      <w:r w:rsidRPr="00AC70A4">
        <w:rPr>
          <w:rFonts w:ascii="Times New Roman" w:eastAsia="Calibri" w:hAnsi="Times New Roman" w:cs="Times New Roman" w:hint="default"/>
        </w:rPr>
        <w:t>ová</w:t>
      </w:r>
      <w:r w:rsidRPr="00AC70A4">
        <w:rPr>
          <w:rFonts w:ascii="Times New Roman" w:eastAsia="Calibri" w:hAnsi="Times New Roman" w:cs="Times New Roman" w:hint="default"/>
        </w:rPr>
        <w:t xml:space="preserve"> sadzba DPPO rastie vý</w:t>
      </w:r>
      <w:r w:rsidRPr="00AC70A4">
        <w:rPr>
          <w:rFonts w:ascii="Times New Roman" w:eastAsia="Calibri" w:hAnsi="Times New Roman" w:cs="Times New Roman" w:hint="default"/>
        </w:rPr>
        <w:t>razný</w:t>
      </w:r>
      <w:r w:rsidRPr="00AC70A4">
        <w:rPr>
          <w:rFonts w:ascii="Times New Roman" w:eastAsia="Calibri" w:hAnsi="Times New Roman" w:cs="Times New Roman" w:hint="default"/>
        </w:rPr>
        <w:t>m tempom už</w:t>
      </w:r>
      <w:r w:rsidRPr="00AC70A4">
        <w:rPr>
          <w:rFonts w:ascii="Times New Roman" w:eastAsia="Calibri" w:hAnsi="Times New Roman" w:cs="Times New Roman" w:hint="default"/>
        </w:rPr>
        <w:t xml:space="preserve"> druhý</w:t>
      </w:r>
      <w:r w:rsidRPr="00AC70A4">
        <w:rPr>
          <w:rFonts w:ascii="Times New Roman" w:eastAsia="Calibri" w:hAnsi="Times New Roman" w:cs="Times New Roman" w:hint="default"/>
        </w:rPr>
        <w:t xml:space="preserve"> rok. Jej ná</w:t>
      </w:r>
      <w:r w:rsidRPr="00AC70A4">
        <w:rPr>
          <w:rFonts w:ascii="Times New Roman" w:eastAsia="Calibri" w:hAnsi="Times New Roman" w:cs="Times New Roman" w:hint="default"/>
        </w:rPr>
        <w:t>rast, okrem procyklickosti dane (zisky majú</w:t>
      </w:r>
      <w:r w:rsidRPr="00AC70A4">
        <w:rPr>
          <w:rFonts w:ascii="Times New Roman" w:eastAsia="Calibri" w:hAnsi="Times New Roman" w:cs="Times New Roman" w:hint="default"/>
        </w:rPr>
        <w:t xml:space="preserve"> v </w:t>
      </w:r>
      <w:r w:rsidRPr="00AC70A4">
        <w:rPr>
          <w:rFonts w:ascii="Times New Roman" w:eastAsia="Calibri" w:hAnsi="Times New Roman" w:cs="Times New Roman" w:hint="default"/>
        </w:rPr>
        <w:t>č</w:t>
      </w:r>
      <w:r w:rsidRPr="00AC70A4">
        <w:rPr>
          <w:rFonts w:ascii="Times New Roman" w:eastAsia="Calibri" w:hAnsi="Times New Roman" w:cs="Times New Roman" w:hint="default"/>
        </w:rPr>
        <w:t>ase akcelerá</w:t>
      </w:r>
      <w:r w:rsidRPr="00AC70A4">
        <w:rPr>
          <w:rFonts w:ascii="Times New Roman" w:eastAsia="Calibri" w:hAnsi="Times New Roman" w:cs="Times New Roman" w:hint="default"/>
        </w:rPr>
        <w:t>cie ekonomické</w:t>
      </w:r>
      <w:r w:rsidRPr="00AC70A4">
        <w:rPr>
          <w:rFonts w:ascii="Times New Roman" w:eastAsia="Calibri" w:hAnsi="Times New Roman" w:cs="Times New Roman" w:hint="default"/>
        </w:rPr>
        <w:t>ho rastu tendenciu rá</w:t>
      </w:r>
      <w:r w:rsidRPr="00AC70A4">
        <w:rPr>
          <w:rFonts w:ascii="Times New Roman" w:eastAsia="Calibri" w:hAnsi="Times New Roman" w:cs="Times New Roman" w:hint="default"/>
        </w:rPr>
        <w:t>s</w:t>
      </w:r>
      <w:r w:rsidRPr="00AC70A4">
        <w:rPr>
          <w:rFonts w:ascii="Times New Roman" w:eastAsia="Calibri" w:hAnsi="Times New Roman" w:cs="Times New Roman" w:hint="default"/>
        </w:rPr>
        <w:t>ť</w:t>
      </w:r>
      <w:r w:rsidRPr="00AC70A4">
        <w:rPr>
          <w:rFonts w:ascii="Times New Roman" w:eastAsia="Calibri" w:hAnsi="Times New Roman" w:cs="Times New Roman" w:hint="default"/>
        </w:rPr>
        <w:t xml:space="preserve"> rý</w:t>
      </w:r>
      <w:r w:rsidRPr="00AC70A4">
        <w:rPr>
          <w:rFonts w:ascii="Times New Roman" w:eastAsia="Calibri" w:hAnsi="Times New Roman" w:cs="Times New Roman" w:hint="default"/>
        </w:rPr>
        <w:t>chlejš</w:t>
      </w:r>
      <w:r w:rsidRPr="00AC70A4">
        <w:rPr>
          <w:rFonts w:ascii="Times New Roman" w:eastAsia="Calibri" w:hAnsi="Times New Roman" w:cs="Times New Roman" w:hint="default"/>
        </w:rPr>
        <w:t>ie ako HDP), mož</w:t>
      </w:r>
      <w:r w:rsidRPr="00AC70A4">
        <w:rPr>
          <w:rFonts w:ascii="Times New Roman" w:eastAsia="Calibri" w:hAnsi="Times New Roman" w:cs="Times New Roman" w:hint="default"/>
        </w:rPr>
        <w:t>no pripí</w:t>
      </w:r>
      <w:r w:rsidRPr="00AC70A4">
        <w:rPr>
          <w:rFonts w:ascii="Times New Roman" w:eastAsia="Calibri" w:hAnsi="Times New Roman" w:cs="Times New Roman" w:hint="default"/>
        </w:rPr>
        <w:t>sať</w:t>
      </w:r>
      <w:r w:rsidRPr="00AC70A4">
        <w:rPr>
          <w:rFonts w:ascii="Times New Roman" w:eastAsia="Calibri" w:hAnsi="Times New Roman" w:cs="Times New Roman" w:hint="default"/>
        </w:rPr>
        <w:t xml:space="preserve"> opatreniam boja proti daň</w:t>
      </w:r>
      <w:r w:rsidRPr="00AC70A4">
        <w:rPr>
          <w:rFonts w:ascii="Times New Roman" w:eastAsia="Calibri" w:hAnsi="Times New Roman" w:cs="Times New Roman" w:hint="default"/>
        </w:rPr>
        <w:t>ový</w:t>
      </w:r>
      <w:r w:rsidRPr="00AC70A4">
        <w:rPr>
          <w:rFonts w:ascii="Times New Roman" w:eastAsia="Calibri" w:hAnsi="Times New Roman" w:cs="Times New Roman" w:hint="default"/>
        </w:rPr>
        <w:t>m ú</w:t>
      </w:r>
      <w:r w:rsidRPr="00AC70A4">
        <w:rPr>
          <w:rFonts w:ascii="Times New Roman" w:eastAsia="Calibri" w:hAnsi="Times New Roman" w:cs="Times New Roman" w:hint="default"/>
        </w:rPr>
        <w:t>nikom na DPH, ktoré</w:t>
      </w:r>
      <w:r w:rsidRPr="00AC70A4">
        <w:rPr>
          <w:rFonts w:ascii="Times New Roman" w:eastAsia="Calibri" w:hAnsi="Times New Roman" w:cs="Times New Roman" w:hint="default"/>
        </w:rPr>
        <w:t xml:space="preserve"> sa mohli premietnuť</w:t>
      </w:r>
      <w:r w:rsidRPr="00AC70A4">
        <w:rPr>
          <w:rFonts w:ascii="Times New Roman" w:eastAsia="Calibri" w:hAnsi="Times New Roman" w:cs="Times New Roman" w:hint="default"/>
        </w:rPr>
        <w:t xml:space="preserve"> aj vo vyšš</w:t>
      </w:r>
      <w:r w:rsidRPr="00AC70A4">
        <w:rPr>
          <w:rFonts w:ascii="Times New Roman" w:eastAsia="Calibri" w:hAnsi="Times New Roman" w:cs="Times New Roman" w:hint="default"/>
        </w:rPr>
        <w:t>om vý</w:t>
      </w:r>
      <w:r w:rsidRPr="00AC70A4">
        <w:rPr>
          <w:rFonts w:ascii="Times New Roman" w:eastAsia="Calibri" w:hAnsi="Times New Roman" w:cs="Times New Roman" w:hint="default"/>
        </w:rPr>
        <w:t>bere DPPO. Zá</w:t>
      </w:r>
      <w:r w:rsidRPr="00AC70A4">
        <w:rPr>
          <w:rFonts w:ascii="Times New Roman" w:eastAsia="Calibri" w:hAnsi="Times New Roman" w:cs="Times New Roman" w:hint="default"/>
        </w:rPr>
        <w:t>roveň</w:t>
      </w:r>
      <w:r w:rsidRPr="00AC70A4">
        <w:rPr>
          <w:rFonts w:ascii="Times New Roman" w:eastAsia="Calibri" w:hAnsi="Times New Roman" w:cs="Times New Roman" w:hint="default"/>
        </w:rPr>
        <w:t xml:space="preserve"> boli s </w:t>
      </w:r>
      <w:r w:rsidRPr="00AC70A4">
        <w:rPr>
          <w:rFonts w:ascii="Times New Roman" w:eastAsia="Calibri" w:hAnsi="Times New Roman" w:cs="Times New Roman" w:hint="default"/>
        </w:rPr>
        <w:t>úč</w:t>
      </w:r>
      <w:r w:rsidRPr="00AC70A4">
        <w:rPr>
          <w:rFonts w:ascii="Times New Roman" w:eastAsia="Calibri" w:hAnsi="Times New Roman" w:cs="Times New Roman" w:hint="default"/>
        </w:rPr>
        <w:t>innosť</w:t>
      </w:r>
      <w:r w:rsidRPr="00AC70A4">
        <w:rPr>
          <w:rFonts w:ascii="Times New Roman" w:eastAsia="Calibri" w:hAnsi="Times New Roman" w:cs="Times New Roman" w:hint="default"/>
        </w:rPr>
        <w:t>ou od 1. januá</w:t>
      </w:r>
      <w:r w:rsidRPr="00AC70A4">
        <w:rPr>
          <w:rFonts w:ascii="Times New Roman" w:eastAsia="Calibri" w:hAnsi="Times New Roman" w:cs="Times New Roman" w:hint="default"/>
        </w:rPr>
        <w:t>ra 2015 prijaté</w:t>
      </w:r>
      <w:r w:rsidRPr="00AC70A4">
        <w:rPr>
          <w:rFonts w:ascii="Times New Roman" w:eastAsia="Calibri" w:hAnsi="Times New Roman" w:cs="Times New Roman" w:hint="default"/>
        </w:rPr>
        <w:t xml:space="preserve"> viaceré</w:t>
      </w:r>
      <w:r w:rsidRPr="00AC70A4">
        <w:rPr>
          <w:rFonts w:ascii="Times New Roman" w:eastAsia="Calibri" w:hAnsi="Times New Roman" w:cs="Times New Roman" w:hint="default"/>
        </w:rPr>
        <w:t xml:space="preserve"> legislatí</w:t>
      </w:r>
      <w:r w:rsidRPr="00AC70A4">
        <w:rPr>
          <w:rFonts w:ascii="Times New Roman" w:eastAsia="Calibri" w:hAnsi="Times New Roman" w:cs="Times New Roman" w:hint="default"/>
        </w:rPr>
        <w:t>vne zmeny v </w:t>
      </w:r>
      <w:r w:rsidRPr="00AC70A4">
        <w:rPr>
          <w:rFonts w:ascii="Times New Roman" w:eastAsia="Calibri" w:hAnsi="Times New Roman" w:cs="Times New Roman" w:hint="default"/>
        </w:rPr>
        <w:t>odpisovaní</w:t>
      </w:r>
      <w:r w:rsidRPr="00AC70A4">
        <w:rPr>
          <w:rFonts w:ascii="Times New Roman" w:eastAsia="Calibri" w:hAnsi="Times New Roman" w:cs="Times New Roman" w:hint="default"/>
        </w:rPr>
        <w:t xml:space="preserve"> majetku a oblasti transferov</w:t>
      </w:r>
      <w:r w:rsidRPr="00AC70A4">
        <w:rPr>
          <w:rFonts w:ascii="Times New Roman" w:eastAsia="Calibri" w:hAnsi="Times New Roman" w:cs="Times New Roman" w:hint="default"/>
        </w:rPr>
        <w:t>é</w:t>
      </w:r>
      <w:r w:rsidRPr="00AC70A4">
        <w:rPr>
          <w:rFonts w:ascii="Times New Roman" w:eastAsia="Calibri" w:hAnsi="Times New Roman" w:cs="Times New Roman" w:hint="default"/>
        </w:rPr>
        <w:t>ho oceň</w:t>
      </w:r>
      <w:r w:rsidRPr="00AC70A4">
        <w:rPr>
          <w:rFonts w:ascii="Times New Roman" w:eastAsia="Calibri" w:hAnsi="Times New Roman" w:cs="Times New Roman" w:hint="default"/>
        </w:rPr>
        <w:t>ovania, ktoré</w:t>
      </w:r>
      <w:r w:rsidRPr="00AC70A4">
        <w:rPr>
          <w:rFonts w:ascii="Times New Roman" w:eastAsia="Calibri" w:hAnsi="Times New Roman" w:cs="Times New Roman" w:hint="default"/>
        </w:rPr>
        <w:t xml:space="preserve"> tiež</w:t>
      </w:r>
      <w:r w:rsidRPr="00AC70A4">
        <w:rPr>
          <w:rFonts w:ascii="Times New Roman" w:eastAsia="Calibri" w:hAnsi="Times New Roman" w:cs="Times New Roman" w:hint="default"/>
        </w:rPr>
        <w:t xml:space="preserve"> prispeli k </w:t>
      </w:r>
      <w:r w:rsidRPr="00AC70A4">
        <w:rPr>
          <w:rFonts w:ascii="Times New Roman" w:eastAsia="Calibri" w:hAnsi="Times New Roman" w:cs="Times New Roman" w:hint="default"/>
        </w:rPr>
        <w:t>medziroč</w:t>
      </w:r>
      <w:r w:rsidRPr="00AC70A4">
        <w:rPr>
          <w:rFonts w:ascii="Times New Roman" w:eastAsia="Calibri" w:hAnsi="Times New Roman" w:cs="Times New Roman" w:hint="default"/>
        </w:rPr>
        <w:t>né</w:t>
      </w:r>
      <w:r w:rsidRPr="00AC70A4">
        <w:rPr>
          <w:rFonts w:ascii="Times New Roman" w:eastAsia="Calibri" w:hAnsi="Times New Roman" w:cs="Times New Roman" w:hint="default"/>
        </w:rPr>
        <w:t>mu rastu prí</w:t>
      </w:r>
      <w:r w:rsidRPr="00AC70A4">
        <w:rPr>
          <w:rFonts w:ascii="Times New Roman" w:eastAsia="Calibri" w:hAnsi="Times New Roman" w:cs="Times New Roman" w:hint="default"/>
        </w:rPr>
        <w:t xml:space="preserve">jmov z DPPO. </w:t>
      </w:r>
    </w:p>
    <w:p w:rsidR="00033696" w:rsidP="00AC70A4">
      <w:pPr>
        <w:bidi w:val="0"/>
        <w:spacing w:after="120" w:line="336" w:lineRule="auto"/>
        <w:jc w:val="both"/>
        <w:rPr>
          <w:rFonts w:ascii="Times New Roman" w:eastAsia="Calibri" w:hAnsi="Times New Roman" w:cs="Times New Roman"/>
        </w:rPr>
      </w:pPr>
      <w:r w:rsidRPr="00AC70A4">
        <w:rPr>
          <w:rFonts w:ascii="Times New Roman" w:eastAsia="Calibri" w:hAnsi="Times New Roman" w:cs="Times New Roman" w:hint="default"/>
        </w:rPr>
        <w:t>Daň</w:t>
      </w:r>
      <w:r w:rsidRPr="00AC70A4">
        <w:rPr>
          <w:rFonts w:ascii="Times New Roman" w:eastAsia="Calibri" w:hAnsi="Times New Roman" w:cs="Times New Roman" w:hint="default"/>
        </w:rPr>
        <w:t xml:space="preserve"> z </w:t>
      </w:r>
      <w:r w:rsidRPr="00AC70A4">
        <w:rPr>
          <w:rFonts w:ascii="Times New Roman" w:eastAsia="Calibri" w:hAnsi="Times New Roman" w:cs="Times New Roman" w:hint="default"/>
        </w:rPr>
        <w:t>prí</w:t>
      </w:r>
      <w:r w:rsidRPr="00AC70A4">
        <w:rPr>
          <w:rFonts w:ascii="Times New Roman" w:eastAsia="Calibri" w:hAnsi="Times New Roman" w:cs="Times New Roman" w:hint="default"/>
        </w:rPr>
        <w:t>jmu fyzický</w:t>
      </w:r>
      <w:r w:rsidRPr="00AC70A4">
        <w:rPr>
          <w:rFonts w:ascii="Times New Roman" w:eastAsia="Calibri" w:hAnsi="Times New Roman" w:cs="Times New Roman" w:hint="default"/>
        </w:rPr>
        <w:t>ch osô</w:t>
      </w:r>
      <w:r w:rsidRPr="00AC70A4">
        <w:rPr>
          <w:rFonts w:ascii="Times New Roman" w:eastAsia="Calibri" w:hAnsi="Times New Roman" w:cs="Times New Roman" w:hint="default"/>
        </w:rPr>
        <w:t>b (DPFO) v </w:t>
      </w:r>
      <w:r w:rsidRPr="00AC70A4">
        <w:rPr>
          <w:rFonts w:ascii="Times New Roman" w:eastAsia="Calibri" w:hAnsi="Times New Roman" w:cs="Times New Roman" w:hint="default"/>
        </w:rPr>
        <w:t>roku 2015 rá</w:t>
      </w:r>
      <w:r w:rsidRPr="00AC70A4">
        <w:rPr>
          <w:rFonts w:ascii="Times New Roman" w:eastAsia="Calibri" w:hAnsi="Times New Roman" w:cs="Times New Roman" w:hint="default"/>
        </w:rPr>
        <w:t>stla o 8,3 %. K </w:t>
      </w:r>
      <w:r w:rsidRPr="00AC70A4">
        <w:rPr>
          <w:rFonts w:ascii="Times New Roman" w:eastAsia="Calibri" w:hAnsi="Times New Roman" w:cs="Times New Roman" w:hint="default"/>
        </w:rPr>
        <w:t>vyšš</w:t>
      </w:r>
      <w:r w:rsidRPr="00AC70A4">
        <w:rPr>
          <w:rFonts w:ascii="Times New Roman" w:eastAsia="Calibri" w:hAnsi="Times New Roman" w:cs="Times New Roman" w:hint="default"/>
        </w:rPr>
        <w:t>iemu vý</w:t>
      </w:r>
      <w:r w:rsidRPr="00AC70A4">
        <w:rPr>
          <w:rFonts w:ascii="Times New Roman" w:eastAsia="Calibri" w:hAnsi="Times New Roman" w:cs="Times New Roman" w:hint="default"/>
        </w:rPr>
        <w:t>nosu prispel najmä</w:t>
      </w:r>
      <w:r w:rsidRPr="00AC70A4">
        <w:rPr>
          <w:rFonts w:ascii="Times New Roman" w:eastAsia="Calibri" w:hAnsi="Times New Roman" w:cs="Times New Roman" w:hint="default"/>
        </w:rPr>
        <w:t xml:space="preserve"> rast  </w:t>
      </w:r>
      <w:r w:rsidRPr="004759FC">
        <w:rPr>
          <w:rFonts w:ascii="Times New Roman" w:eastAsia="Calibri" w:hAnsi="Times New Roman" w:cs="Times New Roman" w:hint="default"/>
        </w:rPr>
        <w:t>DPFO zo zá</w:t>
      </w:r>
      <w:r w:rsidRPr="004759FC">
        <w:rPr>
          <w:rFonts w:ascii="Times New Roman" w:eastAsia="Calibri" w:hAnsi="Times New Roman" w:cs="Times New Roman" w:hint="default"/>
        </w:rPr>
        <w:t>vislej č</w:t>
      </w:r>
      <w:r w:rsidRPr="004759FC">
        <w:rPr>
          <w:rFonts w:ascii="Times New Roman" w:eastAsia="Calibri" w:hAnsi="Times New Roman" w:cs="Times New Roman" w:hint="default"/>
        </w:rPr>
        <w:t>innosti v sume </w:t>
      </w:r>
      <w:r w:rsidRPr="004759FC" w:rsidR="004759FC">
        <w:rPr>
          <w:rFonts w:ascii="Times New Roman" w:eastAsia="Calibri" w:hAnsi="Times New Roman" w:cs="Times New Roman"/>
        </w:rPr>
        <w:t>189 297</w:t>
      </w:r>
      <w:r w:rsidRPr="004759FC">
        <w:rPr>
          <w:rFonts w:ascii="Times New Roman" w:eastAsia="Calibri" w:hAnsi="Times New Roman" w:cs="Times New Roman"/>
        </w:rPr>
        <w:t xml:space="preserve"> tis. eur (8,</w:t>
      </w:r>
      <w:r w:rsidRPr="004759FC" w:rsidR="004759FC">
        <w:rPr>
          <w:rFonts w:ascii="Times New Roman" w:eastAsia="Calibri" w:hAnsi="Times New Roman" w:cs="Times New Roman"/>
        </w:rPr>
        <w:t>7</w:t>
      </w:r>
      <w:r w:rsidRPr="004759FC">
        <w:rPr>
          <w:rFonts w:ascii="Times New Roman" w:eastAsia="Calibri" w:hAnsi="Times New Roman" w:cs="Times New Roman" w:hint="default"/>
        </w:rPr>
        <w:t xml:space="preserve"> %), zatiaľ</w:t>
      </w:r>
      <w:r w:rsidRPr="004759FC">
        <w:rPr>
          <w:rFonts w:ascii="Times New Roman" w:eastAsia="Calibri" w:hAnsi="Times New Roman" w:cs="Times New Roman" w:hint="default"/>
        </w:rPr>
        <w:t xml:space="preserve"> č</w:t>
      </w:r>
      <w:r w:rsidRPr="004759FC">
        <w:rPr>
          <w:rFonts w:ascii="Times New Roman" w:eastAsia="Calibri" w:hAnsi="Times New Roman" w:cs="Times New Roman" w:hint="default"/>
        </w:rPr>
        <w:t>o DPFO z podnik</w:t>
      </w:r>
      <w:r w:rsidRPr="004759FC">
        <w:rPr>
          <w:rFonts w:ascii="Times New Roman" w:eastAsia="Calibri" w:hAnsi="Times New Roman" w:cs="Times New Roman" w:hint="default"/>
        </w:rPr>
        <w:t>ania vzrá</w:t>
      </w:r>
      <w:r w:rsidRPr="004759FC">
        <w:rPr>
          <w:rFonts w:ascii="Times New Roman" w:eastAsia="Calibri" w:hAnsi="Times New Roman" w:cs="Times New Roman" w:hint="default"/>
        </w:rPr>
        <w:t>stla iba o 3 </w:t>
      </w:r>
      <w:r w:rsidRPr="004759FC">
        <w:rPr>
          <w:rFonts w:ascii="Times New Roman" w:eastAsia="Calibri" w:hAnsi="Times New Roman" w:cs="Times New Roman" w:hint="default"/>
        </w:rPr>
        <w:t>069 tis. eur (2,2 %). Dô</w:t>
      </w:r>
      <w:r w:rsidRPr="004759FC">
        <w:rPr>
          <w:rFonts w:ascii="Times New Roman" w:eastAsia="Calibri" w:hAnsi="Times New Roman" w:cs="Times New Roman" w:hint="default"/>
        </w:rPr>
        <w:t>vodom pozití</w:t>
      </w:r>
      <w:r w:rsidRPr="004759FC">
        <w:rPr>
          <w:rFonts w:ascii="Times New Roman" w:eastAsia="Calibri" w:hAnsi="Times New Roman" w:cs="Times New Roman" w:hint="default"/>
        </w:rPr>
        <w:t>vneho</w:t>
      </w:r>
      <w:r w:rsidRPr="00AC70A4">
        <w:rPr>
          <w:rFonts w:ascii="Times New Roman" w:eastAsia="Calibri" w:hAnsi="Times New Roman" w:cs="Times New Roman" w:hint="default"/>
        </w:rPr>
        <w:t xml:space="preserve"> vý</w:t>
      </w:r>
      <w:r w:rsidRPr="00AC70A4">
        <w:rPr>
          <w:rFonts w:ascii="Times New Roman" w:eastAsia="Calibri" w:hAnsi="Times New Roman" w:cs="Times New Roman" w:hint="default"/>
        </w:rPr>
        <w:t>voja DPFO zo zá</w:t>
      </w:r>
      <w:r w:rsidRPr="00AC70A4">
        <w:rPr>
          <w:rFonts w:ascii="Times New Roman" w:eastAsia="Calibri" w:hAnsi="Times New Roman" w:cs="Times New Roman" w:hint="default"/>
        </w:rPr>
        <w:t>vislej č</w:t>
      </w:r>
      <w:r w:rsidRPr="00AC70A4">
        <w:rPr>
          <w:rFonts w:ascii="Times New Roman" w:eastAsia="Calibri" w:hAnsi="Times New Roman" w:cs="Times New Roman" w:hint="default"/>
        </w:rPr>
        <w:t>innosti bol najmä</w:t>
      </w:r>
      <w:r w:rsidRPr="00AC70A4">
        <w:rPr>
          <w:rFonts w:ascii="Times New Roman" w:eastAsia="Calibri" w:hAnsi="Times New Roman" w:cs="Times New Roman" w:hint="default"/>
        </w:rPr>
        <w:t xml:space="preserve"> zlepš</w:t>
      </w:r>
      <w:r w:rsidRPr="00AC70A4">
        <w:rPr>
          <w:rFonts w:ascii="Times New Roman" w:eastAsia="Calibri" w:hAnsi="Times New Roman" w:cs="Times New Roman" w:hint="default"/>
        </w:rPr>
        <w:t>ený</w:t>
      </w:r>
      <w:r w:rsidRPr="00AC70A4">
        <w:rPr>
          <w:rFonts w:ascii="Times New Roman" w:eastAsia="Calibri" w:hAnsi="Times New Roman" w:cs="Times New Roman" w:hint="default"/>
        </w:rPr>
        <w:t xml:space="preserve"> vý</w:t>
      </w:r>
      <w:r w:rsidRPr="00AC70A4">
        <w:rPr>
          <w:rFonts w:ascii="Times New Roman" w:eastAsia="Calibri" w:hAnsi="Times New Roman" w:cs="Times New Roman" w:hint="default"/>
        </w:rPr>
        <w:t>voj mzdovej bá</w:t>
      </w:r>
      <w:r w:rsidRPr="00AC70A4">
        <w:rPr>
          <w:rFonts w:ascii="Times New Roman" w:eastAsia="Calibri" w:hAnsi="Times New Roman" w:cs="Times New Roman" w:hint="default"/>
        </w:rPr>
        <w:t>zy, ktoré</w:t>
      </w:r>
      <w:r w:rsidRPr="00AC70A4">
        <w:rPr>
          <w:rFonts w:ascii="Times New Roman" w:eastAsia="Calibri" w:hAnsi="Times New Roman" w:cs="Times New Roman" w:hint="default"/>
        </w:rPr>
        <w:t>mu mož</w:t>
      </w:r>
      <w:r w:rsidRPr="00AC70A4">
        <w:rPr>
          <w:rFonts w:ascii="Times New Roman" w:eastAsia="Calibri" w:hAnsi="Times New Roman" w:cs="Times New Roman" w:hint="default"/>
        </w:rPr>
        <w:t>no pripí</w:t>
      </w:r>
      <w:r w:rsidRPr="00AC70A4">
        <w:rPr>
          <w:rFonts w:ascii="Times New Roman" w:eastAsia="Calibri" w:hAnsi="Times New Roman" w:cs="Times New Roman" w:hint="default"/>
        </w:rPr>
        <w:t>sať</w:t>
      </w:r>
      <w:r w:rsidRPr="00AC70A4">
        <w:rPr>
          <w:rFonts w:ascii="Times New Roman" w:eastAsia="Calibri" w:hAnsi="Times New Roman" w:cs="Times New Roman" w:hint="default"/>
        </w:rPr>
        <w:t xml:space="preserve"> až</w:t>
      </w:r>
      <w:r w:rsidRPr="00AC70A4">
        <w:rPr>
          <w:rFonts w:ascii="Times New Roman" w:eastAsia="Calibri" w:hAnsi="Times New Roman" w:cs="Times New Roman" w:hint="default"/>
        </w:rPr>
        <w:t xml:space="preserve"> 60 </w:t>
      </w:r>
      <w:r w:rsidRPr="00AC70A4">
        <w:rPr>
          <w:rFonts w:ascii="Times New Roman" w:eastAsia="Calibri" w:hAnsi="Times New Roman" w:cs="Times New Roman" w:hint="default"/>
        </w:rPr>
        <w:t>% vplyvu, zvyš</w:t>
      </w:r>
      <w:r w:rsidRPr="00AC70A4">
        <w:rPr>
          <w:rFonts w:ascii="Times New Roman" w:eastAsia="Calibri" w:hAnsi="Times New Roman" w:cs="Times New Roman" w:hint="default"/>
        </w:rPr>
        <w:t>ok je dô</w:t>
      </w:r>
      <w:r w:rsidRPr="00AC70A4">
        <w:rPr>
          <w:rFonts w:ascii="Times New Roman" w:eastAsia="Calibri" w:hAnsi="Times New Roman" w:cs="Times New Roman" w:hint="default"/>
        </w:rPr>
        <w:t>sledkom rastu efektí</w:t>
      </w:r>
      <w:r w:rsidRPr="00AC70A4">
        <w:rPr>
          <w:rFonts w:ascii="Times New Roman" w:eastAsia="Calibri" w:hAnsi="Times New Roman" w:cs="Times New Roman" w:hint="default"/>
        </w:rPr>
        <w:t>vnej daň</w:t>
      </w:r>
      <w:r w:rsidRPr="00AC70A4">
        <w:rPr>
          <w:rFonts w:ascii="Times New Roman" w:eastAsia="Calibri" w:hAnsi="Times New Roman" w:cs="Times New Roman" w:hint="default"/>
        </w:rPr>
        <w:t>ovej sadzby.</w:t>
      </w:r>
    </w:p>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hint="default"/>
        </w:rPr>
        <w:t>Spotrebné</w:t>
      </w:r>
      <w:r w:rsidRPr="00AC70A4">
        <w:rPr>
          <w:rFonts w:ascii="Times New Roman" w:eastAsia="Calibri" w:hAnsi="Times New Roman" w:cs="Times New Roman" w:hint="default"/>
        </w:rPr>
        <w:t xml:space="preserve"> dane (SD) v roku 2</w:t>
      </w:r>
      <w:r w:rsidRPr="00AC70A4">
        <w:rPr>
          <w:rFonts w:ascii="Times New Roman" w:eastAsia="Calibri" w:hAnsi="Times New Roman" w:cs="Times New Roman" w:hint="default"/>
        </w:rPr>
        <w:t>015 zaznamenali medziroč</w:t>
      </w:r>
      <w:r w:rsidRPr="00AC70A4">
        <w:rPr>
          <w:rFonts w:ascii="Times New Roman" w:eastAsia="Calibri" w:hAnsi="Times New Roman" w:cs="Times New Roman" w:hint="default"/>
        </w:rPr>
        <w:t>ný</w:t>
      </w:r>
      <w:r w:rsidRPr="00AC70A4">
        <w:rPr>
          <w:rFonts w:ascii="Times New Roman" w:eastAsia="Calibri" w:hAnsi="Times New Roman" w:cs="Times New Roman" w:hint="default"/>
        </w:rPr>
        <w:t xml:space="preserve"> ná</w:t>
      </w:r>
      <w:r w:rsidRPr="00AC70A4">
        <w:rPr>
          <w:rFonts w:ascii="Times New Roman" w:eastAsia="Calibri" w:hAnsi="Times New Roman" w:cs="Times New Roman" w:hint="default"/>
        </w:rPr>
        <w:t>rast o 4,6 %. K  rastu najviac prispela SD z minerá</w:t>
      </w:r>
      <w:r w:rsidRPr="00AC70A4">
        <w:rPr>
          <w:rFonts w:ascii="Times New Roman" w:eastAsia="Calibri" w:hAnsi="Times New Roman" w:cs="Times New Roman" w:hint="default"/>
        </w:rPr>
        <w:t>lnych olejov, ktorá</w:t>
      </w:r>
      <w:r w:rsidRPr="00AC70A4">
        <w:rPr>
          <w:rFonts w:ascii="Times New Roman" w:eastAsia="Calibri" w:hAnsi="Times New Roman" w:cs="Times New Roman" w:hint="default"/>
        </w:rPr>
        <w:t xml:space="preserve"> vzrá</w:t>
      </w:r>
      <w:r w:rsidRPr="00AC70A4">
        <w:rPr>
          <w:rFonts w:ascii="Times New Roman" w:eastAsia="Calibri" w:hAnsi="Times New Roman" w:cs="Times New Roman" w:hint="default"/>
        </w:rPr>
        <w:t>stla o 5,8 %. Jej vyšší</w:t>
      </w:r>
      <w:r w:rsidRPr="00AC70A4">
        <w:rPr>
          <w:rFonts w:ascii="Times New Roman" w:eastAsia="Calibri" w:hAnsi="Times New Roman" w:cs="Times New Roman" w:hint="default"/>
        </w:rPr>
        <w:t xml:space="preserve"> vý</w:t>
      </w:r>
      <w:r w:rsidRPr="00AC70A4">
        <w:rPr>
          <w:rFonts w:ascii="Times New Roman" w:eastAsia="Calibri" w:hAnsi="Times New Roman" w:cs="Times New Roman" w:hint="default"/>
        </w:rPr>
        <w:t>ber mož</w:t>
      </w:r>
      <w:r w:rsidRPr="00AC70A4">
        <w:rPr>
          <w:rFonts w:ascii="Times New Roman" w:eastAsia="Calibri" w:hAnsi="Times New Roman" w:cs="Times New Roman" w:hint="default"/>
        </w:rPr>
        <w:t>no pripí</w:t>
      </w:r>
      <w:r w:rsidRPr="00AC70A4">
        <w:rPr>
          <w:rFonts w:ascii="Times New Roman" w:eastAsia="Calibri" w:hAnsi="Times New Roman" w:cs="Times New Roman" w:hint="default"/>
        </w:rPr>
        <w:t>sať</w:t>
      </w:r>
      <w:r w:rsidRPr="00AC70A4">
        <w:rPr>
          <w:rFonts w:ascii="Times New Roman" w:eastAsia="Calibri" w:hAnsi="Times New Roman" w:cs="Times New Roman" w:hint="default"/>
        </w:rPr>
        <w:t xml:space="preserve"> najmä</w:t>
      </w:r>
      <w:r w:rsidRPr="00AC70A4">
        <w:rPr>
          <w:rFonts w:ascii="Times New Roman" w:eastAsia="Calibri" w:hAnsi="Times New Roman" w:cs="Times New Roman" w:hint="default"/>
        </w:rPr>
        <w:t xml:space="preserve"> ekonomické</w:t>
      </w:r>
      <w:r w:rsidRPr="00AC70A4">
        <w:rPr>
          <w:rFonts w:ascii="Times New Roman" w:eastAsia="Calibri" w:hAnsi="Times New Roman" w:cs="Times New Roman" w:hint="default"/>
        </w:rPr>
        <w:t>ho rastu. Rast koneč</w:t>
      </w:r>
      <w:r w:rsidRPr="00AC70A4">
        <w:rPr>
          <w:rFonts w:ascii="Times New Roman" w:eastAsia="Calibri" w:hAnsi="Times New Roman" w:cs="Times New Roman" w:hint="default"/>
        </w:rPr>
        <w:t>nej spotreby domá</w:t>
      </w:r>
      <w:r w:rsidRPr="00AC70A4">
        <w:rPr>
          <w:rFonts w:ascii="Times New Roman" w:eastAsia="Calibri" w:hAnsi="Times New Roman" w:cs="Times New Roman" w:hint="default"/>
        </w:rPr>
        <w:t>cností</w:t>
      </w:r>
      <w:r w:rsidRPr="00AC70A4">
        <w:rPr>
          <w:rFonts w:ascii="Times New Roman" w:eastAsia="Calibri" w:hAnsi="Times New Roman" w:cs="Times New Roman" w:hint="default"/>
        </w:rPr>
        <w:t xml:space="preserve"> spolu so zvýš</w:t>
      </w:r>
      <w:r w:rsidRPr="00AC70A4">
        <w:rPr>
          <w:rFonts w:ascii="Times New Roman" w:eastAsia="Calibri" w:hAnsi="Times New Roman" w:cs="Times New Roman" w:hint="default"/>
        </w:rPr>
        <w:t>ení</w:t>
      </w:r>
      <w:r w:rsidRPr="00AC70A4">
        <w:rPr>
          <w:rFonts w:ascii="Times New Roman" w:eastAsia="Calibri" w:hAnsi="Times New Roman" w:cs="Times New Roman" w:hint="default"/>
        </w:rPr>
        <w:t>m efektí</w:t>
      </w:r>
      <w:r w:rsidRPr="00AC70A4">
        <w:rPr>
          <w:rFonts w:ascii="Times New Roman" w:eastAsia="Calibri" w:hAnsi="Times New Roman" w:cs="Times New Roman" w:hint="default"/>
        </w:rPr>
        <w:t>vnej daň</w:t>
      </w:r>
      <w:r w:rsidRPr="00AC70A4">
        <w:rPr>
          <w:rFonts w:ascii="Times New Roman" w:eastAsia="Calibri" w:hAnsi="Times New Roman" w:cs="Times New Roman" w:hint="default"/>
        </w:rPr>
        <w:t>ovej sadzby ma</w:t>
      </w:r>
      <w:r w:rsidRPr="00AC70A4">
        <w:rPr>
          <w:rFonts w:ascii="Times New Roman" w:eastAsia="Calibri" w:hAnsi="Times New Roman" w:cs="Times New Roman" w:hint="default"/>
        </w:rPr>
        <w:t>l</w:t>
      </w:r>
      <w:r w:rsidRPr="00AC70A4">
        <w:rPr>
          <w:rFonts w:ascii="Times New Roman" w:eastAsia="Calibri" w:hAnsi="Times New Roman" w:cs="Times New Roman" w:hint="default"/>
        </w:rPr>
        <w:t xml:space="preserve"> pozití</w:t>
      </w:r>
      <w:r w:rsidRPr="00AC70A4">
        <w:rPr>
          <w:rFonts w:ascii="Times New Roman" w:eastAsia="Calibri" w:hAnsi="Times New Roman" w:cs="Times New Roman" w:hint="default"/>
        </w:rPr>
        <w:t>vny vplyv na vý</w:t>
      </w:r>
      <w:r w:rsidRPr="00AC70A4">
        <w:rPr>
          <w:rFonts w:ascii="Times New Roman" w:eastAsia="Calibri" w:hAnsi="Times New Roman" w:cs="Times New Roman" w:hint="default"/>
        </w:rPr>
        <w:t>nos SD z tabaku. V prí</w:t>
      </w:r>
      <w:r w:rsidRPr="00AC70A4">
        <w:rPr>
          <w:rFonts w:ascii="Times New Roman" w:eastAsia="Calibri" w:hAnsi="Times New Roman" w:cs="Times New Roman" w:hint="default"/>
        </w:rPr>
        <w:t>pade ostatný</w:t>
      </w:r>
      <w:r w:rsidRPr="00AC70A4">
        <w:rPr>
          <w:rFonts w:ascii="Times New Roman" w:eastAsia="Calibri" w:hAnsi="Times New Roman" w:cs="Times New Roman" w:hint="default"/>
        </w:rPr>
        <w:t>ch SD doš</w:t>
      </w:r>
      <w:r w:rsidRPr="00AC70A4">
        <w:rPr>
          <w:rFonts w:ascii="Times New Roman" w:eastAsia="Calibri" w:hAnsi="Times New Roman" w:cs="Times New Roman" w:hint="default"/>
        </w:rPr>
        <w:t>lo medzi rokmi 2014 a 2015 k miernemu rastu dane z piva a z liehu, s minimá</w:t>
      </w:r>
      <w:r w:rsidRPr="00AC70A4">
        <w:rPr>
          <w:rFonts w:ascii="Times New Roman" w:eastAsia="Calibri" w:hAnsi="Times New Roman" w:cs="Times New Roman" w:hint="default"/>
        </w:rPr>
        <w:t>lnym vplyvom na celkový</w:t>
      </w:r>
      <w:r w:rsidRPr="00AC70A4">
        <w:rPr>
          <w:rFonts w:ascii="Times New Roman" w:eastAsia="Calibri" w:hAnsi="Times New Roman" w:cs="Times New Roman" w:hint="default"/>
        </w:rPr>
        <w:t xml:space="preserve"> vý</w:t>
      </w:r>
      <w:r w:rsidRPr="00AC70A4">
        <w:rPr>
          <w:rFonts w:ascii="Times New Roman" w:eastAsia="Calibri" w:hAnsi="Times New Roman" w:cs="Times New Roman" w:hint="default"/>
        </w:rPr>
        <w:t>ber.</w:t>
      </w:r>
    </w:p>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hint="default"/>
        </w:rPr>
        <w:t>Daň</w:t>
      </w:r>
      <w:r w:rsidRPr="00AC70A4">
        <w:rPr>
          <w:rFonts w:ascii="Times New Roman" w:eastAsia="Calibri" w:hAnsi="Times New Roman" w:cs="Times New Roman" w:hint="default"/>
        </w:rPr>
        <w:t xml:space="preserve"> z prí</w:t>
      </w:r>
      <w:r w:rsidRPr="00AC70A4">
        <w:rPr>
          <w:rFonts w:ascii="Times New Roman" w:eastAsia="Calibri" w:hAnsi="Times New Roman" w:cs="Times New Roman" w:hint="default"/>
        </w:rPr>
        <w:t>jmov vyberaná</w:t>
      </w:r>
      <w:r w:rsidRPr="00AC70A4">
        <w:rPr>
          <w:rFonts w:ascii="Times New Roman" w:eastAsia="Calibri" w:hAnsi="Times New Roman" w:cs="Times New Roman" w:hint="default"/>
        </w:rPr>
        <w:t xml:space="preserve"> zráž</w:t>
      </w:r>
      <w:r w:rsidRPr="00AC70A4">
        <w:rPr>
          <w:rFonts w:ascii="Times New Roman" w:eastAsia="Calibri" w:hAnsi="Times New Roman" w:cs="Times New Roman" w:hint="default"/>
        </w:rPr>
        <w:t>kou oproti predchá</w:t>
      </w:r>
      <w:r w:rsidRPr="00AC70A4">
        <w:rPr>
          <w:rFonts w:ascii="Times New Roman" w:eastAsia="Calibri" w:hAnsi="Times New Roman" w:cs="Times New Roman" w:hint="default"/>
        </w:rPr>
        <w:t>dzajú</w:t>
      </w:r>
      <w:r w:rsidRPr="00AC70A4">
        <w:rPr>
          <w:rFonts w:ascii="Times New Roman" w:eastAsia="Calibri" w:hAnsi="Times New Roman" w:cs="Times New Roman" w:hint="default"/>
        </w:rPr>
        <w:t>cemu roku poklesla o 7,5 %. Hlavný</w:t>
      </w:r>
      <w:r w:rsidRPr="00AC70A4">
        <w:rPr>
          <w:rFonts w:ascii="Times New Roman" w:eastAsia="Calibri" w:hAnsi="Times New Roman" w:cs="Times New Roman" w:hint="default"/>
        </w:rPr>
        <w:t>m</w:t>
      </w:r>
      <w:r w:rsidRPr="00AC70A4">
        <w:rPr>
          <w:rFonts w:ascii="Times New Roman" w:eastAsia="Calibri" w:hAnsi="Times New Roman" w:cs="Times New Roman" w:hint="default"/>
        </w:rPr>
        <w:t xml:space="preserve"> dô</w:t>
      </w:r>
      <w:r w:rsidRPr="00AC70A4">
        <w:rPr>
          <w:rFonts w:ascii="Times New Roman" w:eastAsia="Calibri" w:hAnsi="Times New Roman" w:cs="Times New Roman" w:hint="default"/>
        </w:rPr>
        <w:t>vodom je opä</w:t>
      </w:r>
      <w:r w:rsidRPr="00AC70A4">
        <w:rPr>
          <w:rFonts w:ascii="Times New Roman" w:eastAsia="Calibri" w:hAnsi="Times New Roman" w:cs="Times New Roman" w:hint="default"/>
        </w:rPr>
        <w:t>tovný</w:t>
      </w:r>
      <w:r w:rsidRPr="00AC70A4">
        <w:rPr>
          <w:rFonts w:ascii="Times New Roman" w:eastAsia="Calibri" w:hAnsi="Times New Roman" w:cs="Times New Roman" w:hint="default"/>
        </w:rPr>
        <w:t xml:space="preserve"> medziroč</w:t>
      </w:r>
      <w:r w:rsidRPr="00AC70A4">
        <w:rPr>
          <w:rFonts w:ascii="Times New Roman" w:eastAsia="Calibri" w:hAnsi="Times New Roman" w:cs="Times New Roman" w:hint="default"/>
        </w:rPr>
        <w:t>ný</w:t>
      </w:r>
      <w:r w:rsidRPr="00AC70A4">
        <w:rPr>
          <w:rFonts w:ascii="Times New Roman" w:eastAsia="Calibri" w:hAnsi="Times New Roman" w:cs="Times New Roman" w:hint="default"/>
        </w:rPr>
        <w:t xml:space="preserve"> pokles ú</w:t>
      </w:r>
      <w:r w:rsidRPr="00AC70A4">
        <w:rPr>
          <w:rFonts w:ascii="Times New Roman" w:eastAsia="Calibri" w:hAnsi="Times New Roman" w:cs="Times New Roman" w:hint="default"/>
        </w:rPr>
        <w:t>rokovej bá</w:t>
      </w:r>
      <w:r w:rsidRPr="00AC70A4">
        <w:rPr>
          <w:rFonts w:ascii="Times New Roman" w:eastAsia="Calibri" w:hAnsi="Times New Roman" w:cs="Times New Roman" w:hint="default"/>
        </w:rPr>
        <w:t>zy takmer o 19 </w:t>
      </w:r>
      <w:r w:rsidRPr="00AC70A4">
        <w:rPr>
          <w:rFonts w:ascii="Times New Roman" w:eastAsia="Calibri" w:hAnsi="Times New Roman" w:cs="Times New Roman" w:hint="default"/>
        </w:rPr>
        <w:t>%, ktorý</w:t>
      </w:r>
      <w:r w:rsidRPr="00AC70A4">
        <w:rPr>
          <w:rFonts w:ascii="Times New Roman" w:eastAsia="Calibri" w:hAnsi="Times New Roman" w:cs="Times New Roman" w:hint="default"/>
        </w:rPr>
        <w:t xml:space="preserve"> bol iba č</w:t>
      </w:r>
      <w:r w:rsidRPr="00AC70A4">
        <w:rPr>
          <w:rFonts w:ascii="Times New Roman" w:eastAsia="Calibri" w:hAnsi="Times New Roman" w:cs="Times New Roman" w:hint="default"/>
        </w:rPr>
        <w:t>iastoč</w:t>
      </w:r>
      <w:r w:rsidRPr="00AC70A4">
        <w:rPr>
          <w:rFonts w:ascii="Times New Roman" w:eastAsia="Calibri" w:hAnsi="Times New Roman" w:cs="Times New Roman" w:hint="default"/>
        </w:rPr>
        <w:t>ne kompenzovaný</w:t>
      </w:r>
      <w:r w:rsidRPr="00AC70A4">
        <w:rPr>
          <w:rFonts w:ascii="Times New Roman" w:eastAsia="Calibri" w:hAnsi="Times New Roman" w:cs="Times New Roman" w:hint="default"/>
        </w:rPr>
        <w:t xml:space="preserve"> jednorazový</w:t>
      </w:r>
      <w:r w:rsidRPr="00AC70A4">
        <w:rPr>
          <w:rFonts w:ascii="Times New Roman" w:eastAsia="Calibri" w:hAnsi="Times New Roman" w:cs="Times New Roman" w:hint="default"/>
        </w:rPr>
        <w:t>m neoč</w:t>
      </w:r>
      <w:r w:rsidRPr="00AC70A4">
        <w:rPr>
          <w:rFonts w:ascii="Times New Roman" w:eastAsia="Calibri" w:hAnsi="Times New Roman" w:cs="Times New Roman" w:hint="default"/>
        </w:rPr>
        <w:t>aká</w:t>
      </w:r>
      <w:r w:rsidRPr="00AC70A4">
        <w:rPr>
          <w:rFonts w:ascii="Times New Roman" w:eastAsia="Calibri" w:hAnsi="Times New Roman" w:cs="Times New Roman" w:hint="default"/>
        </w:rPr>
        <w:t>vaný</w:t>
      </w:r>
      <w:r w:rsidRPr="00AC70A4">
        <w:rPr>
          <w:rFonts w:ascii="Times New Roman" w:eastAsia="Calibri" w:hAnsi="Times New Roman" w:cs="Times New Roman" w:hint="default"/>
        </w:rPr>
        <w:t>m plnení</w:t>
      </w:r>
      <w:r w:rsidRPr="00AC70A4">
        <w:rPr>
          <w:rFonts w:ascii="Times New Roman" w:eastAsia="Calibri" w:hAnsi="Times New Roman" w:cs="Times New Roman" w:hint="default"/>
        </w:rPr>
        <w:t>m zráž</w:t>
      </w:r>
      <w:r w:rsidRPr="00AC70A4">
        <w:rPr>
          <w:rFonts w:ascii="Times New Roman" w:eastAsia="Calibri" w:hAnsi="Times New Roman" w:cs="Times New Roman" w:hint="default"/>
        </w:rPr>
        <w:t>kovej dane z licenč</w:t>
      </w:r>
      <w:r w:rsidRPr="00AC70A4">
        <w:rPr>
          <w:rFonts w:ascii="Times New Roman" w:eastAsia="Calibri" w:hAnsi="Times New Roman" w:cs="Times New Roman" w:hint="default"/>
        </w:rPr>
        <w:t>né</w:t>
      </w:r>
      <w:r w:rsidRPr="00AC70A4">
        <w:rPr>
          <w:rFonts w:ascii="Times New Roman" w:eastAsia="Calibri" w:hAnsi="Times New Roman" w:cs="Times New Roman" w:hint="default"/>
        </w:rPr>
        <w:t>ho poplatku v sumá</w:t>
      </w:r>
      <w:r w:rsidRPr="00AC70A4">
        <w:rPr>
          <w:rFonts w:ascii="Times New Roman" w:eastAsia="Calibri" w:hAnsi="Times New Roman" w:cs="Times New Roman" w:hint="default"/>
        </w:rPr>
        <w:t>rnej výš</w:t>
      </w:r>
      <w:r w:rsidRPr="00AC70A4">
        <w:rPr>
          <w:rFonts w:ascii="Times New Roman" w:eastAsia="Calibri" w:hAnsi="Times New Roman" w:cs="Times New Roman" w:hint="default"/>
        </w:rPr>
        <w:t xml:space="preserve">ke 19 mil. eur. </w:t>
      </w:r>
    </w:p>
    <w:p w:rsidR="00AC70A4" w:rsidRPr="00AC70A4" w:rsidP="00AC70A4">
      <w:pPr>
        <w:bidi w:val="0"/>
        <w:spacing w:after="120" w:line="336" w:lineRule="auto"/>
        <w:jc w:val="both"/>
        <w:rPr>
          <w:rFonts w:ascii="Times New Roman" w:eastAsia="Calibri" w:hAnsi="Times New Roman" w:cs="Times New Roman"/>
        </w:rPr>
      </w:pPr>
      <w:r w:rsidRPr="00AC70A4">
        <w:rPr>
          <w:rFonts w:ascii="Times New Roman" w:eastAsia="Calibri" w:hAnsi="Times New Roman" w:cs="Times New Roman" w:hint="default"/>
        </w:rPr>
        <w:t>Medziroč</w:t>
      </w:r>
      <w:r w:rsidRPr="00AC70A4">
        <w:rPr>
          <w:rFonts w:ascii="Times New Roman" w:eastAsia="Calibri" w:hAnsi="Times New Roman" w:cs="Times New Roman" w:hint="default"/>
        </w:rPr>
        <w:t>ný</w:t>
      </w:r>
      <w:r w:rsidRPr="00AC70A4">
        <w:rPr>
          <w:rFonts w:ascii="Times New Roman" w:eastAsia="Calibri" w:hAnsi="Times New Roman" w:cs="Times New Roman" w:hint="default"/>
        </w:rPr>
        <w:t xml:space="preserve"> ná</w:t>
      </w:r>
      <w:r w:rsidRPr="00AC70A4">
        <w:rPr>
          <w:rFonts w:ascii="Times New Roman" w:eastAsia="Calibri" w:hAnsi="Times New Roman" w:cs="Times New Roman" w:hint="default"/>
        </w:rPr>
        <w:t>rast skutoč</w:t>
      </w:r>
      <w:r w:rsidRPr="00AC70A4">
        <w:rPr>
          <w:rFonts w:ascii="Times New Roman" w:eastAsia="Calibri" w:hAnsi="Times New Roman" w:cs="Times New Roman" w:hint="default"/>
        </w:rPr>
        <w:t>ný</w:t>
      </w:r>
      <w:r w:rsidRPr="00AC70A4">
        <w:rPr>
          <w:rFonts w:ascii="Times New Roman" w:eastAsia="Calibri" w:hAnsi="Times New Roman" w:cs="Times New Roman" w:hint="default"/>
        </w:rPr>
        <w:t>ch prí</w:t>
      </w:r>
      <w:r w:rsidRPr="00AC70A4">
        <w:rPr>
          <w:rFonts w:ascii="Times New Roman" w:eastAsia="Calibri" w:hAnsi="Times New Roman" w:cs="Times New Roman" w:hint="default"/>
        </w:rPr>
        <w:t>spevkov na sociá</w:t>
      </w:r>
      <w:r w:rsidRPr="00AC70A4">
        <w:rPr>
          <w:rFonts w:ascii="Times New Roman" w:eastAsia="Calibri" w:hAnsi="Times New Roman" w:cs="Times New Roman" w:hint="default"/>
        </w:rPr>
        <w:t>l</w:t>
      </w:r>
      <w:r w:rsidRPr="00AC70A4">
        <w:rPr>
          <w:rFonts w:ascii="Times New Roman" w:eastAsia="Calibri" w:hAnsi="Times New Roman" w:cs="Times New Roman" w:hint="default"/>
        </w:rPr>
        <w:t>ne zabezpeč</w:t>
      </w:r>
      <w:r w:rsidRPr="00AC70A4">
        <w:rPr>
          <w:rFonts w:ascii="Times New Roman" w:eastAsia="Calibri" w:hAnsi="Times New Roman" w:cs="Times New Roman" w:hint="default"/>
        </w:rPr>
        <w:t>enie (odvodov) o 6,6 </w:t>
      </w:r>
      <w:r w:rsidRPr="00AC70A4">
        <w:rPr>
          <w:rFonts w:ascii="Times New Roman" w:eastAsia="Calibri" w:hAnsi="Times New Roman" w:cs="Times New Roman" w:hint="default"/>
        </w:rPr>
        <w:t>% je spô</w:t>
      </w:r>
      <w:r w:rsidRPr="00AC70A4">
        <w:rPr>
          <w:rFonts w:ascii="Times New Roman" w:eastAsia="Calibri" w:hAnsi="Times New Roman" w:cs="Times New Roman" w:hint="default"/>
        </w:rPr>
        <w:t>sobený</w:t>
      </w:r>
      <w:r w:rsidRPr="00AC70A4">
        <w:rPr>
          <w:rFonts w:ascii="Times New Roman" w:eastAsia="Calibri" w:hAnsi="Times New Roman" w:cs="Times New Roman" w:hint="default"/>
        </w:rPr>
        <w:t xml:space="preserve"> najmä</w:t>
      </w:r>
      <w:r w:rsidRPr="00AC70A4">
        <w:rPr>
          <w:rFonts w:ascii="Times New Roman" w:eastAsia="Calibri" w:hAnsi="Times New Roman" w:cs="Times New Roman" w:hint="default"/>
        </w:rPr>
        <w:t xml:space="preserve"> pozití</w:t>
      </w:r>
      <w:r w:rsidRPr="00AC70A4">
        <w:rPr>
          <w:rFonts w:ascii="Times New Roman" w:eastAsia="Calibri" w:hAnsi="Times New Roman" w:cs="Times New Roman" w:hint="default"/>
        </w:rPr>
        <w:t>vnym vý</w:t>
      </w:r>
      <w:r w:rsidRPr="00AC70A4">
        <w:rPr>
          <w:rFonts w:ascii="Times New Roman" w:eastAsia="Calibri" w:hAnsi="Times New Roman" w:cs="Times New Roman" w:hint="default"/>
        </w:rPr>
        <w:t>vojom na trhu prá</w:t>
      </w:r>
      <w:r w:rsidRPr="00AC70A4">
        <w:rPr>
          <w:rFonts w:ascii="Times New Roman" w:eastAsia="Calibri" w:hAnsi="Times New Roman" w:cs="Times New Roman" w:hint="default"/>
        </w:rPr>
        <w:t>ce. Vý</w:t>
      </w:r>
      <w:r w:rsidRPr="00AC70A4">
        <w:rPr>
          <w:rFonts w:ascii="Times New Roman" w:eastAsia="Calibri" w:hAnsi="Times New Roman" w:cs="Times New Roman" w:hint="default"/>
        </w:rPr>
        <w:t>nos odvodov v </w:t>
      </w:r>
      <w:r w:rsidRPr="00AC70A4">
        <w:rPr>
          <w:rFonts w:ascii="Times New Roman" w:eastAsia="Calibri" w:hAnsi="Times New Roman" w:cs="Times New Roman" w:hint="default"/>
        </w:rPr>
        <w:t>roku 2015 bol ovplyvnený</w:t>
      </w:r>
      <w:r w:rsidRPr="00AC70A4">
        <w:rPr>
          <w:rFonts w:ascii="Times New Roman" w:eastAsia="Calibri" w:hAnsi="Times New Roman" w:cs="Times New Roman" w:hint="default"/>
        </w:rPr>
        <w:t xml:space="preserve"> aj legislatí</w:t>
      </w:r>
      <w:r w:rsidRPr="00AC70A4">
        <w:rPr>
          <w:rFonts w:ascii="Times New Roman" w:eastAsia="Calibri" w:hAnsi="Times New Roman" w:cs="Times New Roman" w:hint="default"/>
        </w:rPr>
        <w:t>vnymi opatreniami. Na vý</w:t>
      </w:r>
      <w:r w:rsidRPr="00AC70A4">
        <w:rPr>
          <w:rFonts w:ascii="Times New Roman" w:eastAsia="Calibri" w:hAnsi="Times New Roman" w:cs="Times New Roman" w:hint="default"/>
        </w:rPr>
        <w:t>nos zdravotný</w:t>
      </w:r>
      <w:r w:rsidRPr="00AC70A4">
        <w:rPr>
          <w:rFonts w:ascii="Times New Roman" w:eastAsia="Calibri" w:hAnsi="Times New Roman" w:cs="Times New Roman" w:hint="default"/>
        </w:rPr>
        <w:t>ch odvodov v </w:t>
      </w:r>
      <w:r w:rsidRPr="00AC70A4">
        <w:rPr>
          <w:rFonts w:ascii="Times New Roman" w:eastAsia="Calibri" w:hAnsi="Times New Roman" w:cs="Times New Roman" w:hint="default"/>
        </w:rPr>
        <w:t>roku 2015 malo negatí</w:t>
      </w:r>
      <w:r w:rsidRPr="00AC70A4">
        <w:rPr>
          <w:rFonts w:ascii="Times New Roman" w:eastAsia="Calibri" w:hAnsi="Times New Roman" w:cs="Times New Roman" w:hint="default"/>
        </w:rPr>
        <w:t>vny vplyv na ú</w:t>
      </w:r>
      <w:r w:rsidRPr="00AC70A4">
        <w:rPr>
          <w:rFonts w:ascii="Times New Roman" w:eastAsia="Calibri" w:hAnsi="Times New Roman" w:cs="Times New Roman" w:hint="default"/>
        </w:rPr>
        <w:t>rovni 69 500 tis. eur zavedeni</w:t>
      </w:r>
      <w:r w:rsidRPr="00AC70A4">
        <w:rPr>
          <w:rFonts w:ascii="Times New Roman" w:eastAsia="Calibri" w:hAnsi="Times New Roman" w:cs="Times New Roman" w:hint="default"/>
        </w:rPr>
        <w:t>e</w:t>
      </w:r>
      <w:r w:rsidRPr="00AC70A4">
        <w:rPr>
          <w:rFonts w:ascii="Times New Roman" w:eastAsia="Calibri" w:hAnsi="Times New Roman" w:cs="Times New Roman" w:hint="default"/>
        </w:rPr>
        <w:t xml:space="preserve"> odvodovej odpočí</w:t>
      </w:r>
      <w:r w:rsidRPr="00AC70A4">
        <w:rPr>
          <w:rFonts w:ascii="Times New Roman" w:eastAsia="Calibri" w:hAnsi="Times New Roman" w:cs="Times New Roman" w:hint="default"/>
        </w:rPr>
        <w:t>tateľ</w:t>
      </w:r>
      <w:r w:rsidRPr="00AC70A4">
        <w:rPr>
          <w:rFonts w:ascii="Times New Roman" w:eastAsia="Calibri" w:hAnsi="Times New Roman" w:cs="Times New Roman" w:hint="default"/>
        </w:rPr>
        <w:t>nej polož</w:t>
      </w:r>
      <w:r w:rsidRPr="00AC70A4">
        <w:rPr>
          <w:rFonts w:ascii="Times New Roman" w:eastAsia="Calibri" w:hAnsi="Times New Roman" w:cs="Times New Roman" w:hint="default"/>
        </w:rPr>
        <w:t>ky. Naopak, vý</w:t>
      </w:r>
      <w:r w:rsidRPr="00AC70A4">
        <w:rPr>
          <w:rFonts w:ascii="Times New Roman" w:eastAsia="Calibri" w:hAnsi="Times New Roman" w:cs="Times New Roman" w:hint="default"/>
        </w:rPr>
        <w:t>voj sociá</w:t>
      </w:r>
      <w:r w:rsidRPr="00AC70A4">
        <w:rPr>
          <w:rFonts w:ascii="Times New Roman" w:eastAsia="Calibri" w:hAnsi="Times New Roman" w:cs="Times New Roman" w:hint="default"/>
        </w:rPr>
        <w:t>lnych odvodov bol pozití</w:t>
      </w:r>
      <w:r w:rsidRPr="00AC70A4">
        <w:rPr>
          <w:rFonts w:ascii="Times New Roman" w:eastAsia="Calibri" w:hAnsi="Times New Roman" w:cs="Times New Roman" w:hint="default"/>
        </w:rPr>
        <w:t>vne ovplyvnený</w:t>
      </w:r>
      <w:r w:rsidRPr="00AC70A4">
        <w:rPr>
          <w:rFonts w:ascii="Times New Roman" w:eastAsia="Calibri" w:hAnsi="Times New Roman" w:cs="Times New Roman" w:hint="default"/>
        </w:rPr>
        <w:t xml:space="preserve"> vý</w:t>
      </w:r>
      <w:r w:rsidRPr="00AC70A4">
        <w:rPr>
          <w:rFonts w:ascii="Times New Roman" w:eastAsia="Calibri" w:hAnsi="Times New Roman" w:cs="Times New Roman" w:hint="default"/>
        </w:rPr>
        <w:t>stupom sporiteľ</w:t>
      </w:r>
      <w:r w:rsidRPr="00AC70A4">
        <w:rPr>
          <w:rFonts w:ascii="Times New Roman" w:eastAsia="Calibri" w:hAnsi="Times New Roman" w:cs="Times New Roman" w:hint="default"/>
        </w:rPr>
        <w:t>ov z </w:t>
      </w:r>
      <w:r w:rsidRPr="00AC70A4">
        <w:rPr>
          <w:rFonts w:ascii="Times New Roman" w:eastAsia="Calibri" w:hAnsi="Times New Roman" w:cs="Times New Roman" w:hint="default"/>
        </w:rPr>
        <w:t>druhé</w:t>
      </w:r>
      <w:r w:rsidRPr="00AC70A4">
        <w:rPr>
          <w:rFonts w:ascii="Times New Roman" w:eastAsia="Calibri" w:hAnsi="Times New Roman" w:cs="Times New Roman" w:hint="default"/>
        </w:rPr>
        <w:t>ho dô</w:t>
      </w:r>
      <w:r w:rsidRPr="00AC70A4">
        <w:rPr>
          <w:rFonts w:ascii="Times New Roman" w:eastAsia="Calibri" w:hAnsi="Times New Roman" w:cs="Times New Roman" w:hint="default"/>
        </w:rPr>
        <w:t>chodkové</w:t>
      </w:r>
      <w:r w:rsidRPr="00AC70A4">
        <w:rPr>
          <w:rFonts w:ascii="Times New Roman" w:eastAsia="Calibri" w:hAnsi="Times New Roman" w:cs="Times New Roman" w:hint="default"/>
        </w:rPr>
        <w:t>ho piliera a </w:t>
      </w:r>
      <w:r w:rsidRPr="00AC70A4">
        <w:rPr>
          <w:rFonts w:ascii="Times New Roman" w:eastAsia="Calibri" w:hAnsi="Times New Roman" w:cs="Times New Roman" w:hint="default"/>
        </w:rPr>
        <w:t>zvýš</w:t>
      </w:r>
      <w:r w:rsidRPr="00AC70A4">
        <w:rPr>
          <w:rFonts w:ascii="Times New Roman" w:eastAsia="Calibri" w:hAnsi="Times New Roman" w:cs="Times New Roman" w:hint="default"/>
        </w:rPr>
        <w:t>ení</w:t>
      </w:r>
      <w:r w:rsidRPr="00AC70A4">
        <w:rPr>
          <w:rFonts w:ascii="Times New Roman" w:eastAsia="Calibri" w:hAnsi="Times New Roman" w:cs="Times New Roman" w:hint="default"/>
        </w:rPr>
        <w:t>m odvodov do priebež</w:t>
      </w:r>
      <w:r w:rsidRPr="00AC70A4">
        <w:rPr>
          <w:rFonts w:ascii="Times New Roman" w:eastAsia="Calibri" w:hAnsi="Times New Roman" w:cs="Times New Roman" w:hint="default"/>
        </w:rPr>
        <w:t>né</w:t>
      </w:r>
      <w:r w:rsidRPr="00AC70A4">
        <w:rPr>
          <w:rFonts w:ascii="Times New Roman" w:eastAsia="Calibri" w:hAnsi="Times New Roman" w:cs="Times New Roman" w:hint="default"/>
        </w:rPr>
        <w:t>ho dô</w:t>
      </w:r>
      <w:r w:rsidRPr="00AC70A4">
        <w:rPr>
          <w:rFonts w:ascii="Times New Roman" w:eastAsia="Calibri" w:hAnsi="Times New Roman" w:cs="Times New Roman" w:hint="default"/>
        </w:rPr>
        <w:t>chodkové</w:t>
      </w:r>
      <w:r w:rsidRPr="00AC70A4">
        <w:rPr>
          <w:rFonts w:ascii="Times New Roman" w:eastAsia="Calibri" w:hAnsi="Times New Roman" w:cs="Times New Roman" w:hint="default"/>
        </w:rPr>
        <w:t>ho systé</w:t>
      </w:r>
      <w:r w:rsidRPr="00AC70A4">
        <w:rPr>
          <w:rFonts w:ascii="Times New Roman" w:eastAsia="Calibri" w:hAnsi="Times New Roman" w:cs="Times New Roman" w:hint="default"/>
        </w:rPr>
        <w:t>mu vo výš</w:t>
      </w:r>
      <w:r w:rsidRPr="00AC70A4">
        <w:rPr>
          <w:rFonts w:ascii="Times New Roman" w:eastAsia="Calibri" w:hAnsi="Times New Roman" w:cs="Times New Roman" w:hint="default"/>
        </w:rPr>
        <w:t>ke 15</w:t>
      </w:r>
      <w:r w:rsidR="00016D79">
        <w:rPr>
          <w:rFonts w:ascii="Times New Roman" w:eastAsia="Calibri" w:hAnsi="Times New Roman" w:cs="Times New Roman"/>
        </w:rPr>
        <w:t xml:space="preserve"> </w:t>
      </w:r>
      <w:r w:rsidRPr="00AC70A4">
        <w:rPr>
          <w:rFonts w:ascii="Times New Roman" w:eastAsia="Calibri" w:hAnsi="Times New Roman" w:cs="Times New Roman"/>
        </w:rPr>
        <w:t>9</w:t>
      </w:r>
      <w:r w:rsidR="00016D79">
        <w:rPr>
          <w:rFonts w:ascii="Times New Roman" w:eastAsia="Calibri" w:hAnsi="Times New Roman" w:cs="Times New Roman"/>
        </w:rPr>
        <w:t>00</w:t>
      </w:r>
      <w:r w:rsidRPr="00AC70A4">
        <w:rPr>
          <w:rFonts w:ascii="Times New Roman" w:eastAsia="Calibri" w:hAnsi="Times New Roman" w:cs="Times New Roman"/>
        </w:rPr>
        <w:t xml:space="preserve"> tis. eur.</w:t>
      </w:r>
    </w:p>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rPr>
        <w:t>V </w:t>
      </w:r>
      <w:r w:rsidRPr="00AC70A4">
        <w:rPr>
          <w:rFonts w:ascii="Times New Roman" w:eastAsia="Calibri" w:hAnsi="Times New Roman" w:cs="Times New Roman" w:hint="default"/>
        </w:rPr>
        <w:t>rá</w:t>
      </w:r>
      <w:r w:rsidRPr="00AC70A4">
        <w:rPr>
          <w:rFonts w:ascii="Times New Roman" w:eastAsia="Calibri" w:hAnsi="Times New Roman" w:cs="Times New Roman" w:hint="default"/>
        </w:rPr>
        <w:t>mci nedaň</w:t>
      </w:r>
      <w:r w:rsidRPr="00AC70A4">
        <w:rPr>
          <w:rFonts w:ascii="Times New Roman" w:eastAsia="Calibri" w:hAnsi="Times New Roman" w:cs="Times New Roman" w:hint="default"/>
        </w:rPr>
        <w:t>ový</w:t>
      </w:r>
      <w:r w:rsidRPr="00AC70A4">
        <w:rPr>
          <w:rFonts w:ascii="Times New Roman" w:eastAsia="Calibri" w:hAnsi="Times New Roman" w:cs="Times New Roman" w:hint="default"/>
        </w:rPr>
        <w:t>ch prí</w:t>
      </w:r>
      <w:r w:rsidRPr="00AC70A4">
        <w:rPr>
          <w:rFonts w:ascii="Times New Roman" w:eastAsia="Calibri" w:hAnsi="Times New Roman" w:cs="Times New Roman" w:hint="default"/>
        </w:rPr>
        <w:t xml:space="preserve">jmov </w:t>
      </w:r>
      <w:r w:rsidRPr="00AC70A4">
        <w:rPr>
          <w:rFonts w:ascii="Times New Roman" w:eastAsia="Calibri" w:hAnsi="Times New Roman" w:cs="Times New Roman" w:hint="default"/>
        </w:rPr>
        <w:t>vzrá</w:t>
      </w:r>
      <w:r w:rsidRPr="00AC70A4">
        <w:rPr>
          <w:rFonts w:ascii="Times New Roman" w:eastAsia="Calibri" w:hAnsi="Times New Roman" w:cs="Times New Roman" w:hint="default"/>
        </w:rPr>
        <w:t>stol v </w:t>
      </w:r>
      <w:r w:rsidRPr="00AC70A4">
        <w:rPr>
          <w:rFonts w:ascii="Times New Roman" w:eastAsia="Calibri" w:hAnsi="Times New Roman" w:cs="Times New Roman" w:hint="default"/>
        </w:rPr>
        <w:t>roku 2015 vý</w:t>
      </w:r>
      <w:r w:rsidRPr="00AC70A4">
        <w:rPr>
          <w:rFonts w:ascii="Times New Roman" w:eastAsia="Calibri" w:hAnsi="Times New Roman" w:cs="Times New Roman" w:hint="default"/>
        </w:rPr>
        <w:t>nos z </w:t>
      </w:r>
      <w:r w:rsidRPr="00AC70A4">
        <w:rPr>
          <w:rFonts w:ascii="Times New Roman" w:eastAsia="Calibri" w:hAnsi="Times New Roman" w:cs="Times New Roman" w:hint="default"/>
          <w:b/>
        </w:rPr>
        <w:t>trž</w:t>
      </w:r>
      <w:r w:rsidRPr="00AC70A4">
        <w:rPr>
          <w:rFonts w:ascii="Times New Roman" w:eastAsia="Calibri" w:hAnsi="Times New Roman" w:cs="Times New Roman" w:hint="default"/>
          <w:b/>
        </w:rPr>
        <w:t>ieb</w:t>
      </w:r>
      <w:r w:rsidRPr="00AC70A4">
        <w:rPr>
          <w:rFonts w:ascii="Times New Roman" w:eastAsia="Calibri" w:hAnsi="Times New Roman" w:cs="Times New Roman" w:hint="default"/>
        </w:rPr>
        <w:t xml:space="preserve"> za produkciu verejnej sprá</w:t>
      </w:r>
      <w:r w:rsidRPr="00AC70A4">
        <w:rPr>
          <w:rFonts w:ascii="Times New Roman" w:eastAsia="Calibri" w:hAnsi="Times New Roman" w:cs="Times New Roman" w:hint="default"/>
        </w:rPr>
        <w:t>vy o 5,8 %. V </w:t>
      </w:r>
      <w:r w:rsidRPr="00AC70A4">
        <w:rPr>
          <w:rFonts w:ascii="Times New Roman" w:eastAsia="Calibri" w:hAnsi="Times New Roman" w:cs="Times New Roman" w:hint="default"/>
        </w:rPr>
        <w:t>uplynulý</w:t>
      </w:r>
      <w:r w:rsidRPr="00AC70A4">
        <w:rPr>
          <w:rFonts w:ascii="Times New Roman" w:eastAsia="Calibri" w:hAnsi="Times New Roman" w:cs="Times New Roman" w:hint="default"/>
        </w:rPr>
        <w:t>ch troch rokoch rá</w:t>
      </w:r>
      <w:r w:rsidRPr="00AC70A4">
        <w:rPr>
          <w:rFonts w:ascii="Times New Roman" w:eastAsia="Calibri" w:hAnsi="Times New Roman" w:cs="Times New Roman" w:hint="default"/>
        </w:rPr>
        <w:t>stol vý</w:t>
      </w:r>
      <w:r w:rsidRPr="00AC70A4">
        <w:rPr>
          <w:rFonts w:ascii="Times New Roman" w:eastAsia="Calibri" w:hAnsi="Times New Roman" w:cs="Times New Roman" w:hint="default"/>
        </w:rPr>
        <w:t>razne podiel tejto polož</w:t>
      </w:r>
      <w:r w:rsidRPr="00AC70A4">
        <w:rPr>
          <w:rFonts w:ascii="Times New Roman" w:eastAsia="Calibri" w:hAnsi="Times New Roman" w:cs="Times New Roman" w:hint="default"/>
        </w:rPr>
        <w:t>ky na celkový</w:t>
      </w:r>
      <w:r w:rsidRPr="00AC70A4">
        <w:rPr>
          <w:rFonts w:ascii="Times New Roman" w:eastAsia="Calibri" w:hAnsi="Times New Roman" w:cs="Times New Roman" w:hint="default"/>
        </w:rPr>
        <w:t>ch prí</w:t>
      </w:r>
      <w:r w:rsidRPr="00AC70A4">
        <w:rPr>
          <w:rFonts w:ascii="Times New Roman" w:eastAsia="Calibri" w:hAnsi="Times New Roman" w:cs="Times New Roman" w:hint="default"/>
        </w:rPr>
        <w:t>jmoch verejnej sprá</w:t>
      </w:r>
      <w:r w:rsidRPr="00AC70A4">
        <w:rPr>
          <w:rFonts w:ascii="Times New Roman" w:eastAsia="Calibri" w:hAnsi="Times New Roman" w:cs="Times New Roman" w:hint="default"/>
        </w:rPr>
        <w:t>vy. Podiel trž</w:t>
      </w:r>
      <w:r w:rsidRPr="00AC70A4">
        <w:rPr>
          <w:rFonts w:ascii="Times New Roman" w:eastAsia="Calibri" w:hAnsi="Times New Roman" w:cs="Times New Roman" w:hint="default"/>
        </w:rPr>
        <w:t>ieb na prí</w:t>
      </w:r>
      <w:r w:rsidRPr="00AC70A4">
        <w:rPr>
          <w:rFonts w:ascii="Times New Roman" w:eastAsia="Calibri" w:hAnsi="Times New Roman" w:cs="Times New Roman" w:hint="default"/>
        </w:rPr>
        <w:t>jmoch verejnej sprá</w:t>
      </w:r>
      <w:r w:rsidRPr="00AC70A4">
        <w:rPr>
          <w:rFonts w:ascii="Times New Roman" w:eastAsia="Calibri" w:hAnsi="Times New Roman" w:cs="Times New Roman" w:hint="default"/>
        </w:rPr>
        <w:t>vy bol v </w:t>
      </w:r>
      <w:r w:rsidRPr="00AC70A4">
        <w:rPr>
          <w:rFonts w:ascii="Times New Roman" w:eastAsia="Calibri" w:hAnsi="Times New Roman" w:cs="Times New Roman" w:hint="default"/>
        </w:rPr>
        <w:t>roku 2012 na ú</w:t>
      </w:r>
      <w:r w:rsidRPr="00AC70A4">
        <w:rPr>
          <w:rFonts w:ascii="Times New Roman" w:eastAsia="Calibri" w:hAnsi="Times New Roman" w:cs="Times New Roman" w:hint="default"/>
        </w:rPr>
        <w:t>rovni 4,3 %, v roku</w:t>
      </w:r>
      <w:r w:rsidRPr="00AC70A4">
        <w:rPr>
          <w:rFonts w:ascii="Times New Roman" w:eastAsia="Calibri" w:hAnsi="Times New Roman" w:cs="Times New Roman" w:hint="default"/>
        </w:rPr>
        <w:t xml:space="preserve"> 2015 nará</w:t>
      </w:r>
      <w:r w:rsidRPr="00AC70A4">
        <w:rPr>
          <w:rFonts w:ascii="Times New Roman" w:eastAsia="Calibri" w:hAnsi="Times New Roman" w:cs="Times New Roman" w:hint="default"/>
        </w:rPr>
        <w:t>stol až</w:t>
      </w:r>
      <w:r w:rsidRPr="00AC70A4">
        <w:rPr>
          <w:rFonts w:ascii="Times New Roman" w:eastAsia="Calibri" w:hAnsi="Times New Roman" w:cs="Times New Roman" w:hint="default"/>
        </w:rPr>
        <w:t xml:space="preserve"> na 10,3 </w:t>
      </w:r>
      <w:r w:rsidRPr="00AC70A4">
        <w:rPr>
          <w:rFonts w:ascii="Times New Roman" w:eastAsia="Calibri" w:hAnsi="Times New Roman" w:cs="Times New Roman" w:hint="default"/>
        </w:rPr>
        <w:t>%. Hlavný</w:t>
      </w:r>
      <w:r w:rsidRPr="00AC70A4">
        <w:rPr>
          <w:rFonts w:ascii="Times New Roman" w:eastAsia="Calibri" w:hAnsi="Times New Roman" w:cs="Times New Roman" w:hint="default"/>
        </w:rPr>
        <w:t>m dô</w:t>
      </w:r>
      <w:r w:rsidRPr="00AC70A4">
        <w:rPr>
          <w:rFonts w:ascii="Times New Roman" w:eastAsia="Calibri" w:hAnsi="Times New Roman" w:cs="Times New Roman" w:hint="default"/>
        </w:rPr>
        <w:t>vodom je implementá</w:t>
      </w:r>
      <w:r w:rsidRPr="00AC70A4">
        <w:rPr>
          <w:rFonts w:ascii="Times New Roman" w:eastAsia="Calibri" w:hAnsi="Times New Roman" w:cs="Times New Roman" w:hint="default"/>
        </w:rPr>
        <w:t>cia metodiky ESA </w:t>
      </w:r>
      <w:r w:rsidRPr="00AC70A4">
        <w:rPr>
          <w:rFonts w:ascii="Times New Roman" w:eastAsia="Calibri" w:hAnsi="Times New Roman" w:cs="Times New Roman" w:hint="default"/>
        </w:rPr>
        <w:t>2010, na zá</w:t>
      </w:r>
      <w:r w:rsidRPr="00AC70A4">
        <w:rPr>
          <w:rFonts w:ascii="Times New Roman" w:eastAsia="Calibri" w:hAnsi="Times New Roman" w:cs="Times New Roman" w:hint="default"/>
        </w:rPr>
        <w:t>klade ktorej boli do sektora verejnej sprá</w:t>
      </w:r>
      <w:r w:rsidRPr="00AC70A4">
        <w:rPr>
          <w:rFonts w:ascii="Times New Roman" w:eastAsia="Calibri" w:hAnsi="Times New Roman" w:cs="Times New Roman" w:hint="default"/>
        </w:rPr>
        <w:t>vy postupne preradené</w:t>
      </w:r>
      <w:r w:rsidRPr="00AC70A4">
        <w:rPr>
          <w:rFonts w:ascii="Times New Roman" w:eastAsia="Calibri" w:hAnsi="Times New Roman" w:cs="Times New Roman" w:hint="default"/>
        </w:rPr>
        <w:t xml:space="preserve"> viaceré</w:t>
      </w:r>
      <w:r w:rsidRPr="00AC70A4">
        <w:rPr>
          <w:rFonts w:ascii="Times New Roman" w:eastAsia="Calibri" w:hAnsi="Times New Roman" w:cs="Times New Roman" w:hint="default"/>
        </w:rPr>
        <w:t xml:space="preserve"> nefinanč</w:t>
      </w:r>
      <w:r w:rsidRPr="00AC70A4">
        <w:rPr>
          <w:rFonts w:ascii="Times New Roman" w:eastAsia="Calibri" w:hAnsi="Times New Roman" w:cs="Times New Roman" w:hint="default"/>
        </w:rPr>
        <w:t>né</w:t>
      </w:r>
      <w:r w:rsidRPr="00AC70A4">
        <w:rPr>
          <w:rFonts w:ascii="Times New Roman" w:eastAsia="Calibri" w:hAnsi="Times New Roman" w:cs="Times New Roman" w:hint="default"/>
        </w:rPr>
        <w:t xml:space="preserve"> a </w:t>
      </w:r>
      <w:r w:rsidRPr="00AC70A4">
        <w:rPr>
          <w:rFonts w:ascii="Times New Roman" w:eastAsia="Calibri" w:hAnsi="Times New Roman" w:cs="Times New Roman" w:hint="default"/>
        </w:rPr>
        <w:t>finanč</w:t>
      </w:r>
      <w:r w:rsidRPr="00AC70A4">
        <w:rPr>
          <w:rFonts w:ascii="Times New Roman" w:eastAsia="Calibri" w:hAnsi="Times New Roman" w:cs="Times New Roman" w:hint="default"/>
        </w:rPr>
        <w:t>né</w:t>
      </w:r>
      <w:r w:rsidRPr="00AC70A4">
        <w:rPr>
          <w:rFonts w:ascii="Times New Roman" w:eastAsia="Calibri" w:hAnsi="Times New Roman" w:cs="Times New Roman" w:hint="default"/>
        </w:rPr>
        <w:t xml:space="preserve"> korporá</w:t>
      </w:r>
      <w:r w:rsidRPr="00AC70A4">
        <w:rPr>
          <w:rFonts w:ascii="Times New Roman" w:eastAsia="Calibri" w:hAnsi="Times New Roman" w:cs="Times New Roman" w:hint="default"/>
        </w:rPr>
        <w:t>cie (v </w:t>
      </w:r>
      <w:r w:rsidRPr="00AC70A4">
        <w:rPr>
          <w:rFonts w:ascii="Times New Roman" w:eastAsia="Calibri" w:hAnsi="Times New Roman" w:cs="Times New Roman" w:hint="default"/>
        </w:rPr>
        <w:t>roku 2015 to bola Ž</w:t>
      </w:r>
      <w:r w:rsidRPr="00AC70A4">
        <w:rPr>
          <w:rFonts w:ascii="Times New Roman" w:eastAsia="Calibri" w:hAnsi="Times New Roman" w:cs="Times New Roman" w:hint="default"/>
        </w:rPr>
        <w:t>eleznič</w:t>
      </w:r>
      <w:r w:rsidRPr="00AC70A4">
        <w:rPr>
          <w:rFonts w:ascii="Times New Roman" w:eastAsia="Calibri" w:hAnsi="Times New Roman" w:cs="Times New Roman" w:hint="default"/>
        </w:rPr>
        <w:t>ná</w:t>
      </w:r>
      <w:r w:rsidRPr="00AC70A4">
        <w:rPr>
          <w:rFonts w:ascii="Times New Roman" w:eastAsia="Calibri" w:hAnsi="Times New Roman" w:cs="Times New Roman" w:hint="default"/>
        </w:rPr>
        <w:t xml:space="preserve"> spoloč</w:t>
      </w:r>
      <w:r w:rsidRPr="00AC70A4">
        <w:rPr>
          <w:rFonts w:ascii="Times New Roman" w:eastAsia="Calibri" w:hAnsi="Times New Roman" w:cs="Times New Roman" w:hint="default"/>
        </w:rPr>
        <w:t>nosť</w:t>
      </w:r>
      <w:r w:rsidRPr="00AC70A4">
        <w:rPr>
          <w:rFonts w:ascii="Times New Roman" w:eastAsia="Calibri" w:hAnsi="Times New Roman" w:cs="Times New Roman" w:hint="default"/>
        </w:rPr>
        <w:t xml:space="preserve"> Slovensko, a.s. a Jad</w:t>
      </w:r>
      <w:r w:rsidRPr="00AC70A4">
        <w:rPr>
          <w:rFonts w:ascii="Times New Roman" w:eastAsia="Calibri" w:hAnsi="Times New Roman" w:cs="Times New Roman" w:hint="default"/>
        </w:rPr>
        <w:t>r</w:t>
      </w:r>
      <w:r w:rsidRPr="00AC70A4">
        <w:rPr>
          <w:rFonts w:ascii="Times New Roman" w:eastAsia="Calibri" w:hAnsi="Times New Roman" w:cs="Times New Roman" w:hint="default"/>
        </w:rPr>
        <w:t>ová</w:t>
      </w:r>
      <w:r w:rsidRPr="00AC70A4">
        <w:rPr>
          <w:rFonts w:ascii="Times New Roman" w:eastAsia="Calibri" w:hAnsi="Times New Roman" w:cs="Times New Roman" w:hint="default"/>
        </w:rPr>
        <w:t xml:space="preserve"> a </w:t>
      </w:r>
      <w:r w:rsidRPr="00AC70A4">
        <w:rPr>
          <w:rFonts w:ascii="Times New Roman" w:eastAsia="Calibri" w:hAnsi="Times New Roman" w:cs="Times New Roman" w:hint="default"/>
        </w:rPr>
        <w:t>vyraď</w:t>
      </w:r>
      <w:r w:rsidRPr="00AC70A4">
        <w:rPr>
          <w:rFonts w:ascii="Times New Roman" w:eastAsia="Calibri" w:hAnsi="Times New Roman" w:cs="Times New Roman" w:hint="default"/>
        </w:rPr>
        <w:t>ovacia spoloč</w:t>
      </w:r>
      <w:r w:rsidRPr="00AC70A4">
        <w:rPr>
          <w:rFonts w:ascii="Times New Roman" w:eastAsia="Calibri" w:hAnsi="Times New Roman" w:cs="Times New Roman" w:hint="default"/>
        </w:rPr>
        <w:t>nosť</w:t>
      </w:r>
      <w:r w:rsidRPr="00AC70A4">
        <w:rPr>
          <w:rFonts w:ascii="Times New Roman" w:eastAsia="Calibri" w:hAnsi="Times New Roman" w:cs="Times New Roman" w:hint="default"/>
        </w:rPr>
        <w:t>, a.s.). Hlavný</w:t>
      </w:r>
      <w:r w:rsidRPr="00AC70A4">
        <w:rPr>
          <w:rFonts w:ascii="Times New Roman" w:eastAsia="Calibri" w:hAnsi="Times New Roman" w:cs="Times New Roman" w:hint="default"/>
        </w:rPr>
        <w:t>m zdrojom prí</w:t>
      </w:r>
      <w:r w:rsidRPr="00AC70A4">
        <w:rPr>
          <w:rFonts w:ascii="Times New Roman" w:eastAsia="Calibri" w:hAnsi="Times New Roman" w:cs="Times New Roman" w:hint="default"/>
        </w:rPr>
        <w:t>jmov tý</w:t>
      </w:r>
      <w:r w:rsidRPr="00AC70A4">
        <w:rPr>
          <w:rFonts w:ascii="Times New Roman" w:eastAsia="Calibri" w:hAnsi="Times New Roman" w:cs="Times New Roman" w:hint="default"/>
        </w:rPr>
        <w:t>chto úč</w:t>
      </w:r>
      <w:r w:rsidRPr="00AC70A4">
        <w:rPr>
          <w:rFonts w:ascii="Times New Roman" w:eastAsia="Calibri" w:hAnsi="Times New Roman" w:cs="Times New Roman" w:hint="default"/>
        </w:rPr>
        <w:t>tovný</w:t>
      </w:r>
      <w:r w:rsidRPr="00AC70A4">
        <w:rPr>
          <w:rFonts w:ascii="Times New Roman" w:eastAsia="Calibri" w:hAnsi="Times New Roman" w:cs="Times New Roman" w:hint="default"/>
        </w:rPr>
        <w:t>ch jednotiek sú</w:t>
      </w:r>
      <w:r w:rsidRPr="00AC70A4">
        <w:rPr>
          <w:rFonts w:ascii="Times New Roman" w:eastAsia="Calibri" w:hAnsi="Times New Roman" w:cs="Times New Roman" w:hint="default"/>
        </w:rPr>
        <w:t xml:space="preserve"> trž</w:t>
      </w:r>
      <w:r w:rsidRPr="00AC70A4">
        <w:rPr>
          <w:rFonts w:ascii="Times New Roman" w:eastAsia="Calibri" w:hAnsi="Times New Roman" w:cs="Times New Roman" w:hint="default"/>
        </w:rPr>
        <w:t>by.</w:t>
      </w:r>
    </w:p>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b/>
        </w:rPr>
        <w:t>Dividendy a odvody zo zisku</w:t>
      </w:r>
      <w:r w:rsidRPr="00AC70A4">
        <w:rPr>
          <w:rFonts w:ascii="Times New Roman" w:eastAsia="Calibri" w:hAnsi="Times New Roman" w:cs="Times New Roman"/>
        </w:rPr>
        <w:t xml:space="preserve"> zaznamenali rast o 12,0 %. Podniky s </w:t>
      </w:r>
      <w:r w:rsidRPr="00AC70A4">
        <w:rPr>
          <w:rFonts w:ascii="Times New Roman" w:eastAsia="Calibri" w:hAnsi="Times New Roman" w:cs="Times New Roman" w:hint="default"/>
        </w:rPr>
        <w:t>najvyšší</w:t>
      </w:r>
      <w:r w:rsidRPr="00AC70A4">
        <w:rPr>
          <w:rFonts w:ascii="Times New Roman" w:eastAsia="Calibri" w:hAnsi="Times New Roman" w:cs="Times New Roman" w:hint="default"/>
        </w:rPr>
        <w:t>m vý</w:t>
      </w:r>
      <w:r w:rsidRPr="00AC70A4">
        <w:rPr>
          <w:rFonts w:ascii="Times New Roman" w:eastAsia="Calibri" w:hAnsi="Times New Roman" w:cs="Times New Roman" w:hint="default"/>
        </w:rPr>
        <w:t>nosom ESA dividend do rozpoč</w:t>
      </w:r>
      <w:r w:rsidRPr="00AC70A4">
        <w:rPr>
          <w:rFonts w:ascii="Times New Roman" w:eastAsia="Calibri" w:hAnsi="Times New Roman" w:cs="Times New Roman" w:hint="default"/>
        </w:rPr>
        <w:t>tu verejnej sprá</w:t>
      </w:r>
      <w:r w:rsidRPr="00AC70A4">
        <w:rPr>
          <w:rFonts w:ascii="Times New Roman" w:eastAsia="Calibri" w:hAnsi="Times New Roman" w:cs="Times New Roman" w:hint="default"/>
        </w:rPr>
        <w:t>vy v </w:t>
      </w:r>
      <w:r w:rsidRPr="00AC70A4">
        <w:rPr>
          <w:rFonts w:ascii="Times New Roman" w:eastAsia="Calibri" w:hAnsi="Times New Roman" w:cs="Times New Roman" w:hint="default"/>
        </w:rPr>
        <w:t>roku 2015 boli Slovenský</w:t>
      </w:r>
      <w:r w:rsidRPr="00AC70A4">
        <w:rPr>
          <w:rFonts w:ascii="Times New Roman" w:eastAsia="Calibri" w:hAnsi="Times New Roman" w:cs="Times New Roman" w:hint="default"/>
        </w:rPr>
        <w:t xml:space="preserve"> plyná</w:t>
      </w:r>
      <w:r w:rsidRPr="00AC70A4">
        <w:rPr>
          <w:rFonts w:ascii="Times New Roman" w:eastAsia="Calibri" w:hAnsi="Times New Roman" w:cs="Times New Roman" w:hint="default"/>
        </w:rPr>
        <w:t>re</w:t>
      </w:r>
      <w:r w:rsidRPr="00AC70A4">
        <w:rPr>
          <w:rFonts w:ascii="Times New Roman" w:eastAsia="Calibri" w:hAnsi="Times New Roman" w:cs="Times New Roman" w:hint="default"/>
        </w:rPr>
        <w:t>nský</w:t>
      </w:r>
      <w:r w:rsidRPr="00AC70A4">
        <w:rPr>
          <w:rFonts w:ascii="Times New Roman" w:eastAsia="Calibri" w:hAnsi="Times New Roman" w:cs="Times New Roman" w:hint="default"/>
        </w:rPr>
        <w:t xml:space="preserve"> priemysel, a.s. (126 970 </w:t>
      </w:r>
      <w:r w:rsidRPr="00AC70A4">
        <w:rPr>
          <w:rFonts w:ascii="Times New Roman" w:eastAsia="Calibri" w:hAnsi="Times New Roman" w:cs="Times New Roman" w:hint="default"/>
        </w:rPr>
        <w:t>tis. eur), Slovenská</w:t>
      </w:r>
      <w:r w:rsidRPr="00AC70A4">
        <w:rPr>
          <w:rFonts w:ascii="Times New Roman" w:eastAsia="Calibri" w:hAnsi="Times New Roman" w:cs="Times New Roman" w:hint="default"/>
        </w:rPr>
        <w:t xml:space="preserve"> elektrizač</w:t>
      </w:r>
      <w:r w:rsidRPr="00AC70A4">
        <w:rPr>
          <w:rFonts w:ascii="Times New Roman" w:eastAsia="Calibri" w:hAnsi="Times New Roman" w:cs="Times New Roman" w:hint="default"/>
        </w:rPr>
        <w:t>ná</w:t>
      </w:r>
      <w:r w:rsidRPr="00AC70A4">
        <w:rPr>
          <w:rFonts w:ascii="Times New Roman" w:eastAsia="Calibri" w:hAnsi="Times New Roman" w:cs="Times New Roman" w:hint="default"/>
        </w:rPr>
        <w:t xml:space="preserve"> a </w:t>
      </w:r>
      <w:r w:rsidRPr="00AC70A4">
        <w:rPr>
          <w:rFonts w:ascii="Times New Roman" w:eastAsia="Calibri" w:hAnsi="Times New Roman" w:cs="Times New Roman" w:hint="default"/>
        </w:rPr>
        <w:t>prenosová</w:t>
      </w:r>
      <w:r w:rsidRPr="00AC70A4">
        <w:rPr>
          <w:rFonts w:ascii="Times New Roman" w:eastAsia="Calibri" w:hAnsi="Times New Roman" w:cs="Times New Roman" w:hint="default"/>
        </w:rPr>
        <w:t xml:space="preserve"> sú</w:t>
      </w:r>
      <w:r w:rsidRPr="00AC70A4">
        <w:rPr>
          <w:rFonts w:ascii="Times New Roman" w:eastAsia="Calibri" w:hAnsi="Times New Roman" w:cs="Times New Roman" w:hint="default"/>
        </w:rPr>
        <w:t>stava, a.s. (66 135 tis. eur) a </w:t>
      </w:r>
      <w:r w:rsidRPr="00AC70A4">
        <w:rPr>
          <w:rFonts w:ascii="Times New Roman" w:eastAsia="Calibri" w:hAnsi="Times New Roman" w:cs="Times New Roman" w:hint="default"/>
        </w:rPr>
        <w:t>tri energetické</w:t>
      </w:r>
      <w:r w:rsidRPr="00AC70A4">
        <w:rPr>
          <w:rFonts w:ascii="Times New Roman" w:eastAsia="Calibri" w:hAnsi="Times New Roman" w:cs="Times New Roman" w:hint="default"/>
        </w:rPr>
        <w:t xml:space="preserve"> podniky (v sú</w:t>
      </w:r>
      <w:r w:rsidRPr="00AC70A4">
        <w:rPr>
          <w:rFonts w:ascii="Times New Roman" w:eastAsia="Calibri" w:hAnsi="Times New Roman" w:cs="Times New Roman" w:hint="default"/>
        </w:rPr>
        <w:t>hrnnej výš</w:t>
      </w:r>
      <w:r w:rsidRPr="00AC70A4">
        <w:rPr>
          <w:rFonts w:ascii="Times New Roman" w:eastAsia="Calibri" w:hAnsi="Times New Roman" w:cs="Times New Roman" w:hint="default"/>
        </w:rPr>
        <w:t>ke 85 010 </w:t>
      </w:r>
      <w:r w:rsidRPr="00AC70A4">
        <w:rPr>
          <w:rFonts w:ascii="Times New Roman" w:eastAsia="Calibri" w:hAnsi="Times New Roman" w:cs="Times New Roman" w:hint="default"/>
        </w:rPr>
        <w:t>tis. eur). Najvyšší</w:t>
      </w:r>
      <w:r w:rsidRPr="00AC70A4">
        <w:rPr>
          <w:rFonts w:ascii="Times New Roman" w:eastAsia="Calibri" w:hAnsi="Times New Roman" w:cs="Times New Roman" w:hint="default"/>
        </w:rPr>
        <w:t xml:space="preserve"> rast dividend zaznamenali v roku 2015 Slovak Telecom, a.s. o 98,5 % a Tipos,</w:t>
      </w:r>
      <w:r w:rsidRPr="00AC70A4">
        <w:rPr>
          <w:rFonts w:ascii="Times New Roman" w:eastAsia="Calibri" w:hAnsi="Times New Roman" w:cs="Times New Roman" w:hint="default"/>
        </w:rPr>
        <w:t xml:space="preserve"> </w:t>
      </w:r>
      <w:r w:rsidRPr="00AC70A4">
        <w:rPr>
          <w:rFonts w:ascii="Times New Roman" w:eastAsia="Calibri" w:hAnsi="Times New Roman" w:cs="Times New Roman" w:hint="default"/>
        </w:rPr>
        <w:t>a.s. o 183,3 %.</w:t>
      </w:r>
    </w:p>
    <w:p w:rsidR="00CB210E" w:rsidP="00033696">
      <w:pPr>
        <w:bidi w:val="0"/>
        <w:spacing w:after="120" w:line="336" w:lineRule="auto"/>
        <w:jc w:val="both"/>
        <w:rPr>
          <w:rFonts w:ascii="Times New Roman" w:hAnsi="Times New Roman" w:cs="Times New Roman"/>
        </w:rPr>
      </w:pPr>
      <w:r w:rsidRPr="00AC70A4" w:rsidR="00AC70A4">
        <w:rPr>
          <w:rFonts w:ascii="Times New Roman" w:eastAsia="Calibri" w:hAnsi="Times New Roman" w:cs="Times New Roman" w:hint="default"/>
        </w:rPr>
        <w:t>Najvyšší</w:t>
      </w:r>
      <w:r w:rsidRPr="00AC70A4" w:rsidR="00AC70A4">
        <w:rPr>
          <w:rFonts w:ascii="Times New Roman" w:eastAsia="Calibri" w:hAnsi="Times New Roman" w:cs="Times New Roman" w:hint="default"/>
        </w:rPr>
        <w:t xml:space="preserve"> rast zo vš</w:t>
      </w:r>
      <w:r w:rsidRPr="00AC70A4" w:rsidR="00AC70A4">
        <w:rPr>
          <w:rFonts w:ascii="Times New Roman" w:eastAsia="Calibri" w:hAnsi="Times New Roman" w:cs="Times New Roman" w:hint="default"/>
        </w:rPr>
        <w:t>etký</w:t>
      </w:r>
      <w:r w:rsidRPr="00AC70A4" w:rsidR="00AC70A4">
        <w:rPr>
          <w:rFonts w:ascii="Times New Roman" w:eastAsia="Calibri" w:hAnsi="Times New Roman" w:cs="Times New Roman" w:hint="default"/>
        </w:rPr>
        <w:t>ch prí</w:t>
      </w:r>
      <w:r w:rsidRPr="00AC70A4" w:rsidR="00AC70A4">
        <w:rPr>
          <w:rFonts w:ascii="Times New Roman" w:eastAsia="Calibri" w:hAnsi="Times New Roman" w:cs="Times New Roman" w:hint="default"/>
        </w:rPr>
        <w:t xml:space="preserve">jmov zaznamenali v roku 2015 </w:t>
      </w:r>
      <w:r w:rsidRPr="00AC70A4" w:rsidR="00AC70A4">
        <w:rPr>
          <w:rFonts w:ascii="Times New Roman" w:eastAsia="Calibri" w:hAnsi="Times New Roman" w:cs="Times New Roman"/>
          <w:b/>
        </w:rPr>
        <w:t>granty a transfery</w:t>
      </w:r>
      <w:r w:rsidRPr="00AC70A4" w:rsidR="00AC70A4">
        <w:rPr>
          <w:rFonts w:ascii="Times New Roman" w:eastAsia="Calibri" w:hAnsi="Times New Roman" w:cs="Times New Roman"/>
        </w:rPr>
        <w:t xml:space="preserve"> o 76,3 </w:t>
      </w:r>
      <w:r w:rsidRPr="00AC70A4" w:rsidR="00AC70A4">
        <w:rPr>
          <w:rFonts w:ascii="Times New Roman" w:eastAsia="Calibri" w:hAnsi="Times New Roman" w:cs="Times New Roman" w:hint="default"/>
        </w:rPr>
        <w:t>%, pod ktorý</w:t>
      </w:r>
      <w:r w:rsidRPr="00AC70A4" w:rsidR="00AC70A4">
        <w:rPr>
          <w:rFonts w:ascii="Times New Roman" w:eastAsia="Calibri" w:hAnsi="Times New Roman" w:cs="Times New Roman" w:hint="default"/>
        </w:rPr>
        <w:t xml:space="preserve"> sa najviac podpí</w:t>
      </w:r>
      <w:r w:rsidRPr="00AC70A4" w:rsidR="00AC70A4">
        <w:rPr>
          <w:rFonts w:ascii="Times New Roman" w:eastAsia="Calibri" w:hAnsi="Times New Roman" w:cs="Times New Roman" w:hint="default"/>
        </w:rPr>
        <w:t>sali prostriedky z fondov Euró</w:t>
      </w:r>
      <w:r w:rsidRPr="00AC70A4" w:rsidR="00AC70A4">
        <w:rPr>
          <w:rFonts w:ascii="Times New Roman" w:eastAsia="Calibri" w:hAnsi="Times New Roman" w:cs="Times New Roman" w:hint="default"/>
        </w:rPr>
        <w:t>pskej ú</w:t>
      </w:r>
      <w:r w:rsidRPr="00AC70A4" w:rsidR="00AC70A4">
        <w:rPr>
          <w:rFonts w:ascii="Times New Roman" w:eastAsia="Calibri" w:hAnsi="Times New Roman" w:cs="Times New Roman" w:hint="default"/>
        </w:rPr>
        <w:t>nie, ktoré</w:t>
      </w:r>
      <w:r w:rsidRPr="00AC70A4" w:rsidR="00AC70A4">
        <w:rPr>
          <w:rFonts w:ascii="Times New Roman" w:eastAsia="Calibri" w:hAnsi="Times New Roman" w:cs="Times New Roman" w:hint="default"/>
        </w:rPr>
        <w:t xml:space="preserve"> vzrá</w:t>
      </w:r>
      <w:r w:rsidRPr="00AC70A4" w:rsidR="00AC70A4">
        <w:rPr>
          <w:rFonts w:ascii="Times New Roman" w:eastAsia="Calibri" w:hAnsi="Times New Roman" w:cs="Times New Roman" w:hint="default"/>
        </w:rPr>
        <w:t>stli až</w:t>
      </w:r>
      <w:r w:rsidRPr="00AC70A4" w:rsidR="00AC70A4">
        <w:rPr>
          <w:rFonts w:ascii="Times New Roman" w:eastAsia="Calibri" w:hAnsi="Times New Roman" w:cs="Times New Roman" w:hint="default"/>
        </w:rPr>
        <w:t xml:space="preserve"> o 117,6 </w:t>
      </w:r>
      <w:r w:rsidRPr="00AC70A4" w:rsidR="00AC70A4">
        <w:rPr>
          <w:rFonts w:ascii="Times New Roman" w:eastAsia="Calibri" w:hAnsi="Times New Roman" w:cs="Times New Roman" w:hint="default"/>
        </w:rPr>
        <w:t>%. Vý</w:t>
      </w:r>
      <w:r w:rsidRPr="00AC70A4" w:rsidR="00AC70A4">
        <w:rPr>
          <w:rFonts w:ascii="Times New Roman" w:eastAsia="Calibri" w:hAnsi="Times New Roman" w:cs="Times New Roman" w:hint="default"/>
        </w:rPr>
        <w:t>voj tejto polož</w:t>
      </w:r>
      <w:r w:rsidRPr="00AC70A4" w:rsidR="00AC70A4">
        <w:rPr>
          <w:rFonts w:ascii="Times New Roman" w:eastAsia="Calibri" w:hAnsi="Times New Roman" w:cs="Times New Roman" w:hint="default"/>
        </w:rPr>
        <w:t>ky v </w:t>
      </w:r>
      <w:r w:rsidRPr="00AC70A4" w:rsidR="00AC70A4">
        <w:rPr>
          <w:rFonts w:ascii="Times New Roman" w:eastAsia="Calibri" w:hAnsi="Times New Roman" w:cs="Times New Roman" w:hint="default"/>
        </w:rPr>
        <w:t>plnej miere zá</w:t>
      </w:r>
      <w:r w:rsidRPr="00AC70A4" w:rsidR="00AC70A4">
        <w:rPr>
          <w:rFonts w:ascii="Times New Roman" w:eastAsia="Calibri" w:hAnsi="Times New Roman" w:cs="Times New Roman" w:hint="default"/>
        </w:rPr>
        <w:t>visí</w:t>
      </w:r>
      <w:r w:rsidRPr="00AC70A4" w:rsidR="00AC70A4">
        <w:rPr>
          <w:rFonts w:ascii="Times New Roman" w:eastAsia="Calibri" w:hAnsi="Times New Roman" w:cs="Times New Roman" w:hint="default"/>
        </w:rPr>
        <w:t xml:space="preserve"> od č</w:t>
      </w:r>
      <w:r w:rsidRPr="00AC70A4" w:rsidR="00AC70A4">
        <w:rPr>
          <w:rFonts w:ascii="Times New Roman" w:eastAsia="Calibri" w:hAnsi="Times New Roman" w:cs="Times New Roman" w:hint="default"/>
        </w:rPr>
        <w:t>erpania eur</w:t>
      </w:r>
      <w:r w:rsidRPr="00AC70A4" w:rsidR="00AC70A4">
        <w:rPr>
          <w:rFonts w:ascii="Times New Roman" w:eastAsia="Calibri" w:hAnsi="Times New Roman" w:cs="Times New Roman" w:hint="default"/>
        </w:rPr>
        <w:t>ó</w:t>
      </w:r>
      <w:r w:rsidRPr="00AC70A4" w:rsidR="00AC70A4">
        <w:rPr>
          <w:rFonts w:ascii="Times New Roman" w:eastAsia="Calibri" w:hAnsi="Times New Roman" w:cs="Times New Roman" w:hint="default"/>
        </w:rPr>
        <w:t>pskych prostriedkov na vý</w:t>
      </w:r>
      <w:r w:rsidRPr="00AC70A4" w:rsidR="00AC70A4">
        <w:rPr>
          <w:rFonts w:ascii="Times New Roman" w:eastAsia="Calibri" w:hAnsi="Times New Roman" w:cs="Times New Roman" w:hint="default"/>
        </w:rPr>
        <w:t>davkovej strane rozpoč</w:t>
      </w:r>
      <w:r w:rsidRPr="00AC70A4" w:rsidR="00AC70A4">
        <w:rPr>
          <w:rFonts w:ascii="Times New Roman" w:eastAsia="Calibri" w:hAnsi="Times New Roman" w:cs="Times New Roman" w:hint="default"/>
        </w:rPr>
        <w:t>tu.</w:t>
      </w:r>
      <w:r>
        <w:rPr>
          <w:rFonts w:ascii="Times New Roman" w:hAnsi="Times New Roman" w:cs="Times New Roman"/>
        </w:rPr>
        <w:br w:type="page"/>
      </w:r>
    </w:p>
    <w:p w:rsidR="00AC70A4" w:rsidRPr="00652AE0" w:rsidP="00652AE0">
      <w:pPr>
        <w:pStyle w:val="Heading2"/>
        <w:numPr>
          <w:ilvl w:val="2"/>
          <w:numId w:val="34"/>
        </w:numPr>
        <w:bidi w:val="0"/>
        <w:spacing w:after="200"/>
        <w:ind w:left="709" w:hanging="709"/>
        <w:rPr>
          <w:rStyle w:val="Heading3Char"/>
          <w:rFonts w:eastAsiaTheme="majorEastAsia" w:hint="default"/>
          <w:lang w:val="sk-SK" w:eastAsia="en-US"/>
        </w:rPr>
      </w:pPr>
      <w:bookmarkStart w:id="89" w:name="_Toc401920019"/>
      <w:bookmarkStart w:id="90" w:name="_Toc465258486"/>
      <w:bookmarkEnd w:id="88"/>
      <w:r w:rsidRPr="00652AE0">
        <w:rPr>
          <w:rStyle w:val="Heading3Char"/>
          <w:rFonts w:eastAsiaTheme="majorEastAsia" w:hint="default"/>
          <w:lang w:val="sk-SK" w:eastAsia="en-US"/>
        </w:rPr>
        <w:t>Vý</w:t>
      </w:r>
      <w:r w:rsidRPr="00652AE0">
        <w:rPr>
          <w:rStyle w:val="Heading3Char"/>
          <w:rFonts w:eastAsiaTheme="majorEastAsia" w:hint="default"/>
          <w:lang w:val="sk-SK" w:eastAsia="en-US"/>
        </w:rPr>
        <w:t>davky verejnej sprá</w:t>
      </w:r>
      <w:r w:rsidRPr="00652AE0">
        <w:rPr>
          <w:rStyle w:val="Heading3Char"/>
          <w:rFonts w:eastAsiaTheme="majorEastAsia" w:hint="default"/>
          <w:lang w:val="sk-SK" w:eastAsia="en-US"/>
        </w:rPr>
        <w:t>vy</w:t>
      </w:r>
      <w:bookmarkEnd w:id="89"/>
      <w:bookmarkEnd w:id="90"/>
    </w:p>
    <w:p w:rsidR="00AC70A4" w:rsidRPr="00AC70A4" w:rsidP="00AC70A4">
      <w:pPr>
        <w:bidi w:val="0"/>
        <w:spacing w:after="120" w:line="336" w:lineRule="auto"/>
        <w:jc w:val="both"/>
        <w:rPr>
          <w:rFonts w:ascii="Times New Roman" w:hAnsi="Times New Roman" w:cs="Times New Roman"/>
        </w:rPr>
      </w:pPr>
      <w:r w:rsidRPr="00AC70A4">
        <w:rPr>
          <w:rFonts w:ascii="Times New Roman" w:hAnsi="Times New Roman" w:cs="Times New Roman"/>
          <w:b/>
        </w:rPr>
        <w:t xml:space="preserve">Celkové výdavky </w:t>
      </w:r>
      <w:r w:rsidRPr="00AC70A4">
        <w:rPr>
          <w:rFonts w:ascii="Times New Roman" w:hAnsi="Times New Roman" w:cs="Times New Roman"/>
        </w:rPr>
        <w:t xml:space="preserve">verejnej správy v roku 2015 v metodike ESA 2010 dosiahli </w:t>
      </w:r>
      <w:r w:rsidRPr="00AC70A4">
        <w:rPr>
          <w:rFonts w:ascii="Times New Roman" w:hAnsi="Times New Roman"/>
          <w:bCs/>
        </w:rPr>
        <w:t>35 850 419</w:t>
      </w:r>
      <w:r w:rsidRPr="00AC70A4">
        <w:rPr>
          <w:rFonts w:ascii="Times New Roman" w:hAnsi="Times New Roman"/>
          <w:b/>
          <w:bCs/>
        </w:rPr>
        <w:t> </w:t>
      </w:r>
      <w:r w:rsidRPr="00AC70A4">
        <w:rPr>
          <w:rFonts w:ascii="Times New Roman" w:hAnsi="Times New Roman"/>
        </w:rPr>
        <w:t>tis. eur (45,6 % HDP)</w:t>
      </w:r>
      <w:r w:rsidRPr="00AC70A4">
        <w:rPr>
          <w:rFonts w:ascii="Times New Roman" w:hAnsi="Times New Roman" w:cs="Times New Roman"/>
        </w:rPr>
        <w:t>, medziročne sa celkové výdavky zvýšili o 12,3 %.</w:t>
      </w:r>
    </w:p>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hint="default"/>
          <w:b/>
        </w:rPr>
        <w:t>Kompenzá</w:t>
      </w:r>
      <w:r w:rsidRPr="00AC70A4">
        <w:rPr>
          <w:rFonts w:ascii="Times New Roman" w:eastAsia="Calibri" w:hAnsi="Times New Roman" w:cs="Times New Roman" w:hint="default"/>
          <w:b/>
        </w:rPr>
        <w:t>cie zamestnancov</w:t>
      </w:r>
      <w:r w:rsidRPr="00AC70A4">
        <w:rPr>
          <w:rFonts w:ascii="Times New Roman" w:eastAsia="Calibri" w:hAnsi="Times New Roman" w:cs="Times New Roman" w:hint="default"/>
        </w:rPr>
        <w:t xml:space="preserve"> vzrá</w:t>
      </w:r>
      <w:r w:rsidRPr="00AC70A4">
        <w:rPr>
          <w:rFonts w:ascii="Times New Roman" w:eastAsia="Calibri" w:hAnsi="Times New Roman" w:cs="Times New Roman" w:hint="default"/>
        </w:rPr>
        <w:t>stli v roku 2015 o 5,3 </w:t>
      </w:r>
      <w:r w:rsidRPr="00AC70A4">
        <w:rPr>
          <w:rFonts w:ascii="Times New Roman" w:eastAsia="Calibri" w:hAnsi="Times New Roman" w:cs="Times New Roman" w:hint="default"/>
        </w:rPr>
        <w:t>%. Na medziroč</w:t>
      </w:r>
      <w:r w:rsidRPr="00AC70A4">
        <w:rPr>
          <w:rFonts w:ascii="Times New Roman" w:eastAsia="Calibri" w:hAnsi="Times New Roman" w:cs="Times New Roman" w:hint="default"/>
        </w:rPr>
        <w:t>ný</w:t>
      </w:r>
      <w:r w:rsidRPr="00AC70A4">
        <w:rPr>
          <w:rFonts w:ascii="Times New Roman" w:eastAsia="Calibri" w:hAnsi="Times New Roman" w:cs="Times New Roman" w:hint="default"/>
        </w:rPr>
        <w:t xml:space="preserve"> rast vplý</w:t>
      </w:r>
      <w:r w:rsidRPr="00AC70A4">
        <w:rPr>
          <w:rFonts w:ascii="Times New Roman" w:eastAsia="Calibri" w:hAnsi="Times New Roman" w:cs="Times New Roman" w:hint="default"/>
        </w:rPr>
        <w:t>valo zvýš</w:t>
      </w:r>
      <w:r w:rsidRPr="00AC70A4">
        <w:rPr>
          <w:rFonts w:ascii="Times New Roman" w:eastAsia="Calibri" w:hAnsi="Times New Roman" w:cs="Times New Roman" w:hint="default"/>
        </w:rPr>
        <w:t>enie platový</w:t>
      </w:r>
      <w:r w:rsidRPr="00AC70A4">
        <w:rPr>
          <w:rFonts w:ascii="Times New Roman" w:eastAsia="Calibri" w:hAnsi="Times New Roman" w:cs="Times New Roman" w:hint="default"/>
        </w:rPr>
        <w:t>ch tarí</w:t>
      </w:r>
      <w:r w:rsidRPr="00AC70A4">
        <w:rPr>
          <w:rFonts w:ascii="Times New Roman" w:eastAsia="Calibri" w:hAnsi="Times New Roman" w:cs="Times New Roman" w:hint="default"/>
        </w:rPr>
        <w:t>f š</w:t>
      </w:r>
      <w:r w:rsidRPr="00AC70A4">
        <w:rPr>
          <w:rFonts w:ascii="Times New Roman" w:eastAsia="Calibri" w:hAnsi="Times New Roman" w:cs="Times New Roman" w:hint="default"/>
        </w:rPr>
        <w:t>tá</w:t>
      </w:r>
      <w:r w:rsidRPr="00AC70A4">
        <w:rPr>
          <w:rFonts w:ascii="Times New Roman" w:eastAsia="Calibri" w:hAnsi="Times New Roman" w:cs="Times New Roman" w:hint="default"/>
        </w:rPr>
        <w:t>tnych zamestnancov a </w:t>
      </w:r>
      <w:r w:rsidRPr="00AC70A4">
        <w:rPr>
          <w:rFonts w:ascii="Times New Roman" w:eastAsia="Calibri" w:hAnsi="Times New Roman" w:cs="Times New Roman" w:hint="default"/>
        </w:rPr>
        <w:t>niektorý</w:t>
      </w:r>
      <w:r w:rsidRPr="00AC70A4">
        <w:rPr>
          <w:rFonts w:ascii="Times New Roman" w:eastAsia="Calibri" w:hAnsi="Times New Roman" w:cs="Times New Roman" w:hint="default"/>
        </w:rPr>
        <w:t>ch skupí</w:t>
      </w:r>
      <w:r w:rsidRPr="00AC70A4">
        <w:rPr>
          <w:rFonts w:ascii="Times New Roman" w:eastAsia="Calibri" w:hAnsi="Times New Roman" w:cs="Times New Roman" w:hint="default"/>
        </w:rPr>
        <w:t>n zamestnancov pri vý</w:t>
      </w:r>
      <w:r w:rsidRPr="00AC70A4">
        <w:rPr>
          <w:rFonts w:ascii="Times New Roman" w:eastAsia="Calibri" w:hAnsi="Times New Roman" w:cs="Times New Roman" w:hint="default"/>
        </w:rPr>
        <w:t>kone prá</w:t>
      </w:r>
      <w:r w:rsidRPr="00AC70A4">
        <w:rPr>
          <w:rFonts w:ascii="Times New Roman" w:eastAsia="Calibri" w:hAnsi="Times New Roman" w:cs="Times New Roman" w:hint="default"/>
        </w:rPr>
        <w:t>c vo verejnom zá</w:t>
      </w:r>
      <w:r w:rsidRPr="00AC70A4">
        <w:rPr>
          <w:rFonts w:ascii="Times New Roman" w:eastAsia="Calibri" w:hAnsi="Times New Roman" w:cs="Times New Roman" w:hint="default"/>
        </w:rPr>
        <w:t>ujme o 1,5 </w:t>
      </w:r>
      <w:r w:rsidRPr="00AC70A4">
        <w:rPr>
          <w:rFonts w:ascii="Times New Roman" w:eastAsia="Calibri" w:hAnsi="Times New Roman" w:cs="Times New Roman" w:hint="default"/>
        </w:rPr>
        <w:t>% od januá</w:t>
      </w:r>
      <w:r w:rsidRPr="00AC70A4">
        <w:rPr>
          <w:rFonts w:ascii="Times New Roman" w:eastAsia="Calibri" w:hAnsi="Times New Roman" w:cs="Times New Roman" w:hint="default"/>
        </w:rPr>
        <w:t>ra 2015 a </w:t>
      </w:r>
      <w:r w:rsidRPr="00AC70A4">
        <w:rPr>
          <w:rFonts w:ascii="Times New Roman" w:eastAsia="Calibri" w:hAnsi="Times New Roman" w:cs="Times New Roman" w:hint="default"/>
        </w:rPr>
        <w:t>ď</w:t>
      </w:r>
      <w:r w:rsidRPr="00AC70A4">
        <w:rPr>
          <w:rFonts w:ascii="Times New Roman" w:eastAsia="Calibri" w:hAnsi="Times New Roman" w:cs="Times New Roman" w:hint="default"/>
        </w:rPr>
        <w:t>alš</w:t>
      </w:r>
      <w:r w:rsidRPr="00AC70A4">
        <w:rPr>
          <w:rFonts w:ascii="Times New Roman" w:eastAsia="Calibri" w:hAnsi="Times New Roman" w:cs="Times New Roman" w:hint="default"/>
        </w:rPr>
        <w:t>ie zvýš</w:t>
      </w:r>
      <w:r w:rsidRPr="00AC70A4">
        <w:rPr>
          <w:rFonts w:ascii="Times New Roman" w:eastAsia="Calibri" w:hAnsi="Times New Roman" w:cs="Times New Roman" w:hint="default"/>
        </w:rPr>
        <w:t>enie o 1 </w:t>
      </w:r>
      <w:r w:rsidRPr="00AC70A4">
        <w:rPr>
          <w:rFonts w:ascii="Times New Roman" w:eastAsia="Calibri" w:hAnsi="Times New Roman" w:cs="Times New Roman" w:hint="default"/>
        </w:rPr>
        <w:t>% od 1. jú</w:t>
      </w:r>
      <w:r w:rsidRPr="00AC70A4">
        <w:rPr>
          <w:rFonts w:ascii="Times New Roman" w:eastAsia="Calibri" w:hAnsi="Times New Roman" w:cs="Times New Roman" w:hint="default"/>
        </w:rPr>
        <w:t>la 2015. Platové</w:t>
      </w:r>
      <w:r w:rsidRPr="00AC70A4">
        <w:rPr>
          <w:rFonts w:ascii="Times New Roman" w:eastAsia="Calibri" w:hAnsi="Times New Roman" w:cs="Times New Roman" w:hint="default"/>
        </w:rPr>
        <w:t xml:space="preserve"> tarify p</w:t>
      </w:r>
      <w:r w:rsidRPr="00AC70A4">
        <w:rPr>
          <w:rFonts w:ascii="Times New Roman" w:eastAsia="Calibri" w:hAnsi="Times New Roman" w:cs="Times New Roman" w:hint="default"/>
        </w:rPr>
        <w:t>e</w:t>
      </w:r>
      <w:r w:rsidRPr="00AC70A4">
        <w:rPr>
          <w:rFonts w:ascii="Times New Roman" w:eastAsia="Calibri" w:hAnsi="Times New Roman" w:cs="Times New Roman" w:hint="default"/>
        </w:rPr>
        <w:t>dagogický</w:t>
      </w:r>
      <w:r w:rsidRPr="00AC70A4">
        <w:rPr>
          <w:rFonts w:ascii="Times New Roman" w:eastAsia="Calibri" w:hAnsi="Times New Roman" w:cs="Times New Roman" w:hint="default"/>
        </w:rPr>
        <w:t>ch a </w:t>
      </w:r>
      <w:r w:rsidRPr="00AC70A4">
        <w:rPr>
          <w:rFonts w:ascii="Times New Roman" w:eastAsia="Calibri" w:hAnsi="Times New Roman" w:cs="Times New Roman" w:hint="default"/>
        </w:rPr>
        <w:t>odborný</w:t>
      </w:r>
      <w:r w:rsidRPr="00AC70A4">
        <w:rPr>
          <w:rFonts w:ascii="Times New Roman" w:eastAsia="Calibri" w:hAnsi="Times New Roman" w:cs="Times New Roman" w:hint="default"/>
        </w:rPr>
        <w:t>ch zamestnancov sa zvýš</w:t>
      </w:r>
      <w:r w:rsidRPr="00AC70A4">
        <w:rPr>
          <w:rFonts w:ascii="Times New Roman" w:eastAsia="Calibri" w:hAnsi="Times New Roman" w:cs="Times New Roman" w:hint="default"/>
        </w:rPr>
        <w:t>ili od januá</w:t>
      </w:r>
      <w:r w:rsidRPr="00AC70A4">
        <w:rPr>
          <w:rFonts w:ascii="Times New Roman" w:eastAsia="Calibri" w:hAnsi="Times New Roman" w:cs="Times New Roman" w:hint="default"/>
        </w:rPr>
        <w:t xml:space="preserve">ra o 5 %. </w:t>
      </w:r>
    </w:p>
    <w:p w:rsidR="00AC70A4" w:rsidRPr="00AC70A4" w:rsidP="00AC70A4">
      <w:pPr>
        <w:bidi w:val="0"/>
        <w:spacing w:after="120" w:line="336" w:lineRule="auto"/>
        <w:jc w:val="both"/>
        <w:rPr>
          <w:rFonts w:ascii="Times New Roman" w:eastAsia="Calibri" w:hAnsi="Times New Roman" w:cs="Times New Roman" w:hint="default"/>
        </w:rPr>
      </w:pPr>
      <w:r w:rsidRPr="000E7FD2" w:rsidR="000E7FD2">
        <w:rPr>
          <w:rFonts w:ascii="Times New Roman" w:eastAsia="Calibri" w:hAnsi="Times New Roman" w:cs="Times New Roman"/>
          <w:b/>
        </w:rPr>
        <w:t>Rast</w:t>
      </w:r>
      <w:r w:rsidR="000E7FD2">
        <w:rPr>
          <w:rFonts w:ascii="Times New Roman" w:eastAsia="Calibri" w:hAnsi="Times New Roman" w:cs="Times New Roman"/>
        </w:rPr>
        <w:t xml:space="preserve"> </w:t>
      </w:r>
      <w:r w:rsidRPr="000E7FD2" w:rsidR="000E7FD2">
        <w:rPr>
          <w:rFonts w:ascii="Times New Roman" w:eastAsia="Calibri" w:hAnsi="Times New Roman" w:cs="Times New Roman"/>
          <w:b/>
        </w:rPr>
        <w:t>medzispotreby</w:t>
      </w:r>
      <w:r w:rsidR="000E7FD2">
        <w:rPr>
          <w:rFonts w:ascii="Times New Roman" w:eastAsia="Calibri" w:hAnsi="Times New Roman" w:cs="Times New Roman"/>
        </w:rPr>
        <w:t xml:space="preserve"> dosiahol </w:t>
      </w:r>
      <w:r w:rsidRPr="00AC70A4">
        <w:rPr>
          <w:rFonts w:ascii="Times New Roman" w:eastAsia="Calibri" w:hAnsi="Times New Roman" w:cs="Times New Roman"/>
        </w:rPr>
        <w:t>9,1 % (spotreba tovarov a </w:t>
      </w:r>
      <w:r w:rsidRPr="00AC70A4">
        <w:rPr>
          <w:rFonts w:ascii="Times New Roman" w:eastAsia="Calibri" w:hAnsi="Times New Roman" w:cs="Times New Roman" w:hint="default"/>
        </w:rPr>
        <w:t>služ</w:t>
      </w:r>
      <w:r w:rsidRPr="00AC70A4">
        <w:rPr>
          <w:rFonts w:ascii="Times New Roman" w:eastAsia="Calibri" w:hAnsi="Times New Roman" w:cs="Times New Roman" w:hint="default"/>
        </w:rPr>
        <w:t>ieb v </w:t>
      </w:r>
      <w:r w:rsidRPr="00AC70A4">
        <w:rPr>
          <w:rFonts w:ascii="Times New Roman" w:eastAsia="Calibri" w:hAnsi="Times New Roman" w:cs="Times New Roman" w:hint="default"/>
        </w:rPr>
        <w:t>rá</w:t>
      </w:r>
      <w:r w:rsidRPr="00AC70A4">
        <w:rPr>
          <w:rFonts w:ascii="Times New Roman" w:eastAsia="Calibri" w:hAnsi="Times New Roman" w:cs="Times New Roman" w:hint="default"/>
        </w:rPr>
        <w:t>mci verejnej sprá</w:t>
      </w:r>
      <w:r w:rsidRPr="00AC70A4">
        <w:rPr>
          <w:rFonts w:ascii="Times New Roman" w:eastAsia="Calibri" w:hAnsi="Times New Roman" w:cs="Times New Roman" w:hint="default"/>
        </w:rPr>
        <w:t>vy). Ku konsolidá</w:t>
      </w:r>
      <w:r w:rsidRPr="00AC70A4">
        <w:rPr>
          <w:rFonts w:ascii="Times New Roman" w:eastAsia="Calibri" w:hAnsi="Times New Roman" w:cs="Times New Roman" w:hint="default"/>
        </w:rPr>
        <w:t xml:space="preserve">cii najviac prispeli </w:t>
      </w:r>
      <w:r w:rsidRPr="00AC70A4">
        <w:rPr>
          <w:rFonts w:ascii="Times New Roman" w:eastAsia="Calibri" w:hAnsi="Times New Roman" w:cs="Times New Roman"/>
          <w:b/>
        </w:rPr>
        <w:t>subvencie</w:t>
      </w:r>
      <w:r w:rsidRPr="00AC70A4">
        <w:rPr>
          <w:rFonts w:ascii="Times New Roman" w:eastAsia="Calibri" w:hAnsi="Times New Roman" w:cs="Times New Roman"/>
        </w:rPr>
        <w:t xml:space="preserve"> s </w:t>
      </w:r>
      <w:r w:rsidRPr="00AC70A4">
        <w:rPr>
          <w:rFonts w:ascii="Times New Roman" w:eastAsia="Calibri" w:hAnsi="Times New Roman" w:cs="Times New Roman" w:hint="default"/>
        </w:rPr>
        <w:t>medziroč</w:t>
      </w:r>
      <w:r w:rsidRPr="00AC70A4">
        <w:rPr>
          <w:rFonts w:ascii="Times New Roman" w:eastAsia="Calibri" w:hAnsi="Times New Roman" w:cs="Times New Roman" w:hint="default"/>
        </w:rPr>
        <w:t>ný</w:t>
      </w:r>
      <w:r w:rsidRPr="00AC70A4">
        <w:rPr>
          <w:rFonts w:ascii="Times New Roman" w:eastAsia="Calibri" w:hAnsi="Times New Roman" w:cs="Times New Roman" w:hint="default"/>
        </w:rPr>
        <w:t>m poklesom o 10,8 </w:t>
      </w:r>
      <w:r w:rsidRPr="00AC70A4">
        <w:rPr>
          <w:rFonts w:ascii="Times New Roman" w:eastAsia="Calibri" w:hAnsi="Times New Roman" w:cs="Times New Roman" w:hint="default"/>
        </w:rPr>
        <w:t>% najmä</w:t>
      </w:r>
      <w:r w:rsidRPr="00AC70A4">
        <w:rPr>
          <w:rFonts w:ascii="Times New Roman" w:eastAsia="Calibri" w:hAnsi="Times New Roman" w:cs="Times New Roman" w:hint="default"/>
        </w:rPr>
        <w:t xml:space="preserve"> kvô</w:t>
      </w:r>
      <w:r w:rsidRPr="00AC70A4">
        <w:rPr>
          <w:rFonts w:ascii="Times New Roman" w:eastAsia="Calibri" w:hAnsi="Times New Roman" w:cs="Times New Roman" w:hint="default"/>
        </w:rPr>
        <w:t>li vý</w:t>
      </w:r>
      <w:r w:rsidRPr="00AC70A4">
        <w:rPr>
          <w:rFonts w:ascii="Times New Roman" w:eastAsia="Calibri" w:hAnsi="Times New Roman" w:cs="Times New Roman" w:hint="default"/>
        </w:rPr>
        <w:t>razné</w:t>
      </w:r>
      <w:r w:rsidRPr="00AC70A4">
        <w:rPr>
          <w:rFonts w:ascii="Times New Roman" w:eastAsia="Calibri" w:hAnsi="Times New Roman" w:cs="Times New Roman" w:hint="default"/>
        </w:rPr>
        <w:t>mu pokl</w:t>
      </w:r>
      <w:r w:rsidRPr="00AC70A4">
        <w:rPr>
          <w:rFonts w:ascii="Times New Roman" w:eastAsia="Calibri" w:hAnsi="Times New Roman" w:cs="Times New Roman" w:hint="default"/>
        </w:rPr>
        <w:t>esu dotá</w:t>
      </w:r>
      <w:r w:rsidRPr="00AC70A4">
        <w:rPr>
          <w:rFonts w:ascii="Times New Roman" w:eastAsia="Calibri" w:hAnsi="Times New Roman" w:cs="Times New Roman" w:hint="default"/>
        </w:rPr>
        <w:t>cií</w:t>
      </w:r>
      <w:r w:rsidRPr="00AC70A4">
        <w:rPr>
          <w:rFonts w:ascii="Times New Roman" w:eastAsia="Calibri" w:hAnsi="Times New Roman" w:cs="Times New Roman" w:hint="default"/>
        </w:rPr>
        <w:t xml:space="preserve"> do poľ</w:t>
      </w:r>
      <w:r w:rsidRPr="00AC70A4">
        <w:rPr>
          <w:rFonts w:ascii="Times New Roman" w:eastAsia="Calibri" w:hAnsi="Times New Roman" w:cs="Times New Roman" w:hint="default"/>
        </w:rPr>
        <w:t>nohospodá</w:t>
      </w:r>
      <w:r w:rsidRPr="00AC70A4">
        <w:rPr>
          <w:rFonts w:ascii="Times New Roman" w:eastAsia="Calibri" w:hAnsi="Times New Roman" w:cs="Times New Roman" w:hint="default"/>
        </w:rPr>
        <w:t>rstva a </w:t>
      </w:r>
      <w:r w:rsidRPr="00AC70A4">
        <w:rPr>
          <w:rFonts w:ascii="Times New Roman" w:eastAsia="Calibri" w:hAnsi="Times New Roman" w:cs="Times New Roman" w:hint="default"/>
        </w:rPr>
        <w:t>ž</w:t>
      </w:r>
      <w:r w:rsidRPr="00AC70A4">
        <w:rPr>
          <w:rFonts w:ascii="Times New Roman" w:eastAsia="Calibri" w:hAnsi="Times New Roman" w:cs="Times New Roman" w:hint="default"/>
        </w:rPr>
        <w:t>eleznič</w:t>
      </w:r>
      <w:r w:rsidRPr="00AC70A4">
        <w:rPr>
          <w:rFonts w:ascii="Times New Roman" w:eastAsia="Calibri" w:hAnsi="Times New Roman" w:cs="Times New Roman" w:hint="default"/>
        </w:rPr>
        <w:t>nej dopravy, dotá</w:t>
      </w:r>
      <w:r w:rsidRPr="00AC70A4">
        <w:rPr>
          <w:rFonts w:ascii="Times New Roman" w:eastAsia="Calibri" w:hAnsi="Times New Roman" w:cs="Times New Roman" w:hint="default"/>
        </w:rPr>
        <w:t>cie do cestnej dopravy naopak vzrá</w:t>
      </w:r>
      <w:r w:rsidRPr="00AC70A4">
        <w:rPr>
          <w:rFonts w:ascii="Times New Roman" w:eastAsia="Calibri" w:hAnsi="Times New Roman" w:cs="Times New Roman" w:hint="default"/>
        </w:rPr>
        <w:t>stli až</w:t>
      </w:r>
      <w:r w:rsidRPr="00AC70A4">
        <w:rPr>
          <w:rFonts w:ascii="Times New Roman" w:eastAsia="Calibri" w:hAnsi="Times New Roman" w:cs="Times New Roman" w:hint="default"/>
        </w:rPr>
        <w:t xml:space="preserve"> o 50,7 %.</w:t>
      </w:r>
    </w:p>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hint="default"/>
          <w:b/>
        </w:rPr>
        <w:t>Sociá</w:t>
      </w:r>
      <w:r w:rsidRPr="00AC70A4">
        <w:rPr>
          <w:rFonts w:ascii="Times New Roman" w:eastAsia="Calibri" w:hAnsi="Times New Roman" w:cs="Times New Roman" w:hint="default"/>
          <w:b/>
        </w:rPr>
        <w:t>lne transfery</w:t>
      </w:r>
      <w:r w:rsidRPr="00AC70A4">
        <w:rPr>
          <w:rFonts w:ascii="Times New Roman" w:eastAsia="Calibri" w:hAnsi="Times New Roman" w:cs="Times New Roman" w:hint="default"/>
        </w:rPr>
        <w:t xml:space="preserve"> obyvateľ</w:t>
      </w:r>
      <w:r w:rsidRPr="00AC70A4">
        <w:rPr>
          <w:rFonts w:ascii="Times New Roman" w:eastAsia="Calibri" w:hAnsi="Times New Roman" w:cs="Times New Roman" w:hint="default"/>
        </w:rPr>
        <w:t>stvu sú</w:t>
      </w:r>
      <w:r w:rsidRPr="00AC70A4">
        <w:rPr>
          <w:rFonts w:ascii="Times New Roman" w:eastAsia="Calibri" w:hAnsi="Times New Roman" w:cs="Times New Roman" w:hint="default"/>
        </w:rPr>
        <w:t xml:space="preserve"> najvý</w:t>
      </w:r>
      <w:r w:rsidRPr="00AC70A4">
        <w:rPr>
          <w:rFonts w:ascii="Times New Roman" w:eastAsia="Calibri" w:hAnsi="Times New Roman" w:cs="Times New Roman" w:hint="default"/>
        </w:rPr>
        <w:t>raznejš</w:t>
      </w:r>
      <w:r w:rsidRPr="00AC70A4">
        <w:rPr>
          <w:rFonts w:ascii="Times New Roman" w:eastAsia="Calibri" w:hAnsi="Times New Roman" w:cs="Times New Roman" w:hint="default"/>
        </w:rPr>
        <w:t>ou polož</w:t>
      </w:r>
      <w:r w:rsidRPr="00AC70A4">
        <w:rPr>
          <w:rFonts w:ascii="Times New Roman" w:eastAsia="Calibri" w:hAnsi="Times New Roman" w:cs="Times New Roman" w:hint="default"/>
        </w:rPr>
        <w:t>kou rozpoč</w:t>
      </w:r>
      <w:r w:rsidRPr="00AC70A4">
        <w:rPr>
          <w:rFonts w:ascii="Times New Roman" w:eastAsia="Calibri" w:hAnsi="Times New Roman" w:cs="Times New Roman" w:hint="default"/>
        </w:rPr>
        <w:t>tu verejnej sprá</w:t>
      </w:r>
      <w:r w:rsidRPr="00AC70A4">
        <w:rPr>
          <w:rFonts w:ascii="Times New Roman" w:eastAsia="Calibri" w:hAnsi="Times New Roman" w:cs="Times New Roman" w:hint="default"/>
        </w:rPr>
        <w:t>vy, v </w:t>
      </w:r>
      <w:r w:rsidRPr="00AC70A4">
        <w:rPr>
          <w:rFonts w:ascii="Times New Roman" w:eastAsia="Calibri" w:hAnsi="Times New Roman" w:cs="Times New Roman" w:hint="default"/>
        </w:rPr>
        <w:t>roku 2015 mali podiel na celkový</w:t>
      </w:r>
      <w:r w:rsidRPr="00AC70A4">
        <w:rPr>
          <w:rFonts w:ascii="Times New Roman" w:eastAsia="Calibri" w:hAnsi="Times New Roman" w:cs="Times New Roman" w:hint="default"/>
        </w:rPr>
        <w:t>ch vý</w:t>
      </w:r>
      <w:r w:rsidRPr="00AC70A4">
        <w:rPr>
          <w:rFonts w:ascii="Times New Roman" w:eastAsia="Calibri" w:hAnsi="Times New Roman" w:cs="Times New Roman" w:hint="default"/>
        </w:rPr>
        <w:t>davkoch 41,7 % a opr</w:t>
      </w:r>
      <w:r w:rsidRPr="00AC70A4">
        <w:rPr>
          <w:rFonts w:ascii="Times New Roman" w:eastAsia="Calibri" w:hAnsi="Times New Roman" w:cs="Times New Roman" w:hint="default"/>
        </w:rPr>
        <w:t>oti predchá</w:t>
      </w:r>
      <w:r w:rsidRPr="00AC70A4">
        <w:rPr>
          <w:rFonts w:ascii="Times New Roman" w:eastAsia="Calibri" w:hAnsi="Times New Roman" w:cs="Times New Roman" w:hint="default"/>
        </w:rPr>
        <w:t>dzajú</w:t>
      </w:r>
      <w:r w:rsidRPr="00AC70A4">
        <w:rPr>
          <w:rFonts w:ascii="Times New Roman" w:eastAsia="Calibri" w:hAnsi="Times New Roman" w:cs="Times New Roman" w:hint="default"/>
        </w:rPr>
        <w:t>cemu roku vzrá</w:t>
      </w:r>
      <w:r w:rsidRPr="00AC70A4">
        <w:rPr>
          <w:rFonts w:ascii="Times New Roman" w:eastAsia="Calibri" w:hAnsi="Times New Roman" w:cs="Times New Roman" w:hint="default"/>
        </w:rPr>
        <w:t>stli o 3,2 </w:t>
      </w:r>
      <w:r w:rsidRPr="00AC70A4">
        <w:rPr>
          <w:rFonts w:ascii="Times New Roman" w:eastAsia="Calibri" w:hAnsi="Times New Roman" w:cs="Times New Roman" w:hint="default"/>
        </w:rPr>
        <w:t>%. Zlepš</w:t>
      </w:r>
      <w:r w:rsidRPr="00AC70A4">
        <w:rPr>
          <w:rFonts w:ascii="Times New Roman" w:eastAsia="Calibri" w:hAnsi="Times New Roman" w:cs="Times New Roman" w:hint="default"/>
        </w:rPr>
        <w:t>ený</w:t>
      </w:r>
      <w:r w:rsidRPr="00AC70A4">
        <w:rPr>
          <w:rFonts w:ascii="Times New Roman" w:eastAsia="Calibri" w:hAnsi="Times New Roman" w:cs="Times New Roman" w:hint="default"/>
        </w:rPr>
        <w:t xml:space="preserve"> ekonomický</w:t>
      </w:r>
      <w:r w:rsidRPr="00AC70A4">
        <w:rPr>
          <w:rFonts w:ascii="Times New Roman" w:eastAsia="Calibri" w:hAnsi="Times New Roman" w:cs="Times New Roman" w:hint="default"/>
        </w:rPr>
        <w:t xml:space="preserve"> vý</w:t>
      </w:r>
      <w:r w:rsidRPr="00AC70A4">
        <w:rPr>
          <w:rFonts w:ascii="Times New Roman" w:eastAsia="Calibri" w:hAnsi="Times New Roman" w:cs="Times New Roman" w:hint="default"/>
        </w:rPr>
        <w:t>voj a </w:t>
      </w:r>
      <w:r w:rsidRPr="00AC70A4">
        <w:rPr>
          <w:rFonts w:ascii="Times New Roman" w:eastAsia="Calibri" w:hAnsi="Times New Roman" w:cs="Times New Roman" w:hint="default"/>
        </w:rPr>
        <w:t>najmä</w:t>
      </w:r>
      <w:r w:rsidRPr="00AC70A4">
        <w:rPr>
          <w:rFonts w:ascii="Times New Roman" w:eastAsia="Calibri" w:hAnsi="Times New Roman" w:cs="Times New Roman" w:hint="default"/>
        </w:rPr>
        <w:t xml:space="preserve"> ož</w:t>
      </w:r>
      <w:r w:rsidRPr="00AC70A4">
        <w:rPr>
          <w:rFonts w:ascii="Times New Roman" w:eastAsia="Calibri" w:hAnsi="Times New Roman" w:cs="Times New Roman" w:hint="default"/>
        </w:rPr>
        <w:t>ivenie na trhu prá</w:t>
      </w:r>
      <w:r w:rsidRPr="00AC70A4">
        <w:rPr>
          <w:rFonts w:ascii="Times New Roman" w:eastAsia="Calibri" w:hAnsi="Times New Roman" w:cs="Times New Roman" w:hint="default"/>
        </w:rPr>
        <w:t>ce sa podpí</w:t>
      </w:r>
      <w:r w:rsidRPr="00AC70A4">
        <w:rPr>
          <w:rFonts w:ascii="Times New Roman" w:eastAsia="Calibri" w:hAnsi="Times New Roman" w:cs="Times New Roman" w:hint="default"/>
        </w:rPr>
        <w:t>sali len pod mierny ná</w:t>
      </w:r>
      <w:r w:rsidRPr="00AC70A4">
        <w:rPr>
          <w:rFonts w:ascii="Times New Roman" w:eastAsia="Calibri" w:hAnsi="Times New Roman" w:cs="Times New Roman" w:hint="default"/>
        </w:rPr>
        <w:t>rast dá</w:t>
      </w:r>
      <w:r w:rsidRPr="00AC70A4">
        <w:rPr>
          <w:rFonts w:ascii="Times New Roman" w:eastAsia="Calibri" w:hAnsi="Times New Roman" w:cs="Times New Roman" w:hint="default"/>
        </w:rPr>
        <w:t>vok v nezamestnanosti o 2,5 % a </w:t>
      </w:r>
      <w:r w:rsidRPr="00AC70A4">
        <w:rPr>
          <w:rFonts w:ascii="Times New Roman" w:eastAsia="Calibri" w:hAnsi="Times New Roman" w:cs="Times New Roman" w:hint="default"/>
        </w:rPr>
        <w:t>najmä</w:t>
      </w:r>
      <w:r w:rsidRPr="00AC70A4">
        <w:rPr>
          <w:rFonts w:ascii="Times New Roman" w:eastAsia="Calibri" w:hAnsi="Times New Roman" w:cs="Times New Roman" w:hint="default"/>
        </w:rPr>
        <w:t xml:space="preserve"> na pokles dá</w:t>
      </w:r>
      <w:r w:rsidRPr="00AC70A4">
        <w:rPr>
          <w:rFonts w:ascii="Times New Roman" w:eastAsia="Calibri" w:hAnsi="Times New Roman" w:cs="Times New Roman" w:hint="default"/>
        </w:rPr>
        <w:t>vok v </w:t>
      </w:r>
      <w:r w:rsidRPr="00AC70A4">
        <w:rPr>
          <w:rFonts w:ascii="Times New Roman" w:eastAsia="Calibri" w:hAnsi="Times New Roman" w:cs="Times New Roman" w:hint="default"/>
        </w:rPr>
        <w:t>hmotnej nú</w:t>
      </w:r>
      <w:r w:rsidRPr="00AC70A4">
        <w:rPr>
          <w:rFonts w:ascii="Times New Roman" w:eastAsia="Calibri" w:hAnsi="Times New Roman" w:cs="Times New Roman" w:hint="default"/>
        </w:rPr>
        <w:t>dzi o 12,8 % a </w:t>
      </w:r>
      <w:r w:rsidRPr="00AC70A4">
        <w:rPr>
          <w:rFonts w:ascii="Times New Roman" w:eastAsia="Calibri" w:hAnsi="Times New Roman" w:cs="Times New Roman" w:hint="default"/>
        </w:rPr>
        <w:t>aktí</w:t>
      </w:r>
      <w:r w:rsidRPr="00AC70A4">
        <w:rPr>
          <w:rFonts w:ascii="Times New Roman" w:eastAsia="Calibri" w:hAnsi="Times New Roman" w:cs="Times New Roman" w:hint="default"/>
        </w:rPr>
        <w:t>vnych opatrení</w:t>
      </w:r>
      <w:r w:rsidRPr="00AC70A4">
        <w:rPr>
          <w:rFonts w:ascii="Times New Roman" w:eastAsia="Calibri" w:hAnsi="Times New Roman" w:cs="Times New Roman" w:hint="default"/>
        </w:rPr>
        <w:t xml:space="preserve"> trhu prá</w:t>
      </w:r>
      <w:r w:rsidRPr="00AC70A4">
        <w:rPr>
          <w:rFonts w:ascii="Times New Roman" w:eastAsia="Calibri" w:hAnsi="Times New Roman" w:cs="Times New Roman" w:hint="default"/>
        </w:rPr>
        <w:t>ce o 22,7 </w:t>
      </w:r>
      <w:r w:rsidRPr="00AC70A4">
        <w:rPr>
          <w:rFonts w:ascii="Times New Roman" w:eastAsia="Calibri" w:hAnsi="Times New Roman" w:cs="Times New Roman" w:hint="default"/>
        </w:rPr>
        <w:t xml:space="preserve">%. </w:t>
      </w:r>
    </w:p>
    <w:p w:rsidR="00AC70A4" w:rsidRPr="00AC70A4" w:rsidP="00AC70A4">
      <w:pPr>
        <w:bidi w:val="0"/>
        <w:spacing w:after="120" w:line="336" w:lineRule="auto"/>
        <w:jc w:val="both"/>
        <w:rPr>
          <w:rFonts w:ascii="Times New Roman" w:eastAsia="Calibri" w:hAnsi="Times New Roman" w:cs="Times New Roman"/>
        </w:rPr>
      </w:pPr>
      <w:r w:rsidRPr="00AC70A4">
        <w:rPr>
          <w:rFonts w:ascii="Times New Roman" w:eastAsia="Calibri" w:hAnsi="Times New Roman" w:cs="Times New Roman" w:hint="default"/>
        </w:rPr>
        <w:t>Vý</w:t>
      </w:r>
      <w:r w:rsidRPr="00AC70A4">
        <w:rPr>
          <w:rFonts w:ascii="Times New Roman" w:eastAsia="Calibri" w:hAnsi="Times New Roman" w:cs="Times New Roman" w:hint="default"/>
        </w:rPr>
        <w:t>raznou mierou ku konsolidá</w:t>
      </w:r>
      <w:r w:rsidRPr="00AC70A4">
        <w:rPr>
          <w:rFonts w:ascii="Times New Roman" w:eastAsia="Calibri" w:hAnsi="Times New Roman" w:cs="Times New Roman" w:hint="default"/>
        </w:rPr>
        <w:t xml:space="preserve">cii prispeli aj </w:t>
      </w:r>
      <w:r w:rsidRPr="00AC70A4">
        <w:rPr>
          <w:rFonts w:ascii="Times New Roman" w:eastAsia="Calibri" w:hAnsi="Times New Roman" w:cs="Times New Roman" w:hint="default"/>
          <w:b/>
        </w:rPr>
        <w:t>ú</w:t>
      </w:r>
      <w:r w:rsidRPr="00AC70A4">
        <w:rPr>
          <w:rFonts w:ascii="Times New Roman" w:eastAsia="Calibri" w:hAnsi="Times New Roman" w:cs="Times New Roman" w:hint="default"/>
          <w:b/>
        </w:rPr>
        <w:t>rokové</w:t>
      </w:r>
      <w:r w:rsidRPr="00AC70A4">
        <w:rPr>
          <w:rFonts w:ascii="Times New Roman" w:eastAsia="Calibri" w:hAnsi="Times New Roman" w:cs="Times New Roman" w:hint="default"/>
          <w:b/>
        </w:rPr>
        <w:t xml:space="preserve"> ná</w:t>
      </w:r>
      <w:r w:rsidRPr="00AC70A4">
        <w:rPr>
          <w:rFonts w:ascii="Times New Roman" w:eastAsia="Calibri" w:hAnsi="Times New Roman" w:cs="Times New Roman" w:hint="default"/>
          <w:b/>
        </w:rPr>
        <w:t>klady</w:t>
      </w:r>
      <w:r w:rsidRPr="00AC70A4">
        <w:rPr>
          <w:rFonts w:ascii="Times New Roman" w:eastAsia="Calibri" w:hAnsi="Times New Roman" w:cs="Times New Roman" w:hint="default"/>
        </w:rPr>
        <w:t xml:space="preserve"> verejné</w:t>
      </w:r>
      <w:r w:rsidRPr="00AC70A4">
        <w:rPr>
          <w:rFonts w:ascii="Times New Roman" w:eastAsia="Calibri" w:hAnsi="Times New Roman" w:cs="Times New Roman" w:hint="default"/>
        </w:rPr>
        <w:t>ho dlhu, ktoré</w:t>
      </w:r>
      <w:r w:rsidRPr="00AC70A4">
        <w:rPr>
          <w:rFonts w:ascii="Times New Roman" w:eastAsia="Calibri" w:hAnsi="Times New Roman" w:cs="Times New Roman" w:hint="default"/>
        </w:rPr>
        <w:t xml:space="preserve"> v roku 2015 klesli o 4,4 %.</w:t>
      </w:r>
      <w:r w:rsidRPr="00AC70A4">
        <w:rPr>
          <w:rFonts w:ascii="Times New Roman" w:hAnsi="Times New Roman" w:cs="Times New Roman"/>
        </w:rPr>
        <w:t xml:space="preserve"> Hlavným dôvodom bol menší nárast verejného dlhu oproti predchádzajúcim rokom (hotovostný schodok štátneho rozpočtu sa medziročne znížil o 990 775 tis. eur) a pretrvávajúci pokles úrokových sadzieb</w:t>
      </w:r>
      <w:r w:rsidRPr="00AC70A4">
        <w:rPr>
          <w:rFonts w:ascii="Times New Roman" w:eastAsia="Calibri" w:hAnsi="Times New Roman" w:cs="Times New Roman"/>
        </w:rPr>
        <w:t xml:space="preserve"> na trhu. </w:t>
      </w:r>
    </w:p>
    <w:p w:rsidR="00AC70A4" w:rsidRPr="00AC70A4" w:rsidP="00AC70A4">
      <w:pPr>
        <w:bidi w:val="0"/>
        <w:spacing w:after="120" w:line="336" w:lineRule="auto"/>
        <w:jc w:val="both"/>
        <w:rPr>
          <w:rFonts w:ascii="Times New Roman" w:eastAsia="Calibri" w:hAnsi="Times New Roman" w:cs="Times New Roman" w:hint="default"/>
        </w:rPr>
      </w:pPr>
      <w:r w:rsidRPr="00AC70A4">
        <w:rPr>
          <w:rFonts w:ascii="Times New Roman" w:eastAsia="Calibri" w:hAnsi="Times New Roman" w:cs="Times New Roman" w:hint="default"/>
        </w:rPr>
        <w:t>Najvý</w:t>
      </w:r>
      <w:r w:rsidRPr="00AC70A4">
        <w:rPr>
          <w:rFonts w:ascii="Times New Roman" w:eastAsia="Calibri" w:hAnsi="Times New Roman" w:cs="Times New Roman" w:hint="default"/>
        </w:rPr>
        <w:t>raznejš</w:t>
      </w:r>
      <w:r w:rsidRPr="00AC70A4">
        <w:rPr>
          <w:rFonts w:ascii="Times New Roman" w:eastAsia="Calibri" w:hAnsi="Times New Roman" w:cs="Times New Roman" w:hint="default"/>
        </w:rPr>
        <w:t>ie rá</w:t>
      </w:r>
      <w:r w:rsidRPr="00AC70A4">
        <w:rPr>
          <w:rFonts w:ascii="Times New Roman" w:eastAsia="Calibri" w:hAnsi="Times New Roman" w:cs="Times New Roman" w:hint="default"/>
        </w:rPr>
        <w:t>stli spomedzi vš</w:t>
      </w:r>
      <w:r w:rsidRPr="00AC70A4">
        <w:rPr>
          <w:rFonts w:ascii="Times New Roman" w:eastAsia="Calibri" w:hAnsi="Times New Roman" w:cs="Times New Roman" w:hint="default"/>
        </w:rPr>
        <w:t>etký</w:t>
      </w:r>
      <w:r w:rsidRPr="00AC70A4">
        <w:rPr>
          <w:rFonts w:ascii="Times New Roman" w:eastAsia="Calibri" w:hAnsi="Times New Roman" w:cs="Times New Roman" w:hint="default"/>
        </w:rPr>
        <w:t>ch vý</w:t>
      </w:r>
      <w:r w:rsidRPr="00AC70A4">
        <w:rPr>
          <w:rFonts w:ascii="Times New Roman" w:eastAsia="Calibri" w:hAnsi="Times New Roman" w:cs="Times New Roman" w:hint="default"/>
        </w:rPr>
        <w:t>davkov verejnej sprá</w:t>
      </w:r>
      <w:r w:rsidRPr="00AC70A4">
        <w:rPr>
          <w:rFonts w:ascii="Times New Roman" w:eastAsia="Calibri" w:hAnsi="Times New Roman" w:cs="Times New Roman" w:hint="default"/>
        </w:rPr>
        <w:t xml:space="preserve">vy </w:t>
      </w:r>
      <w:r w:rsidRPr="00AC70A4">
        <w:rPr>
          <w:rFonts w:ascii="Times New Roman" w:eastAsia="Calibri" w:hAnsi="Times New Roman" w:cs="Times New Roman" w:hint="default"/>
          <w:b/>
        </w:rPr>
        <w:t>kapitá</w:t>
      </w:r>
      <w:r w:rsidRPr="00AC70A4">
        <w:rPr>
          <w:rFonts w:ascii="Times New Roman" w:eastAsia="Calibri" w:hAnsi="Times New Roman" w:cs="Times New Roman" w:hint="default"/>
          <w:b/>
        </w:rPr>
        <w:t>lové</w:t>
      </w:r>
      <w:r w:rsidRPr="00AC70A4">
        <w:rPr>
          <w:rFonts w:ascii="Times New Roman" w:eastAsia="Calibri" w:hAnsi="Times New Roman" w:cs="Times New Roman" w:hint="default"/>
          <w:b/>
        </w:rPr>
        <w:t xml:space="preserve"> vý</w:t>
      </w:r>
      <w:r w:rsidRPr="00AC70A4">
        <w:rPr>
          <w:rFonts w:ascii="Times New Roman" w:eastAsia="Calibri" w:hAnsi="Times New Roman" w:cs="Times New Roman" w:hint="default"/>
          <w:b/>
        </w:rPr>
        <w:t>davky</w:t>
      </w:r>
      <w:r w:rsidRPr="00AC70A4">
        <w:rPr>
          <w:rFonts w:ascii="Times New Roman" w:eastAsia="Calibri" w:hAnsi="Times New Roman" w:cs="Times New Roman"/>
        </w:rPr>
        <w:t xml:space="preserve"> o 78,9 </w:t>
      </w:r>
      <w:r w:rsidRPr="00AC70A4">
        <w:rPr>
          <w:rFonts w:ascii="Times New Roman" w:eastAsia="Calibri" w:hAnsi="Times New Roman" w:cs="Times New Roman" w:hint="default"/>
        </w:rPr>
        <w:t>%. Rozhodujú</w:t>
      </w:r>
      <w:r w:rsidRPr="00AC70A4">
        <w:rPr>
          <w:rFonts w:ascii="Times New Roman" w:eastAsia="Calibri" w:hAnsi="Times New Roman" w:cs="Times New Roman" w:hint="default"/>
        </w:rPr>
        <w:t>cou mierou tento rast ovplyvnilo zlepš</w:t>
      </w:r>
      <w:r w:rsidRPr="00AC70A4">
        <w:rPr>
          <w:rFonts w:ascii="Times New Roman" w:eastAsia="Calibri" w:hAnsi="Times New Roman" w:cs="Times New Roman" w:hint="default"/>
        </w:rPr>
        <w:t>ené</w:t>
      </w:r>
      <w:r w:rsidRPr="00AC70A4">
        <w:rPr>
          <w:rFonts w:ascii="Times New Roman" w:eastAsia="Calibri" w:hAnsi="Times New Roman" w:cs="Times New Roman" w:hint="default"/>
        </w:rPr>
        <w:t xml:space="preserve"> č</w:t>
      </w:r>
      <w:r w:rsidRPr="00AC70A4">
        <w:rPr>
          <w:rFonts w:ascii="Times New Roman" w:eastAsia="Calibri" w:hAnsi="Times New Roman" w:cs="Times New Roman" w:hint="default"/>
        </w:rPr>
        <w:t>erpanie eurofondov na konci II. programové</w:t>
      </w:r>
      <w:r w:rsidRPr="00AC70A4">
        <w:rPr>
          <w:rFonts w:ascii="Times New Roman" w:eastAsia="Calibri" w:hAnsi="Times New Roman" w:cs="Times New Roman" w:hint="default"/>
        </w:rPr>
        <w:t xml:space="preserve">ho </w:t>
      </w:r>
      <w:r w:rsidRPr="00AC70A4">
        <w:rPr>
          <w:rFonts w:ascii="Times New Roman" w:eastAsia="Calibri" w:hAnsi="Times New Roman" w:cs="Times New Roman" w:hint="default"/>
        </w:rPr>
        <w:t>obdobia, ktoré</w:t>
      </w:r>
      <w:r w:rsidRPr="00AC70A4">
        <w:rPr>
          <w:rFonts w:ascii="Times New Roman" w:eastAsia="Calibri" w:hAnsi="Times New Roman" w:cs="Times New Roman" w:hint="default"/>
        </w:rPr>
        <w:t xml:space="preserve"> prostrední</w:t>
      </w:r>
      <w:r w:rsidRPr="00AC70A4">
        <w:rPr>
          <w:rFonts w:ascii="Times New Roman" w:eastAsia="Calibri" w:hAnsi="Times New Roman" w:cs="Times New Roman" w:hint="default"/>
        </w:rPr>
        <w:t>ctvom tvorby hrubé</w:t>
      </w:r>
      <w:r w:rsidRPr="00AC70A4">
        <w:rPr>
          <w:rFonts w:ascii="Times New Roman" w:eastAsia="Calibri" w:hAnsi="Times New Roman" w:cs="Times New Roman" w:hint="default"/>
        </w:rPr>
        <w:t>ho fixné</w:t>
      </w:r>
      <w:r w:rsidRPr="00AC70A4">
        <w:rPr>
          <w:rFonts w:ascii="Times New Roman" w:eastAsia="Calibri" w:hAnsi="Times New Roman" w:cs="Times New Roman" w:hint="default"/>
        </w:rPr>
        <w:t>ho kapitá</w:t>
      </w:r>
      <w:r w:rsidRPr="00AC70A4">
        <w:rPr>
          <w:rFonts w:ascii="Times New Roman" w:eastAsia="Calibri" w:hAnsi="Times New Roman" w:cs="Times New Roman" w:hint="default"/>
        </w:rPr>
        <w:t>lu pozití</w:t>
      </w:r>
      <w:r w:rsidRPr="00AC70A4">
        <w:rPr>
          <w:rFonts w:ascii="Times New Roman" w:eastAsia="Calibri" w:hAnsi="Times New Roman" w:cs="Times New Roman" w:hint="default"/>
        </w:rPr>
        <w:t>vne vplý</w:t>
      </w:r>
      <w:r w:rsidRPr="00AC70A4">
        <w:rPr>
          <w:rFonts w:ascii="Times New Roman" w:eastAsia="Calibri" w:hAnsi="Times New Roman" w:cs="Times New Roman" w:hint="default"/>
        </w:rPr>
        <w:t>valo aj na ekonomický</w:t>
      </w:r>
      <w:r w:rsidRPr="00AC70A4">
        <w:rPr>
          <w:rFonts w:ascii="Times New Roman" w:eastAsia="Calibri" w:hAnsi="Times New Roman" w:cs="Times New Roman" w:hint="default"/>
        </w:rPr>
        <w:t xml:space="preserve"> rast slovenskej ekonomiky v roku 2015.</w:t>
      </w:r>
    </w:p>
    <w:tbl>
      <w:tblPr>
        <w:tblStyle w:val="TableNormal"/>
        <w:tblW w:w="5000" w:type="pct"/>
        <w:tblCellMar>
          <w:left w:w="70" w:type="dxa"/>
          <w:right w:w="70" w:type="dxa"/>
        </w:tblCellMar>
        <w:tblLook w:val="04A0"/>
      </w:tblPr>
      <w:tblGrid>
        <w:gridCol w:w="4549"/>
        <w:gridCol w:w="1040"/>
        <w:gridCol w:w="1040"/>
        <w:gridCol w:w="1040"/>
        <w:gridCol w:w="1542"/>
      </w:tblGrid>
      <w:tr>
        <w:tblPrEx>
          <w:tblW w:w="5000" w:type="pct"/>
          <w:tblCellMar>
            <w:left w:w="70" w:type="dxa"/>
            <w:right w:w="70" w:type="dxa"/>
          </w:tblCellMar>
          <w:tblLook w:val="04A0"/>
        </w:tblPrEx>
        <w:trPr>
          <w:trHeight w:val="300"/>
        </w:trPr>
        <w:tc>
          <w:tcPr>
            <w:tcW w:w="2508" w:type="pct"/>
            <w:tcBorders>
              <w:top w:val="nil"/>
              <w:left w:val="nil"/>
              <w:bottom w:val="nil"/>
              <w:right w:val="nil"/>
            </w:tcBorders>
            <w:shd w:val="clear" w:color="000000" w:fill="000000"/>
            <w:noWrap/>
            <w:textDirection w:val="lrTb"/>
            <w:vAlign w:val="center"/>
            <w:hideMark/>
          </w:tcPr>
          <w:p w:rsidR="00AC70A4" w:rsidRPr="001654EC" w:rsidP="00A97D6F">
            <w:pPr>
              <w:bidi w:val="0"/>
              <w:spacing w:after="0" w:line="240" w:lineRule="auto"/>
              <w:rPr>
                <w:rFonts w:ascii="Times New Roman" w:hAnsi="Times New Roman" w:cs="Times New Roman"/>
                <w:b/>
                <w:bCs/>
                <w:color w:val="FFFFFF"/>
                <w:sz w:val="20"/>
                <w:szCs w:val="20"/>
                <w:lang w:eastAsia="sk-SK"/>
              </w:rPr>
            </w:pPr>
            <w:r w:rsidRPr="001654EC">
              <w:rPr>
                <w:rFonts w:ascii="Times New Roman" w:hAnsi="Times New Roman" w:cs="Times New Roman"/>
                <w:b/>
                <w:bCs/>
                <w:color w:val="FFFFFF"/>
                <w:sz w:val="20"/>
                <w:szCs w:val="20"/>
                <w:lang w:eastAsia="sk-SK"/>
              </w:rPr>
              <w:t>Výdavky verejnej správy (ESA 2010)</w:t>
            </w:r>
          </w:p>
        </w:tc>
        <w:tc>
          <w:tcPr>
            <w:tcW w:w="539" w:type="pct"/>
            <w:tcBorders>
              <w:top w:val="nil"/>
              <w:left w:val="nil"/>
              <w:bottom w:val="nil"/>
              <w:right w:val="nil"/>
            </w:tcBorders>
            <w:shd w:val="clear" w:color="000000" w:fill="000000"/>
            <w:noWrap/>
            <w:textDirection w:val="lrTb"/>
            <w:vAlign w:val="center"/>
            <w:hideMark/>
          </w:tcPr>
          <w:p w:rsidR="00AC70A4" w:rsidRPr="001654EC" w:rsidP="00A97D6F">
            <w:pPr>
              <w:bidi w:val="0"/>
              <w:spacing w:after="0" w:line="240" w:lineRule="auto"/>
              <w:rPr>
                <w:rFonts w:ascii="Times New Roman" w:hAnsi="Times New Roman" w:cs="Times New Roman"/>
                <w:b/>
                <w:bCs/>
                <w:color w:val="FFFFFF"/>
                <w:sz w:val="20"/>
                <w:szCs w:val="20"/>
                <w:lang w:eastAsia="sk-SK"/>
              </w:rPr>
            </w:pPr>
            <w:r w:rsidRPr="001654EC">
              <w:rPr>
                <w:rFonts w:ascii="Times New Roman" w:hAnsi="Times New Roman" w:cs="Times New Roman"/>
                <w:b/>
                <w:bCs/>
                <w:color w:val="FFFFFF"/>
                <w:sz w:val="20"/>
                <w:szCs w:val="20"/>
                <w:lang w:eastAsia="sk-SK"/>
              </w:rPr>
              <w:t> </w:t>
            </w:r>
          </w:p>
        </w:tc>
        <w:tc>
          <w:tcPr>
            <w:tcW w:w="539" w:type="pct"/>
            <w:tcBorders>
              <w:top w:val="nil"/>
              <w:left w:val="nil"/>
              <w:bottom w:val="nil"/>
              <w:right w:val="nil"/>
            </w:tcBorders>
            <w:shd w:val="clear" w:color="000000" w:fill="000000"/>
            <w:noWrap/>
            <w:textDirection w:val="lrTb"/>
            <w:vAlign w:val="center"/>
            <w:hideMark/>
          </w:tcPr>
          <w:p w:rsidR="00AC70A4" w:rsidRPr="001654EC" w:rsidP="00A97D6F">
            <w:pPr>
              <w:bidi w:val="0"/>
              <w:spacing w:after="0" w:line="240" w:lineRule="auto"/>
              <w:rPr>
                <w:rFonts w:ascii="Times New Roman" w:hAnsi="Times New Roman" w:cs="Times New Roman"/>
                <w:b/>
                <w:bCs/>
                <w:color w:val="FFFFFF"/>
                <w:sz w:val="20"/>
                <w:szCs w:val="20"/>
                <w:lang w:eastAsia="sk-SK"/>
              </w:rPr>
            </w:pPr>
            <w:r w:rsidRPr="001654EC">
              <w:rPr>
                <w:rFonts w:ascii="Times New Roman" w:hAnsi="Times New Roman" w:cs="Times New Roman"/>
                <w:b/>
                <w:bCs/>
                <w:color w:val="FFFFFF"/>
                <w:sz w:val="20"/>
                <w:szCs w:val="20"/>
                <w:lang w:eastAsia="sk-SK"/>
              </w:rPr>
              <w:t> </w:t>
            </w:r>
          </w:p>
        </w:tc>
        <w:tc>
          <w:tcPr>
            <w:tcW w:w="539" w:type="pct"/>
            <w:tcBorders>
              <w:top w:val="nil"/>
              <w:left w:val="nil"/>
              <w:bottom w:val="nil"/>
              <w:right w:val="nil"/>
            </w:tcBorders>
            <w:shd w:val="clear" w:color="000000" w:fill="000000"/>
            <w:noWrap/>
            <w:textDirection w:val="lrTb"/>
            <w:vAlign w:val="center"/>
            <w:hideMark/>
          </w:tcPr>
          <w:p w:rsidR="00AC70A4" w:rsidRPr="001654EC" w:rsidP="00A97D6F">
            <w:pPr>
              <w:bidi w:val="0"/>
              <w:spacing w:after="0" w:line="240" w:lineRule="auto"/>
              <w:rPr>
                <w:rFonts w:ascii="Times New Roman" w:hAnsi="Times New Roman" w:cs="Times New Roman"/>
                <w:b/>
                <w:bCs/>
                <w:color w:val="FFFFFF"/>
                <w:sz w:val="20"/>
                <w:szCs w:val="20"/>
                <w:lang w:eastAsia="sk-SK"/>
              </w:rPr>
            </w:pPr>
            <w:r w:rsidRPr="001654EC">
              <w:rPr>
                <w:rFonts w:ascii="Times New Roman" w:hAnsi="Times New Roman" w:cs="Times New Roman"/>
                <w:b/>
                <w:bCs/>
                <w:color w:val="FFFFFF"/>
                <w:sz w:val="20"/>
                <w:szCs w:val="20"/>
                <w:lang w:eastAsia="sk-SK"/>
              </w:rPr>
              <w:t> </w:t>
            </w:r>
          </w:p>
        </w:tc>
        <w:tc>
          <w:tcPr>
            <w:tcW w:w="876" w:type="pct"/>
            <w:tcBorders>
              <w:top w:val="nil"/>
              <w:left w:val="nil"/>
              <w:bottom w:val="nil"/>
              <w:right w:val="nil"/>
            </w:tcBorders>
            <w:shd w:val="clear" w:color="000000" w:fill="000000"/>
            <w:noWrap/>
            <w:textDirection w:val="lrTb"/>
            <w:vAlign w:val="center"/>
            <w:hideMark/>
          </w:tcPr>
          <w:p w:rsidR="00AC70A4" w:rsidRPr="001654EC" w:rsidP="00A97D6F">
            <w:pPr>
              <w:bidi w:val="0"/>
              <w:spacing w:after="0" w:line="240" w:lineRule="auto"/>
              <w:jc w:val="right"/>
              <w:rPr>
                <w:rFonts w:ascii="Times New Roman" w:hAnsi="Times New Roman" w:cs="Times New Roman"/>
                <w:b/>
                <w:bCs/>
                <w:color w:val="FFFFFF"/>
                <w:sz w:val="20"/>
                <w:szCs w:val="20"/>
                <w:lang w:eastAsia="sk-SK"/>
              </w:rPr>
            </w:pPr>
            <w:r w:rsidRPr="001654EC">
              <w:rPr>
                <w:rFonts w:ascii="Times New Roman" w:hAnsi="Times New Roman" w:cs="Times New Roman"/>
                <w:b/>
                <w:bCs/>
                <w:color w:val="FFFFFF"/>
                <w:sz w:val="20"/>
                <w:szCs w:val="20"/>
                <w:lang w:eastAsia="sk-SK"/>
              </w:rPr>
              <w:t xml:space="preserve"> v tis. eur</w:t>
            </w:r>
          </w:p>
        </w:tc>
      </w:tr>
      <w:tr>
        <w:tblPrEx>
          <w:tblW w:w="5000" w:type="pct"/>
          <w:tblCellMar>
            <w:left w:w="70" w:type="dxa"/>
            <w:right w:w="70" w:type="dxa"/>
          </w:tblCellMar>
          <w:tblLook w:val="04A0"/>
        </w:tblPrEx>
        <w:trPr>
          <w:trHeight w:val="300"/>
        </w:trPr>
        <w:tc>
          <w:tcPr>
            <w:tcW w:w="2508" w:type="pct"/>
            <w:tcBorders>
              <w:top w:val="single" w:sz="4" w:space="0" w:color="auto"/>
              <w:left w:val="nil"/>
              <w:bottom w:val="nil"/>
              <w:right w:val="nil"/>
            </w:tcBorders>
            <w:shd w:val="clear" w:color="000000" w:fill="BFBFBF"/>
            <w:noWrap/>
            <w:textDirection w:val="lrTb"/>
            <w:vAlign w:val="center"/>
            <w:hideMark/>
          </w:tcPr>
          <w:p w:rsidR="00AC70A4" w:rsidRPr="001654EC" w:rsidP="00A97D6F">
            <w:pPr>
              <w:bidi w:val="0"/>
              <w:spacing w:after="0" w:line="240" w:lineRule="auto"/>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 </w:t>
            </w:r>
          </w:p>
        </w:tc>
        <w:tc>
          <w:tcPr>
            <w:tcW w:w="539" w:type="pct"/>
            <w:tcBorders>
              <w:top w:val="single" w:sz="4" w:space="0" w:color="auto"/>
              <w:left w:val="nil"/>
              <w:bottom w:val="nil"/>
              <w:right w:val="nil"/>
            </w:tcBorders>
            <w:shd w:val="clear" w:color="000000" w:fill="BFBFBF"/>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w:t>
            </w:r>
            <w:r w:rsidRPr="001654EC">
              <w:rPr>
                <w:rFonts w:ascii="Times New Roman" w:hAnsi="Times New Roman" w:cs="Times New Roman"/>
                <w:b/>
                <w:bCs/>
                <w:sz w:val="20"/>
                <w:szCs w:val="20"/>
                <w:lang w:eastAsia="sk-SK"/>
              </w:rPr>
              <w:t>013</w:t>
            </w:r>
          </w:p>
        </w:tc>
        <w:tc>
          <w:tcPr>
            <w:tcW w:w="539" w:type="pct"/>
            <w:tcBorders>
              <w:top w:val="single" w:sz="4" w:space="0" w:color="auto"/>
              <w:left w:val="nil"/>
              <w:bottom w:val="nil"/>
              <w:right w:val="nil"/>
            </w:tcBorders>
            <w:shd w:val="clear" w:color="000000" w:fill="BFBFBF"/>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w:t>
            </w:r>
            <w:r w:rsidRPr="001654EC">
              <w:rPr>
                <w:rFonts w:ascii="Times New Roman" w:hAnsi="Times New Roman" w:cs="Times New Roman"/>
                <w:b/>
                <w:bCs/>
                <w:sz w:val="20"/>
                <w:szCs w:val="20"/>
                <w:lang w:eastAsia="sk-SK"/>
              </w:rPr>
              <w:t>014</w:t>
            </w:r>
          </w:p>
        </w:tc>
        <w:tc>
          <w:tcPr>
            <w:tcW w:w="539" w:type="pct"/>
            <w:tcBorders>
              <w:top w:val="single" w:sz="4" w:space="0" w:color="auto"/>
              <w:left w:val="nil"/>
              <w:bottom w:val="nil"/>
              <w:right w:val="nil"/>
            </w:tcBorders>
            <w:shd w:val="clear" w:color="000000" w:fill="BFBFBF"/>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w:t>
            </w:r>
            <w:r w:rsidRPr="001654EC">
              <w:rPr>
                <w:rFonts w:ascii="Times New Roman" w:hAnsi="Times New Roman" w:cs="Times New Roman"/>
                <w:b/>
                <w:bCs/>
                <w:sz w:val="20"/>
                <w:szCs w:val="20"/>
                <w:lang w:eastAsia="sk-SK"/>
              </w:rPr>
              <w:t>015</w:t>
            </w:r>
          </w:p>
        </w:tc>
        <w:tc>
          <w:tcPr>
            <w:tcW w:w="876" w:type="pct"/>
            <w:tcBorders>
              <w:top w:val="single" w:sz="4" w:space="0" w:color="auto"/>
              <w:left w:val="nil"/>
              <w:bottom w:val="nil"/>
              <w:right w:val="nil"/>
            </w:tcBorders>
            <w:shd w:val="clear" w:color="000000" w:fill="BFBFBF"/>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2015/2014 v %</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Bežné výdavky</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27 803 980</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28 683 547</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30 076 888</w:t>
            </w:r>
          </w:p>
        </w:tc>
        <w:tc>
          <w:tcPr>
            <w:tcW w:w="876" w:type="pct"/>
            <w:tcBorders>
              <w:top w:val="nil"/>
              <w:left w:val="nil"/>
              <w:bottom w:val="nil"/>
              <w:right w:val="nil"/>
            </w:tcBorders>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4,9</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Kompenzácie zamestnancov</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6 356 049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6 693 738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7 049 497</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5,3</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Mzdy a platy</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4 666 427</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4 894 200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5 141 582</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5,1</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Sociálne príspevky zamestnávateľov</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1 689 622</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1 799 538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1 907 915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6,0</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Medzispotreba</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4 101 731</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4 266 165</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4 654 823</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9,1</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Dane</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81 658</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68 736</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71 300</w:t>
            </w:r>
          </w:p>
        </w:tc>
        <w:tc>
          <w:tcPr>
            <w:tcW w:w="876" w:type="pct"/>
            <w:tcBorders>
              <w:top w:val="nil"/>
              <w:left w:val="nil"/>
              <w:bottom w:val="nil"/>
              <w:right w:val="nil"/>
            </w:tcBorders>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3,7</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Iné dane z produkcie</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56 468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38 512</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60 713</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57,6</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Bežné dane z majetku, atď.</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25 190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30 224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10 587</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-65,0</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Subvencie</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574 001</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519 818</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463 736</w:t>
            </w:r>
          </w:p>
        </w:tc>
        <w:tc>
          <w:tcPr>
            <w:tcW w:w="876" w:type="pct"/>
            <w:tcBorders>
              <w:top w:val="nil"/>
              <w:left w:val="nil"/>
              <w:bottom w:val="nil"/>
              <w:right w:val="nil"/>
            </w:tcBorders>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-10,8</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Dotácie do poľnohospodárstva</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138 037</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91 730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68 585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-25,2</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Dotácie do dopravy</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227 627</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238 880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261 460</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9,5</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bottom"/>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železničná doprava</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7 441</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67 549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8 537</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-87,4</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bottom"/>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cestná doprava</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214 188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163 781</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246 755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50,7</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Ostatné</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208 337</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189 208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133 691</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-29,3</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 xml:space="preserve">Dôchodky z majetku </w:t>
            </w:r>
            <w:r>
              <w:rPr>
                <w:rFonts w:ascii="Times New Roman" w:hAnsi="Times New Roman" w:cs="Times New Roman"/>
                <w:color w:val="000000"/>
                <w:sz w:val="20"/>
                <w:szCs w:val="20"/>
                <w:lang w:eastAsia="sk-SK"/>
              </w:rPr>
              <w:t>(ú</w:t>
            </w:r>
            <w:r w:rsidRPr="001654EC">
              <w:rPr>
                <w:rFonts w:ascii="Times New Roman" w:hAnsi="Times New Roman" w:cs="Times New Roman"/>
                <w:color w:val="000000"/>
                <w:sz w:val="20"/>
                <w:szCs w:val="20"/>
                <w:lang w:eastAsia="sk-SK"/>
              </w:rPr>
              <w:t>rokové náklady)</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1 387 038</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1 443 601</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1 379 407</w:t>
            </w:r>
          </w:p>
        </w:tc>
        <w:tc>
          <w:tcPr>
            <w:tcW w:w="876" w:type="pct"/>
            <w:tcBorders>
              <w:top w:val="nil"/>
              <w:left w:val="nil"/>
              <w:bottom w:val="nil"/>
              <w:right w:val="nil"/>
            </w:tcBorders>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-4,4</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Celkové sociálne transfery</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14 097 725</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14 500 930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14 960 204</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3,2</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Sociálne dávky okrem naturálnych soc. transf.</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10 433 272</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10 670 954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10 967 340</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2,8</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Aktívne opatrenia trhu práce</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38 022</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50 675</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39 175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-22,7</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Nemocenské dávky</w:t>
            </w:r>
          </w:p>
        </w:tc>
        <w:tc>
          <w:tcPr>
            <w:tcW w:w="539" w:type="pct"/>
            <w:tcBorders>
              <w:top w:val="nil"/>
              <w:left w:val="nil"/>
              <w:bottom w:val="nil"/>
              <w:right w:val="nil"/>
            </w:tcBorders>
            <w:noWrap/>
            <w:textDirection w:val="lrTb"/>
            <w:vAlign w:val="bottom"/>
            <w:hideMark/>
          </w:tcPr>
          <w:p w:rsidR="00AC70A4" w:rsidRPr="00F50EEB" w:rsidP="007D111F">
            <w:pPr>
              <w:bidi w:val="0"/>
              <w:spacing w:after="0" w:line="240" w:lineRule="auto"/>
              <w:jc w:val="right"/>
              <w:rPr>
                <w:rFonts w:ascii="Times New Roman" w:hAnsi="Times New Roman" w:cs="Times New Roman"/>
                <w:color w:val="000000"/>
                <w:sz w:val="20"/>
                <w:szCs w:val="20"/>
                <w:lang w:eastAsia="sk-SK"/>
              </w:rPr>
            </w:pPr>
            <w:r w:rsidRPr="00F50EEB" w:rsidR="007D111F">
              <w:rPr>
                <w:rFonts w:ascii="Times New Roman" w:hAnsi="Times New Roman" w:cs="Times New Roman"/>
                <w:color w:val="000000"/>
                <w:sz w:val="20"/>
                <w:szCs w:val="20"/>
                <w:lang w:eastAsia="sk-SK"/>
              </w:rPr>
              <w:t>404</w:t>
            </w:r>
            <w:r w:rsidRPr="00F50EEB">
              <w:rPr>
                <w:rFonts w:ascii="Times New Roman" w:hAnsi="Times New Roman" w:cs="Times New Roman"/>
                <w:color w:val="000000"/>
                <w:sz w:val="20"/>
                <w:szCs w:val="20"/>
                <w:lang w:eastAsia="sk-SK"/>
              </w:rPr>
              <w:t xml:space="preserve"> </w:t>
            </w:r>
            <w:r w:rsidRPr="00F50EEB" w:rsidR="007D111F">
              <w:rPr>
                <w:rFonts w:ascii="Times New Roman" w:hAnsi="Times New Roman" w:cs="Times New Roman"/>
                <w:color w:val="000000"/>
                <w:sz w:val="20"/>
                <w:szCs w:val="20"/>
                <w:lang w:eastAsia="sk-SK"/>
              </w:rPr>
              <w:t>195</w:t>
            </w:r>
          </w:p>
        </w:tc>
        <w:tc>
          <w:tcPr>
            <w:tcW w:w="539" w:type="pct"/>
            <w:tcBorders>
              <w:top w:val="nil"/>
              <w:left w:val="nil"/>
              <w:bottom w:val="nil"/>
              <w:right w:val="nil"/>
            </w:tcBorders>
            <w:noWrap/>
            <w:textDirection w:val="lrTb"/>
            <w:vAlign w:val="bottom"/>
            <w:hideMark/>
          </w:tcPr>
          <w:p w:rsidR="00AC70A4" w:rsidRPr="00F50EEB" w:rsidP="007D111F">
            <w:pPr>
              <w:bidi w:val="0"/>
              <w:spacing w:after="0" w:line="240" w:lineRule="auto"/>
              <w:jc w:val="right"/>
              <w:rPr>
                <w:rFonts w:ascii="Times New Roman" w:hAnsi="Times New Roman" w:cs="Times New Roman"/>
                <w:color w:val="000000"/>
                <w:sz w:val="20"/>
                <w:szCs w:val="20"/>
                <w:lang w:eastAsia="sk-SK"/>
              </w:rPr>
            </w:pPr>
            <w:r w:rsidRPr="00F50EEB">
              <w:rPr>
                <w:rFonts w:ascii="Times New Roman" w:hAnsi="Times New Roman" w:cs="Times New Roman"/>
                <w:color w:val="000000"/>
                <w:sz w:val="20"/>
                <w:szCs w:val="20"/>
                <w:lang w:eastAsia="sk-SK"/>
              </w:rPr>
              <w:t>38</w:t>
            </w:r>
            <w:r w:rsidRPr="00F50EEB" w:rsidR="007D111F">
              <w:rPr>
                <w:rFonts w:ascii="Times New Roman" w:hAnsi="Times New Roman" w:cs="Times New Roman"/>
                <w:color w:val="000000"/>
                <w:sz w:val="20"/>
                <w:szCs w:val="20"/>
                <w:lang w:eastAsia="sk-SK"/>
              </w:rPr>
              <w:t>6</w:t>
            </w:r>
            <w:r w:rsidRPr="00F50EEB">
              <w:rPr>
                <w:rFonts w:ascii="Times New Roman" w:hAnsi="Times New Roman" w:cs="Times New Roman"/>
                <w:color w:val="000000"/>
                <w:sz w:val="20"/>
                <w:szCs w:val="20"/>
                <w:lang w:eastAsia="sk-SK"/>
              </w:rPr>
              <w:t xml:space="preserve"> </w:t>
            </w:r>
            <w:r w:rsidRPr="00F50EEB" w:rsidR="007D111F">
              <w:rPr>
                <w:rFonts w:ascii="Times New Roman" w:hAnsi="Times New Roman" w:cs="Times New Roman"/>
                <w:color w:val="000000"/>
                <w:sz w:val="20"/>
                <w:szCs w:val="20"/>
                <w:lang w:eastAsia="sk-SK"/>
              </w:rPr>
              <w:t>422</w:t>
            </w:r>
          </w:p>
        </w:tc>
        <w:tc>
          <w:tcPr>
            <w:tcW w:w="539" w:type="pct"/>
            <w:tcBorders>
              <w:top w:val="nil"/>
              <w:left w:val="nil"/>
              <w:bottom w:val="nil"/>
              <w:right w:val="nil"/>
            </w:tcBorders>
            <w:noWrap/>
            <w:textDirection w:val="lrTb"/>
            <w:vAlign w:val="bottom"/>
            <w:hideMark/>
          </w:tcPr>
          <w:p w:rsidR="00AC70A4" w:rsidRPr="00F50EEB" w:rsidP="006D08D4">
            <w:pPr>
              <w:bidi w:val="0"/>
              <w:spacing w:after="0" w:line="240" w:lineRule="auto"/>
              <w:jc w:val="right"/>
              <w:rPr>
                <w:rFonts w:ascii="Times New Roman" w:hAnsi="Times New Roman" w:cs="Times New Roman"/>
                <w:color w:val="000000"/>
                <w:sz w:val="20"/>
                <w:szCs w:val="20"/>
                <w:lang w:eastAsia="sk-SK"/>
              </w:rPr>
            </w:pPr>
            <w:r w:rsidRPr="00F50EEB">
              <w:rPr>
                <w:rFonts w:ascii="Times New Roman" w:hAnsi="Times New Roman" w:cs="Times New Roman"/>
                <w:color w:val="000000"/>
                <w:sz w:val="20"/>
                <w:szCs w:val="20"/>
                <w:lang w:eastAsia="sk-SK"/>
              </w:rPr>
              <w:t>4</w:t>
            </w:r>
            <w:r w:rsidRPr="00F50EEB" w:rsidR="006D08D4">
              <w:rPr>
                <w:rFonts w:ascii="Times New Roman" w:hAnsi="Times New Roman" w:cs="Times New Roman"/>
                <w:color w:val="000000"/>
                <w:sz w:val="20"/>
                <w:szCs w:val="20"/>
                <w:lang w:eastAsia="sk-SK"/>
              </w:rPr>
              <w:t>20</w:t>
            </w:r>
            <w:r w:rsidRPr="00F50EEB">
              <w:rPr>
                <w:rFonts w:ascii="Times New Roman" w:hAnsi="Times New Roman" w:cs="Times New Roman"/>
                <w:color w:val="000000"/>
                <w:sz w:val="20"/>
                <w:szCs w:val="20"/>
                <w:lang w:eastAsia="sk-SK"/>
              </w:rPr>
              <w:t xml:space="preserve"> </w:t>
            </w:r>
            <w:r w:rsidRPr="00F50EEB" w:rsidR="006D08D4">
              <w:rPr>
                <w:rFonts w:ascii="Times New Roman" w:hAnsi="Times New Roman" w:cs="Times New Roman"/>
                <w:color w:val="000000"/>
                <w:sz w:val="20"/>
                <w:szCs w:val="20"/>
                <w:lang w:eastAsia="sk-SK"/>
              </w:rPr>
              <w:t>914</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9,0</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Dôchodkové dávky zo starob. a inv. poistenia</w:t>
            </w:r>
          </w:p>
        </w:tc>
        <w:tc>
          <w:tcPr>
            <w:tcW w:w="539" w:type="pct"/>
            <w:tcBorders>
              <w:top w:val="nil"/>
              <w:left w:val="nil"/>
              <w:bottom w:val="nil"/>
              <w:right w:val="nil"/>
            </w:tcBorders>
            <w:noWrap/>
            <w:textDirection w:val="lrTb"/>
            <w:vAlign w:val="bottom"/>
            <w:hideMark/>
          </w:tcPr>
          <w:p w:rsidR="00AC70A4" w:rsidRPr="00F50EEB" w:rsidP="00A97D6F">
            <w:pPr>
              <w:bidi w:val="0"/>
              <w:spacing w:after="0" w:line="240" w:lineRule="auto"/>
              <w:jc w:val="right"/>
              <w:rPr>
                <w:rFonts w:ascii="Times New Roman" w:hAnsi="Times New Roman" w:cs="Times New Roman"/>
                <w:color w:val="000000"/>
                <w:sz w:val="20"/>
                <w:szCs w:val="20"/>
                <w:lang w:eastAsia="sk-SK"/>
              </w:rPr>
            </w:pPr>
            <w:r w:rsidRPr="00F50EEB" w:rsidR="007D111F">
              <w:rPr>
                <w:rFonts w:ascii="Times New Roman" w:hAnsi="Times New Roman" w:cs="Times New Roman"/>
                <w:color w:val="000000"/>
                <w:sz w:val="20"/>
                <w:szCs w:val="20"/>
                <w:lang w:eastAsia="sk-SK"/>
              </w:rPr>
              <w:t xml:space="preserve"> 6 053 031</w:t>
            </w:r>
          </w:p>
        </w:tc>
        <w:tc>
          <w:tcPr>
            <w:tcW w:w="539" w:type="pct"/>
            <w:tcBorders>
              <w:top w:val="nil"/>
              <w:left w:val="nil"/>
              <w:bottom w:val="nil"/>
              <w:right w:val="nil"/>
            </w:tcBorders>
            <w:noWrap/>
            <w:textDirection w:val="lrTb"/>
            <w:vAlign w:val="bottom"/>
            <w:hideMark/>
          </w:tcPr>
          <w:p w:rsidR="00AC70A4" w:rsidRPr="00F50EEB" w:rsidP="007D111F">
            <w:pPr>
              <w:bidi w:val="0"/>
              <w:spacing w:after="0" w:line="240" w:lineRule="auto"/>
              <w:jc w:val="right"/>
              <w:rPr>
                <w:rFonts w:ascii="Times New Roman" w:hAnsi="Times New Roman" w:cs="Times New Roman"/>
                <w:color w:val="000000"/>
                <w:sz w:val="20"/>
                <w:szCs w:val="20"/>
                <w:lang w:eastAsia="sk-SK"/>
              </w:rPr>
            </w:pPr>
            <w:r w:rsidRPr="00F50EEB">
              <w:rPr>
                <w:rFonts w:ascii="Times New Roman" w:hAnsi="Times New Roman" w:cs="Times New Roman"/>
                <w:color w:val="000000"/>
                <w:sz w:val="20"/>
                <w:szCs w:val="20"/>
                <w:lang w:eastAsia="sk-SK"/>
              </w:rPr>
              <w:t>6</w:t>
            </w:r>
            <w:r w:rsidRPr="00F50EEB" w:rsidR="007D111F">
              <w:rPr>
                <w:rFonts w:ascii="Times New Roman" w:hAnsi="Times New Roman" w:cs="Times New Roman"/>
                <w:color w:val="000000"/>
                <w:sz w:val="20"/>
                <w:szCs w:val="20"/>
                <w:lang w:eastAsia="sk-SK"/>
              </w:rPr>
              <w:t> 416 494</w:t>
            </w:r>
          </w:p>
        </w:tc>
        <w:tc>
          <w:tcPr>
            <w:tcW w:w="539" w:type="pct"/>
            <w:tcBorders>
              <w:top w:val="nil"/>
              <w:left w:val="nil"/>
              <w:bottom w:val="nil"/>
              <w:right w:val="nil"/>
            </w:tcBorders>
            <w:noWrap/>
            <w:textDirection w:val="lrTb"/>
            <w:vAlign w:val="bottom"/>
            <w:hideMark/>
          </w:tcPr>
          <w:p w:rsidR="00AC70A4" w:rsidRPr="00F50EEB" w:rsidP="006D08D4">
            <w:pPr>
              <w:bidi w:val="0"/>
              <w:spacing w:after="0" w:line="240" w:lineRule="auto"/>
              <w:jc w:val="right"/>
              <w:rPr>
                <w:rFonts w:ascii="Times New Roman" w:hAnsi="Times New Roman" w:cs="Times New Roman"/>
                <w:color w:val="000000"/>
                <w:sz w:val="20"/>
                <w:szCs w:val="20"/>
                <w:lang w:eastAsia="sk-SK"/>
              </w:rPr>
            </w:pPr>
            <w:r w:rsidRPr="00F50EEB">
              <w:rPr>
                <w:rFonts w:ascii="Times New Roman" w:hAnsi="Times New Roman" w:cs="Times New Roman"/>
                <w:color w:val="000000"/>
                <w:sz w:val="20"/>
                <w:szCs w:val="20"/>
                <w:lang w:eastAsia="sk-SK"/>
              </w:rPr>
              <w:t>6</w:t>
            </w:r>
            <w:r w:rsidRPr="00F50EEB" w:rsidR="006D08D4">
              <w:rPr>
                <w:rFonts w:ascii="Times New Roman" w:hAnsi="Times New Roman" w:cs="Times New Roman"/>
                <w:color w:val="000000"/>
                <w:sz w:val="20"/>
                <w:szCs w:val="20"/>
                <w:lang w:eastAsia="sk-SK"/>
              </w:rPr>
              <w:t> 596 793</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2,8</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Dávky v nezamestnanosti</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174 308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154 721</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158 624</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2,5</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Štátne sociálne dávky a podpora</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1 374 616</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1 362 794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1 336 755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-1,9</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na prídavok na dieťa</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318 494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319 094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315 599</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-1,1</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pri narodení dieťaťa a prísp. rodičom</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8 982</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35 102</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41 463</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18,1</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na rodičovský príspevok</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349 316</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356 002</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355 279</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-0,2</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na dávku v hmotnej núdzi</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273 644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244 457</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213 181</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-12,8</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na peňažné príspevky na kompenzáciu</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232 521</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235 774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231 635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-1,8</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ostatné</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191 659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172 365</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179 598</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4,2</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Platené poistné za skupiny osôb ust. zákonom</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1 541 466</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1 447 056</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1 582 232</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9,3</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sociálne poistenie</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262 148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232 909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227 756</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-2,2</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600" w:firstLineChars="3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zdravotné poistenie</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1 276 828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1 211 535</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1 351 628</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11,6</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Naturálne sociálne transfery (zdr. zariadenia)</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3 664 453</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3 829 976</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3 992 864</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4,3</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Ostatné bežné transfery</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1 205 778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1 190 559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1 497 921</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25,8</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z toho: Odvody do rozpočtu EÚ</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713 409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595 965</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637 483</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7,0</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z toho: 2% z daní na verejnoprospešný účel</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46 707</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52 193</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56 970</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9,2</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Kapitálové výdavky</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2 932 571</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3 227 069</w:t>
            </w:r>
          </w:p>
        </w:tc>
        <w:tc>
          <w:tcPr>
            <w:tcW w:w="539" w:type="pct"/>
            <w:tcBorders>
              <w:top w:val="nil"/>
              <w:left w:val="nil"/>
              <w:bottom w:val="nil"/>
              <w:right w:val="nil"/>
            </w:tcBorders>
            <w:noWrap/>
            <w:textDirection w:val="lrTb"/>
            <w:vAlign w:val="center"/>
            <w:hideMark/>
          </w:tcPr>
          <w:p w:rsidR="00AC70A4" w:rsidRPr="001654EC" w:rsidP="00A97D6F">
            <w:pPr>
              <w:bidi w:val="0"/>
              <w:spacing w:after="0" w:line="240" w:lineRule="auto"/>
              <w:jc w:val="right"/>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5 773 531</w:t>
            </w:r>
          </w:p>
        </w:tc>
        <w:tc>
          <w:tcPr>
            <w:tcW w:w="876" w:type="pct"/>
            <w:tcBorders>
              <w:top w:val="nil"/>
              <w:left w:val="nil"/>
              <w:bottom w:val="nil"/>
              <w:right w:val="nil"/>
            </w:tcBorders>
            <w:noWrap/>
            <w:textDirection w:val="lrTb"/>
            <w:vAlign w:val="center"/>
            <w:hideMark/>
          </w:tcPr>
          <w:p w:rsidR="00AC70A4" w:rsidRPr="001654EC" w:rsidP="00A97D6F">
            <w:pPr>
              <w:bidi w:val="0"/>
              <w:spacing w:after="0" w:line="240" w:lineRule="auto"/>
              <w:jc w:val="center"/>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78,9</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Kapitálové investície</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2 552 843</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2 841 590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5 055 850</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77,9</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Tvorba hrubého fixného kapitálu</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2 466 080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3 023 410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4 950 645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63,7</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Zmena st. zásob+Nadobudnutie - Úbytok cenností</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60 564</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47 120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6 430</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-86,4</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Nadobud. mínus úbytok nef. neproduk. aktív</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26 199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-228 940</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98 775</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-143,1</w:t>
            </w:r>
          </w:p>
        </w:tc>
      </w:tr>
      <w:tr>
        <w:tblPrEx>
          <w:tblW w:w="5000" w:type="pct"/>
          <w:tblCellMar>
            <w:left w:w="70" w:type="dxa"/>
            <w:right w:w="70" w:type="dxa"/>
          </w:tblCellMar>
          <w:tblLook w:val="04A0"/>
        </w:tblPrEx>
        <w:trPr>
          <w:trHeight w:val="300"/>
        </w:trPr>
        <w:tc>
          <w:tcPr>
            <w:tcW w:w="2508" w:type="pct"/>
            <w:tcBorders>
              <w:top w:val="nil"/>
              <w:left w:val="nil"/>
              <w:bottom w:val="nil"/>
              <w:right w:val="nil"/>
            </w:tcBorders>
            <w:noWrap/>
            <w:textDirection w:val="lrTb"/>
            <w:vAlign w:val="center"/>
            <w:hideMark/>
          </w:tcPr>
          <w:p w:rsidR="00AC70A4" w:rsidRPr="001654EC" w:rsidP="00A97D6F">
            <w:pPr>
              <w:bidi w:val="0"/>
              <w:spacing w:after="0" w:line="240" w:lineRule="auto"/>
              <w:ind w:firstLine="200" w:firstLineChars="1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Kapitálové transfery</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379 728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385 479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717 681</w:t>
            </w:r>
          </w:p>
        </w:tc>
        <w:tc>
          <w:tcPr>
            <w:tcW w:w="876"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86,2</w:t>
            </w:r>
          </w:p>
        </w:tc>
      </w:tr>
      <w:tr>
        <w:tblPrEx>
          <w:tblW w:w="5000" w:type="pct"/>
          <w:tblCellMar>
            <w:left w:w="70" w:type="dxa"/>
            <w:right w:w="70" w:type="dxa"/>
          </w:tblCellMar>
          <w:tblLook w:val="04A0"/>
        </w:tblPrEx>
        <w:trPr>
          <w:trHeight w:val="300"/>
        </w:trPr>
        <w:tc>
          <w:tcPr>
            <w:tcW w:w="2508" w:type="pct"/>
            <w:tcBorders>
              <w:top w:val="nil"/>
              <w:left w:val="nil"/>
              <w:bottom w:val="single" w:sz="4" w:space="0" w:color="auto"/>
              <w:right w:val="nil"/>
            </w:tcBorders>
            <w:noWrap/>
            <w:textDirection w:val="lrTb"/>
            <w:vAlign w:val="center"/>
            <w:hideMark/>
          </w:tcPr>
          <w:p w:rsidR="00AC70A4" w:rsidRPr="001654EC" w:rsidP="00A97D6F">
            <w:pPr>
              <w:bidi w:val="0"/>
              <w:spacing w:after="0" w:line="240" w:lineRule="auto"/>
              <w:ind w:firstLine="400" w:firstLineChars="200"/>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 xml:space="preserve"> - Investičné dotácie a ostatné kapit. transf.</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379 728</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385 479</w:t>
            </w: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jc w:val="right"/>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717 681</w:t>
            </w:r>
          </w:p>
        </w:tc>
        <w:tc>
          <w:tcPr>
            <w:tcW w:w="876" w:type="pct"/>
            <w:tcBorders>
              <w:top w:val="nil"/>
              <w:left w:val="nil"/>
              <w:bottom w:val="single" w:sz="4" w:space="0" w:color="auto"/>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color w:val="000000"/>
                <w:sz w:val="20"/>
                <w:szCs w:val="20"/>
                <w:lang w:eastAsia="sk-SK"/>
              </w:rPr>
            </w:pPr>
            <w:r w:rsidRPr="001654EC">
              <w:rPr>
                <w:rFonts w:ascii="Times New Roman" w:hAnsi="Times New Roman" w:cs="Times New Roman"/>
                <w:color w:val="000000"/>
                <w:sz w:val="20"/>
                <w:szCs w:val="20"/>
                <w:lang w:eastAsia="sk-SK"/>
              </w:rPr>
              <w:t>86,2</w:t>
            </w:r>
          </w:p>
        </w:tc>
      </w:tr>
      <w:tr>
        <w:tblPrEx>
          <w:tblW w:w="5000" w:type="pct"/>
          <w:tblCellMar>
            <w:left w:w="70" w:type="dxa"/>
            <w:right w:w="70" w:type="dxa"/>
          </w:tblCellMar>
          <w:tblLook w:val="04A0"/>
        </w:tblPrEx>
        <w:trPr>
          <w:trHeight w:val="300"/>
        </w:trPr>
        <w:tc>
          <w:tcPr>
            <w:tcW w:w="2508" w:type="pct"/>
            <w:tcBorders>
              <w:top w:val="single" w:sz="4" w:space="0" w:color="auto"/>
              <w:left w:val="nil"/>
              <w:bottom w:val="nil"/>
              <w:right w:val="nil"/>
            </w:tcBorders>
            <w:shd w:val="clear" w:color="000000" w:fill="BFBFBF"/>
            <w:textDirection w:val="lrTb"/>
            <w:vAlign w:val="center"/>
            <w:hideMark/>
          </w:tcPr>
          <w:p w:rsidR="00AC70A4" w:rsidRPr="001654EC" w:rsidP="00A97D6F">
            <w:pPr>
              <w:bidi w:val="0"/>
              <w:spacing w:after="0" w:line="240" w:lineRule="auto"/>
              <w:jc w:val="both"/>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Výdavky spolu</w:t>
            </w:r>
          </w:p>
        </w:tc>
        <w:tc>
          <w:tcPr>
            <w:tcW w:w="539" w:type="pct"/>
            <w:tcBorders>
              <w:top w:val="single" w:sz="4" w:space="0" w:color="auto"/>
              <w:left w:val="nil"/>
              <w:bottom w:val="nil"/>
              <w:right w:val="nil"/>
            </w:tcBorders>
            <w:shd w:val="clear" w:color="000000" w:fill="BFBFBF"/>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30 736 551</w:t>
            </w:r>
          </w:p>
        </w:tc>
        <w:tc>
          <w:tcPr>
            <w:tcW w:w="539" w:type="pct"/>
            <w:tcBorders>
              <w:top w:val="single" w:sz="4" w:space="0" w:color="auto"/>
              <w:left w:val="nil"/>
              <w:bottom w:val="nil"/>
              <w:right w:val="nil"/>
            </w:tcBorders>
            <w:shd w:val="clear" w:color="000000" w:fill="BFBFBF"/>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31 910 616</w:t>
            </w:r>
          </w:p>
        </w:tc>
        <w:tc>
          <w:tcPr>
            <w:tcW w:w="539" w:type="pct"/>
            <w:tcBorders>
              <w:top w:val="single" w:sz="4" w:space="0" w:color="auto"/>
              <w:left w:val="nil"/>
              <w:bottom w:val="nil"/>
              <w:right w:val="nil"/>
            </w:tcBorders>
            <w:shd w:val="clear" w:color="000000" w:fill="BFBFBF"/>
            <w:noWrap/>
            <w:textDirection w:val="lrTb"/>
            <w:vAlign w:val="bottom"/>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35 850 419</w:t>
            </w:r>
          </w:p>
        </w:tc>
        <w:tc>
          <w:tcPr>
            <w:tcW w:w="876" w:type="pct"/>
            <w:tcBorders>
              <w:top w:val="nil"/>
              <w:left w:val="nil"/>
              <w:bottom w:val="nil"/>
              <w:right w:val="nil"/>
            </w:tcBorders>
            <w:shd w:val="clear" w:color="000000" w:fill="BFBFBF"/>
            <w:noWrap/>
            <w:textDirection w:val="lrTb"/>
            <w:vAlign w:val="bottom"/>
            <w:hideMark/>
          </w:tcPr>
          <w:p w:rsidR="00AC70A4" w:rsidRPr="001654EC" w:rsidP="00A97D6F">
            <w:pPr>
              <w:bidi w:val="0"/>
              <w:spacing w:after="0" w:line="240" w:lineRule="auto"/>
              <w:jc w:val="center"/>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12,3</w:t>
            </w:r>
          </w:p>
        </w:tc>
      </w:tr>
      <w:tr>
        <w:tblPrEx>
          <w:tblW w:w="5000" w:type="pct"/>
          <w:tblCellMar>
            <w:left w:w="70" w:type="dxa"/>
            <w:right w:w="70" w:type="dxa"/>
          </w:tblCellMar>
          <w:tblLook w:val="04A0"/>
        </w:tblPrEx>
        <w:trPr>
          <w:trHeight w:val="330"/>
        </w:trPr>
        <w:tc>
          <w:tcPr>
            <w:tcW w:w="2508" w:type="pct"/>
            <w:tcBorders>
              <w:top w:val="nil"/>
              <w:left w:val="nil"/>
              <w:bottom w:val="single" w:sz="4" w:space="0" w:color="auto"/>
              <w:right w:val="nil"/>
            </w:tcBorders>
            <w:shd w:val="clear" w:color="000000" w:fill="BFBFBF"/>
            <w:noWrap/>
            <w:textDirection w:val="lrTb"/>
            <w:vAlign w:val="center"/>
            <w:hideMark/>
          </w:tcPr>
          <w:p w:rsidR="00AC70A4" w:rsidRPr="001654EC" w:rsidP="00A97D6F">
            <w:pPr>
              <w:bidi w:val="0"/>
              <w:spacing w:after="0" w:line="240" w:lineRule="auto"/>
              <w:rPr>
                <w:rFonts w:ascii="Times New Roman" w:hAnsi="Times New Roman" w:cs="Times New Roman"/>
                <w:b/>
                <w:bCs/>
                <w:sz w:val="20"/>
                <w:szCs w:val="20"/>
                <w:lang w:eastAsia="sk-SK"/>
              </w:rPr>
            </w:pPr>
            <w:r w:rsidRPr="001654EC">
              <w:rPr>
                <w:rFonts w:ascii="Times New Roman" w:hAnsi="Times New Roman" w:cs="Times New Roman"/>
                <w:b/>
                <w:bCs/>
                <w:sz w:val="20"/>
                <w:szCs w:val="20"/>
                <w:lang w:eastAsia="sk-SK"/>
              </w:rPr>
              <w:t xml:space="preserve">     % z HDP</w:t>
            </w:r>
          </w:p>
        </w:tc>
        <w:tc>
          <w:tcPr>
            <w:tcW w:w="539" w:type="pct"/>
            <w:tcBorders>
              <w:top w:val="nil"/>
              <w:left w:val="nil"/>
              <w:bottom w:val="single" w:sz="4" w:space="0" w:color="auto"/>
              <w:right w:val="nil"/>
            </w:tcBorders>
            <w:shd w:val="clear" w:color="000000" w:fill="BFBFBF"/>
            <w:noWrap/>
            <w:textDirection w:val="lrTb"/>
            <w:vAlign w:val="center"/>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41,4</w:t>
            </w:r>
          </w:p>
        </w:tc>
        <w:tc>
          <w:tcPr>
            <w:tcW w:w="539" w:type="pct"/>
            <w:tcBorders>
              <w:top w:val="nil"/>
              <w:left w:val="nil"/>
              <w:bottom w:val="single" w:sz="4" w:space="0" w:color="auto"/>
              <w:right w:val="nil"/>
            </w:tcBorders>
            <w:shd w:val="clear" w:color="000000" w:fill="BFBFBF"/>
            <w:noWrap/>
            <w:textDirection w:val="lrTb"/>
            <w:vAlign w:val="center"/>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42,0</w:t>
            </w:r>
          </w:p>
        </w:tc>
        <w:tc>
          <w:tcPr>
            <w:tcW w:w="539" w:type="pct"/>
            <w:tcBorders>
              <w:top w:val="nil"/>
              <w:left w:val="nil"/>
              <w:bottom w:val="single" w:sz="4" w:space="0" w:color="auto"/>
              <w:right w:val="nil"/>
            </w:tcBorders>
            <w:shd w:val="clear" w:color="000000" w:fill="BFBFBF"/>
            <w:noWrap/>
            <w:textDirection w:val="lrTb"/>
            <w:vAlign w:val="center"/>
            <w:hideMark/>
          </w:tcPr>
          <w:p w:rsidR="00AC70A4" w:rsidRPr="001654EC" w:rsidP="00A97D6F">
            <w:pPr>
              <w:bidi w:val="0"/>
              <w:spacing w:after="0" w:line="240" w:lineRule="auto"/>
              <w:jc w:val="right"/>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45,6</w:t>
            </w:r>
          </w:p>
        </w:tc>
        <w:tc>
          <w:tcPr>
            <w:tcW w:w="876" w:type="pct"/>
            <w:tcBorders>
              <w:top w:val="nil"/>
              <w:left w:val="nil"/>
              <w:bottom w:val="single" w:sz="4" w:space="0" w:color="auto"/>
              <w:right w:val="nil"/>
            </w:tcBorders>
            <w:shd w:val="clear" w:color="000000" w:fill="BFBFBF"/>
            <w:noWrap/>
            <w:textDirection w:val="lrTb"/>
            <w:vAlign w:val="center"/>
            <w:hideMark/>
          </w:tcPr>
          <w:p w:rsidR="00AC70A4" w:rsidRPr="001654EC" w:rsidP="00A97D6F">
            <w:pPr>
              <w:bidi w:val="0"/>
              <w:spacing w:after="0" w:line="240" w:lineRule="auto"/>
              <w:jc w:val="center"/>
              <w:rPr>
                <w:rFonts w:ascii="Times New Roman" w:hAnsi="Times New Roman" w:cs="Times New Roman"/>
                <w:b/>
                <w:bCs/>
                <w:color w:val="000000"/>
                <w:sz w:val="20"/>
                <w:szCs w:val="20"/>
                <w:lang w:eastAsia="sk-SK"/>
              </w:rPr>
            </w:pPr>
            <w:r w:rsidRPr="001654EC">
              <w:rPr>
                <w:rFonts w:ascii="Times New Roman" w:hAnsi="Times New Roman" w:cs="Times New Roman"/>
                <w:b/>
                <w:bCs/>
                <w:color w:val="000000"/>
                <w:sz w:val="20"/>
                <w:szCs w:val="20"/>
                <w:lang w:eastAsia="sk-SK"/>
              </w:rPr>
              <w:t>3,5</w:t>
            </w:r>
          </w:p>
        </w:tc>
      </w:tr>
      <w:tr>
        <w:tblPrEx>
          <w:tblW w:w="5000" w:type="pct"/>
          <w:tblCellMar>
            <w:left w:w="70" w:type="dxa"/>
            <w:right w:w="70" w:type="dxa"/>
          </w:tblCellMar>
          <w:tblLook w:val="04A0"/>
        </w:tblPrEx>
        <w:trPr>
          <w:trHeight w:val="330"/>
        </w:trPr>
        <w:tc>
          <w:tcPr>
            <w:tcW w:w="2508" w:type="pct"/>
            <w:tcBorders>
              <w:top w:val="nil"/>
              <w:left w:val="nil"/>
              <w:bottom w:val="nil"/>
              <w:right w:val="nil"/>
            </w:tcBorders>
            <w:noWrap/>
            <w:textDirection w:val="lrTb"/>
            <w:vAlign w:val="bottom"/>
            <w:hideMark/>
          </w:tcPr>
          <w:p w:rsidR="00AC70A4" w:rsidRPr="001654EC" w:rsidP="00A97D6F">
            <w:pPr>
              <w:bidi w:val="0"/>
              <w:spacing w:after="0" w:line="240" w:lineRule="auto"/>
              <w:jc w:val="center"/>
              <w:rPr>
                <w:rFonts w:ascii="Times New Roman" w:hAnsi="Times New Roman" w:cs="Times New Roman"/>
                <w:b/>
                <w:bCs/>
                <w:color w:val="000000"/>
                <w:sz w:val="20"/>
                <w:szCs w:val="20"/>
                <w:lang w:eastAsia="sk-SK"/>
              </w:rPr>
            </w:pP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rPr>
                <w:rFonts w:ascii="Times New Roman" w:hAnsi="Times New Roman" w:cs="Times New Roman"/>
                <w:sz w:val="20"/>
                <w:szCs w:val="20"/>
                <w:lang w:eastAsia="sk-SK"/>
              </w:rPr>
            </w:pP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rPr>
                <w:rFonts w:ascii="Times New Roman" w:hAnsi="Times New Roman" w:cs="Times New Roman"/>
                <w:sz w:val="20"/>
                <w:szCs w:val="20"/>
                <w:lang w:eastAsia="sk-SK"/>
              </w:rPr>
            </w:pPr>
          </w:p>
        </w:tc>
        <w:tc>
          <w:tcPr>
            <w:tcW w:w="539" w:type="pct"/>
            <w:tcBorders>
              <w:top w:val="nil"/>
              <w:left w:val="nil"/>
              <w:bottom w:val="nil"/>
              <w:right w:val="nil"/>
            </w:tcBorders>
            <w:noWrap/>
            <w:textDirection w:val="lrTb"/>
            <w:vAlign w:val="bottom"/>
            <w:hideMark/>
          </w:tcPr>
          <w:p w:rsidR="00AC70A4" w:rsidRPr="001654EC" w:rsidP="00A97D6F">
            <w:pPr>
              <w:bidi w:val="0"/>
              <w:spacing w:after="0" w:line="240" w:lineRule="auto"/>
              <w:rPr>
                <w:rFonts w:ascii="Times New Roman" w:hAnsi="Times New Roman" w:cs="Times New Roman"/>
                <w:sz w:val="20"/>
                <w:szCs w:val="20"/>
                <w:lang w:eastAsia="sk-SK"/>
              </w:rPr>
            </w:pPr>
          </w:p>
        </w:tc>
        <w:tc>
          <w:tcPr>
            <w:tcW w:w="876" w:type="pct"/>
            <w:tcBorders>
              <w:top w:val="nil"/>
              <w:left w:val="nil"/>
              <w:bottom w:val="nil"/>
              <w:right w:val="nil"/>
            </w:tcBorders>
            <w:noWrap/>
            <w:textDirection w:val="lrTb"/>
            <w:vAlign w:val="top"/>
            <w:hideMark/>
          </w:tcPr>
          <w:p w:rsidR="00AC70A4" w:rsidRPr="005F3D32" w:rsidP="00A97D6F">
            <w:pPr>
              <w:bidi w:val="0"/>
              <w:spacing w:after="0" w:line="240" w:lineRule="auto"/>
              <w:jc w:val="right"/>
              <w:rPr>
                <w:rFonts w:ascii="Times New Roman" w:hAnsi="Times New Roman" w:cs="Times New Roman"/>
                <w:i/>
                <w:sz w:val="16"/>
                <w:szCs w:val="16"/>
                <w:lang w:eastAsia="sk-SK"/>
              </w:rPr>
            </w:pPr>
            <w:r w:rsidRPr="005F3D32">
              <w:rPr>
                <w:rFonts w:ascii="Times New Roman" w:hAnsi="Times New Roman" w:cs="Times New Roman"/>
                <w:i/>
                <w:sz w:val="16"/>
                <w:szCs w:val="16"/>
                <w:lang w:eastAsia="sk-SK"/>
              </w:rPr>
              <w:t>Zdroj: MF SR</w:t>
            </w:r>
          </w:p>
        </w:tc>
      </w:tr>
    </w:tbl>
    <w:p w:rsidR="00712D70" w:rsidP="00712D70">
      <w:pPr>
        <w:bidi w:val="0"/>
        <w:spacing w:after="120" w:line="336" w:lineRule="auto"/>
        <w:jc w:val="both"/>
        <w:rPr>
          <w:rFonts w:ascii="Times New Roman" w:hAnsi="Times New Roman" w:cs="Times New Roman"/>
        </w:rPr>
      </w:pPr>
    </w:p>
    <w:p w:rsidR="0035366F" w:rsidP="007A47DD">
      <w:pPr>
        <w:pStyle w:val="Heading2"/>
        <w:numPr>
          <w:numId w:val="3"/>
        </w:numPr>
        <w:bidi w:val="0"/>
        <w:spacing w:before="0" w:after="120"/>
        <w:ind w:left="425" w:hanging="425"/>
      </w:pPr>
      <w:bookmarkStart w:id="91" w:name="_Toc465255021"/>
      <w:bookmarkStart w:id="92" w:name="_Toc465258487"/>
      <w:r w:rsidRPr="00712D70">
        <w:rPr>
          <w:rFonts w:hint="default"/>
        </w:rPr>
        <w:t>Jednorazové</w:t>
      </w:r>
      <w:r w:rsidRPr="00A53EAC">
        <w:t xml:space="preserve"> vplyvy, </w:t>
      </w:r>
      <w:r w:rsidRPr="00A53EAC" w:rsidR="00EF3DE1">
        <w:rPr>
          <w:rFonts w:hint="default"/>
        </w:rPr>
        <w:t>cyklická</w:t>
      </w:r>
      <w:r w:rsidRPr="00A53EAC" w:rsidR="00EF3DE1">
        <w:rPr>
          <w:rFonts w:hint="default"/>
        </w:rPr>
        <w:t xml:space="preserve"> zlož</w:t>
      </w:r>
      <w:r w:rsidRPr="00A53EAC" w:rsidR="00EF3DE1">
        <w:rPr>
          <w:rFonts w:hint="default"/>
        </w:rPr>
        <w:t xml:space="preserve">ka a </w:t>
      </w:r>
      <w:r w:rsidRPr="00A53EAC">
        <w:rPr>
          <w:rFonts w:hint="default"/>
        </w:rPr>
        <w:t>š</w:t>
      </w:r>
      <w:r w:rsidRPr="00A53EAC">
        <w:rPr>
          <w:rFonts w:hint="default"/>
        </w:rPr>
        <w:t>trukturá</w:t>
      </w:r>
      <w:r w:rsidRPr="00A53EAC">
        <w:rPr>
          <w:rFonts w:hint="default"/>
        </w:rPr>
        <w:t>lne saldo</w:t>
      </w:r>
      <w:bookmarkEnd w:id="72"/>
      <w:bookmarkEnd w:id="73"/>
      <w:bookmarkEnd w:id="91"/>
      <w:bookmarkEnd w:id="92"/>
      <w:r w:rsidRPr="00A53EAC">
        <w:rPr>
          <w:rFonts w:hint="default"/>
        </w:rPr>
        <w:t xml:space="preserve"> </w:t>
      </w:r>
    </w:p>
    <w:p w:rsidR="007A47DD" w:rsidRPr="007A47DD" w:rsidP="007A47DD">
      <w:pPr>
        <w:bidi w:val="0"/>
        <w:spacing w:line="336" w:lineRule="auto"/>
        <w:jc w:val="both"/>
        <w:rPr>
          <w:rFonts w:ascii="Times New Roman" w:hAnsi="Times New Roman" w:cs="Times New Roman"/>
        </w:rPr>
      </w:pPr>
      <w:r w:rsidRPr="007A47DD">
        <w:rPr>
          <w:rFonts w:ascii="Times New Roman" w:hAnsi="Times New Roman" w:cs="Times New Roman"/>
        </w:rPr>
        <w:t xml:space="preserve">Jednorazové vplyvy možno všeobecne definovať ako príjem alebo výdavok, ktorý nemá trvalý alebo opakujúci sa charakter a má časovo obmedzený vplyv na saldo verejnej správy. Úprava salda verejnej správy o jednorazové vplyvy spolu s vplyvom hospodárskeho cyklu umožňuje analyticky vyhodnotiť </w:t>
      </w:r>
      <w:r w:rsidRPr="007A47DD" w:rsidR="00AB267B">
        <w:rPr>
          <w:rFonts w:ascii="Times New Roman" w:hAnsi="Times New Roman" w:cs="Times New Roman"/>
        </w:rPr>
        <w:t>charakter</w:t>
      </w:r>
      <w:r w:rsidRPr="007A47DD">
        <w:rPr>
          <w:rFonts w:ascii="Times New Roman" w:hAnsi="Times New Roman" w:cs="Times New Roman"/>
        </w:rPr>
        <w:t xml:space="preserve"> fiškálnej politiky. Jednorazové vplyvy sú súčasťou fiškálneho dohľadu Európskej únie a používajú sa pri hodnotení súladu hospodárenia verejných financií krajiny s európskymi fiškálnymi pravidlami. </w:t>
      </w:r>
    </w:p>
    <w:p w:rsidR="007A47DD" w:rsidRPr="007A47DD" w:rsidP="007A47DD">
      <w:pPr>
        <w:bidi w:val="0"/>
        <w:spacing w:line="336" w:lineRule="auto"/>
        <w:jc w:val="both"/>
        <w:rPr>
          <w:rFonts w:ascii="Times New Roman" w:hAnsi="Times New Roman" w:cs="Times New Roman"/>
        </w:rPr>
      </w:pPr>
      <w:r w:rsidRPr="007A47DD">
        <w:rPr>
          <w:rFonts w:ascii="Times New Roman" w:hAnsi="Times New Roman" w:cs="Times New Roman"/>
        </w:rPr>
        <w:t>V slovenskej legislatíve sú jednorazové vplyvy zakotvené v zákone o rozpočtových pravidlách verejnej správy a v ústavnom zákone o rozpočtovej zodpovednosti. Ministerstvo financií SR zverejnilo v roku 2013 metodický manuál</w:t>
      </w:r>
      <w:r>
        <w:rPr>
          <w:rStyle w:val="FootnoteReference"/>
          <w:rFonts w:ascii="Times New Roman" w:hAnsi="Times New Roman"/>
          <w:rtl w:val="0"/>
        </w:rPr>
        <w:footnoteReference w:id="3"/>
      </w:r>
      <w:r w:rsidRPr="007A47DD">
        <w:rPr>
          <w:rFonts w:ascii="Times New Roman" w:hAnsi="Times New Roman" w:cs="Times New Roman"/>
        </w:rPr>
        <w:t xml:space="preserve"> určujúci podrobné pravidlá pre ich identifikáciu. Vzhľadom na mierne odlišnosti medzi európskou a národnou metodikou používa MF SR dva druhy výpočtov v závislosti od účelu použitia. V tejto správe bola pri identifikácii jednorazových opatrení a odhade cyklickej zložky použitá metodika Európskej komisie a aktuálna makroekonomická prognóza MF SR zo dňa 19.9.2016. V nasledujúcej tabuľke sú identifikované jednorazové vplyvy v rokoch 2013 až 2015. </w:t>
      </w:r>
    </w:p>
    <w:tbl>
      <w:tblPr>
        <w:tblStyle w:val="TableNormal"/>
        <w:tblW w:w="9233" w:type="dxa"/>
        <w:tblCellMar>
          <w:left w:w="70" w:type="dxa"/>
          <w:right w:w="70" w:type="dxa"/>
        </w:tblCellMar>
        <w:tblLook w:val="04A0"/>
      </w:tblPr>
      <w:tblGrid>
        <w:gridCol w:w="4678"/>
        <w:gridCol w:w="435"/>
        <w:gridCol w:w="557"/>
        <w:gridCol w:w="851"/>
        <w:gridCol w:w="567"/>
        <w:gridCol w:w="873"/>
        <w:gridCol w:w="636"/>
        <w:gridCol w:w="636"/>
      </w:tblGrid>
      <w:tr>
        <w:tblPrEx>
          <w:tblW w:w="9233" w:type="dxa"/>
          <w:tblCellMar>
            <w:left w:w="70" w:type="dxa"/>
            <w:right w:w="70" w:type="dxa"/>
          </w:tblCellMar>
          <w:tblLook w:val="04A0"/>
        </w:tblPrEx>
        <w:trPr>
          <w:trHeight w:val="304"/>
        </w:trPr>
        <w:tc>
          <w:tcPr>
            <w:tcW w:w="9233" w:type="dxa"/>
            <w:gridSpan w:val="8"/>
            <w:tcBorders>
              <w:top w:val="nil"/>
              <w:left w:val="nil"/>
              <w:bottom w:val="nil"/>
              <w:right w:val="nil"/>
            </w:tcBorders>
            <w:shd w:val="clear" w:color="000000" w:fill="000000"/>
            <w:noWrap/>
            <w:textDirection w:val="lrTb"/>
            <w:vAlign w:val="center"/>
            <w:hideMark/>
          </w:tcPr>
          <w:p w:rsidR="007A47DD" w:rsidRPr="00011F28" w:rsidP="00A97D6F">
            <w:pPr>
              <w:bidi w:val="0"/>
              <w:spacing w:after="0"/>
              <w:rPr>
                <w:rFonts w:ascii="Times New Roman" w:hAnsi="Times New Roman" w:cs="Times New Roman"/>
                <w:b/>
                <w:bCs/>
                <w:color w:val="FFFFFF"/>
                <w:sz w:val="20"/>
                <w:szCs w:val="20"/>
                <w:lang w:eastAsia="sk-SK"/>
              </w:rPr>
            </w:pPr>
            <w:r w:rsidRPr="00011F28">
              <w:rPr>
                <w:rFonts w:ascii="Times New Roman" w:hAnsi="Times New Roman" w:cs="Times New Roman"/>
                <w:b/>
                <w:bCs/>
                <w:color w:val="FFFFFF"/>
                <w:sz w:val="20"/>
                <w:szCs w:val="20"/>
                <w:lang w:eastAsia="sk-SK"/>
              </w:rPr>
              <w:t xml:space="preserve">Jednorazové vplyvy </w:t>
            </w:r>
            <w:r w:rsidRPr="00011F28">
              <w:rPr>
                <w:rFonts w:ascii="Times New Roman" w:hAnsi="Times New Roman" w:cs="Times New Roman"/>
                <w:color w:val="FFFFFF"/>
                <w:sz w:val="20"/>
                <w:szCs w:val="20"/>
                <w:lang w:eastAsia="sk-SK"/>
              </w:rPr>
              <w:t xml:space="preserve">(ESA 2010, </w:t>
            </w:r>
            <w:r>
              <w:rPr>
                <w:rFonts w:ascii="Times New Roman" w:hAnsi="Times New Roman" w:cs="Times New Roman"/>
                <w:color w:val="FFFFFF"/>
                <w:sz w:val="20"/>
                <w:szCs w:val="20"/>
                <w:lang w:eastAsia="sk-SK"/>
              </w:rPr>
              <w:t>mil. eur, % HDP</w:t>
            </w:r>
            <w:r w:rsidRPr="00011F28">
              <w:rPr>
                <w:rFonts w:ascii="Times New Roman" w:hAnsi="Times New Roman" w:cs="Times New Roman"/>
                <w:color w:val="FFFFFF"/>
                <w:sz w:val="20"/>
                <w:szCs w:val="20"/>
                <w:lang w:eastAsia="sk-SK"/>
              </w:rPr>
              <w:t>)</w:t>
            </w:r>
            <w:r w:rsidRPr="00011F28">
              <w:rPr>
                <w:rFonts w:ascii="Times New Roman" w:hAnsi="Times New Roman" w:cs="Times New Roman"/>
                <w:b/>
                <w:bCs/>
                <w:color w:val="FFFFFF"/>
                <w:sz w:val="20"/>
                <w:szCs w:val="20"/>
                <w:lang w:eastAsia="sk-SK"/>
              </w:rPr>
              <w:t> </w:t>
            </w:r>
          </w:p>
        </w:tc>
      </w:tr>
      <w:tr>
        <w:tblPrEx>
          <w:tblW w:w="9233" w:type="dxa"/>
          <w:tblCellMar>
            <w:left w:w="70" w:type="dxa"/>
            <w:right w:w="70" w:type="dxa"/>
          </w:tblCellMar>
          <w:tblLook w:val="04A0"/>
        </w:tblPrEx>
        <w:trPr>
          <w:trHeight w:val="304"/>
        </w:trPr>
        <w:tc>
          <w:tcPr>
            <w:tcW w:w="4678" w:type="dxa"/>
            <w:tcBorders>
              <w:top w:val="nil"/>
              <w:left w:val="nil"/>
              <w:bottom w:val="nil"/>
              <w:right w:val="nil"/>
            </w:tcBorders>
            <w:shd w:val="clear" w:color="000000" w:fill="C0C0C0"/>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 </w:t>
            </w:r>
          </w:p>
        </w:tc>
        <w:tc>
          <w:tcPr>
            <w:tcW w:w="435" w:type="dxa"/>
            <w:vMerge w:val="restart"/>
            <w:tcBorders>
              <w:top w:val="nil"/>
              <w:left w:val="nil"/>
              <w:bottom w:val="nil"/>
              <w:right w:val="nil"/>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kat.</w:t>
            </w:r>
          </w:p>
        </w:tc>
        <w:tc>
          <w:tcPr>
            <w:tcW w:w="1975" w:type="dxa"/>
            <w:gridSpan w:val="3"/>
            <w:tcBorders>
              <w:top w:val="nil"/>
              <w:left w:val="nil"/>
              <w:bottom w:val="nil"/>
              <w:right w:val="single" w:sz="8" w:space="0" w:color="000000"/>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mil. eur</w:t>
            </w:r>
          </w:p>
        </w:tc>
        <w:tc>
          <w:tcPr>
            <w:tcW w:w="2145" w:type="dxa"/>
            <w:gridSpan w:val="3"/>
            <w:tcBorders>
              <w:top w:val="nil"/>
              <w:left w:val="nil"/>
              <w:bottom w:val="nil"/>
              <w:right w:val="nil"/>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 HDP</w:t>
            </w:r>
          </w:p>
        </w:tc>
      </w:tr>
      <w:tr>
        <w:tblPrEx>
          <w:tblW w:w="9233" w:type="dxa"/>
          <w:tblCellMar>
            <w:left w:w="70" w:type="dxa"/>
            <w:right w:w="70" w:type="dxa"/>
          </w:tblCellMar>
          <w:tblLook w:val="04A0"/>
        </w:tblPrEx>
        <w:trPr>
          <w:trHeight w:val="304"/>
        </w:trPr>
        <w:tc>
          <w:tcPr>
            <w:tcW w:w="4678" w:type="dxa"/>
            <w:tcBorders>
              <w:top w:val="nil"/>
              <w:left w:val="nil"/>
              <w:bottom w:val="nil"/>
              <w:right w:val="nil"/>
            </w:tcBorders>
            <w:shd w:val="clear" w:color="000000" w:fill="C0C0C0"/>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 </w:t>
            </w:r>
          </w:p>
        </w:tc>
        <w:tc>
          <w:tcPr>
            <w:tcW w:w="435" w:type="dxa"/>
            <w:vMerge/>
            <w:tcBorders>
              <w:top w:val="nil"/>
              <w:left w:val="nil"/>
              <w:bottom w:val="nil"/>
              <w:right w:val="nil"/>
            </w:tcBorders>
            <w:textDirection w:val="lrTb"/>
            <w:vAlign w:val="center"/>
            <w:hideMark/>
          </w:tcPr>
          <w:p w:rsidR="007A47DD" w:rsidRPr="00011F28" w:rsidP="00A97D6F">
            <w:pPr>
              <w:bidi w:val="0"/>
              <w:spacing w:after="0"/>
              <w:rPr>
                <w:rFonts w:ascii="Times New Roman" w:hAnsi="Times New Roman" w:cs="Times New Roman"/>
                <w:color w:val="000000"/>
                <w:sz w:val="20"/>
                <w:szCs w:val="20"/>
                <w:lang w:eastAsia="sk-SK"/>
              </w:rPr>
            </w:pPr>
          </w:p>
        </w:tc>
        <w:tc>
          <w:tcPr>
            <w:tcW w:w="557" w:type="dxa"/>
            <w:tcBorders>
              <w:top w:val="nil"/>
              <w:left w:val="nil"/>
              <w:bottom w:val="nil"/>
              <w:right w:val="nil"/>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2013</w:t>
            </w:r>
          </w:p>
        </w:tc>
        <w:tc>
          <w:tcPr>
            <w:tcW w:w="851" w:type="dxa"/>
            <w:tcBorders>
              <w:top w:val="nil"/>
              <w:left w:val="nil"/>
              <w:bottom w:val="nil"/>
              <w:right w:val="nil"/>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2014</w:t>
            </w:r>
          </w:p>
        </w:tc>
        <w:tc>
          <w:tcPr>
            <w:tcW w:w="567" w:type="dxa"/>
            <w:tcBorders>
              <w:top w:val="nil"/>
              <w:left w:val="nil"/>
              <w:bottom w:val="nil"/>
              <w:right w:val="single" w:sz="8" w:space="0" w:color="auto"/>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2015</w:t>
            </w:r>
          </w:p>
        </w:tc>
        <w:tc>
          <w:tcPr>
            <w:tcW w:w="873" w:type="dxa"/>
            <w:tcBorders>
              <w:top w:val="nil"/>
              <w:left w:val="nil"/>
              <w:bottom w:val="nil"/>
              <w:right w:val="nil"/>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2013</w:t>
            </w:r>
          </w:p>
        </w:tc>
        <w:tc>
          <w:tcPr>
            <w:tcW w:w="636" w:type="dxa"/>
            <w:tcBorders>
              <w:top w:val="nil"/>
              <w:left w:val="nil"/>
              <w:bottom w:val="nil"/>
              <w:right w:val="nil"/>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2014</w:t>
            </w:r>
          </w:p>
        </w:tc>
        <w:tc>
          <w:tcPr>
            <w:tcW w:w="636" w:type="dxa"/>
            <w:tcBorders>
              <w:top w:val="nil"/>
              <w:left w:val="nil"/>
              <w:bottom w:val="nil"/>
              <w:right w:val="nil"/>
            </w:tcBorders>
            <w:shd w:val="clear" w:color="000000" w:fill="C0C0C0"/>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2015</w:t>
            </w:r>
          </w:p>
        </w:tc>
      </w:tr>
      <w:tr>
        <w:tblPrEx>
          <w:tblW w:w="9233" w:type="dxa"/>
          <w:tblCellMar>
            <w:left w:w="70" w:type="dxa"/>
            <w:right w:w="70" w:type="dxa"/>
          </w:tblCellMar>
          <w:tblLook w:val="04A0"/>
        </w:tblPrEx>
        <w:trPr>
          <w:trHeight w:val="304"/>
        </w:trPr>
        <w:tc>
          <w:tcPr>
            <w:tcW w:w="4678" w:type="dxa"/>
            <w:tcBorders>
              <w:top w:val="nil"/>
              <w:left w:val="nil"/>
              <w:bottom w:val="nil"/>
              <w:right w:val="nil"/>
            </w:tcBorders>
            <w:noWrap/>
            <w:textDirection w:val="lrTb"/>
            <w:vAlign w:val="center"/>
            <w:hideMark/>
          </w:tcPr>
          <w:p w:rsidR="007A47DD" w:rsidRPr="00011F28" w:rsidP="00A97D6F">
            <w:pPr>
              <w:bidi w:val="0"/>
              <w:spacing w:after="0"/>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Jednorazové vplyvy spolu</w:t>
            </w:r>
          </w:p>
        </w:tc>
        <w:tc>
          <w:tcPr>
            <w:tcW w:w="435" w:type="dxa"/>
            <w:tcBorders>
              <w:top w:val="nil"/>
              <w:left w:val="nil"/>
              <w:bottom w:val="nil"/>
              <w:right w:val="nil"/>
            </w:tcBorders>
            <w:noWrap/>
            <w:textDirection w:val="lrTb"/>
            <w:vAlign w:val="center"/>
            <w:hideMark/>
          </w:tcPr>
          <w:p w:rsidR="007A47DD" w:rsidRPr="00011F28" w:rsidP="00A97D6F">
            <w:pPr>
              <w:bidi w:val="0"/>
              <w:spacing w:after="0"/>
              <w:rPr>
                <w:rFonts w:ascii="Times New Roman" w:hAnsi="Times New Roman" w:cs="Times New Roman"/>
                <w:b/>
                <w:bCs/>
                <w:color w:val="000000"/>
                <w:sz w:val="20"/>
                <w:szCs w:val="20"/>
                <w:lang w:eastAsia="sk-SK"/>
              </w:rPr>
            </w:pPr>
          </w:p>
        </w:tc>
        <w:tc>
          <w:tcPr>
            <w:tcW w:w="557"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-8</w:t>
            </w:r>
          </w:p>
        </w:tc>
        <w:tc>
          <w:tcPr>
            <w:tcW w:w="851"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-1</w:t>
            </w:r>
          </w:p>
        </w:tc>
        <w:tc>
          <w:tcPr>
            <w:tcW w:w="567" w:type="dxa"/>
            <w:tcBorders>
              <w:top w:val="nil"/>
              <w:left w:val="nil"/>
              <w:bottom w:val="nil"/>
              <w:right w:val="single" w:sz="8" w:space="0" w:color="auto"/>
            </w:tcBorders>
            <w:noWrap/>
            <w:textDirection w:val="lrTb"/>
            <w:vAlign w:val="center"/>
            <w:hideMark/>
          </w:tcPr>
          <w:p w:rsidR="007A47DD" w:rsidRPr="00011F28" w:rsidP="00A97D6F">
            <w:pPr>
              <w:bidi w:val="0"/>
              <w:spacing w:after="0"/>
              <w:jc w:val="center"/>
              <w:rPr>
                <w:rFonts w:ascii="Times New Roman" w:hAnsi="Times New Roman" w:cs="Times New Roman"/>
                <w:b/>
                <w:color w:val="000000"/>
                <w:sz w:val="20"/>
                <w:szCs w:val="20"/>
                <w:lang w:eastAsia="sk-SK"/>
              </w:rPr>
            </w:pPr>
            <w:r>
              <w:rPr>
                <w:rFonts w:ascii="Times New Roman" w:hAnsi="Times New Roman" w:cs="Times New Roman"/>
                <w:b/>
                <w:color w:val="000000"/>
                <w:sz w:val="20"/>
                <w:szCs w:val="20"/>
                <w:lang w:eastAsia="sk-SK"/>
              </w:rPr>
              <w:t>-243</w:t>
            </w:r>
          </w:p>
        </w:tc>
        <w:tc>
          <w:tcPr>
            <w:tcW w:w="873"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-0,01</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sidRPr="00011F28">
              <w:rPr>
                <w:rFonts w:ascii="Times New Roman" w:hAnsi="Times New Roman" w:cs="Times New Roman"/>
                <w:b/>
                <w:bCs/>
                <w:color w:val="000000"/>
                <w:sz w:val="20"/>
                <w:szCs w:val="20"/>
                <w:lang w:eastAsia="sk-SK"/>
              </w:rPr>
              <w:t>0,00</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b/>
                <w:bCs/>
                <w:color w:val="000000"/>
                <w:sz w:val="20"/>
                <w:szCs w:val="20"/>
                <w:lang w:eastAsia="sk-SK"/>
              </w:rPr>
            </w:pPr>
            <w:r>
              <w:rPr>
                <w:rFonts w:ascii="Times New Roman" w:hAnsi="Times New Roman" w:cs="Times New Roman"/>
                <w:b/>
                <w:bCs/>
                <w:color w:val="000000"/>
                <w:sz w:val="20"/>
                <w:szCs w:val="20"/>
                <w:lang w:eastAsia="sk-SK"/>
              </w:rPr>
              <w:t>-0,31</w:t>
            </w:r>
          </w:p>
        </w:tc>
      </w:tr>
      <w:tr>
        <w:tblPrEx>
          <w:tblW w:w="9233" w:type="dxa"/>
          <w:tblCellMar>
            <w:left w:w="70" w:type="dxa"/>
            <w:right w:w="70" w:type="dxa"/>
          </w:tblCellMar>
          <w:tblLook w:val="04A0"/>
        </w:tblPrEx>
        <w:trPr>
          <w:trHeight w:val="304"/>
        </w:trPr>
        <w:tc>
          <w:tcPr>
            <w:tcW w:w="4678" w:type="dxa"/>
            <w:tcBorders>
              <w:top w:val="nil"/>
              <w:left w:val="nil"/>
              <w:bottom w:val="nil"/>
              <w:right w:val="nil"/>
            </w:tcBorders>
            <w:noWrap/>
            <w:textDirection w:val="lrTb"/>
            <w:vAlign w:val="center"/>
            <w:hideMark/>
          </w:tcPr>
          <w:p w:rsidR="007A47DD" w:rsidRPr="00011F28" w:rsidP="00A97D6F">
            <w:pPr>
              <w:bidi w:val="0"/>
              <w:spacing w:after="0"/>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 xml:space="preserve"> - príjmy z pred</w:t>
            </w:r>
            <w:r>
              <w:rPr>
                <w:rFonts w:ascii="Times New Roman" w:hAnsi="Times New Roman" w:cs="Times New Roman"/>
                <w:color w:val="000000"/>
                <w:sz w:val="20"/>
                <w:szCs w:val="20"/>
                <w:lang w:eastAsia="sk-SK"/>
              </w:rPr>
              <w:t xml:space="preserve">aja telekomunikačných licencií </w:t>
            </w:r>
          </w:p>
        </w:tc>
        <w:tc>
          <w:tcPr>
            <w:tcW w:w="435" w:type="dxa"/>
            <w:tcBorders>
              <w:top w:val="nil"/>
              <w:left w:val="nil"/>
              <w:bottom w:val="nil"/>
              <w:right w:val="nil"/>
            </w:tcBorders>
            <w:noWrap/>
            <w:textDirection w:val="lrTb"/>
            <w:vAlign w:val="bottom"/>
            <w:hideMark/>
          </w:tcPr>
          <w:p w:rsidR="007A47DD" w:rsidRPr="00011F28" w:rsidP="00A97D6F">
            <w:pPr>
              <w:bidi w:val="0"/>
              <w:spacing w:after="0"/>
              <w:rPr>
                <w:rFonts w:ascii="Times New Roman" w:hAnsi="Times New Roman" w:cs="Times New Roman"/>
                <w:color w:val="000000"/>
                <w:sz w:val="18"/>
                <w:szCs w:val="18"/>
                <w:lang w:eastAsia="sk-SK"/>
              </w:rPr>
            </w:pPr>
            <w:r w:rsidRPr="00011F28">
              <w:rPr>
                <w:rFonts w:ascii="Times New Roman" w:hAnsi="Times New Roman" w:cs="Times New Roman"/>
                <w:color w:val="000000"/>
                <w:sz w:val="18"/>
                <w:szCs w:val="18"/>
                <w:lang w:eastAsia="sk-SK"/>
              </w:rPr>
              <w:t>P*</w:t>
            </w:r>
          </w:p>
        </w:tc>
        <w:tc>
          <w:tcPr>
            <w:tcW w:w="557"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51"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164</w:t>
            </w:r>
          </w:p>
        </w:tc>
        <w:tc>
          <w:tcPr>
            <w:tcW w:w="567" w:type="dxa"/>
            <w:tcBorders>
              <w:top w:val="nil"/>
              <w:left w:val="nil"/>
              <w:bottom w:val="nil"/>
              <w:right w:val="single" w:sz="8" w:space="0" w:color="auto"/>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73"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0,22</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r>
      <w:tr>
        <w:tblPrEx>
          <w:tblW w:w="9233" w:type="dxa"/>
          <w:tblCellMar>
            <w:left w:w="70" w:type="dxa"/>
            <w:right w:w="70" w:type="dxa"/>
          </w:tblCellMar>
          <w:tblLook w:val="04A0"/>
        </w:tblPrEx>
        <w:trPr>
          <w:trHeight w:val="304"/>
        </w:trPr>
        <w:tc>
          <w:tcPr>
            <w:tcW w:w="4678" w:type="dxa"/>
            <w:tcBorders>
              <w:top w:val="nil"/>
              <w:left w:val="nil"/>
              <w:bottom w:val="nil"/>
              <w:right w:val="nil"/>
            </w:tcBorders>
            <w:noWrap/>
            <w:textDirection w:val="lrTb"/>
            <w:vAlign w:val="center"/>
            <w:hideMark/>
          </w:tcPr>
          <w:p w:rsidR="007A47DD" w:rsidRPr="00011F28" w:rsidP="00A97D6F">
            <w:pPr>
              <w:bidi w:val="0"/>
              <w:spacing w:after="0"/>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 xml:space="preserve"> - pokuta protimonopolného úradu za stavebný kartel </w:t>
            </w:r>
          </w:p>
        </w:tc>
        <w:tc>
          <w:tcPr>
            <w:tcW w:w="435" w:type="dxa"/>
            <w:tcBorders>
              <w:top w:val="nil"/>
              <w:left w:val="nil"/>
              <w:bottom w:val="nil"/>
              <w:right w:val="nil"/>
            </w:tcBorders>
            <w:noWrap/>
            <w:textDirection w:val="lrTb"/>
            <w:vAlign w:val="bottom"/>
            <w:hideMark/>
          </w:tcPr>
          <w:p w:rsidR="007A47DD" w:rsidRPr="00011F28" w:rsidP="00A97D6F">
            <w:pPr>
              <w:bidi w:val="0"/>
              <w:spacing w:after="0"/>
              <w:rPr>
                <w:rFonts w:ascii="Times New Roman" w:hAnsi="Times New Roman" w:cs="Times New Roman"/>
                <w:color w:val="000000"/>
                <w:sz w:val="18"/>
                <w:szCs w:val="18"/>
                <w:lang w:eastAsia="sk-SK"/>
              </w:rPr>
            </w:pPr>
            <w:r w:rsidRPr="00011F28">
              <w:rPr>
                <w:rFonts w:ascii="Times New Roman" w:hAnsi="Times New Roman" w:cs="Times New Roman"/>
                <w:color w:val="000000"/>
                <w:sz w:val="18"/>
                <w:szCs w:val="18"/>
                <w:lang w:eastAsia="sk-SK"/>
              </w:rPr>
              <w:t>P*</w:t>
            </w:r>
          </w:p>
        </w:tc>
        <w:tc>
          <w:tcPr>
            <w:tcW w:w="557"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51"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45</w:t>
            </w:r>
          </w:p>
        </w:tc>
        <w:tc>
          <w:tcPr>
            <w:tcW w:w="567" w:type="dxa"/>
            <w:tcBorders>
              <w:top w:val="nil"/>
              <w:left w:val="nil"/>
              <w:bottom w:val="nil"/>
              <w:right w:val="single" w:sz="8" w:space="0" w:color="auto"/>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73"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0,06</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r>
      <w:tr>
        <w:tblPrEx>
          <w:tblW w:w="9233" w:type="dxa"/>
          <w:tblCellMar>
            <w:left w:w="70" w:type="dxa"/>
            <w:right w:w="70" w:type="dxa"/>
          </w:tblCellMar>
          <w:tblLook w:val="04A0"/>
        </w:tblPrEx>
        <w:trPr>
          <w:trHeight w:val="304"/>
        </w:trPr>
        <w:tc>
          <w:tcPr>
            <w:tcW w:w="4678" w:type="dxa"/>
            <w:tcBorders>
              <w:top w:val="nil"/>
              <w:left w:val="nil"/>
              <w:bottom w:val="nil"/>
              <w:right w:val="nil"/>
            </w:tcBorders>
            <w:noWrap/>
            <w:textDirection w:val="lrTb"/>
            <w:vAlign w:val="center"/>
            <w:hideMark/>
          </w:tcPr>
          <w:p w:rsidR="007A47DD" w:rsidRPr="00011F28" w:rsidP="00A97D6F">
            <w:pPr>
              <w:bidi w:val="0"/>
              <w:spacing w:after="0"/>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 xml:space="preserve"> - korekcie k EÚ fondom</w:t>
            </w:r>
          </w:p>
        </w:tc>
        <w:tc>
          <w:tcPr>
            <w:tcW w:w="435" w:type="dxa"/>
            <w:tcBorders>
              <w:top w:val="nil"/>
              <w:left w:val="nil"/>
              <w:bottom w:val="nil"/>
              <w:right w:val="nil"/>
            </w:tcBorders>
            <w:noWrap/>
            <w:textDirection w:val="lrTb"/>
            <w:vAlign w:val="bottom"/>
            <w:hideMark/>
          </w:tcPr>
          <w:p w:rsidR="007A47DD" w:rsidRPr="00011F28" w:rsidP="00A97D6F">
            <w:pPr>
              <w:bidi w:val="0"/>
              <w:spacing w:after="0"/>
              <w:rPr>
                <w:rFonts w:ascii="Times New Roman" w:hAnsi="Times New Roman" w:cs="Times New Roman"/>
                <w:color w:val="000000"/>
                <w:sz w:val="18"/>
                <w:szCs w:val="18"/>
                <w:lang w:eastAsia="sk-SK"/>
              </w:rPr>
            </w:pPr>
            <w:r w:rsidRPr="00011F28">
              <w:rPr>
                <w:rFonts w:ascii="Times New Roman" w:hAnsi="Times New Roman" w:cs="Times New Roman"/>
                <w:color w:val="000000"/>
                <w:sz w:val="18"/>
                <w:szCs w:val="18"/>
                <w:lang w:eastAsia="sk-SK"/>
              </w:rPr>
              <w:t>V*</w:t>
            </w:r>
          </w:p>
        </w:tc>
        <w:tc>
          <w:tcPr>
            <w:tcW w:w="557"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51"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-209</w:t>
            </w:r>
          </w:p>
        </w:tc>
        <w:tc>
          <w:tcPr>
            <w:tcW w:w="567" w:type="dxa"/>
            <w:tcBorders>
              <w:top w:val="nil"/>
              <w:left w:val="nil"/>
              <w:bottom w:val="nil"/>
              <w:right w:val="single" w:sz="8" w:space="0" w:color="auto"/>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-243</w:t>
            </w:r>
          </w:p>
        </w:tc>
        <w:tc>
          <w:tcPr>
            <w:tcW w:w="873"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-0,28</w:t>
            </w:r>
          </w:p>
        </w:tc>
        <w:tc>
          <w:tcPr>
            <w:tcW w:w="636" w:type="dxa"/>
            <w:tcBorders>
              <w:top w:val="nil"/>
              <w:left w:val="nil"/>
              <w:bottom w:val="nil"/>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-0,31</w:t>
            </w:r>
          </w:p>
        </w:tc>
      </w:tr>
      <w:tr>
        <w:tblPrEx>
          <w:tblW w:w="9233" w:type="dxa"/>
          <w:tblCellMar>
            <w:left w:w="70" w:type="dxa"/>
            <w:right w:w="70" w:type="dxa"/>
          </w:tblCellMar>
          <w:tblLook w:val="04A0"/>
        </w:tblPrEx>
        <w:trPr>
          <w:trHeight w:val="304"/>
        </w:trPr>
        <w:tc>
          <w:tcPr>
            <w:tcW w:w="4678" w:type="dxa"/>
            <w:tcBorders>
              <w:top w:val="nil"/>
              <w:left w:val="nil"/>
              <w:bottom w:val="none" w:sz="0" w:space="0" w:color="auto"/>
              <w:right w:val="nil"/>
            </w:tcBorders>
            <w:noWrap/>
            <w:textDirection w:val="lrTb"/>
            <w:vAlign w:val="center"/>
            <w:hideMark/>
          </w:tcPr>
          <w:p w:rsidR="007A47DD" w:rsidRPr="00011F28" w:rsidP="00A97D6F">
            <w:pPr>
              <w:bidi w:val="0"/>
              <w:spacing w:after="0"/>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 xml:space="preserve"> - nižší odvod do EÚ rozpočtu</w:t>
            </w:r>
          </w:p>
        </w:tc>
        <w:tc>
          <w:tcPr>
            <w:tcW w:w="435" w:type="dxa"/>
            <w:tcBorders>
              <w:top w:val="nil"/>
              <w:left w:val="nil"/>
              <w:bottom w:val="none" w:sz="0" w:space="0" w:color="auto"/>
              <w:right w:val="nil"/>
            </w:tcBorders>
            <w:noWrap/>
            <w:textDirection w:val="lrTb"/>
            <w:vAlign w:val="bottom"/>
            <w:hideMark/>
          </w:tcPr>
          <w:p w:rsidR="007A47DD" w:rsidRPr="00011F28" w:rsidP="00A97D6F">
            <w:pPr>
              <w:bidi w:val="0"/>
              <w:spacing w:after="0"/>
              <w:rPr>
                <w:rFonts w:ascii="Times New Roman" w:hAnsi="Times New Roman" w:cs="Times New Roman"/>
                <w:color w:val="000000"/>
                <w:sz w:val="18"/>
                <w:szCs w:val="18"/>
                <w:lang w:eastAsia="sk-SK"/>
              </w:rPr>
            </w:pPr>
            <w:r w:rsidRPr="00011F28">
              <w:rPr>
                <w:rFonts w:ascii="Times New Roman" w:hAnsi="Times New Roman" w:cs="Times New Roman"/>
                <w:color w:val="000000"/>
                <w:sz w:val="18"/>
                <w:szCs w:val="18"/>
                <w:lang w:eastAsia="sk-SK"/>
              </w:rPr>
              <w:t>V*</w:t>
            </w:r>
          </w:p>
        </w:tc>
        <w:tc>
          <w:tcPr>
            <w:tcW w:w="557" w:type="dxa"/>
            <w:tcBorders>
              <w:top w:val="nil"/>
              <w:left w:val="nil"/>
              <w:bottom w:val="none" w:sz="0"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51" w:type="dxa"/>
            <w:tcBorders>
              <w:top w:val="nil"/>
              <w:left w:val="nil"/>
              <w:bottom w:val="none" w:sz="0"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58</w:t>
            </w:r>
          </w:p>
        </w:tc>
        <w:tc>
          <w:tcPr>
            <w:tcW w:w="567" w:type="dxa"/>
            <w:tcBorders>
              <w:top w:val="nil"/>
              <w:left w:val="nil"/>
              <w:bottom w:val="none" w:sz="0" w:space="0" w:color="auto"/>
              <w:right w:val="single" w:sz="8" w:space="0" w:color="auto"/>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73" w:type="dxa"/>
            <w:tcBorders>
              <w:top w:val="nil"/>
              <w:left w:val="nil"/>
              <w:bottom w:val="none" w:sz="0"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c>
          <w:tcPr>
            <w:tcW w:w="636" w:type="dxa"/>
            <w:tcBorders>
              <w:top w:val="nil"/>
              <w:left w:val="nil"/>
              <w:bottom w:val="none" w:sz="0"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0,08</w:t>
            </w:r>
          </w:p>
        </w:tc>
        <w:tc>
          <w:tcPr>
            <w:tcW w:w="636" w:type="dxa"/>
            <w:tcBorders>
              <w:top w:val="nil"/>
              <w:left w:val="nil"/>
              <w:bottom w:val="none" w:sz="0"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r>
      <w:tr>
        <w:tblPrEx>
          <w:tblW w:w="9233" w:type="dxa"/>
          <w:tblCellMar>
            <w:left w:w="70" w:type="dxa"/>
            <w:right w:w="70" w:type="dxa"/>
          </w:tblCellMar>
          <w:tblLook w:val="04A0"/>
        </w:tblPrEx>
        <w:trPr>
          <w:trHeight w:val="304"/>
        </w:trPr>
        <w:tc>
          <w:tcPr>
            <w:tcW w:w="4678" w:type="dxa"/>
            <w:tcBorders>
              <w:top w:val="nil"/>
              <w:left w:val="nil"/>
              <w:bottom w:val="single" w:sz="4" w:space="0" w:color="auto"/>
              <w:right w:val="nil"/>
            </w:tcBorders>
            <w:noWrap/>
            <w:textDirection w:val="lrTb"/>
            <w:vAlign w:val="center"/>
            <w:hideMark/>
          </w:tcPr>
          <w:p w:rsidR="007A47DD" w:rsidRPr="00011F28" w:rsidP="00A97D6F">
            <w:pPr>
              <w:bidi w:val="0"/>
              <w:spacing w:after="0"/>
              <w:rPr>
                <w:rFonts w:ascii="Times New Roman" w:hAnsi="Times New Roman" w:cs="Times New Roman"/>
                <w:sz w:val="20"/>
                <w:szCs w:val="20"/>
                <w:lang w:eastAsia="sk-SK"/>
              </w:rPr>
            </w:pPr>
            <w:r w:rsidRPr="00011F28">
              <w:rPr>
                <w:rFonts w:ascii="Times New Roman" w:hAnsi="Times New Roman" w:cs="Times New Roman"/>
                <w:sz w:val="20"/>
                <w:szCs w:val="20"/>
                <w:lang w:eastAsia="sk-SK"/>
              </w:rPr>
              <w:t>-  jednor</w:t>
            </w:r>
            <w:r>
              <w:rPr>
                <w:rFonts w:ascii="Times New Roman" w:hAnsi="Times New Roman" w:cs="Times New Roman"/>
                <w:sz w:val="20"/>
                <w:szCs w:val="20"/>
                <w:lang w:eastAsia="sk-SK"/>
              </w:rPr>
              <w:t>.</w:t>
            </w:r>
            <w:r w:rsidRPr="00011F28">
              <w:rPr>
                <w:rFonts w:ascii="Times New Roman" w:hAnsi="Times New Roman" w:cs="Times New Roman"/>
                <w:sz w:val="20"/>
                <w:szCs w:val="20"/>
                <w:lang w:eastAsia="sk-SK"/>
              </w:rPr>
              <w:t xml:space="preserve"> vyplatenie starob</w:t>
            </w:r>
            <w:r>
              <w:rPr>
                <w:rFonts w:ascii="Times New Roman" w:hAnsi="Times New Roman" w:cs="Times New Roman"/>
                <w:sz w:val="20"/>
                <w:szCs w:val="20"/>
                <w:lang w:eastAsia="sk-SK"/>
              </w:rPr>
              <w:t>.</w:t>
            </w:r>
            <w:r w:rsidRPr="00011F28">
              <w:rPr>
                <w:rFonts w:ascii="Times New Roman" w:hAnsi="Times New Roman" w:cs="Times New Roman"/>
                <w:sz w:val="20"/>
                <w:szCs w:val="20"/>
                <w:lang w:eastAsia="sk-SK"/>
              </w:rPr>
              <w:t xml:space="preserve"> dôchodkov sil</w:t>
            </w:r>
            <w:r>
              <w:rPr>
                <w:rFonts w:ascii="Times New Roman" w:hAnsi="Times New Roman" w:cs="Times New Roman"/>
                <w:sz w:val="20"/>
                <w:szCs w:val="20"/>
                <w:lang w:eastAsia="sk-SK"/>
              </w:rPr>
              <w:t>.</w:t>
            </w:r>
            <w:r w:rsidRPr="00011F28">
              <w:rPr>
                <w:rFonts w:ascii="Times New Roman" w:hAnsi="Times New Roman" w:cs="Times New Roman"/>
                <w:sz w:val="20"/>
                <w:szCs w:val="20"/>
                <w:lang w:eastAsia="sk-SK"/>
              </w:rPr>
              <w:t xml:space="preserve"> zložkám</w:t>
            </w:r>
          </w:p>
        </w:tc>
        <w:tc>
          <w:tcPr>
            <w:tcW w:w="435" w:type="dxa"/>
            <w:tcBorders>
              <w:top w:val="nil"/>
              <w:left w:val="nil"/>
              <w:bottom w:val="single" w:sz="4" w:space="0" w:color="auto"/>
              <w:right w:val="nil"/>
            </w:tcBorders>
            <w:noWrap/>
            <w:textDirection w:val="lrTb"/>
            <w:vAlign w:val="bottom"/>
            <w:hideMark/>
          </w:tcPr>
          <w:p w:rsidR="007A47DD" w:rsidRPr="00011F28" w:rsidP="00A97D6F">
            <w:pPr>
              <w:bidi w:val="0"/>
              <w:spacing w:after="0"/>
              <w:rPr>
                <w:rFonts w:ascii="Times New Roman" w:hAnsi="Times New Roman" w:cs="Times New Roman"/>
                <w:color w:val="000000"/>
                <w:sz w:val="18"/>
                <w:szCs w:val="18"/>
                <w:lang w:eastAsia="sk-SK"/>
              </w:rPr>
            </w:pPr>
            <w:r w:rsidRPr="00011F28">
              <w:rPr>
                <w:rFonts w:ascii="Times New Roman" w:hAnsi="Times New Roman" w:cs="Times New Roman"/>
                <w:color w:val="000000"/>
                <w:sz w:val="18"/>
                <w:szCs w:val="18"/>
                <w:lang w:eastAsia="sk-SK"/>
              </w:rPr>
              <w:t>V*</w:t>
            </w:r>
          </w:p>
        </w:tc>
        <w:tc>
          <w:tcPr>
            <w:tcW w:w="557" w:type="dxa"/>
            <w:tcBorders>
              <w:top w:val="nil"/>
              <w:left w:val="nil"/>
              <w:bottom w:val="single" w:sz="4"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-8</w:t>
            </w:r>
          </w:p>
        </w:tc>
        <w:tc>
          <w:tcPr>
            <w:tcW w:w="851" w:type="dxa"/>
            <w:tcBorders>
              <w:top w:val="nil"/>
              <w:left w:val="nil"/>
              <w:bottom w:val="single" w:sz="4"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-58</w:t>
            </w:r>
          </w:p>
        </w:tc>
        <w:tc>
          <w:tcPr>
            <w:tcW w:w="567" w:type="dxa"/>
            <w:tcBorders>
              <w:top w:val="nil"/>
              <w:left w:val="nil"/>
              <w:bottom w:val="single" w:sz="4" w:space="0" w:color="auto"/>
              <w:right w:val="single" w:sz="8" w:space="0" w:color="auto"/>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w:t>
            </w:r>
          </w:p>
        </w:tc>
        <w:tc>
          <w:tcPr>
            <w:tcW w:w="873" w:type="dxa"/>
            <w:tcBorders>
              <w:top w:val="nil"/>
              <w:left w:val="nil"/>
              <w:bottom w:val="single" w:sz="4"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-0,01</w:t>
            </w:r>
          </w:p>
        </w:tc>
        <w:tc>
          <w:tcPr>
            <w:tcW w:w="636" w:type="dxa"/>
            <w:tcBorders>
              <w:top w:val="nil"/>
              <w:left w:val="nil"/>
              <w:bottom w:val="single" w:sz="4"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-0,08</w:t>
            </w:r>
          </w:p>
        </w:tc>
        <w:tc>
          <w:tcPr>
            <w:tcW w:w="636" w:type="dxa"/>
            <w:tcBorders>
              <w:top w:val="nil"/>
              <w:left w:val="nil"/>
              <w:bottom w:val="single" w:sz="4" w:space="0" w:color="auto"/>
              <w:right w:val="nil"/>
            </w:tcBorders>
            <w:noWrap/>
            <w:textDirection w:val="lrTb"/>
            <w:vAlign w:val="center"/>
            <w:hideMark/>
          </w:tcPr>
          <w:p w:rsidR="007A47DD" w:rsidRPr="00011F28" w:rsidP="00A97D6F">
            <w:pPr>
              <w:bidi w:val="0"/>
              <w:spacing w:after="0"/>
              <w:jc w:val="center"/>
              <w:rPr>
                <w:rFonts w:ascii="Times New Roman" w:hAnsi="Times New Roman" w:cs="Times New Roman"/>
                <w:color w:val="000000"/>
                <w:sz w:val="20"/>
                <w:szCs w:val="20"/>
                <w:lang w:eastAsia="sk-SK"/>
              </w:rPr>
            </w:pPr>
            <w:r w:rsidRPr="00011F28">
              <w:rPr>
                <w:rFonts w:ascii="Times New Roman" w:hAnsi="Times New Roman" w:cs="Times New Roman"/>
                <w:color w:val="000000"/>
                <w:sz w:val="20"/>
                <w:szCs w:val="20"/>
                <w:lang w:eastAsia="sk-SK"/>
              </w:rPr>
              <w:t>0,00</w:t>
            </w:r>
          </w:p>
        </w:tc>
      </w:tr>
      <w:tr>
        <w:tblPrEx>
          <w:tblW w:w="9233" w:type="dxa"/>
          <w:tblCellMar>
            <w:left w:w="70" w:type="dxa"/>
            <w:right w:w="70" w:type="dxa"/>
          </w:tblCellMar>
          <w:tblLook w:val="04A0"/>
        </w:tblPrEx>
        <w:trPr>
          <w:trHeight w:val="304"/>
        </w:trPr>
        <w:tc>
          <w:tcPr>
            <w:tcW w:w="9233" w:type="dxa"/>
            <w:gridSpan w:val="8"/>
            <w:tcBorders>
              <w:top w:val="single" w:sz="4" w:space="0" w:color="auto"/>
              <w:left w:val="nil"/>
              <w:bottom w:val="nil"/>
              <w:right w:val="nil"/>
            </w:tcBorders>
            <w:noWrap/>
            <w:textDirection w:val="lrTb"/>
            <w:vAlign w:val="center"/>
            <w:hideMark/>
          </w:tcPr>
          <w:p w:rsidR="007A47DD" w:rsidRPr="00011F28" w:rsidP="007746B4">
            <w:pPr>
              <w:tabs>
                <w:tab w:val="left" w:pos="7230"/>
              </w:tabs>
              <w:bidi w:val="0"/>
              <w:spacing w:after="0"/>
              <w:rPr>
                <w:rFonts w:ascii="Times New Roman" w:hAnsi="Times New Roman" w:cs="Times New Roman"/>
                <w:sz w:val="20"/>
                <w:szCs w:val="20"/>
                <w:lang w:eastAsia="sk-SK"/>
              </w:rPr>
            </w:pPr>
            <w:r w:rsidRPr="00011F28">
              <w:rPr>
                <w:rFonts w:ascii="Times New Roman" w:hAnsi="Times New Roman" w:cs="Times New Roman"/>
                <w:color w:val="000000"/>
                <w:sz w:val="20"/>
                <w:szCs w:val="20"/>
                <w:lang w:eastAsia="sk-SK"/>
              </w:rPr>
              <w:t>*  P - príjmová položka, V - výdavková položka; (+) reštrikcia (-) expanzia</w:t>
            </w:r>
            <w:r w:rsidR="007746B4">
              <w:rPr>
                <w:rFonts w:ascii="Times New Roman" w:hAnsi="Times New Roman" w:cs="Times New Roman"/>
                <w:color w:val="000000"/>
                <w:sz w:val="20"/>
                <w:szCs w:val="20"/>
                <w:lang w:eastAsia="sk-SK"/>
              </w:rPr>
              <w:t xml:space="preserve">                                      </w:t>
            </w:r>
            <w:r w:rsidRPr="007746B4" w:rsidR="007746B4">
              <w:rPr>
                <w:rFonts w:ascii="Times New Roman" w:hAnsi="Times New Roman" w:cs="Times New Roman"/>
                <w:i/>
                <w:color w:val="000000"/>
                <w:sz w:val="20"/>
                <w:szCs w:val="20"/>
                <w:lang w:eastAsia="sk-SK"/>
              </w:rPr>
              <w:t>Zdroj: MF SR</w:t>
            </w:r>
          </w:p>
        </w:tc>
      </w:tr>
    </w:tbl>
    <w:p w:rsidR="007A47DD" w:rsidRPr="007A47DD" w:rsidP="007A47DD">
      <w:pPr>
        <w:bidi w:val="0"/>
        <w:spacing w:before="240" w:line="336" w:lineRule="auto"/>
        <w:jc w:val="both"/>
        <w:rPr>
          <w:rFonts w:ascii="Times New Roman" w:hAnsi="Times New Roman" w:cs="Times New Roman"/>
        </w:rPr>
      </w:pPr>
      <w:r w:rsidRPr="007A47DD">
        <w:rPr>
          <w:rFonts w:ascii="Times New Roman" w:hAnsi="Times New Roman" w:cs="Times New Roman"/>
          <w:b/>
        </w:rPr>
        <w:t xml:space="preserve">V roku 2015 bol identifikovaný jeden jednorazový vplyvy vo výške </w:t>
      </w:r>
      <w:r w:rsidRPr="007A47DD">
        <w:rPr>
          <w:rFonts w:ascii="Times New Roman" w:hAnsi="Times New Roman" w:cs="Times New Roman"/>
          <w:b/>
          <w:bCs/>
        </w:rPr>
        <w:t>243 mil. eur (</w:t>
      </w:r>
      <w:r w:rsidRPr="007A47DD">
        <w:rPr>
          <w:rFonts w:ascii="Times New Roman" w:hAnsi="Times New Roman" w:cs="Times New Roman"/>
          <w:b/>
        </w:rPr>
        <w:t>0,31 % HDP)</w:t>
      </w:r>
      <w:r w:rsidRPr="007A47DD">
        <w:rPr>
          <w:rFonts w:ascii="Times New Roman" w:hAnsi="Times New Roman" w:cs="Times New Roman"/>
        </w:rPr>
        <w:t>. V uvedenej sume boli vyčíslené korekcie k EÚ fondom prevažne z 2. programového obdobia (2007 až 2013).</w:t>
      </w:r>
    </w:p>
    <w:p w:rsidR="007A47DD" w:rsidRPr="007A47DD" w:rsidP="007A47DD">
      <w:pPr>
        <w:bidi w:val="0"/>
        <w:spacing w:before="240" w:line="336" w:lineRule="auto"/>
        <w:jc w:val="both"/>
        <w:rPr>
          <w:rFonts w:ascii="Times New Roman" w:hAnsi="Times New Roman" w:cs="Times New Roman"/>
          <w:bCs/>
        </w:rPr>
      </w:pPr>
      <w:r w:rsidRPr="007A47DD">
        <w:rPr>
          <w:rFonts w:ascii="Times New Roman" w:hAnsi="Times New Roman" w:cs="Times New Roman"/>
        </w:rPr>
        <w:t>Cyklická zložka vyjadruje reakciu príjmov a výdavkov verejnej správy na zmeny v produkčnej medzere, ktoré vyplývajú z fluktuácie ekonomiky okolo svojho potenciálu. Veľkosť cyklickej zložky závisí od veľkosti produkčnej medzery a od elasticít vybraných príjmových a výdavkových kategórií, ktoré reagujú na výkyvy v ekonomickej aktivite. V roku 2015 sa slovenská ekonomika nachádzala naďalej pod svojím potenciálom. Odhadnutá cyklická zložka znížila štrukturálne saldo o 0,5 % HDP.</w:t>
      </w:r>
    </w:p>
    <w:tbl>
      <w:tblPr>
        <w:tblStyle w:val="TableNormal"/>
        <w:tblW w:w="9092" w:type="dxa"/>
        <w:tblCellMar>
          <w:left w:w="70" w:type="dxa"/>
          <w:right w:w="70" w:type="dxa"/>
        </w:tblCellMar>
        <w:tblLook w:val="04A0"/>
      </w:tblPr>
      <w:tblGrid>
        <w:gridCol w:w="4789"/>
        <w:gridCol w:w="1389"/>
        <w:gridCol w:w="1046"/>
        <w:gridCol w:w="960"/>
        <w:gridCol w:w="908"/>
      </w:tblGrid>
      <w:tr>
        <w:tblPrEx>
          <w:tblW w:w="9092" w:type="dxa"/>
          <w:tblCellMar>
            <w:left w:w="70" w:type="dxa"/>
            <w:right w:w="70" w:type="dxa"/>
          </w:tblCellMar>
          <w:tblLook w:val="04A0"/>
        </w:tblPrEx>
        <w:trPr>
          <w:trHeight w:val="355"/>
        </w:trPr>
        <w:tc>
          <w:tcPr>
            <w:tcW w:w="9092" w:type="dxa"/>
            <w:gridSpan w:val="5"/>
            <w:tcBorders>
              <w:top w:val="nil"/>
              <w:left w:val="nil"/>
              <w:bottom w:val="nil"/>
              <w:right w:val="nil"/>
            </w:tcBorders>
            <w:shd w:val="clear" w:color="000000" w:fill="000000"/>
            <w:noWrap/>
            <w:textDirection w:val="lrTb"/>
            <w:vAlign w:val="center"/>
            <w:hideMark/>
          </w:tcPr>
          <w:p w:rsidR="007A47DD" w:rsidRPr="00B26E28" w:rsidP="00A97D6F">
            <w:pPr>
              <w:bidi w:val="0"/>
              <w:spacing w:after="0"/>
              <w:rPr>
                <w:rFonts w:ascii="Times New Roman" w:hAnsi="Times New Roman" w:cs="Times New Roman"/>
                <w:b/>
                <w:bCs/>
                <w:color w:val="FFFFFF"/>
                <w:sz w:val="20"/>
                <w:szCs w:val="20"/>
                <w:lang w:eastAsia="sk-SK"/>
              </w:rPr>
            </w:pPr>
            <w:r w:rsidRPr="00B26E28">
              <w:rPr>
                <w:rFonts w:ascii="Times New Roman" w:hAnsi="Times New Roman" w:cs="Times New Roman"/>
                <w:b/>
                <w:bCs/>
                <w:color w:val="FFFFFF"/>
                <w:sz w:val="20"/>
                <w:szCs w:val="20"/>
                <w:lang w:eastAsia="sk-SK"/>
              </w:rPr>
              <w:t xml:space="preserve">Výpočet štrukturálneho salda a konsolidačného úsilia (ESA 2010, tis. </w:t>
            </w:r>
            <w:r>
              <w:rPr>
                <w:rFonts w:ascii="Times New Roman" w:hAnsi="Times New Roman" w:cs="Times New Roman"/>
                <w:b/>
                <w:bCs/>
                <w:color w:val="FFFFFF"/>
                <w:sz w:val="20"/>
                <w:szCs w:val="20"/>
                <w:lang w:eastAsia="sk-SK"/>
              </w:rPr>
              <w:t>e</w:t>
            </w:r>
            <w:r w:rsidRPr="00B26E28">
              <w:rPr>
                <w:rFonts w:ascii="Times New Roman" w:hAnsi="Times New Roman" w:cs="Times New Roman"/>
                <w:b/>
                <w:bCs/>
                <w:color w:val="FFFFFF"/>
                <w:sz w:val="20"/>
                <w:szCs w:val="20"/>
                <w:lang w:eastAsia="sk-SK"/>
              </w:rPr>
              <w:t>ur.)</w:t>
            </w:r>
          </w:p>
        </w:tc>
      </w:tr>
      <w:tr>
        <w:tblPrEx>
          <w:tblW w:w="9092" w:type="dxa"/>
          <w:tblCellMar>
            <w:left w:w="70" w:type="dxa"/>
            <w:right w:w="70" w:type="dxa"/>
          </w:tblCellMar>
          <w:tblLook w:val="04A0"/>
        </w:tblPrEx>
        <w:trPr>
          <w:trHeight w:val="326"/>
        </w:trPr>
        <w:tc>
          <w:tcPr>
            <w:tcW w:w="4789" w:type="dxa"/>
            <w:vMerge w:val="restart"/>
            <w:tcBorders>
              <w:top w:val="nil"/>
              <w:left w:val="nil"/>
              <w:bottom w:val="nil"/>
              <w:right w:val="nil"/>
            </w:tcBorders>
            <w:shd w:val="clear" w:color="000000" w:fill="C0C0C0"/>
            <w:noWrap/>
            <w:textDirection w:val="lrTb"/>
            <w:vAlign w:val="center"/>
            <w:hideMark/>
          </w:tcPr>
          <w:p w:rsidR="007A47DD" w:rsidRPr="00B26E28" w:rsidP="00A97D6F">
            <w:pPr>
              <w:bidi w:val="0"/>
              <w:spacing w:after="0"/>
              <w:jc w:val="center"/>
              <w:rPr>
                <w:rFonts w:ascii="Times New Roman" w:hAnsi="Times New Roman" w:cs="Times New Roman"/>
                <w:color w:val="000000"/>
                <w:sz w:val="20"/>
                <w:szCs w:val="20"/>
                <w:lang w:eastAsia="sk-SK"/>
              </w:rPr>
            </w:pPr>
            <w:r w:rsidRPr="00B26E28">
              <w:rPr>
                <w:rFonts w:ascii="Times New Roman" w:hAnsi="Times New Roman" w:cs="Times New Roman"/>
                <w:color w:val="000000"/>
                <w:sz w:val="20"/>
                <w:szCs w:val="20"/>
                <w:lang w:eastAsia="sk-SK"/>
              </w:rPr>
              <w:t> </w:t>
            </w:r>
          </w:p>
        </w:tc>
        <w:tc>
          <w:tcPr>
            <w:tcW w:w="1389" w:type="dxa"/>
            <w:tcBorders>
              <w:top w:val="nil"/>
              <w:left w:val="nil"/>
              <w:bottom w:val="nil"/>
              <w:right w:val="single" w:sz="8" w:space="0" w:color="auto"/>
            </w:tcBorders>
            <w:shd w:val="clear" w:color="000000" w:fill="C0C0C0"/>
            <w:textDirection w:val="lrTb"/>
            <w:vAlign w:val="center"/>
            <w:hideMark/>
          </w:tcPr>
          <w:p w:rsidR="007A47DD" w:rsidRPr="00B26E28" w:rsidP="00A97D6F">
            <w:pPr>
              <w:bidi w:val="0"/>
              <w:spacing w:after="0"/>
              <w:jc w:val="center"/>
              <w:rPr>
                <w:rFonts w:ascii="Times New Roman" w:hAnsi="Times New Roman" w:cs="Times New Roman"/>
                <w:b/>
                <w:bCs/>
                <w:color w:val="000000"/>
                <w:sz w:val="20"/>
                <w:szCs w:val="20"/>
                <w:lang w:eastAsia="sk-SK"/>
              </w:rPr>
            </w:pPr>
            <w:r w:rsidRPr="00B26E28">
              <w:rPr>
                <w:rFonts w:ascii="Times New Roman" w:hAnsi="Times New Roman" w:cs="Times New Roman"/>
                <w:b/>
                <w:bCs/>
                <w:color w:val="000000"/>
                <w:sz w:val="20"/>
                <w:szCs w:val="20"/>
                <w:lang w:eastAsia="sk-SK"/>
              </w:rPr>
              <w:t> </w:t>
            </w:r>
          </w:p>
        </w:tc>
        <w:tc>
          <w:tcPr>
            <w:tcW w:w="2914" w:type="dxa"/>
            <w:gridSpan w:val="3"/>
            <w:tcBorders>
              <w:top w:val="nil"/>
              <w:left w:val="nil"/>
              <w:bottom w:val="nil"/>
              <w:right w:val="nil"/>
            </w:tcBorders>
            <w:shd w:val="clear" w:color="000000" w:fill="C0C0C0"/>
            <w:textDirection w:val="lrTb"/>
            <w:vAlign w:val="center"/>
            <w:hideMark/>
          </w:tcPr>
          <w:p w:rsidR="007A47DD" w:rsidRPr="00B26E28" w:rsidP="00A97D6F">
            <w:pPr>
              <w:bidi w:val="0"/>
              <w:spacing w:after="0"/>
              <w:jc w:val="center"/>
              <w:rPr>
                <w:rFonts w:ascii="Times New Roman" w:hAnsi="Times New Roman" w:cs="Times New Roman"/>
                <w:b/>
                <w:bCs/>
                <w:color w:val="000000"/>
                <w:sz w:val="20"/>
                <w:szCs w:val="20"/>
                <w:lang w:eastAsia="sk-SK"/>
              </w:rPr>
            </w:pPr>
            <w:r w:rsidRPr="00B26E28">
              <w:rPr>
                <w:rFonts w:ascii="Times New Roman" w:hAnsi="Times New Roman" w:cs="Times New Roman"/>
                <w:b/>
                <w:bCs/>
                <w:color w:val="000000"/>
                <w:sz w:val="20"/>
                <w:szCs w:val="20"/>
                <w:lang w:eastAsia="sk-SK"/>
              </w:rPr>
              <w:t>% HDP</w:t>
            </w:r>
          </w:p>
        </w:tc>
      </w:tr>
      <w:tr>
        <w:tblPrEx>
          <w:tblW w:w="9092" w:type="dxa"/>
          <w:tblCellMar>
            <w:left w:w="70" w:type="dxa"/>
            <w:right w:w="70" w:type="dxa"/>
          </w:tblCellMar>
          <w:tblLook w:val="04A0"/>
        </w:tblPrEx>
        <w:trPr>
          <w:trHeight w:val="326"/>
        </w:trPr>
        <w:tc>
          <w:tcPr>
            <w:tcW w:w="4789" w:type="dxa"/>
            <w:vMerge/>
            <w:tcBorders>
              <w:top w:val="nil"/>
              <w:left w:val="nil"/>
              <w:bottom w:val="nil"/>
              <w:right w:val="nil"/>
            </w:tcBorders>
            <w:textDirection w:val="lrTb"/>
            <w:vAlign w:val="center"/>
            <w:hideMark/>
          </w:tcPr>
          <w:p w:rsidR="007A47DD" w:rsidRPr="00B26E28" w:rsidP="00A97D6F">
            <w:pPr>
              <w:bidi w:val="0"/>
              <w:spacing w:after="0"/>
              <w:rPr>
                <w:rFonts w:ascii="Times New Roman" w:hAnsi="Times New Roman" w:cs="Times New Roman"/>
                <w:color w:val="000000"/>
                <w:sz w:val="20"/>
                <w:szCs w:val="20"/>
                <w:lang w:eastAsia="sk-SK"/>
              </w:rPr>
            </w:pPr>
          </w:p>
        </w:tc>
        <w:tc>
          <w:tcPr>
            <w:tcW w:w="1389" w:type="dxa"/>
            <w:tcBorders>
              <w:top w:val="nil"/>
              <w:left w:val="nil"/>
              <w:bottom w:val="nil"/>
              <w:right w:val="single" w:sz="8" w:space="0" w:color="auto"/>
            </w:tcBorders>
            <w:shd w:val="clear" w:color="000000" w:fill="C0C0C0"/>
            <w:textDirection w:val="lrTb"/>
            <w:vAlign w:val="center"/>
            <w:hideMark/>
          </w:tcPr>
          <w:p w:rsidR="007A47DD" w:rsidRPr="00B26E28" w:rsidP="00A97D6F">
            <w:pPr>
              <w:bidi w:val="0"/>
              <w:spacing w:after="0"/>
              <w:jc w:val="center"/>
              <w:rPr>
                <w:rFonts w:ascii="Times New Roman" w:hAnsi="Times New Roman" w:cs="Times New Roman"/>
                <w:b/>
                <w:bCs/>
                <w:color w:val="000000"/>
                <w:sz w:val="20"/>
                <w:szCs w:val="20"/>
                <w:lang w:eastAsia="sk-SK"/>
              </w:rPr>
            </w:pPr>
            <w:r w:rsidRPr="00B26E28">
              <w:rPr>
                <w:rFonts w:ascii="Times New Roman" w:hAnsi="Times New Roman" w:cs="Times New Roman"/>
                <w:b/>
                <w:bCs/>
                <w:color w:val="000000"/>
                <w:sz w:val="20"/>
                <w:szCs w:val="20"/>
                <w:lang w:eastAsia="sk-SK"/>
              </w:rPr>
              <w:t>2015</w:t>
            </w:r>
          </w:p>
        </w:tc>
        <w:tc>
          <w:tcPr>
            <w:tcW w:w="1046" w:type="dxa"/>
            <w:tcBorders>
              <w:top w:val="nil"/>
              <w:left w:val="nil"/>
              <w:bottom w:val="nil"/>
              <w:right w:val="nil"/>
            </w:tcBorders>
            <w:shd w:val="clear" w:color="000000" w:fill="C0C0C0"/>
            <w:textDirection w:val="lrTb"/>
            <w:vAlign w:val="center"/>
            <w:hideMark/>
          </w:tcPr>
          <w:p w:rsidR="007A47DD" w:rsidRPr="00B26E28" w:rsidP="00A97D6F">
            <w:pPr>
              <w:bidi w:val="0"/>
              <w:spacing w:after="0"/>
              <w:jc w:val="center"/>
              <w:rPr>
                <w:rFonts w:ascii="Times New Roman" w:hAnsi="Times New Roman" w:cs="Times New Roman"/>
                <w:b/>
                <w:bCs/>
                <w:color w:val="000000"/>
                <w:sz w:val="20"/>
                <w:szCs w:val="20"/>
                <w:lang w:eastAsia="sk-SK"/>
              </w:rPr>
            </w:pPr>
            <w:r w:rsidRPr="00B26E28">
              <w:rPr>
                <w:rFonts w:ascii="Times New Roman" w:hAnsi="Times New Roman" w:cs="Times New Roman"/>
                <w:b/>
                <w:bCs/>
                <w:color w:val="000000"/>
                <w:sz w:val="20"/>
                <w:szCs w:val="20"/>
                <w:lang w:eastAsia="sk-SK"/>
              </w:rPr>
              <w:t>2013</w:t>
            </w:r>
          </w:p>
        </w:tc>
        <w:tc>
          <w:tcPr>
            <w:tcW w:w="960" w:type="dxa"/>
            <w:tcBorders>
              <w:top w:val="nil"/>
              <w:left w:val="nil"/>
              <w:bottom w:val="nil"/>
              <w:right w:val="nil"/>
            </w:tcBorders>
            <w:shd w:val="clear" w:color="000000" w:fill="C0C0C0"/>
            <w:textDirection w:val="lrTb"/>
            <w:vAlign w:val="center"/>
            <w:hideMark/>
          </w:tcPr>
          <w:p w:rsidR="007A47DD" w:rsidRPr="00B26E28" w:rsidP="00A97D6F">
            <w:pPr>
              <w:bidi w:val="0"/>
              <w:spacing w:after="0"/>
              <w:jc w:val="center"/>
              <w:rPr>
                <w:rFonts w:ascii="Times New Roman" w:hAnsi="Times New Roman" w:cs="Times New Roman"/>
                <w:b/>
                <w:bCs/>
                <w:color w:val="000000"/>
                <w:sz w:val="20"/>
                <w:szCs w:val="20"/>
                <w:lang w:eastAsia="sk-SK"/>
              </w:rPr>
            </w:pPr>
            <w:r w:rsidRPr="00B26E28">
              <w:rPr>
                <w:rFonts w:ascii="Times New Roman" w:hAnsi="Times New Roman" w:cs="Times New Roman"/>
                <w:b/>
                <w:bCs/>
                <w:color w:val="000000"/>
                <w:sz w:val="20"/>
                <w:szCs w:val="20"/>
                <w:lang w:eastAsia="sk-SK"/>
              </w:rPr>
              <w:t>2014</w:t>
            </w:r>
          </w:p>
        </w:tc>
        <w:tc>
          <w:tcPr>
            <w:tcW w:w="908" w:type="dxa"/>
            <w:tcBorders>
              <w:top w:val="nil"/>
              <w:left w:val="nil"/>
              <w:bottom w:val="nil"/>
              <w:right w:val="nil"/>
            </w:tcBorders>
            <w:shd w:val="clear" w:color="000000" w:fill="C0C0C0"/>
            <w:textDirection w:val="lrTb"/>
            <w:vAlign w:val="center"/>
            <w:hideMark/>
          </w:tcPr>
          <w:p w:rsidR="007A47DD" w:rsidRPr="00B26E28" w:rsidP="00A97D6F">
            <w:pPr>
              <w:bidi w:val="0"/>
              <w:spacing w:after="0"/>
              <w:jc w:val="center"/>
              <w:rPr>
                <w:rFonts w:ascii="Times New Roman" w:hAnsi="Times New Roman" w:cs="Times New Roman"/>
                <w:b/>
                <w:bCs/>
                <w:color w:val="000000"/>
                <w:sz w:val="20"/>
                <w:szCs w:val="20"/>
                <w:lang w:eastAsia="sk-SK"/>
              </w:rPr>
            </w:pPr>
            <w:r w:rsidRPr="00B26E28">
              <w:rPr>
                <w:rFonts w:ascii="Times New Roman" w:hAnsi="Times New Roman" w:cs="Times New Roman"/>
                <w:b/>
                <w:bCs/>
                <w:color w:val="000000"/>
                <w:sz w:val="20"/>
                <w:szCs w:val="20"/>
                <w:lang w:eastAsia="sk-SK"/>
              </w:rPr>
              <w:t>2015</w:t>
            </w:r>
          </w:p>
        </w:tc>
      </w:tr>
      <w:tr>
        <w:tblPrEx>
          <w:tblW w:w="9092" w:type="dxa"/>
          <w:tblCellMar>
            <w:left w:w="70" w:type="dxa"/>
            <w:right w:w="70" w:type="dxa"/>
          </w:tblCellMar>
          <w:tblLook w:val="04A0"/>
        </w:tblPrEx>
        <w:trPr>
          <w:trHeight w:val="326"/>
        </w:trPr>
        <w:tc>
          <w:tcPr>
            <w:tcW w:w="4789" w:type="dxa"/>
            <w:tcBorders>
              <w:top w:val="nil"/>
              <w:left w:val="nil"/>
              <w:bottom w:val="nil"/>
              <w:right w:val="nil"/>
            </w:tcBorders>
            <w:noWrap/>
            <w:textDirection w:val="lrTb"/>
            <w:vAlign w:val="center"/>
            <w:hideMark/>
          </w:tcPr>
          <w:p w:rsidR="007A47DD" w:rsidRPr="00B26E28" w:rsidP="00A97D6F">
            <w:pPr>
              <w:bidi w:val="0"/>
              <w:spacing w:after="0"/>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1. Saldo verejnej správy podľa ESA 2010</w:t>
            </w:r>
          </w:p>
        </w:tc>
        <w:tc>
          <w:tcPr>
            <w:tcW w:w="1389" w:type="dxa"/>
            <w:tcBorders>
              <w:top w:val="nil"/>
              <w:left w:val="nil"/>
              <w:bottom w:val="nil"/>
              <w:right w:val="single" w:sz="8" w:space="0" w:color="auto"/>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-2 130 307</w:t>
            </w:r>
          </w:p>
        </w:tc>
        <w:tc>
          <w:tcPr>
            <w:tcW w:w="1046"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-2,7</w:t>
            </w:r>
          </w:p>
        </w:tc>
        <w:tc>
          <w:tcPr>
            <w:tcW w:w="960"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-2,7</w:t>
            </w:r>
          </w:p>
        </w:tc>
        <w:tc>
          <w:tcPr>
            <w:tcW w:w="908"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-2,7</w:t>
            </w:r>
          </w:p>
        </w:tc>
      </w:tr>
      <w:tr>
        <w:tblPrEx>
          <w:tblW w:w="9092" w:type="dxa"/>
          <w:tblCellMar>
            <w:left w:w="70" w:type="dxa"/>
            <w:right w:w="70" w:type="dxa"/>
          </w:tblCellMar>
          <w:tblLook w:val="04A0"/>
        </w:tblPrEx>
        <w:trPr>
          <w:trHeight w:val="326"/>
        </w:trPr>
        <w:tc>
          <w:tcPr>
            <w:tcW w:w="4789" w:type="dxa"/>
            <w:tcBorders>
              <w:top w:val="nil"/>
              <w:left w:val="nil"/>
              <w:bottom w:val="nil"/>
              <w:right w:val="nil"/>
            </w:tcBorders>
            <w:noWrap/>
            <w:textDirection w:val="lrTb"/>
            <w:vAlign w:val="center"/>
            <w:hideMark/>
          </w:tcPr>
          <w:p w:rsidR="007A47DD" w:rsidRPr="00B26E28" w:rsidP="00A97D6F">
            <w:pPr>
              <w:bidi w:val="0"/>
              <w:spacing w:after="0"/>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2. Jednorazové vplyvy spolu</w:t>
            </w:r>
          </w:p>
        </w:tc>
        <w:tc>
          <w:tcPr>
            <w:tcW w:w="1389" w:type="dxa"/>
            <w:tcBorders>
              <w:top w:val="nil"/>
              <w:left w:val="nil"/>
              <w:bottom w:val="nil"/>
              <w:right w:val="single" w:sz="8" w:space="0" w:color="auto"/>
            </w:tcBorders>
            <w:noWrap/>
            <w:textDirection w:val="lrTb"/>
            <w:vAlign w:val="center"/>
            <w:hideMark/>
          </w:tcPr>
          <w:p w:rsidR="007A47DD" w:rsidRPr="00B26E28" w:rsidP="00DB0232">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-2</w:t>
            </w:r>
            <w:r w:rsidR="00DB0232">
              <w:rPr>
                <w:rFonts w:ascii="Times New Roman" w:hAnsi="Times New Roman" w:cs="Times New Roman"/>
                <w:color w:val="000000"/>
                <w:sz w:val="18"/>
                <w:szCs w:val="18"/>
                <w:lang w:eastAsia="sk-SK"/>
              </w:rPr>
              <w:t>43</w:t>
            </w:r>
            <w:r w:rsidRPr="00B26E28">
              <w:rPr>
                <w:rFonts w:ascii="Times New Roman" w:hAnsi="Times New Roman" w:cs="Times New Roman"/>
                <w:color w:val="000000"/>
                <w:sz w:val="18"/>
                <w:szCs w:val="18"/>
                <w:lang w:eastAsia="sk-SK"/>
              </w:rPr>
              <w:t xml:space="preserve"> </w:t>
            </w:r>
            <w:r w:rsidR="00DB0232">
              <w:rPr>
                <w:rFonts w:ascii="Times New Roman" w:hAnsi="Times New Roman" w:cs="Times New Roman"/>
                <w:color w:val="000000"/>
                <w:sz w:val="18"/>
                <w:szCs w:val="18"/>
                <w:lang w:eastAsia="sk-SK"/>
              </w:rPr>
              <w:t>440</w:t>
            </w:r>
          </w:p>
        </w:tc>
        <w:tc>
          <w:tcPr>
            <w:tcW w:w="1046" w:type="dxa"/>
            <w:tcBorders>
              <w:top w:val="nil"/>
              <w:left w:val="nil"/>
              <w:bottom w:val="nil"/>
              <w:right w:val="nil"/>
            </w:tcBorders>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0,0</w:t>
            </w:r>
          </w:p>
        </w:tc>
        <w:tc>
          <w:tcPr>
            <w:tcW w:w="960" w:type="dxa"/>
            <w:tcBorders>
              <w:top w:val="nil"/>
              <w:left w:val="nil"/>
              <w:bottom w:val="nil"/>
              <w:right w:val="nil"/>
            </w:tcBorders>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0,0</w:t>
            </w:r>
          </w:p>
        </w:tc>
        <w:tc>
          <w:tcPr>
            <w:tcW w:w="908" w:type="dxa"/>
            <w:tcBorders>
              <w:top w:val="nil"/>
              <w:left w:val="nil"/>
              <w:bottom w:val="nil"/>
              <w:right w:val="nil"/>
            </w:tcBorders>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Pr>
                <w:rFonts w:ascii="Times New Roman" w:hAnsi="Times New Roman" w:cs="Times New Roman"/>
                <w:color w:val="000000"/>
                <w:sz w:val="18"/>
                <w:szCs w:val="18"/>
                <w:lang w:eastAsia="sk-SK"/>
              </w:rPr>
              <w:t>-0,3</w:t>
            </w:r>
          </w:p>
        </w:tc>
      </w:tr>
      <w:tr>
        <w:tblPrEx>
          <w:tblW w:w="9092" w:type="dxa"/>
          <w:tblCellMar>
            <w:left w:w="70" w:type="dxa"/>
            <w:right w:w="70" w:type="dxa"/>
          </w:tblCellMar>
          <w:tblLook w:val="04A0"/>
        </w:tblPrEx>
        <w:trPr>
          <w:trHeight w:val="326"/>
        </w:trPr>
        <w:tc>
          <w:tcPr>
            <w:tcW w:w="4789" w:type="dxa"/>
            <w:tcBorders>
              <w:top w:val="nil"/>
              <w:left w:val="nil"/>
              <w:bottom w:val="nil"/>
              <w:right w:val="nil"/>
            </w:tcBorders>
            <w:noWrap/>
            <w:textDirection w:val="lrTb"/>
            <w:vAlign w:val="center"/>
            <w:hideMark/>
          </w:tcPr>
          <w:p w:rsidR="007A47DD" w:rsidRPr="00B26E28" w:rsidP="00A97D6F">
            <w:pPr>
              <w:bidi w:val="0"/>
              <w:spacing w:after="0"/>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3. Cyklická zložka</w:t>
            </w:r>
          </w:p>
        </w:tc>
        <w:tc>
          <w:tcPr>
            <w:tcW w:w="1389" w:type="dxa"/>
            <w:tcBorders>
              <w:top w:val="nil"/>
              <w:left w:val="nil"/>
              <w:bottom w:val="nil"/>
              <w:right w:val="single" w:sz="8" w:space="0" w:color="auto"/>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w:t>
            </w:r>
          </w:p>
        </w:tc>
        <w:tc>
          <w:tcPr>
            <w:tcW w:w="1046"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-0,9</w:t>
            </w:r>
          </w:p>
        </w:tc>
        <w:tc>
          <w:tcPr>
            <w:tcW w:w="960"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-0,7</w:t>
            </w:r>
          </w:p>
        </w:tc>
        <w:tc>
          <w:tcPr>
            <w:tcW w:w="908"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-0,5</w:t>
            </w:r>
          </w:p>
        </w:tc>
      </w:tr>
      <w:tr>
        <w:tblPrEx>
          <w:tblW w:w="9092" w:type="dxa"/>
          <w:tblCellMar>
            <w:left w:w="70" w:type="dxa"/>
            <w:right w:w="70" w:type="dxa"/>
          </w:tblCellMar>
          <w:tblLook w:val="04A0"/>
        </w:tblPrEx>
        <w:trPr>
          <w:trHeight w:val="326"/>
        </w:trPr>
        <w:tc>
          <w:tcPr>
            <w:tcW w:w="4789" w:type="dxa"/>
            <w:tcBorders>
              <w:top w:val="nil"/>
              <w:left w:val="nil"/>
              <w:bottom w:val="nil"/>
              <w:right w:val="nil"/>
            </w:tcBorders>
            <w:noWrap/>
            <w:textDirection w:val="lrTb"/>
            <w:vAlign w:val="center"/>
            <w:hideMark/>
          </w:tcPr>
          <w:p w:rsidR="007A47DD" w:rsidRPr="00B26E28" w:rsidP="00A97D6F">
            <w:pPr>
              <w:bidi w:val="0"/>
              <w:spacing w:after="0"/>
              <w:rPr>
                <w:rFonts w:ascii="Times New Roman" w:hAnsi="Times New Roman" w:cs="Times New Roman"/>
                <w:b/>
                <w:bCs/>
                <w:color w:val="000000"/>
                <w:sz w:val="18"/>
                <w:szCs w:val="18"/>
                <w:lang w:eastAsia="sk-SK"/>
              </w:rPr>
            </w:pPr>
            <w:r w:rsidRPr="00B26E28">
              <w:rPr>
                <w:rFonts w:ascii="Times New Roman" w:hAnsi="Times New Roman" w:cs="Times New Roman"/>
                <w:b/>
                <w:bCs/>
                <w:color w:val="000000"/>
                <w:sz w:val="18"/>
                <w:szCs w:val="18"/>
                <w:lang w:eastAsia="sk-SK"/>
              </w:rPr>
              <w:t>4. Štrukturálne saldo verejnej správy (1-2-3)</w:t>
            </w:r>
          </w:p>
        </w:tc>
        <w:tc>
          <w:tcPr>
            <w:tcW w:w="1389" w:type="dxa"/>
            <w:tcBorders>
              <w:top w:val="nil"/>
              <w:left w:val="nil"/>
              <w:bottom w:val="nil"/>
              <w:right w:val="single" w:sz="8" w:space="0" w:color="auto"/>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w:t>
            </w:r>
          </w:p>
        </w:tc>
        <w:tc>
          <w:tcPr>
            <w:tcW w:w="1046"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-1,8</w:t>
            </w:r>
          </w:p>
        </w:tc>
        <w:tc>
          <w:tcPr>
            <w:tcW w:w="960"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-2,0</w:t>
            </w:r>
          </w:p>
        </w:tc>
        <w:tc>
          <w:tcPr>
            <w:tcW w:w="908" w:type="dxa"/>
            <w:tcBorders>
              <w:top w:val="nil"/>
              <w:left w:val="nil"/>
              <w:bottom w:val="nil"/>
              <w:right w:val="nil"/>
            </w:tcBorders>
            <w:noWrap/>
            <w:textDirection w:val="lrTb"/>
            <w:vAlign w:val="center"/>
            <w:hideMark/>
          </w:tcPr>
          <w:p w:rsidR="007A47DD" w:rsidRPr="00B26E28" w:rsidP="00A97D6F">
            <w:pPr>
              <w:bidi w:val="0"/>
              <w:spacing w:after="0"/>
              <w:jc w:val="center"/>
              <w:rPr>
                <w:rFonts w:ascii="Times New Roman" w:hAnsi="Times New Roman" w:cs="Times New Roman"/>
                <w:color w:val="000000"/>
                <w:sz w:val="18"/>
                <w:szCs w:val="18"/>
                <w:lang w:eastAsia="sk-SK"/>
              </w:rPr>
            </w:pPr>
            <w:r w:rsidRPr="00B26E28">
              <w:rPr>
                <w:rFonts w:ascii="Times New Roman" w:hAnsi="Times New Roman" w:cs="Times New Roman"/>
                <w:color w:val="000000"/>
                <w:sz w:val="18"/>
                <w:szCs w:val="18"/>
                <w:lang w:eastAsia="sk-SK"/>
              </w:rPr>
              <w:t>-1,9</w:t>
            </w:r>
          </w:p>
        </w:tc>
      </w:tr>
      <w:tr>
        <w:tblPrEx>
          <w:tblW w:w="9092" w:type="dxa"/>
          <w:tblCellMar>
            <w:left w:w="70" w:type="dxa"/>
            <w:right w:w="70" w:type="dxa"/>
          </w:tblCellMar>
          <w:tblLook w:val="04A0"/>
        </w:tblPrEx>
        <w:trPr>
          <w:trHeight w:val="341"/>
        </w:trPr>
        <w:tc>
          <w:tcPr>
            <w:tcW w:w="4789" w:type="dxa"/>
            <w:tcBorders>
              <w:top w:val="nil"/>
              <w:left w:val="nil"/>
              <w:bottom w:val="single" w:sz="8" w:space="0" w:color="auto"/>
              <w:right w:val="nil"/>
            </w:tcBorders>
            <w:noWrap/>
            <w:textDirection w:val="lrTb"/>
            <w:vAlign w:val="center"/>
            <w:hideMark/>
          </w:tcPr>
          <w:p w:rsidR="007A47DD" w:rsidRPr="00B26E28" w:rsidP="00731A28">
            <w:pPr>
              <w:bidi w:val="0"/>
              <w:spacing w:after="0"/>
              <w:rPr>
                <w:rFonts w:ascii="Times New Roman" w:hAnsi="Times New Roman" w:cs="Times New Roman"/>
                <w:b/>
                <w:bCs/>
                <w:color w:val="000000"/>
                <w:sz w:val="18"/>
                <w:szCs w:val="18"/>
                <w:lang w:eastAsia="sk-SK"/>
              </w:rPr>
            </w:pPr>
            <w:r w:rsidRPr="00B26E28">
              <w:rPr>
                <w:rFonts w:ascii="Times New Roman" w:hAnsi="Times New Roman" w:cs="Times New Roman"/>
                <w:b/>
                <w:bCs/>
                <w:color w:val="000000"/>
                <w:sz w:val="18"/>
                <w:szCs w:val="18"/>
                <w:lang w:eastAsia="sk-SK"/>
              </w:rPr>
              <w:t>5. Konsolidač</w:t>
            </w:r>
            <w:r>
              <w:rPr>
                <w:rFonts w:ascii="Times New Roman" w:hAnsi="Times New Roman" w:cs="Times New Roman"/>
                <w:b/>
                <w:bCs/>
                <w:color w:val="000000"/>
                <w:sz w:val="18"/>
                <w:szCs w:val="18"/>
                <w:lang w:eastAsia="sk-SK"/>
              </w:rPr>
              <w:t>né úsilie (medziročná zmena 4)</w:t>
            </w:r>
          </w:p>
        </w:tc>
        <w:tc>
          <w:tcPr>
            <w:tcW w:w="1389" w:type="dxa"/>
            <w:tcBorders>
              <w:top w:val="nil"/>
              <w:left w:val="nil"/>
              <w:bottom w:val="single" w:sz="8" w:space="0" w:color="auto"/>
              <w:right w:val="single" w:sz="8" w:space="0" w:color="auto"/>
            </w:tcBorders>
            <w:noWrap/>
            <w:textDirection w:val="lrTb"/>
            <w:vAlign w:val="center"/>
            <w:hideMark/>
          </w:tcPr>
          <w:p w:rsidR="007A47DD" w:rsidRPr="00B26E28" w:rsidP="00A97D6F">
            <w:pPr>
              <w:bidi w:val="0"/>
              <w:spacing w:after="0"/>
              <w:jc w:val="center"/>
              <w:rPr>
                <w:rFonts w:ascii="Times New Roman" w:hAnsi="Times New Roman" w:cs="Times New Roman"/>
                <w:b/>
                <w:bCs/>
                <w:color w:val="000000"/>
                <w:sz w:val="18"/>
                <w:szCs w:val="18"/>
                <w:lang w:eastAsia="sk-SK"/>
              </w:rPr>
            </w:pPr>
            <w:r w:rsidRPr="00B26E28">
              <w:rPr>
                <w:rFonts w:ascii="Times New Roman" w:hAnsi="Times New Roman" w:cs="Times New Roman"/>
                <w:b/>
                <w:bCs/>
                <w:color w:val="000000"/>
                <w:sz w:val="18"/>
                <w:szCs w:val="18"/>
                <w:lang w:eastAsia="sk-SK"/>
              </w:rPr>
              <w:t>-</w:t>
            </w:r>
          </w:p>
        </w:tc>
        <w:tc>
          <w:tcPr>
            <w:tcW w:w="1046" w:type="dxa"/>
            <w:tcBorders>
              <w:top w:val="nil"/>
              <w:left w:val="nil"/>
              <w:bottom w:val="single" w:sz="8" w:space="0" w:color="auto"/>
              <w:right w:val="nil"/>
            </w:tcBorders>
            <w:noWrap/>
            <w:textDirection w:val="lrTb"/>
            <w:vAlign w:val="center"/>
            <w:hideMark/>
          </w:tcPr>
          <w:p w:rsidR="007A47DD" w:rsidRPr="00B26E28" w:rsidP="00A97D6F">
            <w:pPr>
              <w:bidi w:val="0"/>
              <w:spacing w:after="0"/>
              <w:jc w:val="center"/>
              <w:rPr>
                <w:rFonts w:ascii="Times New Roman" w:hAnsi="Times New Roman" w:cs="Times New Roman"/>
                <w:b/>
                <w:bCs/>
                <w:color w:val="000000"/>
                <w:sz w:val="18"/>
                <w:szCs w:val="18"/>
                <w:lang w:eastAsia="sk-SK"/>
              </w:rPr>
            </w:pPr>
            <w:r w:rsidRPr="00B26E28">
              <w:rPr>
                <w:rFonts w:ascii="Times New Roman" w:hAnsi="Times New Roman" w:cs="Times New Roman"/>
                <w:b/>
                <w:bCs/>
                <w:color w:val="000000"/>
                <w:sz w:val="18"/>
                <w:szCs w:val="18"/>
                <w:lang w:eastAsia="sk-SK"/>
              </w:rPr>
              <w:t>1,8</w:t>
            </w:r>
          </w:p>
        </w:tc>
        <w:tc>
          <w:tcPr>
            <w:tcW w:w="960" w:type="dxa"/>
            <w:tcBorders>
              <w:top w:val="nil"/>
              <w:left w:val="nil"/>
              <w:bottom w:val="single" w:sz="8" w:space="0" w:color="auto"/>
              <w:right w:val="nil"/>
            </w:tcBorders>
            <w:noWrap/>
            <w:textDirection w:val="lrTb"/>
            <w:vAlign w:val="center"/>
            <w:hideMark/>
          </w:tcPr>
          <w:p w:rsidR="007A47DD" w:rsidRPr="00B26E28" w:rsidP="00A97D6F">
            <w:pPr>
              <w:bidi w:val="0"/>
              <w:spacing w:after="0"/>
              <w:jc w:val="center"/>
              <w:rPr>
                <w:rFonts w:ascii="Times New Roman" w:hAnsi="Times New Roman" w:cs="Times New Roman"/>
                <w:b/>
                <w:bCs/>
                <w:color w:val="000000"/>
                <w:sz w:val="18"/>
                <w:szCs w:val="18"/>
                <w:lang w:eastAsia="sk-SK"/>
              </w:rPr>
            </w:pPr>
            <w:r w:rsidRPr="00B26E28">
              <w:rPr>
                <w:rFonts w:ascii="Times New Roman" w:hAnsi="Times New Roman" w:cs="Times New Roman"/>
                <w:b/>
                <w:bCs/>
                <w:color w:val="000000"/>
                <w:sz w:val="18"/>
                <w:szCs w:val="18"/>
                <w:lang w:eastAsia="sk-SK"/>
              </w:rPr>
              <w:t>-0,2</w:t>
            </w:r>
          </w:p>
        </w:tc>
        <w:tc>
          <w:tcPr>
            <w:tcW w:w="908" w:type="dxa"/>
            <w:tcBorders>
              <w:top w:val="nil"/>
              <w:left w:val="nil"/>
              <w:bottom w:val="single" w:sz="8" w:space="0" w:color="auto"/>
              <w:right w:val="nil"/>
            </w:tcBorders>
            <w:noWrap/>
            <w:textDirection w:val="lrTb"/>
            <w:vAlign w:val="center"/>
            <w:hideMark/>
          </w:tcPr>
          <w:p w:rsidR="007A47DD" w:rsidRPr="00B26E28" w:rsidP="00A97D6F">
            <w:pPr>
              <w:bidi w:val="0"/>
              <w:spacing w:after="0"/>
              <w:jc w:val="center"/>
              <w:rPr>
                <w:rFonts w:ascii="Times New Roman" w:hAnsi="Times New Roman" w:cs="Times New Roman"/>
                <w:b/>
                <w:bCs/>
                <w:color w:val="000000"/>
                <w:sz w:val="18"/>
                <w:szCs w:val="18"/>
                <w:lang w:eastAsia="sk-SK"/>
              </w:rPr>
            </w:pPr>
            <w:r w:rsidRPr="00B26E28">
              <w:rPr>
                <w:rFonts w:ascii="Times New Roman" w:hAnsi="Times New Roman" w:cs="Times New Roman"/>
                <w:b/>
                <w:bCs/>
                <w:color w:val="000000"/>
                <w:sz w:val="18"/>
                <w:szCs w:val="18"/>
                <w:lang w:eastAsia="sk-SK"/>
              </w:rPr>
              <w:t>0,1</w:t>
            </w:r>
          </w:p>
        </w:tc>
      </w:tr>
    </w:tbl>
    <w:p w:rsidR="00903110" w:rsidRPr="00903110" w:rsidP="00903110">
      <w:pPr>
        <w:bidi w:val="0"/>
        <w:spacing w:line="336" w:lineRule="auto"/>
        <w:jc w:val="right"/>
        <w:rPr>
          <w:rFonts w:ascii="Times New Roman" w:hAnsi="Times New Roman" w:cs="Times New Roman"/>
          <w:i/>
          <w:sz w:val="20"/>
          <w:szCs w:val="20"/>
        </w:rPr>
      </w:pPr>
      <w:r w:rsidRPr="00903110">
        <w:rPr>
          <w:rFonts w:ascii="Times New Roman" w:hAnsi="Times New Roman" w:cs="Times New Roman"/>
          <w:i/>
          <w:sz w:val="20"/>
          <w:szCs w:val="20"/>
        </w:rPr>
        <w:t>Zdroj: IFP</w:t>
      </w:r>
      <w:r w:rsidR="00DD6629">
        <w:rPr>
          <w:rFonts w:ascii="Times New Roman" w:hAnsi="Times New Roman" w:cs="Times New Roman"/>
          <w:i/>
          <w:sz w:val="20"/>
          <w:szCs w:val="20"/>
        </w:rPr>
        <w:t>, MF SR</w:t>
      </w:r>
    </w:p>
    <w:p w:rsidR="007A47DD" w:rsidRPr="00B26E28" w:rsidP="007A47DD">
      <w:pPr>
        <w:bidi w:val="0"/>
        <w:spacing w:before="240" w:line="336" w:lineRule="auto"/>
        <w:jc w:val="both"/>
        <w:rPr>
          <w:rFonts w:ascii="Times New Roman" w:hAnsi="Times New Roman" w:cs="Times New Roman"/>
        </w:rPr>
      </w:pPr>
      <w:r w:rsidRPr="00B26E28">
        <w:rPr>
          <w:rFonts w:ascii="Times New Roman" w:hAnsi="Times New Roman" w:cs="Times New Roman"/>
        </w:rPr>
        <w:t>Štrukturálne saldo je definované ako saldo verejnej správy upravené o jednorazové vplyvy a vplyv hospodárskeho cyklu (cyklickú zložku).</w:t>
      </w:r>
      <w:r w:rsidRPr="00B26E28">
        <w:rPr>
          <w:rFonts w:ascii="Times New Roman" w:hAnsi="Times New Roman" w:cs="Times New Roman"/>
          <w:bCs/>
        </w:rPr>
        <w:t xml:space="preserve"> </w:t>
      </w:r>
      <w:r w:rsidRPr="00B26E28">
        <w:rPr>
          <w:rFonts w:ascii="Times New Roman" w:hAnsi="Times New Roman" w:cs="Times New Roman"/>
        </w:rPr>
        <w:t xml:space="preserve">Štrukturálny deficit dosiahol v roku 2015 výšku 1,9 % HDP a medziročne klesol o 0,1 % HDP. </w:t>
      </w:r>
    </w:p>
    <w:p w:rsidR="007A47DD" w:rsidP="007A47DD">
      <w:pPr>
        <w:bidi w:val="0"/>
      </w:pPr>
    </w:p>
    <w:p w:rsidR="0035366F" w:rsidRPr="00A53EAC" w:rsidP="001767F0">
      <w:pPr>
        <w:pStyle w:val="Heading2"/>
        <w:numPr>
          <w:numId w:val="3"/>
        </w:numPr>
        <w:bidi w:val="0"/>
        <w:spacing w:before="240" w:after="120"/>
        <w:ind w:left="425" w:hanging="425"/>
      </w:pPr>
      <w:bookmarkStart w:id="93" w:name="_Toc399324368"/>
      <w:bookmarkStart w:id="94" w:name="_Toc401920022"/>
      <w:bookmarkStart w:id="95" w:name="_Toc465255023"/>
      <w:bookmarkStart w:id="96" w:name="_Toc465258488"/>
      <w:r w:rsidRPr="00A53EAC">
        <w:rPr>
          <w:rFonts w:hint="default"/>
        </w:rPr>
        <w:t>Vyhodnotenie straté</w:t>
      </w:r>
      <w:r w:rsidRPr="00A53EAC">
        <w:rPr>
          <w:rFonts w:hint="default"/>
        </w:rPr>
        <w:t>gie riadenia š</w:t>
      </w:r>
      <w:r w:rsidRPr="00A53EAC">
        <w:rPr>
          <w:rFonts w:hint="default"/>
        </w:rPr>
        <w:t>tá</w:t>
      </w:r>
      <w:r w:rsidRPr="00A53EAC">
        <w:rPr>
          <w:rFonts w:hint="default"/>
        </w:rPr>
        <w:t>tneho dlhu za rok 201</w:t>
      </w:r>
      <w:bookmarkEnd w:id="93"/>
      <w:bookmarkEnd w:id="94"/>
      <w:bookmarkEnd w:id="95"/>
      <w:r w:rsidR="00E04211">
        <w:t>5</w:t>
      </w:r>
      <w:bookmarkEnd w:id="96"/>
    </w:p>
    <w:p w:rsidR="007A47DD" w:rsidRPr="005F3D32" w:rsidP="007A47DD">
      <w:pPr>
        <w:autoSpaceDE w:val="0"/>
        <w:autoSpaceDN w:val="0"/>
        <w:bidi w:val="0"/>
        <w:adjustRightInd w:val="0"/>
        <w:spacing w:after="120" w:line="336" w:lineRule="auto"/>
        <w:jc w:val="both"/>
        <w:rPr>
          <w:rFonts w:ascii="Times New Roman" w:hAnsi="Times New Roman" w:cs="Times New Roman"/>
        </w:rPr>
      </w:pPr>
      <w:bookmarkStart w:id="97" w:name="_Toc399324369"/>
      <w:r w:rsidRPr="005F3D32">
        <w:rPr>
          <w:rFonts w:ascii="Times New Roman" w:hAnsi="Times New Roman" w:cs="Times New Roman"/>
        </w:rPr>
        <w:t xml:space="preserve">Hlavnými udalosťami roku 2015 </w:t>
      </w:r>
      <w:r>
        <w:rPr>
          <w:rFonts w:ascii="Times New Roman" w:hAnsi="Times New Roman" w:cs="Times New Roman"/>
        </w:rPr>
        <w:t xml:space="preserve">na globálnych trhoch </w:t>
      </w:r>
      <w:r w:rsidRPr="005F3D32">
        <w:rPr>
          <w:rFonts w:ascii="Times New Roman" w:hAnsi="Times New Roman" w:cs="Times New Roman"/>
        </w:rPr>
        <w:t xml:space="preserve">boli prepad cien ropy a korekcia na akciových trhoch. Cena ropy klesla pod minimá z roku 2009 </w:t>
      </w:r>
      <w:r>
        <w:rPr>
          <w:rFonts w:ascii="Times New Roman" w:hAnsi="Times New Roman" w:cs="Times New Roman"/>
        </w:rPr>
        <w:t>z dôvodu spomalenia</w:t>
      </w:r>
      <w:r w:rsidRPr="005F3D32">
        <w:rPr>
          <w:rFonts w:ascii="Times New Roman" w:hAnsi="Times New Roman" w:cs="Times New Roman"/>
        </w:rPr>
        <w:t xml:space="preserve"> dopytu z rozvíjajúcich sa krajín a kvôli krátkodobým prebytkom na strane ponuky. Korekcia na akciových trhoch bola spôsobená spomalením reálneho rastu ekonomiky najmä v Číne a v ostatných </w:t>
      </w:r>
      <w:r>
        <w:rPr>
          <w:rFonts w:ascii="Times New Roman" w:hAnsi="Times New Roman" w:cs="Times New Roman"/>
        </w:rPr>
        <w:t>rozvíjajúcich sa</w:t>
      </w:r>
      <w:r w:rsidRPr="005F3D32">
        <w:rPr>
          <w:rFonts w:ascii="Times New Roman" w:hAnsi="Times New Roman" w:cs="Times New Roman"/>
        </w:rPr>
        <w:t xml:space="preserve"> ekonomikách. Ďalším dôvodom bolo aj očakávané </w:t>
      </w:r>
      <w:r>
        <w:rPr>
          <w:rFonts w:ascii="Times New Roman" w:hAnsi="Times New Roman" w:cs="Times New Roman"/>
        </w:rPr>
        <w:t>sprísnenie</w:t>
      </w:r>
      <w:r w:rsidRPr="005F3D32">
        <w:rPr>
          <w:rFonts w:ascii="Times New Roman" w:hAnsi="Times New Roman" w:cs="Times New Roman"/>
        </w:rPr>
        <w:t xml:space="preserve"> monetárnej politiky v USA, ktorá aj v budúcnosti bude tlmiť rast akciových trhov. Euro počas roku 2015 oslabovalo voči americkému doláru</w:t>
      </w:r>
      <w:r>
        <w:rPr>
          <w:rFonts w:ascii="Times New Roman" w:hAnsi="Times New Roman" w:cs="Times New Roman"/>
        </w:rPr>
        <w:t>,</w:t>
      </w:r>
      <w:r w:rsidRPr="005F3D32">
        <w:rPr>
          <w:rFonts w:ascii="Times New Roman" w:hAnsi="Times New Roman" w:cs="Times New Roman"/>
        </w:rPr>
        <w:t xml:space="preserve"> ako aj voči väčšine ostatných významných mien, s výnimkou japonského jenu, voči ktorému bol kurz relatívne stabilný. Kurz eura voči doláru sa v očakávaní spomalenia inflácie a poklesu úrokových sadzieb v eurozóne posunul z úrovne 1,21 </w:t>
      </w:r>
      <w:r>
        <w:rPr>
          <w:rFonts w:ascii="Times New Roman" w:hAnsi="Times New Roman" w:cs="Times New Roman"/>
        </w:rPr>
        <w:t xml:space="preserve">EUR/USD </w:t>
      </w:r>
      <w:r w:rsidRPr="005F3D32">
        <w:rPr>
          <w:rFonts w:ascii="Times New Roman" w:hAnsi="Times New Roman" w:cs="Times New Roman"/>
        </w:rPr>
        <w:t xml:space="preserve">až na 1,06 </w:t>
      </w:r>
      <w:r>
        <w:rPr>
          <w:rFonts w:ascii="Times New Roman" w:hAnsi="Times New Roman" w:cs="Times New Roman"/>
        </w:rPr>
        <w:t xml:space="preserve">EUR/USD </w:t>
      </w:r>
      <w:r w:rsidRPr="005F3D32">
        <w:rPr>
          <w:rFonts w:ascii="Times New Roman" w:hAnsi="Times New Roman" w:cs="Times New Roman"/>
        </w:rPr>
        <w:t>hneď na začiatku roka. Zvyšok roka v</w:t>
      </w:r>
      <w:r>
        <w:rPr>
          <w:rFonts w:ascii="Times New Roman" w:hAnsi="Times New Roman" w:cs="Times New Roman"/>
        </w:rPr>
        <w:t>šak osciloval okolo úrovne 1,10 EUR/USD.</w:t>
      </w:r>
      <w:r w:rsidRPr="005F3D32">
        <w:rPr>
          <w:rFonts w:ascii="Times New Roman" w:hAnsi="Times New Roman" w:cs="Times New Roman"/>
        </w:rPr>
        <w:t xml:space="preserve"> Výnosy dlhopisov Španielska a Talianska, ktoré predstavovali najvážnejšie riziká pre eurozónu, poklesli koncom roka pod hranicu 2 %. Výnos gréckych 10-ročných štátnych dlhopisov bol v prvej polovici roku volatilnejší, avšak v druhej polovici roka poklesol pod úroveň 10</w:t>
      </w:r>
      <w:r>
        <w:rPr>
          <w:rFonts w:ascii="Times New Roman" w:hAnsi="Times New Roman" w:cs="Times New Roman"/>
        </w:rPr>
        <w:t> </w:t>
      </w:r>
      <w:r w:rsidRPr="005F3D32">
        <w:rPr>
          <w:rFonts w:ascii="Times New Roman" w:hAnsi="Times New Roman" w:cs="Times New Roman"/>
        </w:rPr>
        <w:t>%.</w:t>
      </w:r>
    </w:p>
    <w:p w:rsidR="007A47DD" w:rsidRPr="00F673A0" w:rsidP="007A47DD">
      <w:pPr>
        <w:autoSpaceDE w:val="0"/>
        <w:autoSpaceDN w:val="0"/>
        <w:bidi w:val="0"/>
        <w:adjustRightInd w:val="0"/>
        <w:spacing w:after="0" w:line="336" w:lineRule="auto"/>
        <w:jc w:val="both"/>
        <w:rPr>
          <w:rFonts w:ascii="Times New Roman" w:hAnsi="Times New Roman" w:cs="Times New Roman"/>
          <w:highlight w:val="yellow"/>
        </w:rPr>
      </w:pPr>
      <w:r w:rsidRPr="005F3D32">
        <w:rPr>
          <w:rFonts w:ascii="Times New Roman" w:hAnsi="Times New Roman" w:cs="Times New Roman"/>
        </w:rPr>
        <w:t xml:space="preserve">Financovanie slovenského štátneho dlhu v roku 2015 zabezpečovala Agentúra pre riadenie dlhu a likvidity v mene MF SR v relatívne stabilných podmienkach bez nutnosti použitia menej tradičných foriem financovania. Koncom roka </w:t>
      </w:r>
      <w:r w:rsidR="00B9774D">
        <w:rPr>
          <w:rFonts w:ascii="Times New Roman" w:hAnsi="Times New Roman" w:cs="Times New Roman"/>
        </w:rPr>
        <w:t xml:space="preserve">dochádzalo k </w:t>
      </w:r>
      <w:r w:rsidRPr="005F3D32">
        <w:rPr>
          <w:rFonts w:ascii="Times New Roman" w:hAnsi="Times New Roman" w:cs="Times New Roman"/>
        </w:rPr>
        <w:t>predčasné</w:t>
      </w:r>
      <w:r w:rsidR="00B9774D">
        <w:rPr>
          <w:rFonts w:ascii="Times New Roman" w:hAnsi="Times New Roman" w:cs="Times New Roman"/>
        </w:rPr>
        <w:t>mu</w:t>
      </w:r>
      <w:r w:rsidRPr="005F3D32">
        <w:rPr>
          <w:rFonts w:ascii="Times New Roman" w:hAnsi="Times New Roman" w:cs="Times New Roman"/>
        </w:rPr>
        <w:t xml:space="preserve"> odkúpeni</w:t>
      </w:r>
      <w:r w:rsidR="00B9774D">
        <w:rPr>
          <w:rFonts w:ascii="Times New Roman" w:hAnsi="Times New Roman" w:cs="Times New Roman"/>
        </w:rPr>
        <w:t>u</w:t>
      </w:r>
      <w:r w:rsidRPr="005F3D32">
        <w:rPr>
          <w:rFonts w:ascii="Times New Roman" w:hAnsi="Times New Roman" w:cs="Times New Roman"/>
        </w:rPr>
        <w:t xml:space="preserve"> časti štátnych dlhopisov pred splatnosťou, čo prinieslo komfortnejšie splácanie veľkých emisií štátnych dlhopisov a miernu redukciu nákladov spojených s držbou hotovostnej rezervy. Konsolidácia na kapitálových trhoch priniesla postupne výhodné podmienky pre „bezpečné“ krajiny v podobe úrokových sadzieb na úrovni historických miním a pre Slovensko navyše aj dopyt tých investorov, ktorí považujú Slovensko za krajinu jadra eurozóny. Priaznivé podmienky na finančných trhoch využilo Slovensko na podstatné zlepšenie rizikového profilu portfólia štátneho dlhu smerom k väčšej priemernej splatnosti a menšieho rizika negatívneho precenenia portfólia.</w:t>
      </w:r>
    </w:p>
    <w:tbl>
      <w:tblPr>
        <w:tblStyle w:val="TableNormal"/>
        <w:tblpPr w:leftFromText="141" w:rightFromText="141" w:vertAnchor="text" w:horzAnchor="margin" w:tblpY="113"/>
        <w:tblW w:w="9096" w:type="dxa"/>
        <w:tblCellMar>
          <w:left w:w="70" w:type="dxa"/>
          <w:right w:w="70" w:type="dxa"/>
        </w:tblCellMar>
        <w:tblLook w:val="04A0"/>
      </w:tblPr>
      <w:tblGrid>
        <w:gridCol w:w="9096"/>
      </w:tblGrid>
      <w:tr>
        <w:tblPrEx>
          <w:tblW w:w="9096" w:type="dxa"/>
          <w:tblCellMar>
            <w:left w:w="70" w:type="dxa"/>
            <w:right w:w="70" w:type="dxa"/>
          </w:tblCellMar>
          <w:tblLook w:val="04A0"/>
        </w:tblPrEx>
        <w:trPr>
          <w:trHeight w:val="206"/>
        </w:trPr>
        <w:tc>
          <w:tcPr>
            <w:tcW w:w="9096" w:type="dxa"/>
            <w:tcBorders>
              <w:top w:val="nil"/>
              <w:left w:val="nil"/>
              <w:bottom w:val="none" w:sz="0" w:space="0" w:color="auto"/>
              <w:right w:val="nil"/>
            </w:tcBorders>
            <w:shd w:val="clear" w:color="000000" w:fill="000000"/>
            <w:noWrap/>
            <w:textDirection w:val="lrTb"/>
            <w:vAlign w:val="center"/>
            <w:hideMark/>
          </w:tcPr>
          <w:p w:rsidR="007A47DD" w:rsidRPr="00C25021" w:rsidP="00A97D6F">
            <w:pPr>
              <w:bidi w:val="0"/>
              <w:spacing w:after="0" w:line="240" w:lineRule="auto"/>
              <w:rPr>
                <w:rFonts w:ascii="Times New Roman" w:hAnsi="Times New Roman" w:cs="Times New Roman"/>
                <w:b/>
                <w:sz w:val="20"/>
                <w:szCs w:val="20"/>
              </w:rPr>
            </w:pPr>
            <w:r w:rsidRPr="00C25021">
              <w:rPr>
                <w:rFonts w:ascii="Times New Roman" w:hAnsi="Times New Roman" w:cs="Times New Roman"/>
                <w:b/>
                <w:sz w:val="20"/>
                <w:szCs w:val="20"/>
              </w:rPr>
              <w:t xml:space="preserve">Výnosy vybraných slovenských vládnych dlhopisov a riziková prirážka voči nemeckým </w:t>
            </w:r>
          </w:p>
          <w:p w:rsidR="007A47DD" w:rsidRPr="00A53EAC" w:rsidP="00A97D6F">
            <w:pPr>
              <w:bidi w:val="0"/>
              <w:spacing w:after="0" w:line="240" w:lineRule="auto"/>
              <w:rPr>
                <w:rFonts w:ascii="Times New Roman" w:hAnsi="Times New Roman" w:cs="Times New Roman"/>
                <w:b/>
              </w:rPr>
            </w:pPr>
            <w:r w:rsidRPr="00C25021">
              <w:rPr>
                <w:rFonts w:ascii="Times New Roman" w:hAnsi="Times New Roman" w:cs="Times New Roman"/>
                <w:b/>
                <w:sz w:val="20"/>
                <w:szCs w:val="20"/>
              </w:rPr>
              <w:t>10-ročným štátnym dlhopisom (v % a p.b.)</w:t>
            </w:r>
          </w:p>
        </w:tc>
      </w:tr>
      <w:tr>
        <w:tblPrEx>
          <w:tblW w:w="9096" w:type="dxa"/>
          <w:tblCellMar>
            <w:left w:w="70" w:type="dxa"/>
            <w:right w:w="70" w:type="dxa"/>
          </w:tblCellMar>
          <w:tblLook w:val="04A0"/>
        </w:tblPrEx>
        <w:trPr>
          <w:trHeight w:val="490"/>
        </w:trPr>
        <w:tc>
          <w:tcPr>
            <w:tcW w:w="9096" w:type="dxa"/>
            <w:vMerge w:val="restart"/>
            <w:tcBorders>
              <w:top w:val="nil"/>
              <w:left w:val="nil"/>
              <w:bottom w:val="single" w:sz="4" w:space="0" w:color="auto"/>
              <w:right w:val="nil"/>
            </w:tcBorders>
            <w:noWrap/>
            <w:textDirection w:val="lrTb"/>
            <w:vAlign w:val="bottom"/>
            <w:hideMark/>
          </w:tcPr>
          <w:p w:rsidR="007A47DD" w:rsidRPr="00A53EAC" w:rsidP="00A97D6F">
            <w:pPr>
              <w:bidi w:val="0"/>
              <w:spacing w:after="0" w:line="240" w:lineRule="auto"/>
              <w:jc w:val="center"/>
              <w:rPr>
                <w:rFonts w:ascii="Times New Roman" w:hAnsi="Times New Roman"/>
                <w:color w:val="FF0000"/>
                <w:sz w:val="18"/>
                <w:szCs w:val="18"/>
                <w:lang w:eastAsia="sk-SK"/>
              </w:rPr>
            </w:pPr>
            <w:r>
              <w:rPr>
                <w:noProof/>
                <w:rtl w:val="0"/>
                <w:lang w:eastAsia="sk-SK"/>
              </w:rPr>
              <w:pict>
                <v:shape id="Graf 2" o:spid="_x0000_i1027" type="#_x0000_t75" style="width:433pt;height:177.65pt;visibility:visible" stroked="f">
                  <v:imagedata r:id="rId11" o:title="" cropbottom="-18f"/>
                  <o:lock v:ext="edit" aspectratio="f"/>
                </v:shape>
              </w:pict>
            </w:r>
          </w:p>
        </w:tc>
      </w:tr>
      <w:tr>
        <w:tblPrEx>
          <w:tblW w:w="9096" w:type="dxa"/>
          <w:tblCellMar>
            <w:left w:w="70" w:type="dxa"/>
            <w:right w:w="70" w:type="dxa"/>
          </w:tblCellMar>
          <w:tblLook w:val="04A0"/>
        </w:tblPrEx>
        <w:trPr>
          <w:trHeight w:val="490"/>
        </w:trPr>
        <w:tc>
          <w:tcPr>
            <w:tcW w:w="9096" w:type="dxa"/>
            <w:vMerge/>
            <w:tcBorders>
              <w:top w:val="nil"/>
              <w:left w:val="nil"/>
              <w:bottom w:val="single" w:sz="4" w:space="0" w:color="auto"/>
              <w:right w:val="nil"/>
            </w:tcBorders>
            <w:textDirection w:val="lrTb"/>
            <w:vAlign w:val="center"/>
            <w:hideMark/>
          </w:tcPr>
          <w:p w:rsidR="007A47DD" w:rsidRPr="00A53EAC" w:rsidP="00A97D6F">
            <w:pPr>
              <w:bidi w:val="0"/>
              <w:spacing w:after="0" w:line="240" w:lineRule="auto"/>
              <w:rPr>
                <w:rFonts w:ascii="Times New Roman" w:hAnsi="Times New Roman"/>
                <w:color w:val="000000"/>
                <w:sz w:val="18"/>
                <w:szCs w:val="18"/>
                <w:lang w:eastAsia="sk-SK"/>
              </w:rPr>
            </w:pPr>
          </w:p>
        </w:tc>
      </w:tr>
      <w:tr>
        <w:tblPrEx>
          <w:tblW w:w="9096" w:type="dxa"/>
          <w:tblCellMar>
            <w:left w:w="70" w:type="dxa"/>
            <w:right w:w="70" w:type="dxa"/>
          </w:tblCellMar>
          <w:tblLook w:val="04A0"/>
        </w:tblPrEx>
        <w:trPr>
          <w:trHeight w:val="490"/>
        </w:trPr>
        <w:tc>
          <w:tcPr>
            <w:tcW w:w="9096" w:type="dxa"/>
            <w:vMerge/>
            <w:tcBorders>
              <w:top w:val="nil"/>
              <w:left w:val="nil"/>
              <w:bottom w:val="single" w:sz="4" w:space="0" w:color="auto"/>
              <w:right w:val="nil"/>
            </w:tcBorders>
            <w:textDirection w:val="lrTb"/>
            <w:vAlign w:val="center"/>
            <w:hideMark/>
          </w:tcPr>
          <w:p w:rsidR="007A47DD" w:rsidRPr="00A53EAC" w:rsidP="00A97D6F">
            <w:pPr>
              <w:bidi w:val="0"/>
              <w:spacing w:after="0" w:line="240" w:lineRule="auto"/>
              <w:rPr>
                <w:rFonts w:ascii="Times New Roman" w:hAnsi="Times New Roman"/>
                <w:color w:val="000000"/>
                <w:sz w:val="18"/>
                <w:szCs w:val="18"/>
                <w:lang w:eastAsia="sk-SK"/>
              </w:rPr>
            </w:pPr>
          </w:p>
        </w:tc>
      </w:tr>
      <w:tr>
        <w:tblPrEx>
          <w:tblW w:w="9096" w:type="dxa"/>
          <w:tblCellMar>
            <w:left w:w="70" w:type="dxa"/>
            <w:right w:w="70" w:type="dxa"/>
          </w:tblCellMar>
          <w:tblLook w:val="04A0"/>
        </w:tblPrEx>
        <w:trPr>
          <w:trHeight w:val="490"/>
        </w:trPr>
        <w:tc>
          <w:tcPr>
            <w:tcW w:w="9096" w:type="dxa"/>
            <w:vMerge/>
            <w:tcBorders>
              <w:top w:val="nil"/>
              <w:left w:val="nil"/>
              <w:bottom w:val="single" w:sz="4" w:space="0" w:color="auto"/>
              <w:right w:val="nil"/>
            </w:tcBorders>
            <w:textDirection w:val="lrTb"/>
            <w:vAlign w:val="center"/>
            <w:hideMark/>
          </w:tcPr>
          <w:p w:rsidR="007A47DD" w:rsidRPr="00A53EAC" w:rsidP="00A97D6F">
            <w:pPr>
              <w:bidi w:val="0"/>
              <w:spacing w:after="0" w:line="240" w:lineRule="auto"/>
              <w:rPr>
                <w:rFonts w:ascii="Times New Roman" w:hAnsi="Times New Roman"/>
                <w:color w:val="000000"/>
                <w:sz w:val="18"/>
                <w:szCs w:val="18"/>
                <w:lang w:eastAsia="sk-SK"/>
              </w:rPr>
            </w:pPr>
          </w:p>
        </w:tc>
      </w:tr>
      <w:tr>
        <w:tblPrEx>
          <w:tblW w:w="9096" w:type="dxa"/>
          <w:tblCellMar>
            <w:left w:w="70" w:type="dxa"/>
            <w:right w:w="70" w:type="dxa"/>
          </w:tblCellMar>
          <w:tblLook w:val="04A0"/>
        </w:tblPrEx>
        <w:trPr>
          <w:trHeight w:val="490"/>
        </w:trPr>
        <w:tc>
          <w:tcPr>
            <w:tcW w:w="9096" w:type="dxa"/>
            <w:vMerge/>
            <w:tcBorders>
              <w:top w:val="nil"/>
              <w:left w:val="nil"/>
              <w:bottom w:val="single" w:sz="4" w:space="0" w:color="auto"/>
              <w:right w:val="nil"/>
            </w:tcBorders>
            <w:textDirection w:val="lrTb"/>
            <w:vAlign w:val="center"/>
            <w:hideMark/>
          </w:tcPr>
          <w:p w:rsidR="007A47DD" w:rsidRPr="00A53EAC" w:rsidP="00A97D6F">
            <w:pPr>
              <w:bidi w:val="0"/>
              <w:spacing w:after="0" w:line="240" w:lineRule="auto"/>
              <w:rPr>
                <w:rFonts w:ascii="Times New Roman" w:hAnsi="Times New Roman"/>
                <w:color w:val="000000"/>
                <w:sz w:val="18"/>
                <w:szCs w:val="18"/>
                <w:lang w:eastAsia="sk-SK"/>
              </w:rPr>
            </w:pPr>
          </w:p>
        </w:tc>
      </w:tr>
      <w:tr>
        <w:tblPrEx>
          <w:tblW w:w="9096" w:type="dxa"/>
          <w:tblCellMar>
            <w:left w:w="70" w:type="dxa"/>
            <w:right w:w="70" w:type="dxa"/>
          </w:tblCellMar>
          <w:tblLook w:val="04A0"/>
        </w:tblPrEx>
        <w:trPr>
          <w:trHeight w:val="490"/>
        </w:trPr>
        <w:tc>
          <w:tcPr>
            <w:tcW w:w="9096" w:type="dxa"/>
            <w:vMerge/>
            <w:tcBorders>
              <w:top w:val="nil"/>
              <w:left w:val="nil"/>
              <w:bottom w:val="single" w:sz="4" w:space="0" w:color="auto"/>
              <w:right w:val="nil"/>
            </w:tcBorders>
            <w:textDirection w:val="lrTb"/>
            <w:vAlign w:val="center"/>
            <w:hideMark/>
          </w:tcPr>
          <w:p w:rsidR="007A47DD" w:rsidRPr="00A53EAC" w:rsidP="00A97D6F">
            <w:pPr>
              <w:bidi w:val="0"/>
              <w:spacing w:after="0" w:line="240" w:lineRule="auto"/>
              <w:rPr>
                <w:rFonts w:ascii="Times New Roman" w:hAnsi="Times New Roman"/>
                <w:color w:val="000000"/>
                <w:sz w:val="18"/>
                <w:szCs w:val="18"/>
                <w:lang w:eastAsia="sk-SK"/>
              </w:rPr>
            </w:pPr>
          </w:p>
        </w:tc>
      </w:tr>
      <w:tr>
        <w:tblPrEx>
          <w:tblW w:w="9096" w:type="dxa"/>
          <w:tblCellMar>
            <w:left w:w="70" w:type="dxa"/>
            <w:right w:w="70" w:type="dxa"/>
          </w:tblCellMar>
          <w:tblLook w:val="04A0"/>
        </w:tblPrEx>
        <w:trPr>
          <w:trHeight w:val="490"/>
        </w:trPr>
        <w:tc>
          <w:tcPr>
            <w:tcW w:w="9096" w:type="dxa"/>
            <w:vMerge/>
            <w:tcBorders>
              <w:top w:val="nil"/>
              <w:left w:val="nil"/>
              <w:bottom w:val="single" w:sz="4" w:space="0" w:color="auto"/>
              <w:right w:val="nil"/>
            </w:tcBorders>
            <w:textDirection w:val="lrTb"/>
            <w:vAlign w:val="center"/>
            <w:hideMark/>
          </w:tcPr>
          <w:p w:rsidR="007A47DD" w:rsidRPr="00A53EAC" w:rsidP="00A97D6F">
            <w:pPr>
              <w:bidi w:val="0"/>
              <w:spacing w:after="0" w:line="240" w:lineRule="auto"/>
              <w:rPr>
                <w:rFonts w:ascii="Times New Roman" w:hAnsi="Times New Roman"/>
                <w:color w:val="000000"/>
                <w:sz w:val="18"/>
                <w:szCs w:val="18"/>
                <w:lang w:eastAsia="sk-SK"/>
              </w:rPr>
            </w:pPr>
          </w:p>
        </w:tc>
      </w:tr>
    </w:tbl>
    <w:p w:rsidR="007A47DD" w:rsidRPr="009F2365" w:rsidP="007A47DD">
      <w:pPr>
        <w:autoSpaceDE w:val="0"/>
        <w:autoSpaceDN w:val="0"/>
        <w:bidi w:val="0"/>
        <w:adjustRightInd w:val="0"/>
        <w:spacing w:after="0" w:line="240" w:lineRule="auto"/>
        <w:ind w:left="5664"/>
        <w:jc w:val="both"/>
        <w:rPr>
          <w:rFonts w:ascii="Times New Roman" w:hAnsi="Times New Roman" w:cs="Times New Roman"/>
          <w:i/>
          <w:sz w:val="18"/>
          <w:szCs w:val="18"/>
        </w:rPr>
      </w:pPr>
      <w:r w:rsidRPr="009F2365">
        <w:rPr>
          <w:rFonts w:ascii="Times New Roman" w:hAnsi="Times New Roman" w:cs="Times New Roman"/>
          <w:i/>
          <w:sz w:val="18"/>
          <w:szCs w:val="18"/>
        </w:rPr>
        <w:t xml:space="preserve">                Zdroj: Bloomberg, MF SR </w:t>
      </w:r>
    </w:p>
    <w:p w:rsidR="007A47DD" w:rsidRPr="009F2365" w:rsidP="007A47DD">
      <w:pPr>
        <w:bidi w:val="0"/>
        <w:spacing w:after="120" w:line="336" w:lineRule="auto"/>
        <w:jc w:val="both"/>
        <w:rPr>
          <w:rFonts w:ascii="Times New Roman" w:hAnsi="Times New Roman" w:cs="Times New Roman"/>
        </w:rPr>
      </w:pPr>
      <w:r w:rsidRPr="009F2365">
        <w:rPr>
          <w:rFonts w:ascii="Times New Roman" w:hAnsi="Times New Roman" w:cs="Times New Roman"/>
        </w:rPr>
        <w:t>Domáci bankový sektor je stabilný s kapitálovou primeranosťou 17,8 %, vklady obyvateľstva a podnikov prevyšovali ku koncu roka 2015 poskytnuté úvery o 7,8 %. Podiel nesplatených úverov na celkovo poskytnutých úveroch poklesol medziročne o</w:t>
      </w:r>
      <w:r>
        <w:rPr>
          <w:rFonts w:ascii="Times New Roman" w:hAnsi="Times New Roman" w:cs="Times New Roman"/>
        </w:rPr>
        <w:t> 0,4</w:t>
      </w:r>
      <w:r w:rsidRPr="009F2365">
        <w:rPr>
          <w:rFonts w:ascii="Times New Roman" w:hAnsi="Times New Roman" w:cs="Times New Roman"/>
        </w:rPr>
        <w:t> </w:t>
      </w:r>
      <w:r>
        <w:rPr>
          <w:rFonts w:ascii="Times New Roman" w:hAnsi="Times New Roman" w:cs="Times New Roman"/>
        </w:rPr>
        <w:t>p.b.</w:t>
      </w:r>
      <w:r w:rsidRPr="009F2365">
        <w:rPr>
          <w:rFonts w:ascii="Times New Roman" w:hAnsi="Times New Roman" w:cs="Times New Roman"/>
        </w:rPr>
        <w:t xml:space="preserve"> na úroveň 4,9 %. </w:t>
      </w:r>
    </w:p>
    <w:p w:rsidR="007A47DD" w:rsidRPr="009F2365" w:rsidP="007A47DD">
      <w:pPr>
        <w:bidi w:val="0"/>
        <w:spacing w:after="120" w:line="336" w:lineRule="auto"/>
        <w:jc w:val="both"/>
        <w:rPr>
          <w:rFonts w:ascii="Times New Roman" w:hAnsi="Times New Roman" w:cs="Times New Roman"/>
          <w:b/>
          <w:szCs w:val="22"/>
        </w:rPr>
      </w:pPr>
      <w:r w:rsidRPr="009F2365">
        <w:rPr>
          <w:rFonts w:ascii="Times New Roman" w:hAnsi="Times New Roman" w:cs="Times New Roman"/>
          <w:b/>
          <w:szCs w:val="22"/>
        </w:rPr>
        <w:t>Vyhodnotenie plnenia cieľov stratégie riadenia štátneho dlhu</w:t>
      </w:r>
    </w:p>
    <w:p w:rsidR="007A47DD" w:rsidRPr="009F2365" w:rsidP="007A47DD">
      <w:pPr>
        <w:bidi w:val="0"/>
        <w:spacing w:after="120" w:line="336" w:lineRule="auto"/>
        <w:jc w:val="both"/>
        <w:rPr>
          <w:rFonts w:ascii="Times New Roman" w:hAnsi="Times New Roman" w:cs="Times New Roman"/>
          <w:szCs w:val="22"/>
        </w:rPr>
      </w:pPr>
      <w:r w:rsidRPr="009F2365">
        <w:rPr>
          <w:rFonts w:ascii="Times New Roman" w:hAnsi="Times New Roman" w:cs="Times New Roman"/>
          <w:szCs w:val="22"/>
        </w:rPr>
        <w:t>V rámci stratégie riadenia štátneho dlhu sú stanovené kvantitatívne limity pre refinančné a úrokové riziko. Cieľom riadenia dlhu je dosiahnutie tesného priblíženia sa k stanoveným hodnotám, resp. udržanie parametrov dlhu čo najbližšie k stanoveným hodnotám.</w:t>
      </w:r>
    </w:p>
    <w:p w:rsidR="007A47DD" w:rsidRPr="009F2365" w:rsidP="007A47DD">
      <w:pPr>
        <w:pStyle w:val="ListParagraph"/>
        <w:numPr>
          <w:numId w:val="1"/>
        </w:numPr>
        <w:bidi w:val="0"/>
        <w:spacing w:after="120" w:line="336" w:lineRule="auto"/>
        <w:ind w:left="360"/>
        <w:jc w:val="both"/>
        <w:rPr>
          <w:rFonts w:ascii="Times New Roman" w:hAnsi="Times New Roman" w:cs="Times New Roman"/>
        </w:rPr>
      </w:pPr>
      <w:r w:rsidRPr="009F2365">
        <w:rPr>
          <w:rFonts w:ascii="Times New Roman" w:hAnsi="Times New Roman" w:cs="Times New Roman"/>
        </w:rPr>
        <w:t>Hodnota refinančného rizika kumulatívnej splatnosti do jedného roka bola stanovená na úrovni 25</w:t>
      </w:r>
      <w:r>
        <w:rPr>
          <w:rFonts w:ascii="Times New Roman" w:hAnsi="Times New Roman" w:cs="Times New Roman"/>
        </w:rPr>
        <w:t> </w:t>
      </w:r>
      <w:r w:rsidRPr="009F2365">
        <w:rPr>
          <w:rFonts w:ascii="Times New Roman" w:hAnsi="Times New Roman" w:cs="Times New Roman"/>
        </w:rPr>
        <w:t>% záväzkov splatných do jedného roka k celkovým záväzkom. Hodnota tohto kritéria ku koncu roka 2015 sa medziročne zvýšila z hodnoty 12,3 % vykázanej ku koncu roka 2014 na úroveň 18,5</w:t>
      </w:r>
      <w:r>
        <w:rPr>
          <w:rFonts w:ascii="Times New Roman" w:hAnsi="Times New Roman" w:cs="Times New Roman"/>
        </w:rPr>
        <w:t> </w:t>
      </w:r>
      <w:r w:rsidRPr="009F2365">
        <w:rPr>
          <w:rFonts w:ascii="Times New Roman" w:hAnsi="Times New Roman" w:cs="Times New Roman"/>
        </w:rPr>
        <w:t>% celkových záväzkov. Hodnota refinančného rizika kumulatívnej splatnosti do piatich rokov bola stanovená na úrovni 65 % záväzkov splatných do piatich rokov k celkovým záväzkom. Hodnota tohto kritéria dosiahla úroveň 48,2 % na konci roka 2015. V porovnaní s rovnakým obdobím minulého roka došlo k nárastu z hodnoty 45,5</w:t>
      </w:r>
      <w:r>
        <w:rPr>
          <w:rFonts w:ascii="Times New Roman" w:hAnsi="Times New Roman" w:cs="Times New Roman"/>
        </w:rPr>
        <w:t> </w:t>
      </w:r>
      <w:r w:rsidRPr="009F2365">
        <w:rPr>
          <w:rFonts w:ascii="Times New Roman" w:hAnsi="Times New Roman" w:cs="Times New Roman"/>
        </w:rPr>
        <w:t xml:space="preserve">% z celkových záväzkov. </w:t>
      </w:r>
    </w:p>
    <w:p w:rsidR="007A47DD" w:rsidRPr="009F2365" w:rsidP="007A47DD">
      <w:pPr>
        <w:pStyle w:val="ListParagraph"/>
        <w:numPr>
          <w:numId w:val="1"/>
        </w:numPr>
        <w:bidi w:val="0"/>
        <w:spacing w:after="120" w:line="336" w:lineRule="auto"/>
        <w:ind w:left="360"/>
        <w:jc w:val="both"/>
        <w:rPr>
          <w:rFonts w:ascii="Times New Roman" w:hAnsi="Times New Roman" w:cs="Times New Roman"/>
        </w:rPr>
      </w:pPr>
      <w:r w:rsidRPr="009F2365">
        <w:rPr>
          <w:rFonts w:ascii="Times New Roman" w:hAnsi="Times New Roman" w:cs="Times New Roman"/>
        </w:rPr>
        <w:t>Hodnota úrokového rizika kumulatívnej refixácie do jedného roka bola stanovená taktiež na úrovni 25 % záväzkov refixovaných do jedného roka k celkovým záväzkom. Hodnota tohto kritéria bola na úrovni 18,6</w:t>
      </w:r>
      <w:r>
        <w:rPr>
          <w:rFonts w:ascii="Times New Roman" w:hAnsi="Times New Roman" w:cs="Times New Roman"/>
        </w:rPr>
        <w:t> </w:t>
      </w:r>
      <w:r w:rsidRPr="009F2365">
        <w:rPr>
          <w:rFonts w:ascii="Times New Roman" w:hAnsi="Times New Roman" w:cs="Times New Roman"/>
        </w:rPr>
        <w:t>% ku koncu roka 2015 (16,5 % ku koncu roka 2014). Hodnota úrokového rizika kumulatívnej refixácie do piatich rokov bola stanovená na úrovni 65 % záväzkov refixovaných do piatich rokov k celkovým záväzkom. Hodnota tohto kritéri</w:t>
      </w:r>
      <w:r>
        <w:rPr>
          <w:rFonts w:ascii="Times New Roman" w:hAnsi="Times New Roman" w:cs="Times New Roman"/>
        </w:rPr>
        <w:t>a bola na úrovni 48,9 </w:t>
      </w:r>
      <w:r w:rsidRPr="009F2365">
        <w:rPr>
          <w:rFonts w:ascii="Times New Roman" w:hAnsi="Times New Roman" w:cs="Times New Roman"/>
        </w:rPr>
        <w:t>% ku koncu roka 2015 (45,5 % ku koncu roka 2014). Vo všetkých uvedených ukazovateľoch portfólia štátneho dlhu sa pozitívne premietla emisná politika, cieľom ktorej bolo využívanie možností emitovania štátnych dlhopisov s dlhšou splatnosťou na úkor využívania krátkodobých lacnejších zdrojov financovania.</w:t>
      </w:r>
    </w:p>
    <w:p w:rsidR="007A47DD" w:rsidRPr="009F2365" w:rsidP="007A47DD">
      <w:pPr>
        <w:pStyle w:val="ListParagraph"/>
        <w:numPr>
          <w:numId w:val="1"/>
        </w:numPr>
        <w:bidi w:val="0"/>
        <w:spacing w:after="120" w:line="336" w:lineRule="auto"/>
        <w:ind w:left="360"/>
        <w:contextualSpacing w:val="0"/>
        <w:jc w:val="both"/>
        <w:rPr>
          <w:rFonts w:ascii="Times New Roman" w:hAnsi="Times New Roman" w:cs="Times New Roman"/>
        </w:rPr>
      </w:pPr>
      <w:r w:rsidRPr="009F2365">
        <w:rPr>
          <w:rFonts w:ascii="Times New Roman" w:hAnsi="Times New Roman" w:cs="Times New Roman"/>
        </w:rPr>
        <w:t>V roku 2015 bola na domácom trhu otvorená nová línia 12-ročného dlhopisu so splatnosťou v roku 2027. Otvorenie bolo uskutočnené pomocou syndikátu bánk. V uvedenom roku boli splatené tri emisie, z toho jedna emisia v EUR registrovaná v zahraničí, jedna emisia v EUR registrovaná na Slovensku a jedna emisia denominovaná v českých korunách. K 31.12.2015 malo MF SR „živých“ celkovo 29 emisií (z toho 13 emisií registrovaných v zahraničí). Novootvorené domáce benchmarkové emisie majú obmedzenú maximálnu menovitú hodnotu na štandardných 3,0</w:t>
      </w:r>
      <w:r>
        <w:rPr>
          <w:rFonts w:ascii="Times New Roman" w:hAnsi="Times New Roman" w:cs="Times New Roman"/>
        </w:rPr>
        <w:t> </w:t>
      </w:r>
      <w:r w:rsidRPr="009F2365">
        <w:rPr>
          <w:rFonts w:ascii="Times New Roman" w:hAnsi="Times New Roman" w:cs="Times New Roman"/>
        </w:rPr>
        <w:t>mld.</w:t>
      </w:r>
      <w:r>
        <w:rPr>
          <w:rFonts w:ascii="Times New Roman" w:hAnsi="Times New Roman" w:cs="Times New Roman"/>
        </w:rPr>
        <w:t> </w:t>
      </w:r>
      <w:r w:rsidRPr="009F2365">
        <w:rPr>
          <w:rFonts w:ascii="Times New Roman" w:hAnsi="Times New Roman" w:cs="Times New Roman"/>
        </w:rPr>
        <w:t xml:space="preserve">eur, nové ostatné emisie majú obvykle maximálnu menovitú hodnotu 1,5 mld. eur. Aj v roku 2015 ARDAL vo väčšom rozsahu realizovala spätné nákupy štátnych cenných papierov </w:t>
      </w:r>
      <w:r>
        <w:rPr>
          <w:rFonts w:ascii="Times New Roman" w:hAnsi="Times New Roman" w:cs="Times New Roman"/>
        </w:rPr>
        <w:t xml:space="preserve">s cieľom </w:t>
      </w:r>
      <w:r w:rsidR="00AB267B">
        <w:rPr>
          <w:rFonts w:ascii="Times New Roman" w:hAnsi="Times New Roman" w:cs="Times New Roman"/>
        </w:rPr>
        <w:t>efektívnejšieho</w:t>
      </w:r>
      <w:r>
        <w:rPr>
          <w:rFonts w:ascii="Times New Roman" w:hAnsi="Times New Roman" w:cs="Times New Roman"/>
        </w:rPr>
        <w:t xml:space="preserve"> riadenia dlhu a likvidity</w:t>
      </w:r>
      <w:r w:rsidRPr="009F2365">
        <w:rPr>
          <w:rFonts w:ascii="Times New Roman" w:hAnsi="Times New Roman" w:cs="Times New Roman"/>
        </w:rPr>
        <w:t>. Spätné nákupy dlhopisov uľahčujú nár</w:t>
      </w:r>
      <w:r>
        <w:rPr>
          <w:rFonts w:ascii="Times New Roman" w:hAnsi="Times New Roman" w:cs="Times New Roman"/>
        </w:rPr>
        <w:t>azové splácanie veľkých emisií,</w:t>
      </w:r>
      <w:r w:rsidRPr="009F2365">
        <w:rPr>
          <w:rFonts w:ascii="Times New Roman" w:hAnsi="Times New Roman" w:cs="Times New Roman"/>
        </w:rPr>
        <w:t xml:space="preserve"> mierne znižujú náklady na správu hotovostnej rezervy</w:t>
      </w:r>
      <w:r>
        <w:rPr>
          <w:rFonts w:ascii="Times New Roman" w:hAnsi="Times New Roman" w:cs="Times New Roman"/>
        </w:rPr>
        <w:t xml:space="preserve"> umožňujú znížiť veľkosť dlhu </w:t>
      </w:r>
      <w:r w:rsidRPr="002D54E0">
        <w:rPr>
          <w:rFonts w:ascii="Times New Roman" w:hAnsi="Times New Roman" w:cs="Times New Roman"/>
        </w:rPr>
        <w:t>ku koncu roka</w:t>
      </w:r>
      <w:r w:rsidRPr="009F2365">
        <w:rPr>
          <w:rFonts w:ascii="Times New Roman" w:hAnsi="Times New Roman" w:cs="Times New Roman"/>
        </w:rPr>
        <w:t xml:space="preserve">. </w:t>
      </w:r>
    </w:p>
    <w:p w:rsidR="004B28B7">
      <w:pPr>
        <w:bidi w:val="0"/>
        <w:rPr>
          <w:rFonts w:ascii="Times New Roman" w:hAnsi="Times New Roman" w:cs="Times New Roman"/>
          <w:b/>
          <w:szCs w:val="22"/>
        </w:rPr>
      </w:pPr>
      <w:r>
        <w:rPr>
          <w:rFonts w:ascii="Times New Roman" w:hAnsi="Times New Roman" w:cs="Times New Roman"/>
          <w:b/>
          <w:szCs w:val="22"/>
        </w:rPr>
        <w:br w:type="page"/>
      </w:r>
    </w:p>
    <w:p w:rsidR="007A47DD" w:rsidRPr="002D54E0" w:rsidP="007A47DD">
      <w:pPr>
        <w:bidi w:val="0"/>
        <w:spacing w:before="240" w:after="120" w:line="336" w:lineRule="auto"/>
        <w:jc w:val="both"/>
        <w:rPr>
          <w:rFonts w:ascii="Times New Roman" w:hAnsi="Times New Roman" w:cs="Times New Roman"/>
          <w:b/>
          <w:szCs w:val="22"/>
        </w:rPr>
      </w:pPr>
      <w:r w:rsidRPr="002D54E0">
        <w:rPr>
          <w:rFonts w:ascii="Times New Roman" w:hAnsi="Times New Roman" w:cs="Times New Roman"/>
          <w:b/>
          <w:szCs w:val="22"/>
        </w:rPr>
        <w:t>Riadenie štátneho dlhu v roku 2015</w:t>
      </w:r>
    </w:p>
    <w:p w:rsidR="007A47DD" w:rsidRPr="00F673A0" w:rsidP="007A47DD">
      <w:pPr>
        <w:bidi w:val="0"/>
        <w:spacing w:after="120" w:line="336" w:lineRule="auto"/>
        <w:jc w:val="both"/>
        <w:rPr>
          <w:rFonts w:ascii="Times New Roman" w:hAnsi="Times New Roman" w:cs="Times New Roman"/>
          <w:highlight w:val="yellow"/>
        </w:rPr>
      </w:pPr>
      <w:r w:rsidRPr="002D54E0">
        <w:rPr>
          <w:rFonts w:ascii="Times New Roman" w:hAnsi="Times New Roman" w:cs="Times New Roman"/>
        </w:rPr>
        <w:t xml:space="preserve">Nasledujúca tabuľka ukazuje základné kvantitatívne parametre riadenia štátneho dlhu v roku 2015. V tabuľke vidno priemernú úrokovú sadzbu a splatnosť pri novom vydanom (emitovanom) dlhu. Agentúra pre riadene dlhu a likvidity emitovala v mene MF SR v roku 2015 cenné papiere v celkovej hodnote 3 653 900 tis. eur. Slovenská republika vydala dlhopisy denominované len v mene </w:t>
      </w:r>
      <w:r>
        <w:rPr>
          <w:rFonts w:ascii="Times New Roman" w:hAnsi="Times New Roman" w:cs="Times New Roman"/>
        </w:rPr>
        <w:t>EUR</w:t>
      </w:r>
      <w:r w:rsidRPr="002D54E0">
        <w:rPr>
          <w:rFonts w:ascii="Times New Roman" w:hAnsi="Times New Roman" w:cs="Times New Roman"/>
        </w:rPr>
        <w:t xml:space="preserve"> s fixnou úrokovou sadzbou v celkovom objeme </w:t>
      </w:r>
      <w:r w:rsidR="00A47DF1">
        <w:rPr>
          <w:rFonts w:ascii="Times New Roman" w:hAnsi="Times New Roman" w:cs="Times New Roman"/>
        </w:rPr>
        <w:t>3 213 900</w:t>
      </w:r>
      <w:r w:rsidRPr="002D54E0">
        <w:rPr>
          <w:rFonts w:ascii="Times New Roman" w:hAnsi="Times New Roman" w:cs="Times New Roman"/>
        </w:rPr>
        <w:t xml:space="preserve"> tis. eur. V roku 2015 boli vydané štátne pokladničné poukážky v objeme 440 000 tis. eur. Okrem cenných papierov boli na krytie dlhu prijaté úvery v nominálnej hodnote 395 000 tis. eur s priemernou váženou úrokovou sadzbou 1,33</w:t>
      </w:r>
      <w:r>
        <w:rPr>
          <w:rFonts w:ascii="Times New Roman" w:hAnsi="Times New Roman" w:cs="Times New Roman"/>
        </w:rPr>
        <w:t> </w:t>
      </w:r>
      <w:r w:rsidRPr="002D54E0">
        <w:rPr>
          <w:rFonts w:ascii="Times New Roman" w:hAnsi="Times New Roman" w:cs="Times New Roman"/>
        </w:rPr>
        <w:t>% a s priemernou váženou splatnosťou 13 rokov.</w:t>
      </w:r>
    </w:p>
    <w:tbl>
      <w:tblPr>
        <w:tblStyle w:val="TableNormal"/>
        <w:tblW w:w="9142" w:type="dxa"/>
        <w:tblCellMar>
          <w:left w:w="70" w:type="dxa"/>
          <w:right w:w="70" w:type="dxa"/>
        </w:tblCellMar>
        <w:tblLook w:val="04A0"/>
      </w:tblPr>
      <w:tblGrid>
        <w:gridCol w:w="2055"/>
        <w:gridCol w:w="2410"/>
        <w:gridCol w:w="1984"/>
        <w:gridCol w:w="1243"/>
        <w:gridCol w:w="1450"/>
      </w:tblGrid>
      <w:tr>
        <w:tblPrEx>
          <w:tblW w:w="9142" w:type="dxa"/>
          <w:tblCellMar>
            <w:left w:w="70" w:type="dxa"/>
            <w:right w:w="70" w:type="dxa"/>
          </w:tblCellMar>
          <w:tblLook w:val="04A0"/>
        </w:tblPrEx>
        <w:trPr>
          <w:trHeight w:val="390"/>
        </w:trPr>
        <w:tc>
          <w:tcPr>
            <w:tcW w:w="6449" w:type="dxa"/>
            <w:gridSpan w:val="3"/>
            <w:tcBorders>
              <w:top w:val="nil"/>
              <w:left w:val="nil"/>
              <w:bottom w:val="nil"/>
              <w:right w:val="nil"/>
            </w:tcBorders>
            <w:shd w:val="clear" w:color="000000" w:fill="000000"/>
            <w:noWrap/>
            <w:textDirection w:val="lrTb"/>
            <w:vAlign w:val="center"/>
            <w:hideMark/>
          </w:tcPr>
          <w:p w:rsidR="007A47DD" w:rsidRPr="002D54E0" w:rsidP="00A97D6F">
            <w:pPr>
              <w:bidi w:val="0"/>
              <w:spacing w:after="0" w:line="240" w:lineRule="auto"/>
              <w:rPr>
                <w:rFonts w:ascii="Times New Roman" w:hAnsi="Times New Roman" w:cs="Times New Roman"/>
                <w:b/>
                <w:bCs/>
                <w:color w:val="FFFFFF"/>
                <w:sz w:val="20"/>
                <w:szCs w:val="20"/>
                <w:lang w:eastAsia="sk-SK"/>
              </w:rPr>
            </w:pPr>
            <w:r w:rsidRPr="002D54E0">
              <w:rPr>
                <w:rFonts w:ascii="Times New Roman" w:hAnsi="Times New Roman" w:cs="Times New Roman"/>
                <w:b/>
                <w:bCs/>
                <w:color w:val="FFFFFF"/>
                <w:sz w:val="20"/>
                <w:szCs w:val="20"/>
                <w:lang w:eastAsia="sk-SK"/>
              </w:rPr>
              <w:t>Štátny dlh realizovaný v roku 2015 (tis. eur)</w:t>
            </w:r>
          </w:p>
        </w:tc>
        <w:tc>
          <w:tcPr>
            <w:tcW w:w="1243" w:type="dxa"/>
            <w:tcBorders>
              <w:top w:val="nil"/>
              <w:left w:val="nil"/>
              <w:bottom w:val="nil"/>
              <w:right w:val="nil"/>
            </w:tcBorders>
            <w:shd w:val="clear" w:color="000000" w:fill="000000"/>
            <w:noWrap/>
            <w:textDirection w:val="lrTb"/>
            <w:vAlign w:val="center"/>
            <w:hideMark/>
          </w:tcPr>
          <w:p w:rsidR="007A47DD" w:rsidRPr="002D54E0" w:rsidP="00A97D6F">
            <w:pPr>
              <w:bidi w:val="0"/>
              <w:spacing w:after="0" w:line="240" w:lineRule="auto"/>
              <w:rPr>
                <w:rFonts w:ascii="Times New Roman" w:hAnsi="Times New Roman" w:cs="Times New Roman"/>
                <w:b/>
                <w:bCs/>
                <w:color w:val="FFFFFF"/>
                <w:sz w:val="20"/>
                <w:szCs w:val="20"/>
                <w:lang w:eastAsia="sk-SK"/>
              </w:rPr>
            </w:pPr>
            <w:r w:rsidRPr="002D54E0">
              <w:rPr>
                <w:rFonts w:ascii="Times New Roman" w:hAnsi="Times New Roman" w:cs="Times New Roman"/>
                <w:b/>
                <w:bCs/>
                <w:color w:val="FFFFFF"/>
                <w:sz w:val="20"/>
                <w:szCs w:val="20"/>
                <w:lang w:eastAsia="sk-SK"/>
              </w:rPr>
              <w:t> </w:t>
            </w:r>
          </w:p>
        </w:tc>
        <w:tc>
          <w:tcPr>
            <w:tcW w:w="1450" w:type="dxa"/>
            <w:tcBorders>
              <w:top w:val="nil"/>
              <w:left w:val="nil"/>
              <w:bottom w:val="nil"/>
              <w:right w:val="nil"/>
            </w:tcBorders>
            <w:shd w:val="clear" w:color="000000" w:fill="000000"/>
            <w:noWrap/>
            <w:textDirection w:val="lrTb"/>
            <w:vAlign w:val="center"/>
            <w:hideMark/>
          </w:tcPr>
          <w:p w:rsidR="007A47DD" w:rsidRPr="002D54E0" w:rsidP="00A97D6F">
            <w:pPr>
              <w:bidi w:val="0"/>
              <w:spacing w:after="0" w:line="240" w:lineRule="auto"/>
              <w:rPr>
                <w:rFonts w:ascii="Times New Roman" w:hAnsi="Times New Roman" w:cs="Times New Roman"/>
                <w:b/>
                <w:bCs/>
                <w:color w:val="FFFFFF"/>
                <w:sz w:val="20"/>
                <w:szCs w:val="20"/>
                <w:lang w:eastAsia="sk-SK"/>
              </w:rPr>
            </w:pPr>
            <w:r w:rsidRPr="002D54E0">
              <w:rPr>
                <w:rFonts w:ascii="Times New Roman" w:hAnsi="Times New Roman" w:cs="Times New Roman"/>
                <w:b/>
                <w:bCs/>
                <w:color w:val="FFFFFF"/>
                <w:sz w:val="20"/>
                <w:szCs w:val="20"/>
                <w:lang w:eastAsia="sk-SK"/>
              </w:rPr>
              <w:t> </w:t>
            </w:r>
          </w:p>
        </w:tc>
      </w:tr>
      <w:tr>
        <w:tblPrEx>
          <w:tblW w:w="9142" w:type="dxa"/>
          <w:tblCellMar>
            <w:left w:w="70" w:type="dxa"/>
            <w:right w:w="70" w:type="dxa"/>
          </w:tblCellMar>
          <w:tblLook w:val="04A0"/>
        </w:tblPrEx>
        <w:trPr>
          <w:trHeight w:val="765"/>
        </w:trPr>
        <w:tc>
          <w:tcPr>
            <w:tcW w:w="2055" w:type="dxa"/>
            <w:tcBorders>
              <w:top w:val="nil"/>
              <w:left w:val="nil"/>
              <w:bottom w:val="nil"/>
              <w:right w:val="nil"/>
            </w:tcBorders>
            <w:shd w:val="clear" w:color="000000" w:fill="BFBFBF"/>
            <w:textDirection w:val="lrTb"/>
            <w:vAlign w:val="center"/>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Typ cenného papiera</w:t>
            </w:r>
          </w:p>
        </w:tc>
        <w:tc>
          <w:tcPr>
            <w:tcW w:w="2410" w:type="dxa"/>
            <w:tcBorders>
              <w:top w:val="nil"/>
              <w:left w:val="nil"/>
              <w:bottom w:val="nil"/>
              <w:right w:val="nil"/>
            </w:tcBorders>
            <w:shd w:val="clear" w:color="000000" w:fill="BFBFBF"/>
            <w:textDirection w:val="lrTb"/>
            <w:vAlign w:val="center"/>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Nominálna hodnota</w:t>
            </w:r>
          </w:p>
        </w:tc>
        <w:tc>
          <w:tcPr>
            <w:tcW w:w="1984" w:type="dxa"/>
            <w:tcBorders>
              <w:top w:val="nil"/>
              <w:left w:val="nil"/>
              <w:bottom w:val="nil"/>
              <w:right w:val="nil"/>
            </w:tcBorders>
            <w:shd w:val="clear" w:color="000000" w:fill="BFBFBF"/>
            <w:textDirection w:val="lrTb"/>
            <w:vAlign w:val="center"/>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Priemerný úrok / prirážka (ŠD float)</w:t>
            </w:r>
          </w:p>
        </w:tc>
        <w:tc>
          <w:tcPr>
            <w:tcW w:w="1243" w:type="dxa"/>
            <w:tcBorders>
              <w:top w:val="nil"/>
              <w:left w:val="nil"/>
              <w:bottom w:val="nil"/>
              <w:right w:val="nil"/>
            </w:tcBorders>
            <w:shd w:val="clear" w:color="000000" w:fill="BFBFBF"/>
            <w:textDirection w:val="lrTb"/>
            <w:vAlign w:val="center"/>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Priemerná splatnosť (rok)</w:t>
            </w:r>
          </w:p>
        </w:tc>
        <w:tc>
          <w:tcPr>
            <w:tcW w:w="1450" w:type="dxa"/>
            <w:tcBorders>
              <w:top w:val="nil"/>
              <w:left w:val="nil"/>
              <w:bottom w:val="nil"/>
              <w:right w:val="nil"/>
            </w:tcBorders>
            <w:shd w:val="clear" w:color="000000" w:fill="BFBFBF"/>
            <w:textDirection w:val="lrTb"/>
            <w:vAlign w:val="center"/>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Typ kupónovej sadzby</w:t>
            </w:r>
          </w:p>
        </w:tc>
      </w:tr>
      <w:tr>
        <w:tblPrEx>
          <w:tblW w:w="9142" w:type="dxa"/>
          <w:tblCellMar>
            <w:left w:w="70" w:type="dxa"/>
            <w:right w:w="70" w:type="dxa"/>
          </w:tblCellMar>
          <w:tblLook w:val="04A0"/>
        </w:tblPrEx>
        <w:trPr>
          <w:trHeight w:val="330"/>
        </w:trPr>
        <w:tc>
          <w:tcPr>
            <w:tcW w:w="2055" w:type="dxa"/>
            <w:tcBorders>
              <w:top w:val="single" w:sz="4" w:space="0" w:color="auto"/>
              <w:left w:val="nil"/>
              <w:bottom w:val="nil"/>
              <w:right w:val="nil"/>
            </w:tcBorders>
            <w:noWrap/>
            <w:textDirection w:val="lrTb"/>
            <w:vAlign w:val="bottom"/>
            <w:hideMark/>
          </w:tcPr>
          <w:p w:rsidR="007A47DD" w:rsidRPr="002D54E0" w:rsidP="00A97D6F">
            <w:pPr>
              <w:bidi w:val="0"/>
              <w:spacing w:after="0" w:line="240" w:lineRule="auto"/>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ŠD fix</w:t>
            </w:r>
          </w:p>
        </w:tc>
        <w:tc>
          <w:tcPr>
            <w:tcW w:w="2410" w:type="dxa"/>
            <w:tcBorders>
              <w:top w:val="single" w:sz="4" w:space="0" w:color="auto"/>
              <w:left w:val="nil"/>
              <w:bottom w:val="nil"/>
              <w:right w:val="nil"/>
            </w:tcBorders>
            <w:noWrap/>
            <w:textDirection w:val="lrTb"/>
            <w:vAlign w:val="bottom"/>
            <w:hideMark/>
          </w:tcPr>
          <w:p w:rsidR="007A47DD" w:rsidRPr="002D54E0" w:rsidP="00A97D6F">
            <w:pPr>
              <w:bidi w:val="0"/>
              <w:spacing w:after="0" w:line="240" w:lineRule="auto"/>
              <w:jc w:val="right"/>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3 213 900</w:t>
            </w:r>
          </w:p>
        </w:tc>
        <w:tc>
          <w:tcPr>
            <w:tcW w:w="1984" w:type="dxa"/>
            <w:tcBorders>
              <w:top w:val="single" w:sz="4" w:space="0" w:color="auto"/>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0,94%</w:t>
            </w:r>
          </w:p>
        </w:tc>
        <w:tc>
          <w:tcPr>
            <w:tcW w:w="1243" w:type="dxa"/>
            <w:tcBorders>
              <w:top w:val="single" w:sz="4" w:space="0" w:color="auto"/>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9,7</w:t>
            </w:r>
          </w:p>
        </w:tc>
        <w:tc>
          <w:tcPr>
            <w:tcW w:w="1450" w:type="dxa"/>
            <w:tcBorders>
              <w:top w:val="single" w:sz="4" w:space="0" w:color="auto"/>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fixná</w:t>
            </w:r>
          </w:p>
        </w:tc>
      </w:tr>
      <w:tr>
        <w:tblPrEx>
          <w:tblW w:w="9142" w:type="dxa"/>
          <w:tblCellMar>
            <w:left w:w="70" w:type="dxa"/>
            <w:right w:w="70" w:type="dxa"/>
          </w:tblCellMar>
          <w:tblLook w:val="04A0"/>
        </w:tblPrEx>
        <w:trPr>
          <w:trHeight w:val="330"/>
        </w:trPr>
        <w:tc>
          <w:tcPr>
            <w:tcW w:w="2055" w:type="dxa"/>
            <w:tcBorders>
              <w:top w:val="nil"/>
              <w:left w:val="nil"/>
              <w:bottom w:val="nil"/>
              <w:right w:val="nil"/>
            </w:tcBorders>
            <w:noWrap/>
            <w:textDirection w:val="lrTb"/>
            <w:vAlign w:val="bottom"/>
            <w:hideMark/>
          </w:tcPr>
          <w:p w:rsidR="007A47DD" w:rsidRPr="002D54E0" w:rsidP="00A97D6F">
            <w:pPr>
              <w:bidi w:val="0"/>
              <w:spacing w:after="0" w:line="240" w:lineRule="auto"/>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ŠD float</w:t>
            </w:r>
          </w:p>
        </w:tc>
        <w:tc>
          <w:tcPr>
            <w:tcW w:w="2410" w:type="dxa"/>
            <w:tcBorders>
              <w:top w:val="nil"/>
              <w:left w:val="nil"/>
              <w:bottom w:val="nil"/>
              <w:right w:val="nil"/>
            </w:tcBorders>
            <w:noWrap/>
            <w:textDirection w:val="lrTb"/>
            <w:vAlign w:val="bottom"/>
            <w:hideMark/>
          </w:tcPr>
          <w:p w:rsidR="007A47DD" w:rsidRPr="002D54E0" w:rsidP="00A97D6F">
            <w:pPr>
              <w:bidi w:val="0"/>
              <w:spacing w:after="0" w:line="240" w:lineRule="auto"/>
              <w:jc w:val="right"/>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w:t>
            </w:r>
          </w:p>
        </w:tc>
        <w:tc>
          <w:tcPr>
            <w:tcW w:w="1984"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0,00%</w:t>
            </w:r>
          </w:p>
        </w:tc>
        <w:tc>
          <w:tcPr>
            <w:tcW w:w="1243"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0,0</w:t>
            </w:r>
          </w:p>
        </w:tc>
        <w:tc>
          <w:tcPr>
            <w:tcW w:w="1450"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6M Euribor</w:t>
            </w:r>
          </w:p>
        </w:tc>
      </w:tr>
      <w:tr>
        <w:tblPrEx>
          <w:tblW w:w="9142" w:type="dxa"/>
          <w:tblCellMar>
            <w:left w:w="70" w:type="dxa"/>
            <w:right w:w="70" w:type="dxa"/>
          </w:tblCellMar>
          <w:tblLook w:val="04A0"/>
        </w:tblPrEx>
        <w:trPr>
          <w:trHeight w:val="330"/>
        </w:trPr>
        <w:tc>
          <w:tcPr>
            <w:tcW w:w="2055" w:type="dxa"/>
            <w:tcBorders>
              <w:top w:val="nil"/>
              <w:left w:val="nil"/>
              <w:bottom w:val="nil"/>
              <w:right w:val="nil"/>
            </w:tcBorders>
            <w:noWrap/>
            <w:textDirection w:val="lrTb"/>
            <w:vAlign w:val="bottom"/>
            <w:hideMark/>
          </w:tcPr>
          <w:p w:rsidR="007A47DD" w:rsidRPr="002D54E0" w:rsidP="00A97D6F">
            <w:pPr>
              <w:bidi w:val="0"/>
              <w:spacing w:after="0" w:line="240" w:lineRule="auto"/>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ŠPP</w:t>
            </w:r>
          </w:p>
        </w:tc>
        <w:tc>
          <w:tcPr>
            <w:tcW w:w="2410" w:type="dxa"/>
            <w:tcBorders>
              <w:top w:val="nil"/>
              <w:left w:val="nil"/>
              <w:bottom w:val="nil"/>
              <w:right w:val="nil"/>
            </w:tcBorders>
            <w:noWrap/>
            <w:textDirection w:val="lrTb"/>
            <w:vAlign w:val="bottom"/>
            <w:hideMark/>
          </w:tcPr>
          <w:p w:rsidR="007A47DD" w:rsidRPr="002D54E0" w:rsidP="00A97D6F">
            <w:pPr>
              <w:bidi w:val="0"/>
              <w:spacing w:after="0" w:line="240" w:lineRule="auto"/>
              <w:jc w:val="right"/>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440 000</w:t>
            </w:r>
          </w:p>
        </w:tc>
        <w:tc>
          <w:tcPr>
            <w:tcW w:w="1984"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0,05%</w:t>
            </w:r>
          </w:p>
        </w:tc>
        <w:tc>
          <w:tcPr>
            <w:tcW w:w="1243"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0,8</w:t>
            </w:r>
          </w:p>
        </w:tc>
        <w:tc>
          <w:tcPr>
            <w:tcW w:w="1450"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nulová</w:t>
            </w:r>
          </w:p>
        </w:tc>
      </w:tr>
      <w:tr>
        <w:tblPrEx>
          <w:tblW w:w="9142" w:type="dxa"/>
          <w:tblCellMar>
            <w:left w:w="70" w:type="dxa"/>
            <w:right w:w="70" w:type="dxa"/>
          </w:tblCellMar>
          <w:tblLook w:val="04A0"/>
        </w:tblPrEx>
        <w:trPr>
          <w:trHeight w:val="330"/>
        </w:trPr>
        <w:tc>
          <w:tcPr>
            <w:tcW w:w="2055" w:type="dxa"/>
            <w:tcBorders>
              <w:top w:val="nil"/>
              <w:left w:val="nil"/>
              <w:bottom w:val="nil"/>
              <w:right w:val="nil"/>
            </w:tcBorders>
            <w:noWrap/>
            <w:textDirection w:val="lrTb"/>
            <w:vAlign w:val="bottom"/>
            <w:hideMark/>
          </w:tcPr>
          <w:p w:rsidR="007A47DD" w:rsidRPr="002D54E0" w:rsidP="00A97D6F">
            <w:pPr>
              <w:bidi w:val="0"/>
              <w:spacing w:after="0" w:line="240" w:lineRule="auto"/>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 xml:space="preserve">Úvery </w:t>
            </w:r>
          </w:p>
        </w:tc>
        <w:tc>
          <w:tcPr>
            <w:tcW w:w="2410" w:type="dxa"/>
            <w:tcBorders>
              <w:top w:val="nil"/>
              <w:left w:val="nil"/>
              <w:bottom w:val="nil"/>
              <w:right w:val="nil"/>
            </w:tcBorders>
            <w:noWrap/>
            <w:textDirection w:val="lrTb"/>
            <w:vAlign w:val="bottom"/>
            <w:hideMark/>
          </w:tcPr>
          <w:p w:rsidR="007A47DD" w:rsidRPr="002D54E0" w:rsidP="00A97D6F">
            <w:pPr>
              <w:bidi w:val="0"/>
              <w:spacing w:after="0" w:line="240" w:lineRule="auto"/>
              <w:jc w:val="right"/>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395 000</w:t>
            </w:r>
          </w:p>
        </w:tc>
        <w:tc>
          <w:tcPr>
            <w:tcW w:w="1984"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1,33%</w:t>
            </w:r>
          </w:p>
        </w:tc>
        <w:tc>
          <w:tcPr>
            <w:tcW w:w="1243"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13,0</w:t>
            </w:r>
          </w:p>
        </w:tc>
        <w:tc>
          <w:tcPr>
            <w:tcW w:w="1450"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fixná</w:t>
            </w:r>
          </w:p>
        </w:tc>
      </w:tr>
      <w:tr>
        <w:tblPrEx>
          <w:tblW w:w="9142" w:type="dxa"/>
          <w:tblCellMar>
            <w:left w:w="70" w:type="dxa"/>
            <w:right w:w="70" w:type="dxa"/>
          </w:tblCellMar>
          <w:tblLook w:val="04A0"/>
        </w:tblPrEx>
        <w:trPr>
          <w:trHeight w:val="330"/>
        </w:trPr>
        <w:tc>
          <w:tcPr>
            <w:tcW w:w="2055" w:type="dxa"/>
            <w:tcBorders>
              <w:top w:val="nil"/>
              <w:left w:val="nil"/>
              <w:bottom w:val="nil"/>
              <w:right w:val="nil"/>
            </w:tcBorders>
            <w:noWrap/>
            <w:textDirection w:val="lrTb"/>
            <w:vAlign w:val="bottom"/>
            <w:hideMark/>
          </w:tcPr>
          <w:p w:rsidR="007A47DD" w:rsidRPr="002D54E0" w:rsidP="00A97D6F">
            <w:pPr>
              <w:bidi w:val="0"/>
              <w:spacing w:after="0" w:line="240" w:lineRule="auto"/>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Hrubý dlh</w:t>
            </w:r>
          </w:p>
        </w:tc>
        <w:tc>
          <w:tcPr>
            <w:tcW w:w="2410" w:type="dxa"/>
            <w:tcBorders>
              <w:top w:val="nil"/>
              <w:left w:val="nil"/>
              <w:bottom w:val="nil"/>
              <w:right w:val="nil"/>
            </w:tcBorders>
            <w:noWrap/>
            <w:textDirection w:val="lrTb"/>
            <w:vAlign w:val="bottom"/>
            <w:hideMark/>
          </w:tcPr>
          <w:p w:rsidR="007A47DD" w:rsidRPr="002D54E0" w:rsidP="002F3E91">
            <w:pPr>
              <w:bidi w:val="0"/>
              <w:spacing w:after="0" w:line="240" w:lineRule="auto"/>
              <w:jc w:val="right"/>
              <w:rPr>
                <w:rFonts w:ascii="Times New Roman" w:hAnsi="Times New Roman" w:cs="Times New Roman"/>
                <w:b/>
                <w:color w:val="000000"/>
                <w:sz w:val="20"/>
                <w:szCs w:val="20"/>
                <w:lang w:eastAsia="sk-SK"/>
              </w:rPr>
            </w:pPr>
            <w:r w:rsidR="002F3E91">
              <w:rPr>
                <w:rFonts w:ascii="Times New Roman" w:hAnsi="Times New Roman" w:cs="Times New Roman"/>
                <w:b/>
                <w:color w:val="000000"/>
                <w:sz w:val="20"/>
                <w:szCs w:val="20"/>
                <w:lang w:eastAsia="sk-SK"/>
              </w:rPr>
              <w:t>4</w:t>
            </w:r>
            <w:r w:rsidRPr="002D54E0">
              <w:rPr>
                <w:rFonts w:ascii="Times New Roman" w:hAnsi="Times New Roman" w:cs="Times New Roman"/>
                <w:b/>
                <w:color w:val="000000"/>
                <w:sz w:val="20"/>
                <w:szCs w:val="20"/>
                <w:lang w:eastAsia="sk-SK"/>
              </w:rPr>
              <w:t xml:space="preserve">  </w:t>
            </w:r>
            <w:r w:rsidR="002F3E91">
              <w:rPr>
                <w:rFonts w:ascii="Times New Roman" w:hAnsi="Times New Roman" w:cs="Times New Roman"/>
                <w:b/>
                <w:color w:val="000000"/>
                <w:sz w:val="20"/>
                <w:szCs w:val="20"/>
                <w:lang w:eastAsia="sk-SK"/>
              </w:rPr>
              <w:t>048 900</w:t>
            </w:r>
          </w:p>
        </w:tc>
        <w:tc>
          <w:tcPr>
            <w:tcW w:w="1984"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 xml:space="preserve"> - </w:t>
            </w:r>
          </w:p>
        </w:tc>
        <w:tc>
          <w:tcPr>
            <w:tcW w:w="1243"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 xml:space="preserve"> -  </w:t>
            </w:r>
          </w:p>
        </w:tc>
        <w:tc>
          <w:tcPr>
            <w:tcW w:w="1450"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 xml:space="preserve"> - </w:t>
            </w:r>
          </w:p>
        </w:tc>
      </w:tr>
      <w:tr>
        <w:tblPrEx>
          <w:tblW w:w="9142" w:type="dxa"/>
          <w:tblCellMar>
            <w:left w:w="70" w:type="dxa"/>
            <w:right w:w="70" w:type="dxa"/>
          </w:tblCellMar>
          <w:tblLook w:val="04A0"/>
        </w:tblPrEx>
        <w:trPr>
          <w:trHeight w:val="330"/>
        </w:trPr>
        <w:tc>
          <w:tcPr>
            <w:tcW w:w="2055" w:type="dxa"/>
            <w:tcBorders>
              <w:top w:val="nil"/>
              <w:left w:val="nil"/>
              <w:bottom w:val="nil"/>
              <w:right w:val="nil"/>
            </w:tcBorders>
            <w:noWrap/>
            <w:textDirection w:val="lrTb"/>
            <w:vAlign w:val="bottom"/>
            <w:hideMark/>
          </w:tcPr>
          <w:p w:rsidR="007A47DD" w:rsidRPr="002D54E0" w:rsidP="00A97D6F">
            <w:pPr>
              <w:bidi w:val="0"/>
              <w:spacing w:after="0" w:line="240" w:lineRule="auto"/>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 xml:space="preserve">ŠD </w:t>
            </w:r>
            <w:r>
              <w:rPr>
                <w:rFonts w:ascii="Times New Roman" w:hAnsi="Times New Roman" w:cs="Times New Roman"/>
                <w:color w:val="000000"/>
                <w:sz w:val="20"/>
                <w:szCs w:val="20"/>
                <w:lang w:eastAsia="sk-SK"/>
              </w:rPr>
              <w:t xml:space="preserve">fix </w:t>
            </w:r>
            <w:r w:rsidRPr="002D54E0">
              <w:rPr>
                <w:rFonts w:ascii="Times New Roman" w:hAnsi="Times New Roman" w:cs="Times New Roman"/>
                <w:color w:val="000000"/>
                <w:sz w:val="20"/>
                <w:szCs w:val="20"/>
                <w:lang w:eastAsia="sk-SK"/>
              </w:rPr>
              <w:t>spätný odkup</w:t>
            </w:r>
          </w:p>
        </w:tc>
        <w:tc>
          <w:tcPr>
            <w:tcW w:w="2410" w:type="dxa"/>
            <w:tcBorders>
              <w:top w:val="nil"/>
              <w:left w:val="nil"/>
              <w:bottom w:val="nil"/>
              <w:right w:val="nil"/>
            </w:tcBorders>
            <w:noWrap/>
            <w:textDirection w:val="lrTb"/>
            <w:vAlign w:val="bottom"/>
            <w:hideMark/>
          </w:tcPr>
          <w:p w:rsidR="007A47DD" w:rsidRPr="002D54E0" w:rsidP="00A97D6F">
            <w:pPr>
              <w:bidi w:val="0"/>
              <w:spacing w:after="0" w:line="240" w:lineRule="auto"/>
              <w:jc w:val="right"/>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-419 628</w:t>
            </w:r>
          </w:p>
        </w:tc>
        <w:tc>
          <w:tcPr>
            <w:tcW w:w="1984"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-0,09%</w:t>
            </w:r>
          </w:p>
        </w:tc>
        <w:tc>
          <w:tcPr>
            <w:tcW w:w="1243"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0,4</w:t>
            </w:r>
          </w:p>
        </w:tc>
        <w:tc>
          <w:tcPr>
            <w:tcW w:w="1450"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fixná</w:t>
            </w:r>
          </w:p>
        </w:tc>
      </w:tr>
      <w:tr>
        <w:tblPrEx>
          <w:tblW w:w="9142" w:type="dxa"/>
          <w:tblCellMar>
            <w:left w:w="70" w:type="dxa"/>
            <w:right w:w="70" w:type="dxa"/>
          </w:tblCellMar>
          <w:tblLook w:val="04A0"/>
        </w:tblPrEx>
        <w:trPr>
          <w:trHeight w:val="330"/>
        </w:trPr>
        <w:tc>
          <w:tcPr>
            <w:tcW w:w="2055" w:type="dxa"/>
            <w:tcBorders>
              <w:top w:val="nil"/>
              <w:left w:val="nil"/>
              <w:bottom w:val="nil"/>
              <w:right w:val="nil"/>
            </w:tcBorders>
            <w:noWrap/>
            <w:textDirection w:val="lrTb"/>
            <w:vAlign w:val="bottom"/>
            <w:hideMark/>
          </w:tcPr>
          <w:p w:rsidR="007A47DD" w:rsidRPr="002D54E0" w:rsidP="00A97D6F">
            <w:pPr>
              <w:bidi w:val="0"/>
              <w:spacing w:after="0" w:line="240" w:lineRule="auto"/>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 xml:space="preserve">ŠD </w:t>
            </w:r>
            <w:r>
              <w:rPr>
                <w:rFonts w:ascii="Times New Roman" w:hAnsi="Times New Roman" w:cs="Times New Roman"/>
                <w:color w:val="000000"/>
                <w:sz w:val="20"/>
                <w:szCs w:val="20"/>
                <w:lang w:eastAsia="sk-SK"/>
              </w:rPr>
              <w:t xml:space="preserve">float </w:t>
            </w:r>
            <w:r w:rsidRPr="002D54E0">
              <w:rPr>
                <w:rFonts w:ascii="Times New Roman" w:hAnsi="Times New Roman" w:cs="Times New Roman"/>
                <w:color w:val="000000"/>
                <w:sz w:val="20"/>
                <w:szCs w:val="20"/>
                <w:lang w:eastAsia="sk-SK"/>
              </w:rPr>
              <w:t>spätný odkup</w:t>
            </w:r>
          </w:p>
        </w:tc>
        <w:tc>
          <w:tcPr>
            <w:tcW w:w="2410" w:type="dxa"/>
            <w:tcBorders>
              <w:top w:val="nil"/>
              <w:left w:val="nil"/>
              <w:bottom w:val="nil"/>
              <w:right w:val="nil"/>
            </w:tcBorders>
            <w:noWrap/>
            <w:textDirection w:val="lrTb"/>
            <w:vAlign w:val="bottom"/>
            <w:hideMark/>
          </w:tcPr>
          <w:p w:rsidR="007A47DD" w:rsidRPr="002D54E0" w:rsidP="00A97D6F">
            <w:pPr>
              <w:bidi w:val="0"/>
              <w:spacing w:after="0" w:line="240" w:lineRule="auto"/>
              <w:jc w:val="right"/>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-257 150</w:t>
            </w:r>
          </w:p>
        </w:tc>
        <w:tc>
          <w:tcPr>
            <w:tcW w:w="1984"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-0,06%</w:t>
            </w:r>
          </w:p>
        </w:tc>
        <w:tc>
          <w:tcPr>
            <w:tcW w:w="1243"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1,4</w:t>
            </w:r>
          </w:p>
        </w:tc>
        <w:tc>
          <w:tcPr>
            <w:tcW w:w="1450" w:type="dxa"/>
            <w:tcBorders>
              <w:top w:val="nil"/>
              <w:left w:val="nil"/>
              <w:bottom w:val="nil"/>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color w:val="000000"/>
                <w:sz w:val="20"/>
                <w:szCs w:val="20"/>
                <w:lang w:eastAsia="sk-SK"/>
              </w:rPr>
            </w:pPr>
            <w:r w:rsidRPr="002D54E0">
              <w:rPr>
                <w:rFonts w:ascii="Times New Roman" w:hAnsi="Times New Roman" w:cs="Times New Roman"/>
                <w:color w:val="000000"/>
                <w:sz w:val="20"/>
                <w:szCs w:val="20"/>
                <w:lang w:eastAsia="sk-SK"/>
              </w:rPr>
              <w:t>6M Euribor</w:t>
            </w:r>
          </w:p>
        </w:tc>
      </w:tr>
      <w:tr>
        <w:tblPrEx>
          <w:tblW w:w="9142" w:type="dxa"/>
          <w:tblCellMar>
            <w:left w:w="70" w:type="dxa"/>
            <w:right w:w="70" w:type="dxa"/>
          </w:tblCellMar>
          <w:tblLook w:val="04A0"/>
        </w:tblPrEx>
        <w:trPr>
          <w:trHeight w:val="330"/>
        </w:trPr>
        <w:tc>
          <w:tcPr>
            <w:tcW w:w="2055" w:type="dxa"/>
            <w:tcBorders>
              <w:top w:val="nil"/>
              <w:left w:val="nil"/>
              <w:bottom w:val="single" w:sz="4" w:space="0" w:color="auto"/>
              <w:right w:val="nil"/>
            </w:tcBorders>
            <w:noWrap/>
            <w:textDirection w:val="lrTb"/>
            <w:vAlign w:val="bottom"/>
            <w:hideMark/>
          </w:tcPr>
          <w:p w:rsidR="007A47DD" w:rsidRPr="002D54E0" w:rsidP="00947C36">
            <w:pPr>
              <w:bidi w:val="0"/>
              <w:spacing w:after="0" w:line="240" w:lineRule="auto"/>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 xml:space="preserve">Čistý </w:t>
            </w:r>
            <w:r w:rsidR="00947C36">
              <w:rPr>
                <w:rFonts w:ascii="Times New Roman" w:hAnsi="Times New Roman" w:cs="Times New Roman"/>
                <w:b/>
                <w:color w:val="000000"/>
                <w:sz w:val="20"/>
                <w:szCs w:val="20"/>
                <w:lang w:eastAsia="sk-SK"/>
              </w:rPr>
              <w:t>pozícia</w:t>
            </w:r>
          </w:p>
        </w:tc>
        <w:tc>
          <w:tcPr>
            <w:tcW w:w="2410" w:type="dxa"/>
            <w:tcBorders>
              <w:top w:val="nil"/>
              <w:left w:val="nil"/>
              <w:bottom w:val="single" w:sz="4" w:space="0" w:color="auto"/>
              <w:right w:val="nil"/>
            </w:tcBorders>
            <w:noWrap/>
            <w:textDirection w:val="lrTb"/>
            <w:vAlign w:val="bottom"/>
            <w:hideMark/>
          </w:tcPr>
          <w:p w:rsidR="007A47DD" w:rsidRPr="002D54E0" w:rsidP="002F3E91">
            <w:pPr>
              <w:bidi w:val="0"/>
              <w:spacing w:after="0" w:line="240" w:lineRule="auto"/>
              <w:jc w:val="right"/>
              <w:rPr>
                <w:rFonts w:ascii="Times New Roman" w:hAnsi="Times New Roman" w:cs="Times New Roman"/>
                <w:b/>
                <w:color w:val="000000"/>
                <w:sz w:val="20"/>
                <w:szCs w:val="20"/>
                <w:lang w:eastAsia="sk-SK"/>
              </w:rPr>
            </w:pPr>
            <w:r w:rsidR="002F3E91">
              <w:rPr>
                <w:rFonts w:ascii="Times New Roman" w:hAnsi="Times New Roman" w:cs="Times New Roman"/>
                <w:b/>
                <w:color w:val="000000"/>
                <w:sz w:val="20"/>
                <w:szCs w:val="20"/>
                <w:lang w:eastAsia="sk-SK"/>
              </w:rPr>
              <w:t>3</w:t>
            </w:r>
            <w:r w:rsidRPr="002D54E0">
              <w:rPr>
                <w:rFonts w:ascii="Times New Roman" w:hAnsi="Times New Roman" w:cs="Times New Roman"/>
                <w:b/>
                <w:color w:val="000000"/>
                <w:sz w:val="20"/>
                <w:szCs w:val="20"/>
                <w:lang w:eastAsia="sk-SK"/>
              </w:rPr>
              <w:t xml:space="preserve">  </w:t>
            </w:r>
            <w:r w:rsidR="002F3E91">
              <w:rPr>
                <w:rFonts w:ascii="Times New Roman" w:hAnsi="Times New Roman" w:cs="Times New Roman"/>
                <w:b/>
                <w:color w:val="000000"/>
                <w:sz w:val="20"/>
                <w:szCs w:val="20"/>
                <w:lang w:eastAsia="sk-SK"/>
              </w:rPr>
              <w:t>372 122</w:t>
            </w:r>
          </w:p>
        </w:tc>
        <w:tc>
          <w:tcPr>
            <w:tcW w:w="1984" w:type="dxa"/>
            <w:tcBorders>
              <w:top w:val="nil"/>
              <w:left w:val="nil"/>
              <w:bottom w:val="single" w:sz="4" w:space="0" w:color="auto"/>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w:t>
            </w:r>
          </w:p>
        </w:tc>
        <w:tc>
          <w:tcPr>
            <w:tcW w:w="1243" w:type="dxa"/>
            <w:tcBorders>
              <w:top w:val="nil"/>
              <w:left w:val="nil"/>
              <w:bottom w:val="single" w:sz="4" w:space="0" w:color="auto"/>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w:t>
            </w:r>
          </w:p>
        </w:tc>
        <w:tc>
          <w:tcPr>
            <w:tcW w:w="1450" w:type="dxa"/>
            <w:tcBorders>
              <w:top w:val="nil"/>
              <w:left w:val="nil"/>
              <w:bottom w:val="single" w:sz="4" w:space="0" w:color="auto"/>
              <w:right w:val="nil"/>
            </w:tcBorders>
            <w:noWrap/>
            <w:textDirection w:val="lrTb"/>
            <w:vAlign w:val="bottom"/>
            <w:hideMark/>
          </w:tcPr>
          <w:p w:rsidR="007A47DD" w:rsidRPr="002D54E0" w:rsidP="00A97D6F">
            <w:pPr>
              <w:bidi w:val="0"/>
              <w:spacing w:after="0" w:line="240" w:lineRule="auto"/>
              <w:jc w:val="center"/>
              <w:rPr>
                <w:rFonts w:ascii="Times New Roman" w:hAnsi="Times New Roman" w:cs="Times New Roman"/>
                <w:b/>
                <w:color w:val="000000"/>
                <w:sz w:val="20"/>
                <w:szCs w:val="20"/>
                <w:lang w:eastAsia="sk-SK"/>
              </w:rPr>
            </w:pPr>
            <w:r w:rsidRPr="002D54E0">
              <w:rPr>
                <w:rFonts w:ascii="Times New Roman" w:hAnsi="Times New Roman" w:cs="Times New Roman"/>
                <w:b/>
                <w:color w:val="000000"/>
                <w:sz w:val="20"/>
                <w:szCs w:val="20"/>
                <w:lang w:eastAsia="sk-SK"/>
              </w:rPr>
              <w:t>-</w:t>
            </w:r>
          </w:p>
        </w:tc>
      </w:tr>
    </w:tbl>
    <w:p w:rsidR="00947C36" w:rsidRPr="00947C36" w:rsidP="00947C36">
      <w:pPr>
        <w:bidi w:val="0"/>
        <w:spacing w:after="120" w:line="336" w:lineRule="auto"/>
        <w:jc w:val="right"/>
        <w:rPr>
          <w:rFonts w:ascii="Times New Roman" w:hAnsi="Times New Roman" w:cs="Times New Roman"/>
          <w:i/>
          <w:sz w:val="20"/>
          <w:szCs w:val="20"/>
        </w:rPr>
      </w:pPr>
      <w:r w:rsidRPr="00947C36">
        <w:rPr>
          <w:rFonts w:ascii="Times New Roman" w:hAnsi="Times New Roman" w:cs="Times New Roman"/>
          <w:i/>
          <w:sz w:val="20"/>
          <w:szCs w:val="20"/>
        </w:rPr>
        <w:t>Zdroj: MF SR</w:t>
      </w:r>
    </w:p>
    <w:p w:rsidR="007A47DD" w:rsidRPr="002D54E0" w:rsidP="00947C36">
      <w:pPr>
        <w:bidi w:val="0"/>
        <w:spacing w:before="120" w:after="120" w:line="336" w:lineRule="auto"/>
        <w:jc w:val="both"/>
        <w:rPr>
          <w:rFonts w:ascii="Times New Roman" w:hAnsi="Times New Roman" w:cs="Times New Roman"/>
        </w:rPr>
      </w:pPr>
      <w:r w:rsidRPr="002D54E0">
        <w:rPr>
          <w:rFonts w:ascii="Times New Roman" w:hAnsi="Times New Roman" w:cs="Times New Roman"/>
        </w:rPr>
        <w:t>Štruktúra prezentovaných priemerných úrokov (nákladov) a splatností zodpovedá jednotlivým druhom cenných papierov, ktoré boli v rámci svojej kategórie agregované. „ŠD fix“ označuje dl</w:t>
      </w:r>
      <w:r>
        <w:rPr>
          <w:rFonts w:ascii="Times New Roman" w:hAnsi="Times New Roman" w:cs="Times New Roman"/>
        </w:rPr>
        <w:t>hopis s pevnou úrokovou sadzbou,</w:t>
      </w:r>
      <w:r w:rsidRPr="002D54E0">
        <w:rPr>
          <w:rFonts w:ascii="Times New Roman" w:hAnsi="Times New Roman" w:cs="Times New Roman"/>
        </w:rPr>
        <w:t xml:space="preserve"> „ŠD float“ dlhopis s plávajúcou úrokovou sadzbou, kde náklad tvorí meniaca sa sadzba (6M EURIBOR) a prirážka. „ŠD fix a float spätné odkupy“ označujú predčasné umorenie štátnych dlhopisov s fixnou, resp. plávajúcou sadzbou pôvodne splatných v neskoršom období. Tieto transakcie fakticky znížili dlh v roku 2015, a preto je v tabuľke uvedený dlh v hrubom vyjadrení aj ako čistá pozícia.</w:t>
      </w:r>
    </w:p>
    <w:p w:rsidR="00CB210E" w:rsidP="004B28B7">
      <w:pPr>
        <w:bidi w:val="0"/>
        <w:spacing w:before="240" w:after="120" w:line="336" w:lineRule="auto"/>
        <w:jc w:val="both"/>
      </w:pPr>
      <w:r w:rsidRPr="002D54E0" w:rsidR="007A47DD">
        <w:rPr>
          <w:rFonts w:ascii="Times New Roman" w:hAnsi="Times New Roman" w:cs="Times New Roman"/>
        </w:rPr>
        <w:t>Vážená priemerná úroková sadzba všetkých emitovaných cenných papierov ku koncu roka 2015 ostala približne rovnaká ako v roku 2014, a to na úrovni 3,6 %. Na jednej strane mierne narástol priem</w:t>
      </w:r>
      <w:r w:rsidR="007A47DD">
        <w:rPr>
          <w:rFonts w:ascii="Times New Roman" w:hAnsi="Times New Roman" w:cs="Times New Roman"/>
        </w:rPr>
        <w:t>erný úrok emitovaných dlhopisov,</w:t>
      </w:r>
      <w:r w:rsidRPr="002D54E0" w:rsidR="007A47DD">
        <w:rPr>
          <w:rFonts w:ascii="Times New Roman" w:hAnsi="Times New Roman" w:cs="Times New Roman"/>
        </w:rPr>
        <w:t xml:space="preserve"> </w:t>
      </w:r>
      <w:r w:rsidR="007A47DD">
        <w:rPr>
          <w:rFonts w:ascii="Times New Roman" w:hAnsi="Times New Roman" w:cs="Times New Roman"/>
        </w:rPr>
        <w:t>n</w:t>
      </w:r>
      <w:r w:rsidRPr="002D54E0" w:rsidR="007A47DD">
        <w:rPr>
          <w:rFonts w:ascii="Times New Roman" w:hAnsi="Times New Roman" w:cs="Times New Roman"/>
        </w:rPr>
        <w:t>a druhej strane však na rozdiel od roku 2014 boli v roku 2015 emitované  štátne pokladničné poukážky v malom objeme, ktoré</w:t>
      </w:r>
      <w:r w:rsidR="007A47DD">
        <w:rPr>
          <w:rFonts w:ascii="Times New Roman" w:hAnsi="Times New Roman" w:cs="Times New Roman"/>
        </w:rPr>
        <w:t xml:space="preserve"> sa vyznačujú kvôli kratšej dobe</w:t>
      </w:r>
      <w:r w:rsidRPr="002D54E0" w:rsidR="007A47DD">
        <w:rPr>
          <w:rFonts w:ascii="Times New Roman" w:hAnsi="Times New Roman" w:cs="Times New Roman"/>
        </w:rPr>
        <w:t xml:space="preserve"> splatnosti do jedného roka nižším úrokovým výnosom ako dlhopisy. Priemerná úroková sadzba sa teda mierne znížila.</w:t>
      </w:r>
    </w:p>
    <w:p w:rsidR="00B840B0" w:rsidRPr="00A53EAC" w:rsidP="00B840B0">
      <w:pPr>
        <w:bidi w:val="0"/>
        <w:spacing w:before="240" w:after="120" w:line="336" w:lineRule="auto"/>
        <w:jc w:val="both"/>
        <w:rPr>
          <w:rFonts w:ascii="Times New Roman" w:hAnsi="Times New Roman" w:cs="Times New Roman"/>
        </w:rPr>
      </w:pPr>
    </w:p>
    <w:p w:rsidR="00421098" w:rsidRPr="00A53EAC" w:rsidP="00360E3C">
      <w:pPr>
        <w:bidi w:val="0"/>
        <w:spacing w:before="120" w:after="120" w:line="336" w:lineRule="auto"/>
        <w:jc w:val="both"/>
        <w:rPr>
          <w:rFonts w:ascii="Times New Roman" w:hAnsi="Times New Roman" w:cs="Times New Roman"/>
        </w:rPr>
      </w:pPr>
    </w:p>
    <w:p w:rsidR="00A544B6" w:rsidP="0012459D">
      <w:pPr>
        <w:pStyle w:val="Heading1"/>
        <w:numPr>
          <w:numId w:val="3"/>
        </w:numPr>
        <w:bidi w:val="0"/>
        <w:ind w:left="426" w:hanging="426"/>
        <w:rPr>
          <w:rFonts w:eastAsia="Cambria"/>
        </w:rPr>
      </w:pPr>
      <w:bookmarkStart w:id="98" w:name="_Toc401920023"/>
      <w:bookmarkStart w:id="99" w:name="_Toc465255024"/>
      <w:bookmarkStart w:id="100" w:name="_Toc465258489"/>
      <w:r w:rsidRPr="00A53EAC">
        <w:rPr>
          <w:rFonts w:eastAsia="Cambria" w:hint="default"/>
        </w:rPr>
        <w:t>Č</w:t>
      </w:r>
      <w:r w:rsidRPr="00A53EAC">
        <w:rPr>
          <w:rFonts w:eastAsia="Cambria" w:hint="default"/>
        </w:rPr>
        <w:t>isté</w:t>
      </w:r>
      <w:r w:rsidRPr="00A53EAC">
        <w:rPr>
          <w:rFonts w:eastAsia="Cambria" w:hint="default"/>
        </w:rPr>
        <w:t xml:space="preserve"> bohatstvo</w:t>
      </w:r>
      <w:bookmarkEnd w:id="97"/>
      <w:bookmarkEnd w:id="98"/>
      <w:bookmarkEnd w:id="99"/>
      <w:bookmarkEnd w:id="100"/>
    </w:p>
    <w:p w:rsidR="00C25021" w:rsidRPr="00C25021" w:rsidP="00C25021">
      <w:pPr>
        <w:bidi w:val="0"/>
        <w:spacing w:after="120" w:line="336" w:lineRule="auto"/>
        <w:jc w:val="both"/>
        <w:rPr>
          <w:rFonts w:ascii="Times New Roman" w:eastAsia="Cambria" w:hAnsi="Times New Roman" w:cs="Times New Roman" w:hint="default"/>
        </w:rPr>
      </w:pPr>
      <w:r w:rsidRPr="00C25021">
        <w:rPr>
          <w:rFonts w:ascii="Times New Roman" w:eastAsia="Cambria" w:hAnsi="Times New Roman" w:cs="Times New Roman" w:hint="default"/>
        </w:rPr>
        <w:t>Prvé</w:t>
      </w:r>
      <w:r w:rsidRPr="00C25021">
        <w:rPr>
          <w:rFonts w:ascii="Times New Roman" w:eastAsia="Cambria" w:hAnsi="Times New Roman" w:cs="Times New Roman" w:hint="default"/>
        </w:rPr>
        <w:t xml:space="preserve"> dve kapitoly sú</w:t>
      </w:r>
      <w:r w:rsidRPr="00C25021">
        <w:rPr>
          <w:rFonts w:ascii="Times New Roman" w:eastAsia="Cambria" w:hAnsi="Times New Roman" w:cs="Times New Roman" w:hint="default"/>
        </w:rPr>
        <w:t>hrnnej vý</w:t>
      </w:r>
      <w:r w:rsidRPr="00C25021">
        <w:rPr>
          <w:rFonts w:ascii="Times New Roman" w:eastAsia="Cambria" w:hAnsi="Times New Roman" w:cs="Times New Roman" w:hint="default"/>
        </w:rPr>
        <w:t>roč</w:t>
      </w:r>
      <w:r w:rsidRPr="00C25021">
        <w:rPr>
          <w:rFonts w:ascii="Times New Roman" w:eastAsia="Cambria" w:hAnsi="Times New Roman" w:cs="Times New Roman" w:hint="default"/>
        </w:rPr>
        <w:t>nej sprá</w:t>
      </w:r>
      <w:r w:rsidRPr="00C25021">
        <w:rPr>
          <w:rFonts w:ascii="Times New Roman" w:eastAsia="Cambria" w:hAnsi="Times New Roman" w:cs="Times New Roman" w:hint="default"/>
        </w:rPr>
        <w:t>vy hodnotili hospodá</w:t>
      </w:r>
      <w:r w:rsidRPr="00C25021">
        <w:rPr>
          <w:rFonts w:ascii="Times New Roman" w:eastAsia="Cambria" w:hAnsi="Times New Roman" w:cs="Times New Roman" w:hint="default"/>
        </w:rPr>
        <w:t>renie verejný</w:t>
      </w:r>
      <w:r w:rsidRPr="00C25021">
        <w:rPr>
          <w:rFonts w:ascii="Times New Roman" w:eastAsia="Cambria" w:hAnsi="Times New Roman" w:cs="Times New Roman" w:hint="default"/>
        </w:rPr>
        <w:t>ch financií</w:t>
      </w:r>
      <w:r w:rsidRPr="00C25021">
        <w:rPr>
          <w:rFonts w:ascii="Times New Roman" w:eastAsia="Cambria" w:hAnsi="Times New Roman" w:cs="Times New Roman" w:hint="default"/>
        </w:rPr>
        <w:t xml:space="preserve"> z </w:t>
      </w:r>
      <w:r w:rsidRPr="00C25021">
        <w:rPr>
          <w:rFonts w:ascii="Times New Roman" w:eastAsia="Cambria" w:hAnsi="Times New Roman" w:cs="Times New Roman" w:hint="default"/>
        </w:rPr>
        <w:t>pohľ</w:t>
      </w:r>
      <w:r w:rsidRPr="00C25021">
        <w:rPr>
          <w:rFonts w:ascii="Times New Roman" w:eastAsia="Cambria" w:hAnsi="Times New Roman" w:cs="Times New Roman" w:hint="default"/>
        </w:rPr>
        <w:t>adu sektora verejnej sprá</w:t>
      </w:r>
      <w:r w:rsidRPr="00C25021">
        <w:rPr>
          <w:rFonts w:ascii="Times New Roman" w:eastAsia="Cambria" w:hAnsi="Times New Roman" w:cs="Times New Roman" w:hint="default"/>
        </w:rPr>
        <w:t>vy tak, ako ho definuje Eurostat</w:t>
      </w:r>
      <w:r w:rsidRPr="00C25021">
        <w:rPr>
          <w:rFonts w:ascii="Times New Roman" w:eastAsia="Cambria" w:hAnsi="Times New Roman" w:cs="Times New Roman" w:hint="default"/>
        </w:rPr>
        <w:t xml:space="preserve"> v </w:t>
      </w:r>
      <w:r w:rsidRPr="00C25021">
        <w:rPr>
          <w:rFonts w:ascii="Times New Roman" w:eastAsia="Cambria" w:hAnsi="Times New Roman" w:cs="Times New Roman" w:hint="default"/>
        </w:rPr>
        <w:t>metodike ESA. Tento pohľ</w:t>
      </w:r>
      <w:r w:rsidRPr="00C25021">
        <w:rPr>
          <w:rFonts w:ascii="Times New Roman" w:eastAsia="Cambria" w:hAnsi="Times New Roman" w:cs="Times New Roman" w:hint="default"/>
        </w:rPr>
        <w:t>ad je v </w:t>
      </w:r>
      <w:r w:rsidRPr="00C25021">
        <w:rPr>
          <w:rFonts w:ascii="Times New Roman" w:eastAsia="Cambria" w:hAnsi="Times New Roman" w:cs="Times New Roman" w:hint="default"/>
        </w:rPr>
        <w:t>podmienkach krají</w:t>
      </w:r>
      <w:r w:rsidRPr="00C25021">
        <w:rPr>
          <w:rFonts w:ascii="Times New Roman" w:eastAsia="Cambria" w:hAnsi="Times New Roman" w:cs="Times New Roman" w:hint="default"/>
        </w:rPr>
        <w:t>n EÚ</w:t>
      </w:r>
      <w:r w:rsidRPr="00C25021">
        <w:rPr>
          <w:rFonts w:ascii="Times New Roman" w:eastAsia="Cambria" w:hAnsi="Times New Roman" w:cs="Times New Roman" w:hint="default"/>
        </w:rPr>
        <w:t xml:space="preserve"> najviac zauží</w:t>
      </w:r>
      <w:r w:rsidRPr="00C25021">
        <w:rPr>
          <w:rFonts w:ascii="Times New Roman" w:eastAsia="Cambria" w:hAnsi="Times New Roman" w:cs="Times New Roman" w:hint="default"/>
        </w:rPr>
        <w:t>vaný</w:t>
      </w:r>
      <w:r w:rsidRPr="00C25021">
        <w:rPr>
          <w:rFonts w:ascii="Times New Roman" w:eastAsia="Cambria" w:hAnsi="Times New Roman" w:cs="Times New Roman" w:hint="default"/>
        </w:rPr>
        <w:t xml:space="preserve"> kvô</w:t>
      </w:r>
      <w:r w:rsidRPr="00C25021">
        <w:rPr>
          <w:rFonts w:ascii="Times New Roman" w:eastAsia="Cambria" w:hAnsi="Times New Roman" w:cs="Times New Roman" w:hint="default"/>
        </w:rPr>
        <w:t>li tomu, ž</w:t>
      </w:r>
      <w:r w:rsidRPr="00C25021">
        <w:rPr>
          <w:rFonts w:ascii="Times New Roman" w:eastAsia="Cambria" w:hAnsi="Times New Roman" w:cs="Times New Roman" w:hint="default"/>
        </w:rPr>
        <w:t>e euró</w:t>
      </w:r>
      <w:r w:rsidRPr="00C25021">
        <w:rPr>
          <w:rFonts w:ascii="Times New Roman" w:eastAsia="Cambria" w:hAnsi="Times New Roman" w:cs="Times New Roman" w:hint="default"/>
        </w:rPr>
        <w:t>pske fiš</w:t>
      </w:r>
      <w:r w:rsidRPr="00C25021">
        <w:rPr>
          <w:rFonts w:ascii="Times New Roman" w:eastAsia="Cambria" w:hAnsi="Times New Roman" w:cs="Times New Roman" w:hint="default"/>
        </w:rPr>
        <w:t>ká</w:t>
      </w:r>
      <w:r w:rsidRPr="00C25021">
        <w:rPr>
          <w:rFonts w:ascii="Times New Roman" w:eastAsia="Cambria" w:hAnsi="Times New Roman" w:cs="Times New Roman" w:hint="default"/>
        </w:rPr>
        <w:t>lne pravidlá</w:t>
      </w:r>
      <w:r>
        <w:rPr>
          <w:rStyle w:val="FootnoteReference"/>
          <w:rFonts w:ascii="Times New Roman" w:eastAsia="Cambria" w:hAnsi="Times New Roman"/>
          <w:szCs w:val="22"/>
          <w:rtl w:val="0"/>
        </w:rPr>
        <w:footnoteReference w:id="4"/>
      </w:r>
      <w:r w:rsidRPr="00C25021">
        <w:rPr>
          <w:rFonts w:ascii="Times New Roman" w:eastAsia="Cambria" w:hAnsi="Times New Roman" w:cs="Times New Roman" w:hint="default"/>
        </w:rPr>
        <w:t xml:space="preserve"> sú</w:t>
      </w:r>
      <w:r w:rsidRPr="00C25021">
        <w:rPr>
          <w:rFonts w:ascii="Times New Roman" w:eastAsia="Cambria" w:hAnsi="Times New Roman" w:cs="Times New Roman" w:hint="default"/>
        </w:rPr>
        <w:t xml:space="preserve"> formulované</w:t>
      </w:r>
      <w:r w:rsidRPr="00C25021">
        <w:rPr>
          <w:rFonts w:ascii="Times New Roman" w:eastAsia="Cambria" w:hAnsi="Times New Roman" w:cs="Times New Roman" w:hint="default"/>
        </w:rPr>
        <w:t xml:space="preserve"> pre verejnú</w:t>
      </w:r>
      <w:r w:rsidRPr="00C25021">
        <w:rPr>
          <w:rFonts w:ascii="Times New Roman" w:eastAsia="Cambria" w:hAnsi="Times New Roman" w:cs="Times New Roman" w:hint="default"/>
        </w:rPr>
        <w:t xml:space="preserve"> sprá</w:t>
      </w:r>
      <w:r w:rsidRPr="00C25021">
        <w:rPr>
          <w:rFonts w:ascii="Times New Roman" w:eastAsia="Cambria" w:hAnsi="Times New Roman" w:cs="Times New Roman" w:hint="default"/>
        </w:rPr>
        <w:t>vu a </w:t>
      </w:r>
      <w:r w:rsidRPr="00C25021">
        <w:rPr>
          <w:rFonts w:ascii="Times New Roman" w:eastAsia="Cambria" w:hAnsi="Times New Roman" w:cs="Times New Roman" w:hint="default"/>
        </w:rPr>
        <w:t>ná</w:t>
      </w:r>
      <w:r w:rsidRPr="00C25021">
        <w:rPr>
          <w:rFonts w:ascii="Times New Roman" w:eastAsia="Cambria" w:hAnsi="Times New Roman" w:cs="Times New Roman" w:hint="default"/>
        </w:rPr>
        <w:t>rodné</w:t>
      </w:r>
      <w:r w:rsidRPr="00C25021">
        <w:rPr>
          <w:rFonts w:ascii="Times New Roman" w:eastAsia="Cambria" w:hAnsi="Times New Roman" w:cs="Times New Roman" w:hint="default"/>
        </w:rPr>
        <w:t xml:space="preserve"> rozpoč</w:t>
      </w:r>
      <w:r w:rsidRPr="00C25021">
        <w:rPr>
          <w:rFonts w:ascii="Times New Roman" w:eastAsia="Cambria" w:hAnsi="Times New Roman" w:cs="Times New Roman" w:hint="default"/>
        </w:rPr>
        <w:t>ty väčš</w:t>
      </w:r>
      <w:r w:rsidRPr="00C25021">
        <w:rPr>
          <w:rFonts w:ascii="Times New Roman" w:eastAsia="Cambria" w:hAnsi="Times New Roman" w:cs="Times New Roman" w:hint="default"/>
        </w:rPr>
        <w:t>iny krají</w:t>
      </w:r>
      <w:r w:rsidRPr="00C25021">
        <w:rPr>
          <w:rFonts w:ascii="Times New Roman" w:eastAsia="Cambria" w:hAnsi="Times New Roman" w:cs="Times New Roman" w:hint="default"/>
        </w:rPr>
        <w:t>n sú</w:t>
      </w:r>
      <w:r w:rsidRPr="00C25021">
        <w:rPr>
          <w:rFonts w:ascii="Times New Roman" w:eastAsia="Cambria" w:hAnsi="Times New Roman" w:cs="Times New Roman" w:hint="default"/>
        </w:rPr>
        <w:t xml:space="preserve"> zostavované</w:t>
      </w:r>
      <w:r w:rsidRPr="00C25021">
        <w:rPr>
          <w:rFonts w:ascii="Times New Roman" w:eastAsia="Cambria" w:hAnsi="Times New Roman" w:cs="Times New Roman" w:hint="default"/>
        </w:rPr>
        <w:t xml:space="preserve"> v </w:t>
      </w:r>
      <w:r w:rsidRPr="00C25021">
        <w:rPr>
          <w:rFonts w:ascii="Times New Roman" w:eastAsia="Cambria" w:hAnsi="Times New Roman" w:cs="Times New Roman" w:hint="default"/>
        </w:rPr>
        <w:t>súč</w:t>
      </w:r>
      <w:r w:rsidRPr="00C25021">
        <w:rPr>
          <w:rFonts w:ascii="Times New Roman" w:eastAsia="Cambria" w:hAnsi="Times New Roman" w:cs="Times New Roman" w:hint="default"/>
        </w:rPr>
        <w:t>asnosti tiež</w:t>
      </w:r>
      <w:r w:rsidRPr="00C25021">
        <w:rPr>
          <w:rFonts w:ascii="Times New Roman" w:eastAsia="Cambria" w:hAnsi="Times New Roman" w:cs="Times New Roman" w:hint="default"/>
        </w:rPr>
        <w:t xml:space="preserve"> za okruh verejnej sprá</w:t>
      </w:r>
      <w:r w:rsidRPr="00C25021">
        <w:rPr>
          <w:rFonts w:ascii="Times New Roman" w:eastAsia="Cambria" w:hAnsi="Times New Roman" w:cs="Times New Roman" w:hint="default"/>
        </w:rPr>
        <w:t>vy a v tejto me</w:t>
      </w:r>
      <w:r w:rsidRPr="00C25021">
        <w:rPr>
          <w:rFonts w:ascii="Times New Roman" w:eastAsia="Cambria" w:hAnsi="Times New Roman" w:cs="Times New Roman" w:hint="default"/>
        </w:rPr>
        <w:t xml:space="preserve">todike. </w:t>
      </w:r>
      <w:r w:rsidRPr="00C25021">
        <w:rPr>
          <w:rFonts w:ascii="Times New Roman" w:eastAsia="Cambria" w:hAnsi="Times New Roman" w:cs="Times New Roman" w:hint="default"/>
          <w:b/>
        </w:rPr>
        <w:t>Tá</w:t>
      </w:r>
      <w:r w:rsidRPr="00C25021">
        <w:rPr>
          <w:rFonts w:ascii="Times New Roman" w:eastAsia="Cambria" w:hAnsi="Times New Roman" w:cs="Times New Roman" w:hint="default"/>
          <w:b/>
        </w:rPr>
        <w:t>to kapitola rozš</w:t>
      </w:r>
      <w:r w:rsidRPr="00C25021">
        <w:rPr>
          <w:rFonts w:ascii="Times New Roman" w:eastAsia="Cambria" w:hAnsi="Times New Roman" w:cs="Times New Roman" w:hint="default"/>
          <w:b/>
        </w:rPr>
        <w:t>iruje pohľ</w:t>
      </w:r>
      <w:r w:rsidRPr="00C25021">
        <w:rPr>
          <w:rFonts w:ascii="Times New Roman" w:eastAsia="Cambria" w:hAnsi="Times New Roman" w:cs="Times New Roman" w:hint="default"/>
          <w:b/>
        </w:rPr>
        <w:t>ad na verejné</w:t>
      </w:r>
      <w:r w:rsidRPr="00C25021">
        <w:rPr>
          <w:rFonts w:ascii="Times New Roman" w:eastAsia="Cambria" w:hAnsi="Times New Roman" w:cs="Times New Roman" w:hint="default"/>
          <w:b/>
        </w:rPr>
        <w:t xml:space="preserve"> financie z </w:t>
      </w:r>
      <w:r w:rsidRPr="00C25021">
        <w:rPr>
          <w:rFonts w:ascii="Times New Roman" w:eastAsia="Cambria" w:hAnsi="Times New Roman" w:cs="Times New Roman" w:hint="default"/>
          <w:b/>
        </w:rPr>
        <w:t>verejnej sprá</w:t>
      </w:r>
      <w:r w:rsidRPr="00C25021">
        <w:rPr>
          <w:rFonts w:ascii="Times New Roman" w:eastAsia="Cambria" w:hAnsi="Times New Roman" w:cs="Times New Roman" w:hint="default"/>
          <w:b/>
        </w:rPr>
        <w:t>vy na verejný</w:t>
      </w:r>
      <w:r w:rsidRPr="00C25021">
        <w:rPr>
          <w:rFonts w:ascii="Times New Roman" w:eastAsia="Cambria" w:hAnsi="Times New Roman" w:cs="Times New Roman" w:hint="default"/>
          <w:b/>
        </w:rPr>
        <w:t xml:space="preserve"> sektor a </w:t>
      </w:r>
      <w:r w:rsidRPr="00C25021">
        <w:rPr>
          <w:rFonts w:ascii="Times New Roman" w:eastAsia="Cambria" w:hAnsi="Times New Roman" w:cs="Times New Roman" w:hint="default"/>
          <w:b/>
        </w:rPr>
        <w:t>jeho hlavný</w:t>
      </w:r>
      <w:r w:rsidRPr="00C25021">
        <w:rPr>
          <w:rFonts w:ascii="Times New Roman" w:eastAsia="Cambria" w:hAnsi="Times New Roman" w:cs="Times New Roman" w:hint="default"/>
          <w:b/>
        </w:rPr>
        <w:t xml:space="preserve"> ukazovateľ</w:t>
      </w:r>
      <w:r w:rsidRPr="00C25021">
        <w:rPr>
          <w:rFonts w:ascii="Times New Roman" w:eastAsia="Cambria" w:hAnsi="Times New Roman" w:cs="Times New Roman" w:hint="default"/>
          <w:b/>
        </w:rPr>
        <w:t xml:space="preserve"> č</w:t>
      </w:r>
      <w:r w:rsidRPr="00C25021">
        <w:rPr>
          <w:rFonts w:ascii="Times New Roman" w:eastAsia="Cambria" w:hAnsi="Times New Roman" w:cs="Times New Roman" w:hint="default"/>
          <w:b/>
        </w:rPr>
        <w:t>isté</w:t>
      </w:r>
      <w:r w:rsidRPr="00C25021">
        <w:rPr>
          <w:rFonts w:ascii="Times New Roman" w:eastAsia="Cambria" w:hAnsi="Times New Roman" w:cs="Times New Roman" w:hint="default"/>
          <w:b/>
        </w:rPr>
        <w:t xml:space="preserve"> bohatstvo.</w:t>
      </w:r>
      <w:r w:rsidRPr="00C25021">
        <w:rPr>
          <w:rFonts w:ascii="Times New Roman" w:eastAsia="Cambria" w:hAnsi="Times New Roman" w:cs="Times New Roman" w:hint="default"/>
        </w:rPr>
        <w:t xml:space="preserve"> Povinnosť</w:t>
      </w:r>
      <w:r w:rsidRPr="00C25021">
        <w:rPr>
          <w:rFonts w:ascii="Times New Roman" w:eastAsia="Cambria" w:hAnsi="Times New Roman" w:cs="Times New Roman" w:hint="default"/>
        </w:rPr>
        <w:t xml:space="preserve"> prezentovať</w:t>
      </w:r>
      <w:r w:rsidRPr="00C25021">
        <w:rPr>
          <w:rFonts w:ascii="Times New Roman" w:eastAsia="Cambria" w:hAnsi="Times New Roman" w:cs="Times New Roman" w:hint="default"/>
        </w:rPr>
        <w:t xml:space="preserve"> v </w:t>
      </w:r>
      <w:r w:rsidRPr="00C25021">
        <w:rPr>
          <w:rFonts w:ascii="Times New Roman" w:eastAsia="Cambria" w:hAnsi="Times New Roman" w:cs="Times New Roman" w:hint="default"/>
        </w:rPr>
        <w:t>sú</w:t>
      </w:r>
      <w:r w:rsidRPr="00C25021">
        <w:rPr>
          <w:rFonts w:ascii="Times New Roman" w:eastAsia="Cambria" w:hAnsi="Times New Roman" w:cs="Times New Roman" w:hint="default"/>
        </w:rPr>
        <w:t>hrnnej vý</w:t>
      </w:r>
      <w:r w:rsidRPr="00C25021">
        <w:rPr>
          <w:rFonts w:ascii="Times New Roman" w:eastAsia="Cambria" w:hAnsi="Times New Roman" w:cs="Times New Roman" w:hint="default"/>
        </w:rPr>
        <w:t>roč</w:t>
      </w:r>
      <w:r w:rsidRPr="00C25021">
        <w:rPr>
          <w:rFonts w:ascii="Times New Roman" w:eastAsia="Cambria" w:hAnsi="Times New Roman" w:cs="Times New Roman" w:hint="default"/>
        </w:rPr>
        <w:t>nej sprá</w:t>
      </w:r>
      <w:r w:rsidRPr="00C25021">
        <w:rPr>
          <w:rFonts w:ascii="Times New Roman" w:eastAsia="Cambria" w:hAnsi="Times New Roman" w:cs="Times New Roman" w:hint="default"/>
        </w:rPr>
        <w:t>ve č</w:t>
      </w:r>
      <w:r w:rsidRPr="00C25021">
        <w:rPr>
          <w:rFonts w:ascii="Times New Roman" w:eastAsia="Cambria" w:hAnsi="Times New Roman" w:cs="Times New Roman" w:hint="default"/>
        </w:rPr>
        <w:t>isté</w:t>
      </w:r>
      <w:r w:rsidRPr="00C25021">
        <w:rPr>
          <w:rFonts w:ascii="Times New Roman" w:eastAsia="Cambria" w:hAnsi="Times New Roman" w:cs="Times New Roman" w:hint="default"/>
        </w:rPr>
        <w:t xml:space="preserve"> bohatstvo a </w:t>
      </w:r>
      <w:r w:rsidRPr="00C25021">
        <w:rPr>
          <w:rFonts w:ascii="Times New Roman" w:eastAsia="Cambria" w:hAnsi="Times New Roman" w:cs="Times New Roman" w:hint="default"/>
        </w:rPr>
        <w:t>tiež</w:t>
      </w:r>
      <w:r w:rsidRPr="00C25021">
        <w:rPr>
          <w:rFonts w:ascii="Times New Roman" w:eastAsia="Cambria" w:hAnsi="Times New Roman" w:cs="Times New Roman" w:hint="default"/>
        </w:rPr>
        <w:t xml:space="preserve"> informá</w:t>
      </w:r>
      <w:r w:rsidRPr="00C25021">
        <w:rPr>
          <w:rFonts w:ascii="Times New Roman" w:eastAsia="Cambria" w:hAnsi="Times New Roman" w:cs="Times New Roman" w:hint="default"/>
        </w:rPr>
        <w:t>cie o </w:t>
      </w:r>
      <w:r w:rsidRPr="00C25021">
        <w:rPr>
          <w:rFonts w:ascii="Times New Roman" w:eastAsia="Cambria" w:hAnsi="Times New Roman" w:cs="Times New Roman" w:hint="default"/>
        </w:rPr>
        <w:t>hospodá</w:t>
      </w:r>
      <w:r w:rsidRPr="00C25021">
        <w:rPr>
          <w:rFonts w:ascii="Times New Roman" w:eastAsia="Cambria" w:hAnsi="Times New Roman" w:cs="Times New Roman" w:hint="default"/>
        </w:rPr>
        <w:t>rení</w:t>
      </w:r>
      <w:r w:rsidRPr="00C25021">
        <w:rPr>
          <w:rFonts w:ascii="Times New Roman" w:eastAsia="Cambria" w:hAnsi="Times New Roman" w:cs="Times New Roman" w:hint="default"/>
        </w:rPr>
        <w:t xml:space="preserve"> podnikov š</w:t>
      </w:r>
      <w:r w:rsidRPr="00C25021">
        <w:rPr>
          <w:rFonts w:ascii="Times New Roman" w:eastAsia="Cambria" w:hAnsi="Times New Roman" w:cs="Times New Roman" w:hint="default"/>
        </w:rPr>
        <w:t>tá</w:t>
      </w:r>
      <w:r w:rsidRPr="00C25021">
        <w:rPr>
          <w:rFonts w:ascii="Times New Roman" w:eastAsia="Cambria" w:hAnsi="Times New Roman" w:cs="Times New Roman" w:hint="default"/>
        </w:rPr>
        <w:t>tnej sprá</w:t>
      </w:r>
      <w:r w:rsidRPr="00C25021">
        <w:rPr>
          <w:rFonts w:ascii="Times New Roman" w:eastAsia="Cambria" w:hAnsi="Times New Roman" w:cs="Times New Roman" w:hint="default"/>
        </w:rPr>
        <w:t>v</w:t>
      </w:r>
      <w:r w:rsidRPr="00C25021">
        <w:rPr>
          <w:rFonts w:ascii="Times New Roman" w:eastAsia="Cambria" w:hAnsi="Times New Roman" w:cs="Times New Roman" w:hint="default"/>
        </w:rPr>
        <w:t>y vyplý</w:t>
      </w:r>
      <w:r w:rsidRPr="00C25021">
        <w:rPr>
          <w:rFonts w:ascii="Times New Roman" w:eastAsia="Cambria" w:hAnsi="Times New Roman" w:cs="Times New Roman" w:hint="default"/>
        </w:rPr>
        <w:t>va z ú</w:t>
      </w:r>
      <w:r w:rsidRPr="00C25021">
        <w:rPr>
          <w:rFonts w:ascii="Times New Roman" w:eastAsia="Cambria" w:hAnsi="Times New Roman" w:cs="Times New Roman" w:hint="default"/>
        </w:rPr>
        <w:t>stavné</w:t>
      </w:r>
      <w:r w:rsidRPr="00C25021">
        <w:rPr>
          <w:rFonts w:ascii="Times New Roman" w:eastAsia="Cambria" w:hAnsi="Times New Roman" w:cs="Times New Roman" w:hint="default"/>
        </w:rPr>
        <w:t>ho zá</w:t>
      </w:r>
      <w:r w:rsidRPr="00C25021">
        <w:rPr>
          <w:rFonts w:ascii="Times New Roman" w:eastAsia="Cambria" w:hAnsi="Times New Roman" w:cs="Times New Roman" w:hint="default"/>
        </w:rPr>
        <w:t>kona o </w:t>
      </w:r>
      <w:r w:rsidRPr="00C25021">
        <w:rPr>
          <w:rFonts w:ascii="Times New Roman" w:eastAsia="Cambria" w:hAnsi="Times New Roman" w:cs="Times New Roman" w:hint="default"/>
        </w:rPr>
        <w:t>rozpoč</w:t>
      </w:r>
      <w:r w:rsidRPr="00C25021">
        <w:rPr>
          <w:rFonts w:ascii="Times New Roman" w:eastAsia="Cambria" w:hAnsi="Times New Roman" w:cs="Times New Roman" w:hint="default"/>
        </w:rPr>
        <w:t>tovej zodpovednosti. Dô</w:t>
      </w:r>
      <w:r w:rsidRPr="00C25021">
        <w:rPr>
          <w:rFonts w:ascii="Times New Roman" w:eastAsia="Cambria" w:hAnsi="Times New Roman" w:cs="Times New Roman" w:hint="default"/>
        </w:rPr>
        <w:t>raz je kladený</w:t>
      </w:r>
      <w:r w:rsidRPr="00C25021">
        <w:rPr>
          <w:rFonts w:ascii="Times New Roman" w:eastAsia="Cambria" w:hAnsi="Times New Roman" w:cs="Times New Roman" w:hint="default"/>
        </w:rPr>
        <w:t xml:space="preserve"> na vysvetlenie medziroč</w:t>
      </w:r>
      <w:r w:rsidRPr="00C25021">
        <w:rPr>
          <w:rFonts w:ascii="Times New Roman" w:eastAsia="Cambria" w:hAnsi="Times New Roman" w:cs="Times New Roman" w:hint="default"/>
        </w:rPr>
        <w:t>ný</w:t>
      </w:r>
      <w:r w:rsidRPr="00C25021">
        <w:rPr>
          <w:rFonts w:ascii="Times New Roman" w:eastAsia="Cambria" w:hAnsi="Times New Roman" w:cs="Times New Roman" w:hint="default"/>
        </w:rPr>
        <w:t>ch zmien polož</w:t>
      </w:r>
      <w:r w:rsidRPr="00C25021">
        <w:rPr>
          <w:rFonts w:ascii="Times New Roman" w:eastAsia="Cambria" w:hAnsi="Times New Roman" w:cs="Times New Roman" w:hint="default"/>
        </w:rPr>
        <w:t>iek č</w:t>
      </w:r>
      <w:r w:rsidRPr="00C25021">
        <w:rPr>
          <w:rFonts w:ascii="Times New Roman" w:eastAsia="Cambria" w:hAnsi="Times New Roman" w:cs="Times New Roman" w:hint="default"/>
        </w:rPr>
        <w:t>isté</w:t>
      </w:r>
      <w:r w:rsidRPr="00C25021">
        <w:rPr>
          <w:rFonts w:ascii="Times New Roman" w:eastAsia="Cambria" w:hAnsi="Times New Roman" w:cs="Times New Roman" w:hint="default"/>
        </w:rPr>
        <w:t>ho bohatstva.</w:t>
      </w:r>
    </w:p>
    <w:p w:rsidR="00A544B6" w:rsidP="00C25021">
      <w:pPr>
        <w:pStyle w:val="Heading2"/>
        <w:numPr>
          <w:numId w:val="3"/>
        </w:numPr>
        <w:bidi w:val="0"/>
        <w:spacing w:after="200" w:line="336" w:lineRule="auto"/>
        <w:ind w:left="425" w:hanging="425"/>
        <w:rPr>
          <w:rFonts w:eastAsia="Cambria"/>
        </w:rPr>
      </w:pPr>
      <w:bookmarkStart w:id="101" w:name="_Toc399324370"/>
      <w:bookmarkStart w:id="102" w:name="_Toc401920024"/>
      <w:bookmarkStart w:id="103" w:name="_Toc465255025"/>
      <w:bookmarkStart w:id="104" w:name="_Toc465258490"/>
      <w:r w:rsidRPr="00A53EAC">
        <w:rPr>
          <w:rFonts w:eastAsia="Cambria" w:hint="default"/>
        </w:rPr>
        <w:t>Koncept č</w:t>
      </w:r>
      <w:r w:rsidRPr="00A53EAC">
        <w:rPr>
          <w:rFonts w:eastAsia="Cambria" w:hint="default"/>
        </w:rPr>
        <w:t>isté</w:t>
      </w:r>
      <w:r w:rsidRPr="00A53EAC">
        <w:rPr>
          <w:rFonts w:eastAsia="Cambria" w:hint="default"/>
        </w:rPr>
        <w:t>ho bohatstva</w:t>
      </w:r>
      <w:bookmarkEnd w:id="101"/>
      <w:bookmarkEnd w:id="102"/>
      <w:bookmarkEnd w:id="103"/>
      <w:bookmarkEnd w:id="104"/>
    </w:p>
    <w:p w:rsidR="00C25021" w:rsidRPr="00C25021" w:rsidP="00C25021">
      <w:pPr>
        <w:bidi w:val="0"/>
        <w:spacing w:after="120" w:line="336" w:lineRule="auto"/>
        <w:jc w:val="both"/>
        <w:rPr>
          <w:rFonts w:ascii="Times New Roman" w:eastAsia="Cambria" w:hAnsi="Times New Roman" w:cs="Times New Roman" w:hint="default"/>
        </w:rPr>
      </w:pPr>
      <w:r w:rsidRPr="00C25021">
        <w:rPr>
          <w:rFonts w:ascii="Times New Roman" w:eastAsia="Cambria" w:hAnsi="Times New Roman" w:cs="Times New Roman" w:hint="default"/>
          <w:b/>
        </w:rPr>
        <w:t>Verejný</w:t>
      </w:r>
      <w:r w:rsidRPr="00C25021">
        <w:rPr>
          <w:rFonts w:ascii="Times New Roman" w:eastAsia="Cambria" w:hAnsi="Times New Roman" w:cs="Times New Roman" w:hint="default"/>
          <w:b/>
        </w:rPr>
        <w:t xml:space="preserve"> sektor</w:t>
      </w:r>
      <w:r w:rsidRPr="00C25021">
        <w:rPr>
          <w:rFonts w:ascii="Times New Roman" w:eastAsia="Cambria" w:hAnsi="Times New Roman" w:cs="Times New Roman" w:hint="default"/>
        </w:rPr>
        <w:t xml:space="preserve"> je š</w:t>
      </w:r>
      <w:r w:rsidRPr="00C25021">
        <w:rPr>
          <w:rFonts w:ascii="Times New Roman" w:eastAsia="Cambria" w:hAnsi="Times New Roman" w:cs="Times New Roman" w:hint="default"/>
        </w:rPr>
        <w:t>irší</w:t>
      </w:r>
      <w:r w:rsidRPr="00C25021">
        <w:rPr>
          <w:rFonts w:ascii="Times New Roman" w:eastAsia="Cambria" w:hAnsi="Times New Roman" w:cs="Times New Roman" w:hint="default"/>
        </w:rPr>
        <w:t xml:space="preserve"> pojem ako verejná</w:t>
      </w:r>
      <w:r w:rsidRPr="00C25021">
        <w:rPr>
          <w:rFonts w:ascii="Times New Roman" w:eastAsia="Cambria" w:hAnsi="Times New Roman" w:cs="Times New Roman" w:hint="default"/>
        </w:rPr>
        <w:t xml:space="preserve"> sprá</w:t>
      </w:r>
      <w:r w:rsidRPr="00C25021">
        <w:rPr>
          <w:rFonts w:ascii="Times New Roman" w:eastAsia="Cambria" w:hAnsi="Times New Roman" w:cs="Times New Roman" w:hint="default"/>
        </w:rPr>
        <w:t>va, nad rá</w:t>
      </w:r>
      <w:r w:rsidRPr="00C25021">
        <w:rPr>
          <w:rFonts w:ascii="Times New Roman" w:eastAsia="Cambria" w:hAnsi="Times New Roman" w:cs="Times New Roman" w:hint="default"/>
        </w:rPr>
        <w:t>mec sektora verejnej sprá</w:t>
      </w:r>
      <w:r w:rsidRPr="00C25021">
        <w:rPr>
          <w:rFonts w:ascii="Times New Roman" w:eastAsia="Cambria" w:hAnsi="Times New Roman" w:cs="Times New Roman" w:hint="default"/>
        </w:rPr>
        <w:t>vy zahŕň</w:t>
      </w:r>
      <w:r w:rsidRPr="00C25021">
        <w:rPr>
          <w:rFonts w:ascii="Times New Roman" w:eastAsia="Cambria" w:hAnsi="Times New Roman" w:cs="Times New Roman" w:hint="default"/>
        </w:rPr>
        <w:t>a aj</w:t>
      </w:r>
      <w:r w:rsidRPr="00C25021">
        <w:rPr>
          <w:rFonts w:ascii="Times New Roman" w:eastAsia="Cambria" w:hAnsi="Times New Roman" w:cs="Times New Roman" w:hint="default"/>
        </w:rPr>
        <w:t xml:space="preserve"> podniky verejnej sprá</w:t>
      </w:r>
      <w:r w:rsidRPr="00C25021">
        <w:rPr>
          <w:rFonts w:ascii="Times New Roman" w:eastAsia="Cambria" w:hAnsi="Times New Roman" w:cs="Times New Roman" w:hint="default"/>
        </w:rPr>
        <w:t>vy a Ná</w:t>
      </w:r>
      <w:r w:rsidRPr="00C25021">
        <w:rPr>
          <w:rFonts w:ascii="Times New Roman" w:eastAsia="Cambria" w:hAnsi="Times New Roman" w:cs="Times New Roman" w:hint="default"/>
        </w:rPr>
        <w:t>rodnú</w:t>
      </w:r>
      <w:r w:rsidRPr="00C25021">
        <w:rPr>
          <w:rFonts w:ascii="Times New Roman" w:eastAsia="Cambria" w:hAnsi="Times New Roman" w:cs="Times New Roman" w:hint="default"/>
        </w:rPr>
        <w:t xml:space="preserve"> banku Slovenska. V </w:t>
      </w:r>
      <w:r w:rsidRPr="00C25021">
        <w:rPr>
          <w:rFonts w:ascii="Times New Roman" w:eastAsia="Cambria" w:hAnsi="Times New Roman" w:cs="Times New Roman" w:hint="default"/>
        </w:rPr>
        <w:t>podmienkach Slovenska je verejný</w:t>
      </w:r>
      <w:r w:rsidRPr="00C25021">
        <w:rPr>
          <w:rFonts w:ascii="Times New Roman" w:eastAsia="Cambria" w:hAnsi="Times New Roman" w:cs="Times New Roman" w:hint="default"/>
        </w:rPr>
        <w:t xml:space="preserve"> sektor definovaný</w:t>
      </w:r>
      <w:r w:rsidRPr="00C25021">
        <w:rPr>
          <w:rFonts w:ascii="Times New Roman" w:eastAsia="Cambria" w:hAnsi="Times New Roman" w:cs="Times New Roman" w:hint="default"/>
        </w:rPr>
        <w:t xml:space="preserve"> ú</w:t>
      </w:r>
      <w:r w:rsidRPr="00C25021">
        <w:rPr>
          <w:rFonts w:ascii="Times New Roman" w:eastAsia="Cambria" w:hAnsi="Times New Roman" w:cs="Times New Roman" w:hint="default"/>
        </w:rPr>
        <w:t>stavný</w:t>
      </w:r>
      <w:r w:rsidRPr="00C25021">
        <w:rPr>
          <w:rFonts w:ascii="Times New Roman" w:eastAsia="Cambria" w:hAnsi="Times New Roman" w:cs="Times New Roman" w:hint="default"/>
        </w:rPr>
        <w:t>m zá</w:t>
      </w:r>
      <w:r w:rsidRPr="00C25021">
        <w:rPr>
          <w:rFonts w:ascii="Times New Roman" w:eastAsia="Cambria" w:hAnsi="Times New Roman" w:cs="Times New Roman" w:hint="default"/>
        </w:rPr>
        <w:t>konom o </w:t>
      </w:r>
      <w:r w:rsidRPr="00C25021">
        <w:rPr>
          <w:rFonts w:ascii="Times New Roman" w:eastAsia="Cambria" w:hAnsi="Times New Roman" w:cs="Times New Roman" w:hint="default"/>
        </w:rPr>
        <w:t>rozpoč</w:t>
      </w:r>
      <w:r w:rsidRPr="00C25021">
        <w:rPr>
          <w:rFonts w:ascii="Times New Roman" w:eastAsia="Cambria" w:hAnsi="Times New Roman" w:cs="Times New Roman" w:hint="default"/>
        </w:rPr>
        <w:t>tovej zodpovednosti pre potrebu vyčí</w:t>
      </w:r>
      <w:r w:rsidRPr="00C25021">
        <w:rPr>
          <w:rFonts w:ascii="Times New Roman" w:eastAsia="Cambria" w:hAnsi="Times New Roman" w:cs="Times New Roman" w:hint="default"/>
        </w:rPr>
        <w:t>slenia č</w:t>
      </w:r>
      <w:r w:rsidRPr="00C25021">
        <w:rPr>
          <w:rFonts w:ascii="Times New Roman" w:eastAsia="Cambria" w:hAnsi="Times New Roman" w:cs="Times New Roman" w:hint="default"/>
        </w:rPr>
        <w:t>isté</w:t>
      </w:r>
      <w:r w:rsidRPr="00C25021">
        <w:rPr>
          <w:rFonts w:ascii="Times New Roman" w:eastAsia="Cambria" w:hAnsi="Times New Roman" w:cs="Times New Roman" w:hint="default"/>
        </w:rPr>
        <w:t xml:space="preserve">ho bohatstva SR. </w:t>
      </w:r>
    </w:p>
    <w:p w:rsidR="00C25021" w:rsidP="00C25021">
      <w:pPr>
        <w:bidi w:val="0"/>
        <w:spacing w:after="120" w:line="336" w:lineRule="auto"/>
        <w:jc w:val="both"/>
        <w:rPr>
          <w:rFonts w:ascii="Times New Roman" w:eastAsia="Cambria" w:hAnsi="Times New Roman" w:cs="Times New Roman"/>
        </w:rPr>
      </w:pPr>
      <w:r w:rsidRPr="00C25021">
        <w:rPr>
          <w:rFonts w:ascii="Times New Roman" w:eastAsia="Cambria" w:hAnsi="Times New Roman" w:cs="Times New Roman" w:hint="default"/>
          <w:b/>
        </w:rPr>
        <w:t>Č</w:t>
      </w:r>
      <w:r w:rsidRPr="00C25021">
        <w:rPr>
          <w:rFonts w:ascii="Times New Roman" w:eastAsia="Cambria" w:hAnsi="Times New Roman" w:cs="Times New Roman" w:hint="default"/>
          <w:b/>
        </w:rPr>
        <w:t>isté</w:t>
      </w:r>
      <w:r w:rsidRPr="00C25021">
        <w:rPr>
          <w:rFonts w:ascii="Times New Roman" w:eastAsia="Cambria" w:hAnsi="Times New Roman" w:cs="Times New Roman" w:hint="default"/>
          <w:b/>
        </w:rPr>
        <w:t xml:space="preserve"> bohatstvo</w:t>
      </w:r>
      <w:r w:rsidRPr="00C25021">
        <w:rPr>
          <w:rFonts w:ascii="Times New Roman" w:eastAsia="Cambria" w:hAnsi="Times New Roman" w:cs="Times New Roman" w:hint="default"/>
        </w:rPr>
        <w:t xml:space="preserve"> popisuje stav hospodá</w:t>
      </w:r>
      <w:r w:rsidRPr="00C25021">
        <w:rPr>
          <w:rFonts w:ascii="Times New Roman" w:eastAsia="Cambria" w:hAnsi="Times New Roman" w:cs="Times New Roman" w:hint="default"/>
        </w:rPr>
        <w:t>renia verejné</w:t>
      </w:r>
      <w:r w:rsidRPr="00C25021">
        <w:rPr>
          <w:rFonts w:ascii="Times New Roman" w:eastAsia="Cambria" w:hAnsi="Times New Roman" w:cs="Times New Roman" w:hint="default"/>
        </w:rPr>
        <w:t>ho sektora</w:t>
      </w:r>
      <w:r w:rsidRPr="00C25021">
        <w:rPr>
          <w:rFonts w:ascii="Times New Roman" w:eastAsia="Cambria" w:hAnsi="Times New Roman" w:cs="Times New Roman" w:hint="default"/>
        </w:rPr>
        <w:t xml:space="preserve"> ku koncu roka. </w:t>
      </w:r>
      <w:r w:rsidRPr="00C25021">
        <w:rPr>
          <w:rFonts w:ascii="Times New Roman" w:hAnsi="Times New Roman" w:cs="Times New Roman"/>
        </w:rPr>
        <w:t>P</w:t>
      </w:r>
      <w:r w:rsidRPr="00C25021">
        <w:rPr>
          <w:rFonts w:ascii="Times New Roman" w:eastAsia="Cambria" w:hAnsi="Times New Roman" w:cs="Times New Roman" w:hint="default"/>
        </w:rPr>
        <w:t>odľ</w:t>
      </w:r>
      <w:r w:rsidRPr="00C25021">
        <w:rPr>
          <w:rFonts w:ascii="Times New Roman" w:eastAsia="Cambria" w:hAnsi="Times New Roman" w:cs="Times New Roman" w:hint="default"/>
        </w:rPr>
        <w:t>a ú</w:t>
      </w:r>
      <w:r w:rsidRPr="00C25021">
        <w:rPr>
          <w:rFonts w:ascii="Times New Roman" w:eastAsia="Cambria" w:hAnsi="Times New Roman" w:cs="Times New Roman" w:hint="default"/>
        </w:rPr>
        <w:t>stavné</w:t>
      </w:r>
      <w:r w:rsidRPr="00C25021">
        <w:rPr>
          <w:rFonts w:ascii="Times New Roman" w:eastAsia="Cambria" w:hAnsi="Times New Roman" w:cs="Times New Roman" w:hint="default"/>
        </w:rPr>
        <w:t>ho zá</w:t>
      </w:r>
      <w:r w:rsidRPr="00C25021">
        <w:rPr>
          <w:rFonts w:ascii="Times New Roman" w:eastAsia="Cambria" w:hAnsi="Times New Roman" w:cs="Times New Roman" w:hint="default"/>
        </w:rPr>
        <w:t>kona o rozpoč</w:t>
      </w:r>
      <w:r w:rsidRPr="00C25021">
        <w:rPr>
          <w:rFonts w:ascii="Times New Roman" w:eastAsia="Cambria" w:hAnsi="Times New Roman" w:cs="Times New Roman" w:hint="default"/>
        </w:rPr>
        <w:t>tovej zodpovednosti sa pod č</w:t>
      </w:r>
      <w:r w:rsidRPr="00C25021">
        <w:rPr>
          <w:rFonts w:ascii="Times New Roman" w:eastAsia="Cambria" w:hAnsi="Times New Roman" w:cs="Times New Roman" w:hint="default"/>
        </w:rPr>
        <w:t>istý</w:t>
      </w:r>
      <w:r w:rsidRPr="00C25021">
        <w:rPr>
          <w:rFonts w:ascii="Times New Roman" w:eastAsia="Cambria" w:hAnsi="Times New Roman" w:cs="Times New Roman" w:hint="default"/>
        </w:rPr>
        <w:t>m bohatstvom rozumie súč</w:t>
      </w:r>
      <w:r w:rsidRPr="00C25021">
        <w:rPr>
          <w:rFonts w:ascii="Times New Roman" w:eastAsia="Cambria" w:hAnsi="Times New Roman" w:cs="Times New Roman" w:hint="default"/>
        </w:rPr>
        <w:t>et vlastné</w:t>
      </w:r>
      <w:r w:rsidRPr="00C25021">
        <w:rPr>
          <w:rFonts w:ascii="Times New Roman" w:eastAsia="Cambria" w:hAnsi="Times New Roman" w:cs="Times New Roman" w:hint="default"/>
        </w:rPr>
        <w:t>ho imania subjektov verejnej sprá</w:t>
      </w:r>
      <w:r w:rsidRPr="00C25021">
        <w:rPr>
          <w:rFonts w:ascii="Times New Roman" w:eastAsia="Cambria" w:hAnsi="Times New Roman" w:cs="Times New Roman" w:hint="default"/>
        </w:rPr>
        <w:t>vy, vlastné</w:t>
      </w:r>
      <w:r w:rsidRPr="00C25021">
        <w:rPr>
          <w:rFonts w:ascii="Times New Roman" w:eastAsia="Cambria" w:hAnsi="Times New Roman" w:cs="Times New Roman" w:hint="default"/>
        </w:rPr>
        <w:t>ho imania Ná</w:t>
      </w:r>
      <w:r w:rsidRPr="00C25021">
        <w:rPr>
          <w:rFonts w:ascii="Times New Roman" w:eastAsia="Cambria" w:hAnsi="Times New Roman" w:cs="Times New Roman" w:hint="default"/>
        </w:rPr>
        <w:t>rodnej banky Slovenska, vlastné</w:t>
      </w:r>
      <w:r w:rsidRPr="00C25021">
        <w:rPr>
          <w:rFonts w:ascii="Times New Roman" w:eastAsia="Cambria" w:hAnsi="Times New Roman" w:cs="Times New Roman" w:hint="default"/>
        </w:rPr>
        <w:t>ho imania podnikov š</w:t>
      </w:r>
      <w:r w:rsidRPr="00C25021">
        <w:rPr>
          <w:rFonts w:ascii="Times New Roman" w:eastAsia="Cambria" w:hAnsi="Times New Roman" w:cs="Times New Roman" w:hint="default"/>
        </w:rPr>
        <w:t>tá</w:t>
      </w:r>
      <w:r w:rsidRPr="00C25021">
        <w:rPr>
          <w:rFonts w:ascii="Times New Roman" w:eastAsia="Cambria" w:hAnsi="Times New Roman" w:cs="Times New Roman" w:hint="default"/>
        </w:rPr>
        <w:t>tnej sprá</w:t>
      </w:r>
      <w:r w:rsidRPr="00C25021">
        <w:rPr>
          <w:rFonts w:ascii="Times New Roman" w:eastAsia="Cambria" w:hAnsi="Times New Roman" w:cs="Times New Roman" w:hint="default"/>
        </w:rPr>
        <w:t>vy a </w:t>
      </w:r>
      <w:r w:rsidRPr="00C25021">
        <w:rPr>
          <w:rFonts w:ascii="Times New Roman" w:eastAsia="Cambria" w:hAnsi="Times New Roman" w:cs="Times New Roman" w:hint="default"/>
        </w:rPr>
        <w:t>podnikov ú</w:t>
      </w:r>
      <w:r w:rsidRPr="00C25021">
        <w:rPr>
          <w:rFonts w:ascii="Times New Roman" w:eastAsia="Cambria" w:hAnsi="Times New Roman" w:cs="Times New Roman" w:hint="default"/>
        </w:rPr>
        <w:t>zemnej sam</w:t>
      </w:r>
      <w:r w:rsidRPr="00C25021">
        <w:rPr>
          <w:rFonts w:ascii="Times New Roman" w:eastAsia="Cambria" w:hAnsi="Times New Roman" w:cs="Times New Roman" w:hint="default"/>
        </w:rPr>
        <w:t>osprá</w:t>
      </w:r>
      <w:r w:rsidRPr="00C25021">
        <w:rPr>
          <w:rFonts w:ascii="Times New Roman" w:eastAsia="Cambria" w:hAnsi="Times New Roman" w:cs="Times New Roman" w:hint="default"/>
        </w:rPr>
        <w:t>vy, upravený</w:t>
      </w:r>
      <w:r w:rsidRPr="00C25021">
        <w:rPr>
          <w:rFonts w:ascii="Times New Roman" w:eastAsia="Cambria" w:hAnsi="Times New Roman" w:cs="Times New Roman" w:hint="default"/>
        </w:rPr>
        <w:t xml:space="preserve"> o </w:t>
      </w:r>
      <w:r w:rsidRPr="00C25021">
        <w:rPr>
          <w:rFonts w:ascii="Times New Roman" w:eastAsia="Cambria" w:hAnsi="Times New Roman" w:cs="Times New Roman" w:hint="default"/>
        </w:rPr>
        <w:t>implicitné</w:t>
      </w:r>
      <w:r w:rsidRPr="00C25021">
        <w:rPr>
          <w:rFonts w:ascii="Times New Roman" w:eastAsia="Cambria" w:hAnsi="Times New Roman" w:cs="Times New Roman" w:hint="default"/>
        </w:rPr>
        <w:t xml:space="preserve"> zá</w:t>
      </w:r>
      <w:r w:rsidRPr="00C25021">
        <w:rPr>
          <w:rFonts w:ascii="Times New Roman" w:eastAsia="Cambria" w:hAnsi="Times New Roman" w:cs="Times New Roman" w:hint="default"/>
        </w:rPr>
        <w:t>vä</w:t>
      </w:r>
      <w:r w:rsidRPr="00C25021">
        <w:rPr>
          <w:rFonts w:ascii="Times New Roman" w:eastAsia="Cambria" w:hAnsi="Times New Roman" w:cs="Times New Roman" w:hint="default"/>
        </w:rPr>
        <w:t>zky, iné</w:t>
      </w:r>
      <w:r w:rsidRPr="00C25021">
        <w:rPr>
          <w:rFonts w:ascii="Times New Roman" w:eastAsia="Cambria" w:hAnsi="Times New Roman" w:cs="Times New Roman" w:hint="default"/>
        </w:rPr>
        <w:t xml:space="preserve"> aktí</w:t>
      </w:r>
      <w:r w:rsidRPr="00C25021">
        <w:rPr>
          <w:rFonts w:ascii="Times New Roman" w:eastAsia="Cambria" w:hAnsi="Times New Roman" w:cs="Times New Roman" w:hint="default"/>
        </w:rPr>
        <w:t>va a iné</w:t>
      </w:r>
      <w:r w:rsidRPr="00C25021">
        <w:rPr>
          <w:rFonts w:ascii="Times New Roman" w:eastAsia="Cambria" w:hAnsi="Times New Roman" w:cs="Times New Roman" w:hint="default"/>
        </w:rPr>
        <w:t xml:space="preserve"> pasí</w:t>
      </w:r>
      <w:r w:rsidRPr="00C25021">
        <w:rPr>
          <w:rFonts w:ascii="Times New Roman" w:eastAsia="Cambria" w:hAnsi="Times New Roman" w:cs="Times New Roman" w:hint="default"/>
        </w:rPr>
        <w:t>va vrá</w:t>
      </w:r>
      <w:r w:rsidRPr="00C25021">
        <w:rPr>
          <w:rFonts w:ascii="Times New Roman" w:eastAsia="Cambria" w:hAnsi="Times New Roman" w:cs="Times New Roman" w:hint="default"/>
        </w:rPr>
        <w:t>tane podmienený</w:t>
      </w:r>
      <w:r w:rsidRPr="00C25021">
        <w:rPr>
          <w:rFonts w:ascii="Times New Roman" w:eastAsia="Cambria" w:hAnsi="Times New Roman" w:cs="Times New Roman" w:hint="default"/>
        </w:rPr>
        <w:t>ch zá</w:t>
      </w:r>
      <w:r w:rsidRPr="00C25021">
        <w:rPr>
          <w:rFonts w:ascii="Times New Roman" w:eastAsia="Cambria" w:hAnsi="Times New Roman" w:cs="Times New Roman" w:hint="default"/>
        </w:rPr>
        <w:t>vä</w:t>
      </w:r>
      <w:r w:rsidRPr="00C25021">
        <w:rPr>
          <w:rFonts w:ascii="Times New Roman" w:eastAsia="Cambria" w:hAnsi="Times New Roman" w:cs="Times New Roman" w:hint="default"/>
        </w:rPr>
        <w:t>zkov</w:t>
      </w:r>
      <w:r>
        <w:rPr>
          <w:rFonts w:ascii="Times New Roman" w:eastAsia="Cambria" w:hAnsi="Times New Roman" w:cs="Times New Roman"/>
        </w:rPr>
        <w:t>.</w:t>
      </w:r>
    </w:p>
    <w:p w:rsidR="00C25021" w:rsidRPr="00C25021" w:rsidP="00C25021">
      <w:pPr>
        <w:bidi w:val="0"/>
        <w:spacing w:after="120" w:line="336" w:lineRule="auto"/>
        <w:jc w:val="both"/>
        <w:rPr>
          <w:rFonts w:ascii="Times New Roman" w:hAnsi="Times New Roman" w:cs="Times New Roman"/>
          <w:szCs w:val="22"/>
        </w:rPr>
      </w:pPr>
      <w:r w:rsidRPr="00C25021">
        <w:rPr>
          <w:rFonts w:ascii="Times New Roman" w:hAnsi="Times New Roman" w:cs="Times New Roman"/>
          <w:szCs w:val="22"/>
        </w:rPr>
        <w:t xml:space="preserve">Čisté bohatstvo má špecifickú štruktúru, a preto je veľmi dôležitá jeho správna interpretácia. Pri veľkosti čistého bohatstva má význam analyzovať len jednotlivé zložky jeho štruktúry, ako napríklad vlastné imanie podnikov, podmienené záväzky, či implicitné záväzky, pretože tie majú z ekonomického hľadiska samostatnú vypovedaciu schopnosť. Čisté bohatstvo treba vnímať ako komplex všetkých typov ukazovateľov, ktoré sú podstatné z hľadiska finančnej stability a bohatstva štátu. </w:t>
      </w:r>
    </w:p>
    <w:p w:rsidR="00C25021" w:rsidP="00C25021">
      <w:pPr>
        <w:bidi w:val="0"/>
        <w:spacing w:after="120" w:line="336" w:lineRule="auto"/>
        <w:jc w:val="both"/>
        <w:rPr>
          <w:rFonts w:ascii="Times New Roman" w:hAnsi="Times New Roman" w:cs="Times New Roman"/>
        </w:rPr>
      </w:pPr>
      <w:r w:rsidRPr="00C25021">
        <w:rPr>
          <w:rFonts w:ascii="Times New Roman" w:hAnsi="Times New Roman" w:cs="Times New Roman"/>
        </w:rPr>
        <w:t>Analýza a vysvetlenie medziročných zmien zložiek čistého bohatstva poskytujú dôležité informácie o hospodárení štátu, ktoré nemusí zachytiť tradičný pohľad na saldo a dlh verejnej správy. Existujú totiž politiky a transakcie, ktoré sa z metodických dôvodov nemusia prejaviť na salde a dlhu verejnej správy, ale majú negatívny alebo naopak pozitívny vplyv na čisté bohatstvo štátu. Koncept čistého bohatstva teda umožňuje predovšetkým kvalitnejšie zhodnotenie hospodárskej politiky štátu z pohľadu verejných financií.</w:t>
      </w:r>
    </w:p>
    <w:p w:rsidR="008117A9">
      <w:pPr>
        <w:bidi w:val="0"/>
        <w:rPr>
          <w:rFonts w:ascii="Times New Roman" w:eastAsia="Cambria" w:hAnsi="Times New Roman" w:cs="Times New Roman"/>
          <w:b/>
          <w:bCs/>
          <w:sz w:val="24"/>
          <w:szCs w:val="24"/>
        </w:rPr>
      </w:pPr>
      <w:bookmarkStart w:id="105" w:name="_Toc399324371"/>
      <w:bookmarkStart w:id="106" w:name="_Toc401920025"/>
      <w:r>
        <w:rPr>
          <w:rFonts w:eastAsia="Cambria"/>
        </w:rPr>
        <w:br w:type="page"/>
      </w:r>
    </w:p>
    <w:p w:rsidR="008117A9" w:rsidRPr="00F23541" w:rsidP="008117A9">
      <w:pPr>
        <w:pStyle w:val="Heading2"/>
        <w:numPr>
          <w:numId w:val="3"/>
        </w:numPr>
        <w:bidi w:val="0"/>
        <w:spacing w:before="240" w:after="120" w:line="336" w:lineRule="auto"/>
        <w:ind w:left="425" w:hanging="425"/>
        <w:rPr>
          <w:rFonts w:eastAsia="Cambria" w:hint="default"/>
        </w:rPr>
      </w:pPr>
      <w:bookmarkStart w:id="107" w:name="_Toc465258491"/>
      <w:r w:rsidRPr="00F23541">
        <w:rPr>
          <w:rFonts w:eastAsia="Cambria" w:hint="default"/>
        </w:rPr>
        <w:t>Odhad č</w:t>
      </w:r>
      <w:r w:rsidRPr="00F23541">
        <w:rPr>
          <w:rFonts w:eastAsia="Cambria" w:hint="default"/>
        </w:rPr>
        <w:t>isté</w:t>
      </w:r>
      <w:r w:rsidRPr="00F23541">
        <w:rPr>
          <w:rFonts w:eastAsia="Cambria" w:hint="default"/>
        </w:rPr>
        <w:t>ho bohatstva za rok 201</w:t>
      </w:r>
      <w:bookmarkEnd w:id="105"/>
      <w:bookmarkEnd w:id="106"/>
      <w:r w:rsidRPr="00F23541">
        <w:rPr>
          <w:rFonts w:eastAsia="Cambria" w:hint="default"/>
        </w:rPr>
        <w:t>5</w:t>
      </w:r>
      <w:bookmarkEnd w:id="107"/>
    </w:p>
    <w:p w:rsidR="008117A9" w:rsidRPr="008117A9" w:rsidP="008117A9">
      <w:pPr>
        <w:bidi w:val="0"/>
        <w:spacing w:after="120" w:line="336" w:lineRule="auto"/>
        <w:jc w:val="both"/>
        <w:rPr>
          <w:rFonts w:ascii="Times New Roman" w:hAnsi="Times New Roman" w:cs="Times New Roman"/>
        </w:rPr>
      </w:pPr>
      <w:r w:rsidRPr="008117A9">
        <w:rPr>
          <w:rFonts w:ascii="Times New Roman" w:hAnsi="Times New Roman" w:cs="Times New Roman"/>
        </w:rPr>
        <w:t xml:space="preserve">Odhadnutá výška čistého bohatstva Slovenskej republiky dosiahla k 31.12.2015 zápornú hodnotu </w:t>
      </w:r>
      <w:r w:rsidRPr="008117A9">
        <w:rPr>
          <w:rFonts w:ascii="Times New Roman" w:hAnsi="Times New Roman" w:cs="Times New Roman"/>
          <w:b/>
          <w:bCs/>
        </w:rPr>
        <w:t>134 454 304 </w:t>
      </w:r>
      <w:r w:rsidRPr="008117A9">
        <w:rPr>
          <w:rFonts w:ascii="Times New Roman" w:hAnsi="Times New Roman" w:cs="Times New Roman"/>
          <w:b/>
        </w:rPr>
        <w:t>tis. eur (-170,9 % HDP)</w:t>
      </w:r>
      <w:r w:rsidRPr="008117A9">
        <w:rPr>
          <w:rFonts w:ascii="Times New Roman" w:hAnsi="Times New Roman" w:cs="Times New Roman"/>
        </w:rPr>
        <w:t>. Oproti predchádzajúcemu roku sa zlepšila hodnota čistého bohatstva o 6 700 572 tis. eur, čím sa znížil negatívny podiel na HDP o 15,0 p.b.</w:t>
      </w:r>
    </w:p>
    <w:tbl>
      <w:tblPr>
        <w:tblStyle w:val="TableNormal"/>
        <w:tblW w:w="5000" w:type="pct"/>
        <w:tblCellMar>
          <w:left w:w="70" w:type="dxa"/>
          <w:right w:w="70" w:type="dxa"/>
        </w:tblCellMar>
        <w:tblLook w:val="04A0"/>
      </w:tblPr>
      <w:tblGrid>
        <w:gridCol w:w="4372"/>
        <w:gridCol w:w="1159"/>
        <w:gridCol w:w="1227"/>
        <w:gridCol w:w="1175"/>
        <w:gridCol w:w="1278"/>
      </w:tblGrid>
      <w:tr>
        <w:tblPrEx>
          <w:tblW w:w="5000" w:type="pct"/>
          <w:tblCellMar>
            <w:left w:w="70" w:type="dxa"/>
            <w:right w:w="70" w:type="dxa"/>
          </w:tblCellMar>
          <w:tblLook w:val="04A0"/>
        </w:tblPrEx>
        <w:trPr>
          <w:trHeight w:val="300"/>
        </w:trPr>
        <w:tc>
          <w:tcPr>
            <w:tcW w:w="3002" w:type="pct"/>
            <w:gridSpan w:val="2"/>
            <w:tcBorders>
              <w:top w:val="nil"/>
              <w:left w:val="nil"/>
              <w:bottom w:val="nil"/>
              <w:right w:val="nil"/>
            </w:tcBorders>
            <w:shd w:val="clear" w:color="000000" w:fill="000000"/>
            <w:textDirection w:val="lrTb"/>
            <w:vAlign w:val="top"/>
            <w:hideMark/>
          </w:tcPr>
          <w:p w:rsidR="008117A9" w:rsidRPr="00F23541" w:rsidP="00A97D6F">
            <w:pPr>
              <w:bidi w:val="0"/>
              <w:spacing w:after="0" w:line="240" w:lineRule="auto"/>
              <w:rPr>
                <w:rFonts w:ascii="Times New Roman" w:hAnsi="Times New Roman" w:cs="Times New Roman"/>
                <w:b/>
                <w:bCs/>
                <w:color w:val="FFFFFF"/>
                <w:sz w:val="20"/>
                <w:szCs w:val="20"/>
                <w:lang w:eastAsia="sk-SK"/>
              </w:rPr>
            </w:pPr>
            <w:r w:rsidRPr="00F23541">
              <w:rPr>
                <w:rFonts w:ascii="Times New Roman" w:hAnsi="Times New Roman" w:cs="Times New Roman"/>
                <w:b/>
                <w:bCs/>
                <w:color w:val="FFFFFF"/>
                <w:sz w:val="20"/>
                <w:szCs w:val="20"/>
                <w:lang w:eastAsia="sk-SK"/>
              </w:rPr>
              <w:t>Čisté bohatstvo Slovenskej republiky k 31.12.2015 (tis. eur)</w:t>
            </w:r>
          </w:p>
        </w:tc>
        <w:tc>
          <w:tcPr>
            <w:tcW w:w="666" w:type="pct"/>
            <w:tcBorders>
              <w:top w:val="nil"/>
              <w:left w:val="nil"/>
              <w:bottom w:val="nil"/>
              <w:right w:val="nil"/>
            </w:tcBorders>
            <w:shd w:val="clear" w:color="000000" w:fill="000000"/>
            <w:noWrap/>
            <w:textDirection w:val="lrTb"/>
            <w:vAlign w:val="bottom"/>
            <w:hideMark/>
          </w:tcPr>
          <w:p w:rsidR="008117A9" w:rsidRPr="00F23541" w:rsidP="00A97D6F">
            <w:pPr>
              <w:bidi w:val="0"/>
              <w:spacing w:after="0" w:line="240" w:lineRule="auto"/>
              <w:rPr>
                <w:rFonts w:ascii="Calibri" w:hAnsi="Calibri" w:cs="Times New Roman"/>
                <w:color w:val="000000"/>
                <w:sz w:val="20"/>
                <w:szCs w:val="20"/>
                <w:lang w:eastAsia="sk-SK"/>
              </w:rPr>
            </w:pPr>
            <w:r w:rsidRPr="00F23541">
              <w:rPr>
                <w:rFonts w:ascii="Calibri" w:hAnsi="Calibri" w:cs="Times New Roman"/>
                <w:color w:val="000000"/>
                <w:sz w:val="20"/>
                <w:szCs w:val="20"/>
                <w:lang w:eastAsia="sk-SK"/>
              </w:rPr>
              <w:t> </w:t>
            </w:r>
          </w:p>
        </w:tc>
        <w:tc>
          <w:tcPr>
            <w:tcW w:w="638" w:type="pct"/>
            <w:tcBorders>
              <w:top w:val="nil"/>
              <w:left w:val="nil"/>
              <w:bottom w:val="nil"/>
              <w:right w:val="nil"/>
            </w:tcBorders>
            <w:shd w:val="clear" w:color="000000" w:fill="000000"/>
            <w:noWrap/>
            <w:textDirection w:val="lrTb"/>
            <w:vAlign w:val="bottom"/>
            <w:hideMark/>
          </w:tcPr>
          <w:p w:rsidR="008117A9" w:rsidRPr="00F23541" w:rsidP="00A97D6F">
            <w:pPr>
              <w:bidi w:val="0"/>
              <w:spacing w:after="0" w:line="240" w:lineRule="auto"/>
              <w:rPr>
                <w:rFonts w:ascii="Calibri" w:hAnsi="Calibri" w:cs="Times New Roman"/>
                <w:color w:val="000000"/>
                <w:sz w:val="20"/>
                <w:szCs w:val="20"/>
                <w:lang w:eastAsia="sk-SK"/>
              </w:rPr>
            </w:pPr>
            <w:r w:rsidRPr="00F23541">
              <w:rPr>
                <w:rFonts w:ascii="Calibri" w:hAnsi="Calibri" w:cs="Times New Roman"/>
                <w:color w:val="000000"/>
                <w:sz w:val="20"/>
                <w:szCs w:val="20"/>
                <w:lang w:eastAsia="sk-SK"/>
              </w:rPr>
              <w:t> </w:t>
            </w:r>
          </w:p>
        </w:tc>
        <w:tc>
          <w:tcPr>
            <w:tcW w:w="694" w:type="pct"/>
            <w:tcBorders>
              <w:top w:val="nil"/>
              <w:left w:val="nil"/>
              <w:bottom w:val="nil"/>
              <w:right w:val="nil"/>
            </w:tcBorders>
            <w:shd w:val="clear" w:color="000000" w:fill="000000"/>
            <w:noWrap/>
            <w:textDirection w:val="lrTb"/>
            <w:vAlign w:val="bottom"/>
            <w:hideMark/>
          </w:tcPr>
          <w:p w:rsidR="008117A9" w:rsidRPr="00F23541" w:rsidP="00A97D6F">
            <w:pPr>
              <w:bidi w:val="0"/>
              <w:spacing w:after="0" w:line="240" w:lineRule="auto"/>
              <w:rPr>
                <w:rFonts w:ascii="Calibri" w:hAnsi="Calibri" w:cs="Times New Roman"/>
                <w:color w:val="000000"/>
                <w:sz w:val="20"/>
                <w:szCs w:val="20"/>
                <w:lang w:eastAsia="sk-SK"/>
              </w:rPr>
            </w:pPr>
            <w:r w:rsidRPr="00F23541">
              <w:rPr>
                <w:rFonts w:ascii="Calibri" w:hAnsi="Calibri" w:cs="Times New Roman"/>
                <w:color w:val="000000"/>
                <w:sz w:val="20"/>
                <w:szCs w:val="20"/>
                <w:lang w:eastAsia="sk-SK"/>
              </w:rPr>
              <w:t> </w:t>
            </w:r>
          </w:p>
        </w:tc>
      </w:tr>
      <w:tr>
        <w:tblPrEx>
          <w:tblW w:w="5000" w:type="pct"/>
          <w:tblCellMar>
            <w:left w:w="70" w:type="dxa"/>
            <w:right w:w="70" w:type="dxa"/>
          </w:tblCellMar>
          <w:tblLook w:val="04A0"/>
        </w:tblPrEx>
        <w:trPr>
          <w:trHeight w:val="300"/>
        </w:trPr>
        <w:tc>
          <w:tcPr>
            <w:tcW w:w="2373"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rPr>
                <w:rFonts w:ascii="Times New Roman" w:hAnsi="Times New Roman" w:cs="Times New Roman"/>
                <w:b/>
                <w:bCs/>
                <w:sz w:val="20"/>
                <w:szCs w:val="20"/>
                <w:lang w:eastAsia="sk-SK"/>
              </w:rPr>
            </w:pPr>
            <w:r w:rsidRPr="00F23541">
              <w:rPr>
                <w:rFonts w:ascii="Times New Roman" w:hAnsi="Times New Roman" w:cs="Times New Roman"/>
                <w:b/>
                <w:bCs/>
                <w:sz w:val="20"/>
                <w:szCs w:val="20"/>
                <w:lang w:eastAsia="sk-SK"/>
              </w:rPr>
              <w:t> </w:t>
            </w:r>
          </w:p>
        </w:tc>
        <w:tc>
          <w:tcPr>
            <w:tcW w:w="629"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sz w:val="20"/>
                <w:szCs w:val="20"/>
                <w:lang w:eastAsia="sk-SK"/>
              </w:rPr>
            </w:pPr>
            <w:r w:rsidRPr="00F23541">
              <w:rPr>
                <w:rFonts w:ascii="Times New Roman" w:hAnsi="Times New Roman" w:cs="Times New Roman"/>
                <w:b/>
                <w:bCs/>
                <w:sz w:val="20"/>
                <w:szCs w:val="20"/>
                <w:lang w:eastAsia="sk-SK"/>
              </w:rPr>
              <w:t>31.12.2013</w:t>
            </w:r>
          </w:p>
        </w:tc>
        <w:tc>
          <w:tcPr>
            <w:tcW w:w="666"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sz w:val="20"/>
                <w:szCs w:val="20"/>
                <w:lang w:eastAsia="sk-SK"/>
              </w:rPr>
            </w:pPr>
            <w:r w:rsidRPr="00F23541">
              <w:rPr>
                <w:rFonts w:ascii="Times New Roman" w:hAnsi="Times New Roman" w:cs="Times New Roman"/>
                <w:b/>
                <w:bCs/>
                <w:sz w:val="20"/>
                <w:szCs w:val="20"/>
                <w:lang w:eastAsia="sk-SK"/>
              </w:rPr>
              <w:t>31.12.2014</w:t>
            </w:r>
          </w:p>
        </w:tc>
        <w:tc>
          <w:tcPr>
            <w:tcW w:w="638"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sz w:val="20"/>
                <w:szCs w:val="20"/>
                <w:lang w:eastAsia="sk-SK"/>
              </w:rPr>
            </w:pPr>
            <w:r w:rsidRPr="00F23541">
              <w:rPr>
                <w:rFonts w:ascii="Times New Roman" w:hAnsi="Times New Roman" w:cs="Times New Roman"/>
                <w:b/>
                <w:bCs/>
                <w:sz w:val="20"/>
                <w:szCs w:val="20"/>
                <w:lang w:eastAsia="sk-SK"/>
              </w:rPr>
              <w:t>31.12.2015</w:t>
            </w:r>
          </w:p>
        </w:tc>
        <w:tc>
          <w:tcPr>
            <w:tcW w:w="694"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sz w:val="20"/>
                <w:szCs w:val="20"/>
                <w:lang w:eastAsia="sk-SK"/>
              </w:rPr>
            </w:pPr>
            <w:r w:rsidRPr="00F23541">
              <w:rPr>
                <w:rFonts w:ascii="Times New Roman" w:hAnsi="Times New Roman" w:cs="Times New Roman"/>
                <w:b/>
                <w:bCs/>
                <w:sz w:val="20"/>
                <w:szCs w:val="20"/>
                <w:lang w:eastAsia="sk-SK"/>
              </w:rPr>
              <w:t>2015-2014</w:t>
            </w:r>
          </w:p>
        </w:tc>
      </w:tr>
      <w:tr>
        <w:tblPrEx>
          <w:tblW w:w="5000" w:type="pct"/>
          <w:tblCellMar>
            <w:left w:w="70" w:type="dxa"/>
            <w:right w:w="70" w:type="dxa"/>
          </w:tblCellMar>
          <w:tblLook w:val="04A0"/>
        </w:tblPrEx>
        <w:trPr>
          <w:trHeight w:val="300"/>
        </w:trPr>
        <w:tc>
          <w:tcPr>
            <w:tcW w:w="2373" w:type="pct"/>
            <w:tcBorders>
              <w:top w:val="nil"/>
              <w:left w:val="nil"/>
              <w:bottom w:val="nil"/>
              <w:right w:val="nil"/>
            </w:tcBorders>
            <w:textDirection w:val="lrTb"/>
            <w:vAlign w:val="bottom"/>
            <w:hideMark/>
          </w:tcPr>
          <w:p w:rsidR="008117A9" w:rsidRPr="00F23541" w:rsidP="00A97D6F">
            <w:pPr>
              <w:bidi w:val="0"/>
              <w:spacing w:after="0" w:line="240" w:lineRule="auto"/>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Vlastné imanie verejného sektora                               (1)</w:t>
            </w:r>
          </w:p>
        </w:tc>
        <w:tc>
          <w:tcPr>
            <w:tcW w:w="629"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2 195 667</w:t>
            </w:r>
          </w:p>
        </w:tc>
        <w:tc>
          <w:tcPr>
            <w:tcW w:w="666"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-17 153 233</w:t>
            </w:r>
          </w:p>
        </w:tc>
        <w:tc>
          <w:tcPr>
            <w:tcW w:w="638"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-19 297 220</w:t>
            </w:r>
          </w:p>
        </w:tc>
        <w:tc>
          <w:tcPr>
            <w:tcW w:w="694"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-2 143 987</w:t>
            </w:r>
          </w:p>
        </w:tc>
      </w:tr>
      <w:tr>
        <w:tblPrEx>
          <w:tblW w:w="5000" w:type="pct"/>
          <w:tblCellMar>
            <w:left w:w="70" w:type="dxa"/>
            <w:right w:w="70" w:type="dxa"/>
          </w:tblCellMar>
          <w:tblLook w:val="04A0"/>
        </w:tblPrEx>
        <w:trPr>
          <w:trHeight w:val="300"/>
        </w:trPr>
        <w:tc>
          <w:tcPr>
            <w:tcW w:w="2373" w:type="pct"/>
            <w:tcBorders>
              <w:top w:val="nil"/>
              <w:left w:val="nil"/>
              <w:bottom w:val="nil"/>
              <w:right w:val="nil"/>
            </w:tcBorders>
            <w:textDirection w:val="lrTb"/>
            <w:vAlign w:val="bottom"/>
            <w:hideMark/>
          </w:tcPr>
          <w:p w:rsidR="008117A9" w:rsidRPr="00F23541" w:rsidP="00A97D6F">
            <w:pPr>
              <w:bidi w:val="0"/>
              <w:spacing w:after="0" w:line="240" w:lineRule="auto"/>
              <w:ind w:firstLine="540" w:firstLineChars="300"/>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VI súhrnného celku verejnej správy</w:t>
            </w:r>
          </w:p>
        </w:tc>
        <w:tc>
          <w:tcPr>
            <w:tcW w:w="629"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672 141</w:t>
            </w:r>
          </w:p>
        </w:tc>
        <w:tc>
          <w:tcPr>
            <w:tcW w:w="666"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-14 039 738</w:t>
            </w:r>
          </w:p>
        </w:tc>
        <w:tc>
          <w:tcPr>
            <w:tcW w:w="638"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-16 215 078</w:t>
            </w:r>
          </w:p>
        </w:tc>
        <w:tc>
          <w:tcPr>
            <w:tcW w:w="694"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-2 175 340</w:t>
            </w:r>
          </w:p>
        </w:tc>
      </w:tr>
      <w:tr>
        <w:tblPrEx>
          <w:tblW w:w="5000" w:type="pct"/>
          <w:tblCellMar>
            <w:left w:w="70" w:type="dxa"/>
            <w:right w:w="70" w:type="dxa"/>
          </w:tblCellMar>
          <w:tblLook w:val="04A0"/>
        </w:tblPrEx>
        <w:trPr>
          <w:trHeight w:val="300"/>
        </w:trPr>
        <w:tc>
          <w:tcPr>
            <w:tcW w:w="2373" w:type="pct"/>
            <w:tcBorders>
              <w:top w:val="nil"/>
              <w:left w:val="nil"/>
              <w:bottom w:val="nil"/>
              <w:right w:val="nil"/>
            </w:tcBorders>
            <w:textDirection w:val="lrTb"/>
            <w:vAlign w:val="bottom"/>
            <w:hideMark/>
          </w:tcPr>
          <w:p w:rsidR="008117A9" w:rsidRPr="00F23541" w:rsidP="00A97D6F">
            <w:pPr>
              <w:bidi w:val="0"/>
              <w:spacing w:after="0" w:line="240" w:lineRule="auto"/>
              <w:ind w:firstLine="540" w:firstLineChars="300"/>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VI podnikov Fond</w:t>
            </w:r>
            <w:r>
              <w:rPr>
                <w:rFonts w:ascii="Times New Roman" w:hAnsi="Times New Roman" w:cs="Times New Roman"/>
                <w:color w:val="000000"/>
                <w:sz w:val="18"/>
                <w:szCs w:val="18"/>
                <w:lang w:eastAsia="sk-SK"/>
              </w:rPr>
              <w:t>u</w:t>
            </w:r>
            <w:r w:rsidRPr="00F23541">
              <w:rPr>
                <w:rFonts w:ascii="Times New Roman" w:hAnsi="Times New Roman" w:cs="Times New Roman"/>
                <w:color w:val="000000"/>
                <w:sz w:val="18"/>
                <w:szCs w:val="18"/>
                <w:lang w:eastAsia="sk-SK"/>
              </w:rPr>
              <w:t xml:space="preserve"> národného majetku SR</w:t>
            </w:r>
          </w:p>
        </w:tc>
        <w:tc>
          <w:tcPr>
            <w:tcW w:w="629"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5 194 733</w:t>
            </w:r>
          </w:p>
        </w:tc>
        <w:tc>
          <w:tcPr>
            <w:tcW w:w="666"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303 726</w:t>
            </w:r>
          </w:p>
        </w:tc>
        <w:tc>
          <w:tcPr>
            <w:tcW w:w="638"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276 226</w:t>
            </w:r>
          </w:p>
        </w:tc>
        <w:tc>
          <w:tcPr>
            <w:tcW w:w="694"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-27 500</w:t>
            </w:r>
          </w:p>
        </w:tc>
      </w:tr>
      <w:tr>
        <w:tblPrEx>
          <w:tblW w:w="5000" w:type="pct"/>
          <w:tblCellMar>
            <w:left w:w="70" w:type="dxa"/>
            <w:right w:w="70" w:type="dxa"/>
          </w:tblCellMar>
          <w:tblLook w:val="04A0"/>
        </w:tblPrEx>
        <w:trPr>
          <w:trHeight w:val="300"/>
        </w:trPr>
        <w:tc>
          <w:tcPr>
            <w:tcW w:w="2373" w:type="pct"/>
            <w:tcBorders>
              <w:top w:val="nil"/>
              <w:left w:val="nil"/>
              <w:bottom w:val="nil"/>
              <w:right w:val="nil"/>
            </w:tcBorders>
            <w:textDirection w:val="lrTb"/>
            <w:vAlign w:val="bottom"/>
            <w:hideMark/>
          </w:tcPr>
          <w:p w:rsidR="008117A9" w:rsidRPr="00F23541" w:rsidP="00A97D6F">
            <w:pPr>
              <w:bidi w:val="0"/>
              <w:spacing w:after="0" w:line="240" w:lineRule="auto"/>
              <w:ind w:firstLine="540" w:firstLineChars="300"/>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VI Národnej banky Slovenska</w:t>
            </w:r>
          </w:p>
        </w:tc>
        <w:tc>
          <w:tcPr>
            <w:tcW w:w="629"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-3 671 207</w:t>
            </w:r>
          </w:p>
        </w:tc>
        <w:tc>
          <w:tcPr>
            <w:tcW w:w="666"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-3 417 221</w:t>
            </w:r>
          </w:p>
        </w:tc>
        <w:tc>
          <w:tcPr>
            <w:tcW w:w="638"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-3 358 368</w:t>
            </w:r>
          </w:p>
        </w:tc>
        <w:tc>
          <w:tcPr>
            <w:tcW w:w="694"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58 853</w:t>
            </w:r>
          </w:p>
        </w:tc>
      </w:tr>
      <w:tr>
        <w:tblPrEx>
          <w:tblW w:w="5000" w:type="pct"/>
          <w:tblCellMar>
            <w:left w:w="70" w:type="dxa"/>
            <w:right w:w="70" w:type="dxa"/>
          </w:tblCellMar>
          <w:tblLook w:val="04A0"/>
        </w:tblPrEx>
        <w:trPr>
          <w:trHeight w:val="300"/>
        </w:trPr>
        <w:tc>
          <w:tcPr>
            <w:tcW w:w="2373" w:type="pct"/>
            <w:tcBorders>
              <w:top w:val="nil"/>
              <w:left w:val="nil"/>
              <w:bottom w:val="nil"/>
              <w:right w:val="nil"/>
            </w:tcBorders>
            <w:textDirection w:val="lrTb"/>
            <w:vAlign w:val="bottom"/>
            <w:hideMark/>
          </w:tcPr>
          <w:p w:rsidR="008117A9" w:rsidRPr="00F23541" w:rsidP="00A97D6F">
            <w:pPr>
              <w:bidi w:val="0"/>
              <w:spacing w:after="0" w:line="240" w:lineRule="auto"/>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Implicitné záväzky                                                         (2)</w:t>
            </w:r>
          </w:p>
        </w:tc>
        <w:tc>
          <w:tcPr>
            <w:tcW w:w="629"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159 932 386</w:t>
            </w:r>
          </w:p>
        </w:tc>
        <w:tc>
          <w:tcPr>
            <w:tcW w:w="666"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111 466 637</w:t>
            </w:r>
          </w:p>
        </w:tc>
        <w:tc>
          <w:tcPr>
            <w:tcW w:w="638"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102 725 905</w:t>
            </w:r>
          </w:p>
        </w:tc>
        <w:tc>
          <w:tcPr>
            <w:tcW w:w="694"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-8 740 732</w:t>
            </w:r>
          </w:p>
        </w:tc>
      </w:tr>
      <w:tr>
        <w:tblPrEx>
          <w:tblW w:w="5000" w:type="pct"/>
          <w:tblCellMar>
            <w:left w:w="70" w:type="dxa"/>
            <w:right w:w="70" w:type="dxa"/>
          </w:tblCellMar>
          <w:tblLook w:val="04A0"/>
        </w:tblPrEx>
        <w:trPr>
          <w:trHeight w:val="300"/>
        </w:trPr>
        <w:tc>
          <w:tcPr>
            <w:tcW w:w="2373" w:type="pct"/>
            <w:tcBorders>
              <w:top w:val="nil"/>
              <w:left w:val="nil"/>
              <w:bottom w:val="nil"/>
              <w:right w:val="nil"/>
            </w:tcBorders>
            <w:textDirection w:val="lrTb"/>
            <w:vAlign w:val="bottom"/>
            <w:hideMark/>
          </w:tcPr>
          <w:p w:rsidR="008117A9" w:rsidRPr="00F23541" w:rsidP="00A97D6F">
            <w:pPr>
              <w:bidi w:val="0"/>
              <w:spacing w:after="0" w:line="240" w:lineRule="auto"/>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 xml:space="preserve">Podmienené záväzky                                              </w:t>
            </w:r>
            <w:r>
              <w:rPr>
                <w:rFonts w:ascii="Times New Roman" w:hAnsi="Times New Roman" w:cs="Times New Roman"/>
                <w:color w:val="000000"/>
                <w:sz w:val="18"/>
                <w:szCs w:val="18"/>
                <w:lang w:eastAsia="sk-SK"/>
              </w:rPr>
              <w:t xml:space="preserve"> </w:t>
            </w:r>
            <w:r w:rsidRPr="00F23541">
              <w:rPr>
                <w:rFonts w:ascii="Times New Roman" w:hAnsi="Times New Roman" w:cs="Times New Roman"/>
                <w:color w:val="000000"/>
                <w:sz w:val="18"/>
                <w:szCs w:val="18"/>
                <w:lang w:eastAsia="sk-SK"/>
              </w:rPr>
              <w:t xml:space="preserve">      (3)</w:t>
            </w:r>
          </w:p>
        </w:tc>
        <w:tc>
          <w:tcPr>
            <w:tcW w:w="629"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12 063 322</w:t>
            </w:r>
          </w:p>
        </w:tc>
        <w:tc>
          <w:tcPr>
            <w:tcW w:w="666"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13 401 059</w:t>
            </w:r>
          </w:p>
        </w:tc>
        <w:tc>
          <w:tcPr>
            <w:tcW w:w="638"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13 271 343</w:t>
            </w:r>
          </w:p>
        </w:tc>
        <w:tc>
          <w:tcPr>
            <w:tcW w:w="694"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-129 716</w:t>
            </w:r>
          </w:p>
        </w:tc>
      </w:tr>
      <w:tr>
        <w:tblPrEx>
          <w:tblW w:w="5000" w:type="pct"/>
          <w:tblCellMar>
            <w:left w:w="70" w:type="dxa"/>
            <w:right w:w="70" w:type="dxa"/>
          </w:tblCellMar>
          <w:tblLook w:val="04A0"/>
        </w:tblPrEx>
        <w:trPr>
          <w:trHeight w:val="300"/>
        </w:trPr>
        <w:tc>
          <w:tcPr>
            <w:tcW w:w="2373" w:type="pct"/>
            <w:tcBorders>
              <w:top w:val="nil"/>
              <w:left w:val="nil"/>
              <w:bottom w:val="nil"/>
              <w:right w:val="nil"/>
            </w:tcBorders>
            <w:textDirection w:val="lrTb"/>
            <w:vAlign w:val="bottom"/>
            <w:hideMark/>
          </w:tcPr>
          <w:p w:rsidR="008117A9" w:rsidRPr="00F23541" w:rsidP="00A97D6F">
            <w:pPr>
              <w:bidi w:val="0"/>
              <w:spacing w:after="0" w:line="240" w:lineRule="auto"/>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Iné aktíva                                                                       (4)</w:t>
            </w:r>
          </w:p>
        </w:tc>
        <w:tc>
          <w:tcPr>
            <w:tcW w:w="629"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688 645</w:t>
            </w:r>
          </w:p>
        </w:tc>
        <w:tc>
          <w:tcPr>
            <w:tcW w:w="666"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866 053</w:t>
            </w:r>
          </w:p>
        </w:tc>
        <w:tc>
          <w:tcPr>
            <w:tcW w:w="638"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840 164</w:t>
            </w:r>
          </w:p>
        </w:tc>
        <w:tc>
          <w:tcPr>
            <w:tcW w:w="694" w:type="pct"/>
            <w:tcBorders>
              <w:top w:val="nil"/>
              <w:left w:val="nil"/>
              <w:bottom w:val="nil"/>
              <w:right w:val="nil"/>
            </w:tcBorders>
            <w:textDirection w:val="lrTb"/>
            <w:vAlign w:val="bottom"/>
            <w:hideMark/>
          </w:tcPr>
          <w:p w:rsidR="008117A9" w:rsidRPr="00F23541" w:rsidP="00A97D6F">
            <w:pPr>
              <w:bidi w:val="0"/>
              <w:spacing w:after="0" w:line="240" w:lineRule="auto"/>
              <w:jc w:val="right"/>
              <w:rPr>
                <w:rFonts w:ascii="Times New Roman" w:hAnsi="Times New Roman" w:cs="Times New Roman"/>
                <w:color w:val="000000"/>
                <w:sz w:val="18"/>
                <w:szCs w:val="18"/>
                <w:lang w:eastAsia="sk-SK"/>
              </w:rPr>
            </w:pPr>
            <w:r w:rsidRPr="00F23541">
              <w:rPr>
                <w:rFonts w:ascii="Times New Roman" w:hAnsi="Times New Roman" w:cs="Times New Roman"/>
                <w:color w:val="000000"/>
                <w:sz w:val="18"/>
                <w:szCs w:val="18"/>
                <w:lang w:eastAsia="sk-SK"/>
              </w:rPr>
              <w:t>-25 889</w:t>
            </w:r>
          </w:p>
        </w:tc>
      </w:tr>
      <w:tr>
        <w:tblPrEx>
          <w:tblW w:w="5000" w:type="pct"/>
          <w:tblCellMar>
            <w:left w:w="70" w:type="dxa"/>
            <w:right w:w="70" w:type="dxa"/>
          </w:tblCellMar>
          <w:tblLook w:val="04A0"/>
        </w:tblPrEx>
        <w:trPr>
          <w:trHeight w:val="300"/>
        </w:trPr>
        <w:tc>
          <w:tcPr>
            <w:tcW w:w="2373"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rPr>
                <w:rFonts w:ascii="Times New Roman" w:hAnsi="Times New Roman" w:cs="Times New Roman"/>
                <w:b/>
                <w:bCs/>
                <w:sz w:val="18"/>
                <w:szCs w:val="18"/>
                <w:lang w:eastAsia="sk-SK"/>
              </w:rPr>
            </w:pPr>
            <w:r w:rsidRPr="00F23541">
              <w:rPr>
                <w:rFonts w:ascii="Times New Roman" w:hAnsi="Times New Roman" w:cs="Times New Roman"/>
                <w:b/>
                <w:bCs/>
                <w:sz w:val="18"/>
                <w:szCs w:val="18"/>
                <w:lang w:eastAsia="sk-SK"/>
              </w:rPr>
              <w:t>Čisté bohatstvo SR  (1-2-3+4)</w:t>
            </w:r>
          </w:p>
        </w:tc>
        <w:tc>
          <w:tcPr>
            <w:tcW w:w="629"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color w:val="000000"/>
                <w:sz w:val="18"/>
                <w:szCs w:val="18"/>
                <w:lang w:eastAsia="sk-SK"/>
              </w:rPr>
            </w:pPr>
            <w:r w:rsidRPr="00F23541">
              <w:rPr>
                <w:rFonts w:ascii="Times New Roman" w:hAnsi="Times New Roman" w:cs="Times New Roman"/>
                <w:b/>
                <w:bCs/>
                <w:color w:val="000000"/>
                <w:sz w:val="18"/>
                <w:szCs w:val="18"/>
                <w:lang w:eastAsia="sk-SK"/>
              </w:rPr>
              <w:t>-169 111 396</w:t>
            </w:r>
          </w:p>
        </w:tc>
        <w:tc>
          <w:tcPr>
            <w:tcW w:w="666"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color w:val="000000"/>
                <w:sz w:val="18"/>
                <w:szCs w:val="18"/>
                <w:lang w:eastAsia="sk-SK"/>
              </w:rPr>
            </w:pPr>
            <w:r w:rsidRPr="00F23541">
              <w:rPr>
                <w:rFonts w:ascii="Times New Roman" w:hAnsi="Times New Roman" w:cs="Times New Roman"/>
                <w:b/>
                <w:bCs/>
                <w:color w:val="000000"/>
                <w:sz w:val="18"/>
                <w:szCs w:val="18"/>
                <w:lang w:eastAsia="sk-SK"/>
              </w:rPr>
              <w:t>-141 154 876</w:t>
            </w:r>
          </w:p>
        </w:tc>
        <w:tc>
          <w:tcPr>
            <w:tcW w:w="638"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color w:val="000000"/>
                <w:sz w:val="18"/>
                <w:szCs w:val="18"/>
                <w:lang w:eastAsia="sk-SK"/>
              </w:rPr>
            </w:pPr>
            <w:r w:rsidRPr="00F23541">
              <w:rPr>
                <w:rFonts w:ascii="Times New Roman" w:hAnsi="Times New Roman" w:cs="Times New Roman"/>
                <w:b/>
                <w:bCs/>
                <w:color w:val="000000"/>
                <w:sz w:val="18"/>
                <w:szCs w:val="18"/>
                <w:lang w:eastAsia="sk-SK"/>
              </w:rPr>
              <w:t>-134 454 304</w:t>
            </w:r>
          </w:p>
        </w:tc>
        <w:tc>
          <w:tcPr>
            <w:tcW w:w="694" w:type="pct"/>
            <w:tcBorders>
              <w:top w:val="single" w:sz="4" w:space="0" w:color="auto"/>
              <w:left w:val="nil"/>
              <w:bottom w:val="nil"/>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color w:val="000000"/>
                <w:sz w:val="18"/>
                <w:szCs w:val="18"/>
                <w:lang w:eastAsia="sk-SK"/>
              </w:rPr>
            </w:pPr>
            <w:r w:rsidRPr="00F23541">
              <w:rPr>
                <w:rFonts w:ascii="Times New Roman" w:hAnsi="Times New Roman" w:cs="Times New Roman"/>
                <w:b/>
                <w:bCs/>
                <w:color w:val="000000"/>
                <w:sz w:val="18"/>
                <w:szCs w:val="18"/>
                <w:lang w:eastAsia="sk-SK"/>
              </w:rPr>
              <w:t>6 700 572</w:t>
            </w:r>
          </w:p>
        </w:tc>
      </w:tr>
      <w:tr>
        <w:tblPrEx>
          <w:tblW w:w="5000" w:type="pct"/>
          <w:tblCellMar>
            <w:left w:w="70" w:type="dxa"/>
            <w:right w:w="70" w:type="dxa"/>
          </w:tblCellMar>
          <w:tblLook w:val="04A0"/>
        </w:tblPrEx>
        <w:trPr>
          <w:trHeight w:val="300"/>
        </w:trPr>
        <w:tc>
          <w:tcPr>
            <w:tcW w:w="2373" w:type="pct"/>
            <w:tcBorders>
              <w:top w:val="nil"/>
              <w:left w:val="nil"/>
              <w:bottom w:val="single" w:sz="4" w:space="0" w:color="auto"/>
              <w:right w:val="nil"/>
            </w:tcBorders>
            <w:shd w:val="clear" w:color="000000" w:fill="BFBFBF"/>
            <w:textDirection w:val="lrTb"/>
            <w:vAlign w:val="bottom"/>
            <w:hideMark/>
          </w:tcPr>
          <w:p w:rsidR="008117A9" w:rsidRPr="00F23541" w:rsidP="00A97D6F">
            <w:pPr>
              <w:bidi w:val="0"/>
              <w:spacing w:after="0" w:line="240" w:lineRule="auto"/>
              <w:ind w:firstLine="540" w:firstLineChars="300"/>
              <w:rPr>
                <w:rFonts w:ascii="Times New Roman" w:hAnsi="Times New Roman" w:cs="Times New Roman"/>
                <w:b/>
                <w:bCs/>
                <w:i/>
                <w:iCs/>
                <w:sz w:val="18"/>
                <w:szCs w:val="18"/>
                <w:lang w:eastAsia="sk-SK"/>
              </w:rPr>
            </w:pPr>
            <w:r w:rsidRPr="00F23541">
              <w:rPr>
                <w:rFonts w:ascii="Times New Roman" w:hAnsi="Times New Roman" w:cs="Times New Roman"/>
                <w:b/>
                <w:bCs/>
                <w:i/>
                <w:iCs/>
                <w:sz w:val="18"/>
                <w:szCs w:val="18"/>
                <w:lang w:eastAsia="sk-SK"/>
              </w:rPr>
              <w:t>v % HDP</w:t>
            </w:r>
          </w:p>
        </w:tc>
        <w:tc>
          <w:tcPr>
            <w:tcW w:w="629" w:type="pct"/>
            <w:tcBorders>
              <w:top w:val="nil"/>
              <w:left w:val="nil"/>
              <w:bottom w:val="single" w:sz="4" w:space="0" w:color="auto"/>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i/>
                <w:iCs/>
                <w:color w:val="000000"/>
                <w:sz w:val="18"/>
                <w:szCs w:val="18"/>
                <w:lang w:eastAsia="sk-SK"/>
              </w:rPr>
            </w:pPr>
            <w:r w:rsidRPr="00F23541">
              <w:rPr>
                <w:rFonts w:ascii="Times New Roman" w:hAnsi="Times New Roman" w:cs="Times New Roman"/>
                <w:b/>
                <w:bCs/>
                <w:i/>
                <w:iCs/>
                <w:color w:val="000000"/>
                <w:sz w:val="18"/>
                <w:szCs w:val="18"/>
                <w:lang w:eastAsia="sk-SK"/>
              </w:rPr>
              <w:t>-228,0</w:t>
            </w:r>
          </w:p>
        </w:tc>
        <w:tc>
          <w:tcPr>
            <w:tcW w:w="666" w:type="pct"/>
            <w:tcBorders>
              <w:top w:val="nil"/>
              <w:left w:val="nil"/>
              <w:bottom w:val="single" w:sz="4" w:space="0" w:color="auto"/>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i/>
                <w:iCs/>
                <w:color w:val="000000"/>
                <w:sz w:val="18"/>
                <w:szCs w:val="18"/>
                <w:lang w:eastAsia="sk-SK"/>
              </w:rPr>
            </w:pPr>
            <w:r w:rsidRPr="00F23541">
              <w:rPr>
                <w:rFonts w:ascii="Times New Roman" w:hAnsi="Times New Roman" w:cs="Times New Roman"/>
                <w:b/>
                <w:bCs/>
                <w:i/>
                <w:iCs/>
                <w:color w:val="000000"/>
                <w:sz w:val="18"/>
                <w:szCs w:val="18"/>
                <w:lang w:eastAsia="sk-SK"/>
              </w:rPr>
              <w:t>-185,9</w:t>
            </w:r>
          </w:p>
        </w:tc>
        <w:tc>
          <w:tcPr>
            <w:tcW w:w="638" w:type="pct"/>
            <w:tcBorders>
              <w:top w:val="nil"/>
              <w:left w:val="nil"/>
              <w:bottom w:val="single" w:sz="4" w:space="0" w:color="auto"/>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i/>
                <w:iCs/>
                <w:color w:val="000000"/>
                <w:sz w:val="18"/>
                <w:szCs w:val="18"/>
                <w:lang w:eastAsia="sk-SK"/>
              </w:rPr>
            </w:pPr>
            <w:r w:rsidRPr="00F23541">
              <w:rPr>
                <w:rFonts w:ascii="Times New Roman" w:hAnsi="Times New Roman" w:cs="Times New Roman"/>
                <w:b/>
                <w:bCs/>
                <w:i/>
                <w:iCs/>
                <w:color w:val="000000"/>
                <w:sz w:val="18"/>
                <w:szCs w:val="18"/>
                <w:lang w:eastAsia="sk-SK"/>
              </w:rPr>
              <w:t>-170,9</w:t>
            </w:r>
          </w:p>
        </w:tc>
        <w:tc>
          <w:tcPr>
            <w:tcW w:w="694" w:type="pct"/>
            <w:tcBorders>
              <w:top w:val="nil"/>
              <w:left w:val="nil"/>
              <w:bottom w:val="single" w:sz="4" w:space="0" w:color="auto"/>
              <w:right w:val="nil"/>
            </w:tcBorders>
            <w:shd w:val="clear" w:color="000000" w:fill="BFBFBF"/>
            <w:textDirection w:val="lrTb"/>
            <w:vAlign w:val="bottom"/>
            <w:hideMark/>
          </w:tcPr>
          <w:p w:rsidR="008117A9" w:rsidRPr="00F23541" w:rsidP="00A97D6F">
            <w:pPr>
              <w:bidi w:val="0"/>
              <w:spacing w:after="0" w:line="240" w:lineRule="auto"/>
              <w:jc w:val="right"/>
              <w:rPr>
                <w:rFonts w:ascii="Times New Roman" w:hAnsi="Times New Roman" w:cs="Times New Roman"/>
                <w:b/>
                <w:bCs/>
                <w:color w:val="000000"/>
                <w:sz w:val="18"/>
                <w:szCs w:val="18"/>
                <w:lang w:eastAsia="sk-SK"/>
              </w:rPr>
            </w:pPr>
            <w:r w:rsidRPr="00F23541">
              <w:rPr>
                <w:rFonts w:ascii="Times New Roman" w:hAnsi="Times New Roman" w:cs="Times New Roman"/>
                <w:b/>
                <w:bCs/>
                <w:color w:val="000000"/>
                <w:sz w:val="18"/>
                <w:szCs w:val="18"/>
                <w:lang w:eastAsia="sk-SK"/>
              </w:rPr>
              <w:t>15,0</w:t>
            </w:r>
          </w:p>
        </w:tc>
      </w:tr>
    </w:tbl>
    <w:p w:rsidR="008117A9" w:rsidRPr="008117A9" w:rsidP="008117A9">
      <w:pPr>
        <w:bidi w:val="0"/>
        <w:spacing w:before="240" w:after="120" w:line="336" w:lineRule="auto"/>
        <w:jc w:val="both"/>
        <w:rPr>
          <w:rFonts w:ascii="Times New Roman" w:hAnsi="Times New Roman" w:cs="Times New Roman"/>
        </w:rPr>
      </w:pPr>
      <w:r w:rsidRPr="008117A9">
        <w:rPr>
          <w:rFonts w:ascii="Times New Roman" w:hAnsi="Times New Roman" w:cs="Times New Roman"/>
        </w:rPr>
        <w:t xml:space="preserve">Podrobnému vysvetleniu zmien v jednotlivých zložkách čistého bohatstva sa venujú nasledovné podkapitoly s výnimkou vlastného imania podnikov Fondu národného majetku SR. Vlastné imanie podnikov FNM SR tvorí podmnožinu podnikov štátnej správy, ktorá je pre účely vyčíslenia čistého bohatstva uvedená osobitne, pretože táto skupina podnikov nie je súčasťou súhrnného celku, a preto nie je predmetom účtovnej konsolidácie. Vlastné imanie podnikov FNM SR tvorí súčet vlastných imaní jednotlivých podnikov z individuálnych účtovných závierok, pričom veľkosť vlastného imania je prepočítaná vlastníckym podielom štátu v týchto podnikoch. </w:t>
      </w:r>
    </w:p>
    <w:p w:rsidR="008117A9" w:rsidRPr="008117A9" w:rsidP="008117A9">
      <w:pPr>
        <w:bidi w:val="0"/>
        <w:spacing w:after="120" w:line="336" w:lineRule="auto"/>
        <w:jc w:val="both"/>
        <w:rPr>
          <w:rFonts w:ascii="Times New Roman" w:hAnsi="Times New Roman" w:cs="Times New Roman"/>
        </w:rPr>
      </w:pPr>
      <w:r w:rsidRPr="008117A9">
        <w:rPr>
          <w:rFonts w:ascii="Times New Roman" w:hAnsi="Times New Roman" w:cs="Times New Roman"/>
        </w:rPr>
        <w:t>Vlastné imanie podnikov FNM SR kleslo ku koncu roka 2015 oproti predchádzajúcemu roku o 27 500 tis. eur najmä z dôvodu prevodu správy podniku DMD GROUP, a.s. v júli 2015 z FNM SR na Ministerstvo obrany SR. Už v roku 2014 boli najväčšie podniky ako Slovenský plynárenský priemysel, a.s. a energetické spoločnosti prevedené z FNM SR na vecne príslušné ministerstvá. Tento proces bol formálne ukončený  zrušením FNM SR k 15.12.2015. Všetky jeho zostávajúce majetkové účasti v podnikoch prešli od 1.1.2016 na spoločnosť MH Manažment, a.s., ktorého zakladateľom je Ministerstvo hospodárstva SR.</w:t>
      </w:r>
    </w:p>
    <w:p w:rsidR="00A544B6" w:rsidRPr="00A53EAC" w:rsidP="008117A9">
      <w:pPr>
        <w:pStyle w:val="Heading3"/>
        <w:bidi w:val="0"/>
        <w:spacing w:before="200" w:after="200"/>
        <w:ind w:left="1077"/>
        <w:contextualSpacing w:val="0"/>
        <w:rPr>
          <w:rFonts w:hint="default"/>
        </w:rPr>
      </w:pPr>
      <w:bookmarkStart w:id="108" w:name="_Toc399324372"/>
      <w:bookmarkStart w:id="109" w:name="_Toc401920026"/>
      <w:bookmarkStart w:id="110" w:name="_Toc465255027"/>
      <w:bookmarkStart w:id="111" w:name="_Toc465258492"/>
      <w:r w:rsidRPr="00A53EAC">
        <w:rPr>
          <w:rFonts w:hint="default"/>
        </w:rPr>
        <w:t>Vlastné</w:t>
      </w:r>
      <w:r w:rsidRPr="00A53EAC">
        <w:rPr>
          <w:rFonts w:hint="default"/>
        </w:rPr>
        <w:t xml:space="preserve"> imanie </w:t>
      </w:r>
      <w:r w:rsidR="008117A9">
        <w:rPr>
          <w:rFonts w:hint="default"/>
        </w:rPr>
        <w:t>sú</w:t>
      </w:r>
      <w:r w:rsidR="008117A9">
        <w:rPr>
          <w:rFonts w:hint="default"/>
        </w:rPr>
        <w:t>hrnné</w:t>
      </w:r>
      <w:r w:rsidR="008117A9">
        <w:rPr>
          <w:rFonts w:hint="default"/>
        </w:rPr>
        <w:t>ho celku verejnej</w:t>
      </w:r>
      <w:r w:rsidRPr="00A53EAC">
        <w:rPr>
          <w:rFonts w:hint="default"/>
        </w:rPr>
        <w:t xml:space="preserve"> sprá</w:t>
      </w:r>
      <w:r w:rsidRPr="00A53EAC">
        <w:rPr>
          <w:rFonts w:hint="default"/>
        </w:rPr>
        <w:t>vy</w:t>
      </w:r>
      <w:bookmarkEnd w:id="108"/>
      <w:bookmarkEnd w:id="109"/>
      <w:bookmarkEnd w:id="110"/>
      <w:bookmarkEnd w:id="111"/>
    </w:p>
    <w:p w:rsidR="008117A9" w:rsidRPr="00CC78BF" w:rsidP="008117A9">
      <w:pPr>
        <w:bidi w:val="0"/>
        <w:spacing w:after="120" w:line="336" w:lineRule="auto"/>
        <w:jc w:val="both"/>
        <w:rPr>
          <w:rFonts w:ascii="Times New Roman" w:hAnsi="Times New Roman" w:cs="Times New Roman"/>
        </w:rPr>
      </w:pPr>
      <w:bookmarkStart w:id="112" w:name="_Toc399324373"/>
      <w:bookmarkStart w:id="113" w:name="_Toc431985279"/>
      <w:bookmarkStart w:id="114" w:name="_Toc433099061"/>
      <w:bookmarkStart w:id="115" w:name="_Toc433099300"/>
      <w:bookmarkStart w:id="116" w:name="_Toc433099406"/>
      <w:bookmarkStart w:id="117" w:name="_Toc433099588"/>
      <w:r w:rsidRPr="00CC78BF">
        <w:rPr>
          <w:rFonts w:ascii="Times New Roman" w:hAnsi="Times New Roman" w:cs="Times New Roman"/>
        </w:rPr>
        <w:t>Vlastné imanie súhrnného celku dosiahlo k 31.12.2015 zápornú hodnotu 16 215 078 tis. eur. Vlastné imanie súhrnného celku je tvorené záporným výsledkom hospodárenia vo výške</w:t>
      </w:r>
      <w:r>
        <w:rPr>
          <w:rFonts w:ascii="Times New Roman" w:hAnsi="Times New Roman" w:cs="Times New Roman"/>
        </w:rPr>
        <w:t xml:space="preserve"> -1</w:t>
      </w:r>
      <w:r w:rsidRPr="00CC78BF">
        <w:rPr>
          <w:rFonts w:ascii="Times New Roman" w:hAnsi="Times New Roman" w:cs="Times New Roman"/>
        </w:rPr>
        <w:t>6</w:t>
      </w:r>
      <w:r>
        <w:rPr>
          <w:rFonts w:ascii="Times New Roman" w:hAnsi="Times New Roman" w:cs="Times New Roman"/>
        </w:rPr>
        <w:t> </w:t>
      </w:r>
      <w:r w:rsidRPr="00CC78BF">
        <w:rPr>
          <w:rFonts w:ascii="Times New Roman" w:hAnsi="Times New Roman" w:cs="Times New Roman"/>
        </w:rPr>
        <w:t>388</w:t>
      </w:r>
      <w:r>
        <w:rPr>
          <w:rFonts w:ascii="Times New Roman" w:hAnsi="Times New Roman" w:cs="Times New Roman"/>
        </w:rPr>
        <w:t> </w:t>
      </w:r>
      <w:r w:rsidRPr="00CC78BF">
        <w:rPr>
          <w:rFonts w:ascii="Times New Roman" w:hAnsi="Times New Roman" w:cs="Times New Roman"/>
        </w:rPr>
        <w:t>375</w:t>
      </w:r>
      <w:r>
        <w:rPr>
          <w:rFonts w:ascii="Times New Roman" w:hAnsi="Times New Roman" w:cs="Times New Roman"/>
        </w:rPr>
        <w:t> </w:t>
      </w:r>
      <w:r w:rsidRPr="00CC78BF">
        <w:rPr>
          <w:rFonts w:ascii="Times New Roman" w:hAnsi="Times New Roman" w:cs="Times New Roman"/>
        </w:rPr>
        <w:t xml:space="preserve">tis. eur, z čoho výsledok hospodárenia minulých období tvorí -14 437 102 tis. eur a výsledok hospodárenia za rok 2015 v hodnote -1 951 273 tis. eur. Ďalšia položka vlastného imania, ktorá </w:t>
      </w:r>
      <w:r>
        <w:rPr>
          <w:rFonts w:ascii="Times New Roman" w:hAnsi="Times New Roman" w:cs="Times New Roman"/>
        </w:rPr>
        <w:t>zvyšuje</w:t>
      </w:r>
      <w:r w:rsidRPr="00CC78BF">
        <w:rPr>
          <w:rFonts w:ascii="Times New Roman" w:hAnsi="Times New Roman" w:cs="Times New Roman"/>
        </w:rPr>
        <w:t xml:space="preserve"> jeho záporný zostatok za rok 2015</w:t>
      </w:r>
      <w:r>
        <w:rPr>
          <w:rFonts w:ascii="Times New Roman" w:hAnsi="Times New Roman" w:cs="Times New Roman"/>
        </w:rPr>
        <w:t>,</w:t>
      </w:r>
      <w:r w:rsidRPr="00CC78BF">
        <w:rPr>
          <w:rFonts w:ascii="Times New Roman" w:hAnsi="Times New Roman" w:cs="Times New Roman"/>
        </w:rPr>
        <w:t xml:space="preserve"> sú oceňovacie rozdiely v sume -36 210 tis. eur. Položka vlastného imania, ktorá mala </w:t>
      </w:r>
      <w:r>
        <w:rPr>
          <w:rFonts w:ascii="Times New Roman" w:hAnsi="Times New Roman" w:cs="Times New Roman"/>
        </w:rPr>
        <w:t xml:space="preserve">svojou hodnotou </w:t>
      </w:r>
      <w:r w:rsidRPr="00CC78BF">
        <w:rPr>
          <w:rFonts w:ascii="Times New Roman" w:hAnsi="Times New Roman" w:cs="Times New Roman"/>
        </w:rPr>
        <w:t xml:space="preserve">pozitívny vplyv sú podiely iných účtovných jednotiek v sume 209 507 tis. eur. </w:t>
      </w:r>
      <w:r w:rsidRPr="00A84C2D">
        <w:rPr>
          <w:rFonts w:ascii="Times New Roman" w:hAnsi="Times New Roman" w:cs="Times New Roman"/>
          <w:b/>
        </w:rPr>
        <w:t>Medziročne sa vlastné imanie súhrnného celku znížilo o 2 175 340 tis. eur</w:t>
      </w:r>
      <w:r w:rsidRPr="00CC78BF">
        <w:rPr>
          <w:rFonts w:ascii="Times New Roman" w:hAnsi="Times New Roman" w:cs="Times New Roman"/>
        </w:rPr>
        <w:t>.</w:t>
      </w:r>
    </w:p>
    <w:p w:rsidR="004B28B7">
      <w:pPr>
        <w:bidi w:val="0"/>
        <w:rPr>
          <w:rFonts w:ascii="Times New Roman" w:hAnsi="Times New Roman" w:cs="Times New Roman"/>
          <w:b/>
        </w:rPr>
      </w:pPr>
      <w:r>
        <w:rPr>
          <w:rFonts w:ascii="Times New Roman" w:hAnsi="Times New Roman" w:cs="Times New Roman"/>
          <w:b/>
        </w:rPr>
        <w:br w:type="page"/>
      </w:r>
    </w:p>
    <w:p w:rsidR="008117A9" w:rsidRPr="00CC78BF" w:rsidP="004B28B7">
      <w:pPr>
        <w:bidi w:val="0"/>
        <w:spacing w:after="0" w:line="336" w:lineRule="auto"/>
        <w:jc w:val="both"/>
        <w:rPr>
          <w:rFonts w:ascii="Times New Roman" w:hAnsi="Times New Roman" w:cs="Times New Roman"/>
        </w:rPr>
      </w:pPr>
      <w:r w:rsidRPr="00A84C2D">
        <w:rPr>
          <w:rFonts w:ascii="Times New Roman" w:hAnsi="Times New Roman" w:cs="Times New Roman"/>
          <w:b/>
        </w:rPr>
        <w:t>Výsledok hospodárenia minulých rokov</w:t>
      </w:r>
      <w:r w:rsidRPr="00CC78BF">
        <w:rPr>
          <w:rFonts w:ascii="Times New Roman" w:hAnsi="Times New Roman" w:cs="Times New Roman"/>
        </w:rPr>
        <w:t xml:space="preserve"> súhrnného celku tvorí najmä: </w:t>
      </w:r>
    </w:p>
    <w:p w:rsidR="008117A9" w:rsidRPr="00A84C2D" w:rsidP="008117A9">
      <w:pPr>
        <w:pStyle w:val="ListParagraph"/>
        <w:numPr>
          <w:ilvl w:val="1"/>
          <w:numId w:val="39"/>
        </w:numPr>
        <w:bidi w:val="0"/>
        <w:spacing w:after="120" w:line="336" w:lineRule="auto"/>
        <w:jc w:val="both"/>
        <w:rPr>
          <w:rFonts w:ascii="Times New Roman" w:hAnsi="Times New Roman" w:cs="Times New Roman"/>
        </w:rPr>
      </w:pPr>
      <w:r w:rsidRPr="00A84C2D">
        <w:rPr>
          <w:rFonts w:ascii="Times New Roman" w:hAnsi="Times New Roman" w:cs="Times New Roman"/>
        </w:rPr>
        <w:t xml:space="preserve">nerozdelený zisk </w:t>
      </w:r>
      <w:r>
        <w:rPr>
          <w:rFonts w:ascii="Times New Roman" w:hAnsi="Times New Roman" w:cs="Times New Roman"/>
        </w:rPr>
        <w:t>resp. neuhradená strata</w:t>
      </w:r>
      <w:r w:rsidRPr="00A84C2D">
        <w:rPr>
          <w:rFonts w:ascii="Times New Roman" w:hAnsi="Times New Roman" w:cs="Times New Roman"/>
        </w:rPr>
        <w:t xml:space="preserve"> obchodných spoločností,</w:t>
      </w:r>
    </w:p>
    <w:p w:rsidR="008117A9" w:rsidRPr="00A84C2D" w:rsidP="008117A9">
      <w:pPr>
        <w:pStyle w:val="ListParagraph"/>
        <w:numPr>
          <w:ilvl w:val="1"/>
          <w:numId w:val="39"/>
        </w:numPr>
        <w:bidi w:val="0"/>
        <w:spacing w:after="120" w:line="336" w:lineRule="auto"/>
        <w:jc w:val="both"/>
        <w:rPr>
          <w:rFonts w:ascii="Times New Roman" w:hAnsi="Times New Roman" w:cs="Times New Roman"/>
        </w:rPr>
      </w:pPr>
      <w:r w:rsidRPr="00A84C2D">
        <w:rPr>
          <w:rFonts w:ascii="Times New Roman" w:hAnsi="Times New Roman" w:cs="Times New Roman"/>
        </w:rPr>
        <w:t>prevod zostatkov kapitálových fondov, rezervných fondov a ostatných fondov obchodných spoločností,</w:t>
      </w:r>
    </w:p>
    <w:p w:rsidR="008117A9" w:rsidRPr="00A84C2D" w:rsidP="008117A9">
      <w:pPr>
        <w:pStyle w:val="ListParagraph"/>
        <w:numPr>
          <w:ilvl w:val="1"/>
          <w:numId w:val="39"/>
        </w:numPr>
        <w:bidi w:val="0"/>
        <w:spacing w:after="120" w:line="336" w:lineRule="auto"/>
        <w:jc w:val="both"/>
        <w:rPr>
          <w:rFonts w:ascii="Times New Roman" w:hAnsi="Times New Roman" w:cs="Times New Roman"/>
        </w:rPr>
      </w:pPr>
      <w:r w:rsidRPr="00A84C2D">
        <w:rPr>
          <w:rFonts w:ascii="Times New Roman" w:hAnsi="Times New Roman" w:cs="Times New Roman"/>
        </w:rPr>
        <w:t xml:space="preserve">prevod zostatku fondov ústrednej správy, </w:t>
      </w:r>
    </w:p>
    <w:p w:rsidR="008117A9" w:rsidRPr="00A84C2D" w:rsidP="008117A9">
      <w:pPr>
        <w:pStyle w:val="ListParagraph"/>
        <w:numPr>
          <w:ilvl w:val="1"/>
          <w:numId w:val="39"/>
        </w:numPr>
        <w:bidi w:val="0"/>
        <w:spacing w:after="120" w:line="336" w:lineRule="auto"/>
        <w:jc w:val="both"/>
        <w:rPr>
          <w:rFonts w:ascii="Times New Roman" w:hAnsi="Times New Roman" w:cs="Times New Roman"/>
        </w:rPr>
      </w:pPr>
      <w:r w:rsidRPr="00A84C2D">
        <w:rPr>
          <w:rFonts w:ascii="Times New Roman" w:hAnsi="Times New Roman" w:cs="Times New Roman"/>
        </w:rPr>
        <w:t>výsledok hospodárenia všetkých rozpočtových organizácií ústrednej správy,</w:t>
      </w:r>
    </w:p>
    <w:p w:rsidR="008117A9" w:rsidRPr="00A84C2D" w:rsidP="008117A9">
      <w:pPr>
        <w:pStyle w:val="ListParagraph"/>
        <w:numPr>
          <w:ilvl w:val="1"/>
          <w:numId w:val="39"/>
        </w:numPr>
        <w:bidi w:val="0"/>
        <w:spacing w:after="120" w:line="336" w:lineRule="auto"/>
        <w:jc w:val="both"/>
        <w:rPr>
          <w:rFonts w:ascii="Times New Roman" w:hAnsi="Times New Roman" w:cs="Times New Roman"/>
        </w:rPr>
      </w:pPr>
      <w:r w:rsidRPr="00A84C2D">
        <w:rPr>
          <w:rFonts w:ascii="Times New Roman" w:hAnsi="Times New Roman" w:cs="Times New Roman"/>
        </w:rPr>
        <w:t>opravy významných chýb minulých účtovných období resp. zmeny účtovných metód a zásad s vplyvom na hospodárenie minulých období.</w:t>
      </w:r>
    </w:p>
    <w:p w:rsidR="008117A9" w:rsidRPr="00CC78BF" w:rsidP="008117A9">
      <w:pPr>
        <w:bidi w:val="0"/>
        <w:spacing w:after="120" w:line="336" w:lineRule="auto"/>
        <w:jc w:val="both"/>
        <w:rPr>
          <w:rFonts w:ascii="Times New Roman" w:hAnsi="Times New Roman" w:cs="Times New Roman"/>
        </w:rPr>
      </w:pPr>
      <w:r w:rsidRPr="00CC78BF">
        <w:rPr>
          <w:rFonts w:ascii="Times New Roman" w:hAnsi="Times New Roman" w:cs="Times New Roman"/>
        </w:rPr>
        <w:t>Z pohľadu veľkosti podielu na vlastnom imaní súhrnného celku je najvýznamnejšia ústredná správa a v rámci nej Ministerstvo financií SR. Špecifické postavenie Ministerstva financií SR spočíva v tom, že účtuje o všetkých poskytnutých transferoch zo štátneho rozpočtu, ktoré sa vykazujú jednak vo výdavkoch daného roka, a akruálne aj v nákladoch. Ide o rôzne druhy transferov, ktoré nemusí poskytovať priamo len Ministerstvo financií SR, ale aj ostatné kapitoly štátneho rozpočtu a ich rozpočtové organizácie v zriaďovateľskej pôsobnosti. Na druhej strane Ministerstvo financií SR účtuje o najdôležitejších príjmoch verejnej správy, a to daňových a nedaňových príjmoch štátneho rozpočtu.</w:t>
      </w:r>
    </w:p>
    <w:p w:rsidR="008117A9" w:rsidRPr="00CC78BF" w:rsidP="008117A9">
      <w:pPr>
        <w:bidi w:val="0"/>
        <w:spacing w:after="120" w:line="336" w:lineRule="auto"/>
        <w:jc w:val="both"/>
        <w:rPr>
          <w:rFonts w:ascii="Times New Roman" w:hAnsi="Times New Roman" w:cs="Times New Roman"/>
        </w:rPr>
      </w:pPr>
      <w:r w:rsidRPr="00CC78BF">
        <w:rPr>
          <w:rFonts w:ascii="Times New Roman" w:hAnsi="Times New Roman" w:cs="Times New Roman"/>
        </w:rPr>
        <w:t>Vzhľadom na deficitné hospodárenie štátneho rozpočtu, je deficit hlavným dôvodom aj záporného účtovného výsledku hospodárenia za rok 2015. Takto naakumulované záporné výsledky hospodárenia štátneho rozpočtu sú súčasťou výsledku hospodárenia minulých rokov.</w:t>
      </w:r>
    </w:p>
    <w:p w:rsidR="008117A9" w:rsidRPr="00CC78BF" w:rsidP="008117A9">
      <w:pPr>
        <w:bidi w:val="0"/>
        <w:spacing w:after="120" w:line="336" w:lineRule="auto"/>
        <w:jc w:val="both"/>
        <w:rPr>
          <w:rFonts w:ascii="Times New Roman" w:hAnsi="Times New Roman" w:cs="Times New Roman"/>
        </w:rPr>
      </w:pPr>
      <w:r w:rsidRPr="00CC78BF">
        <w:rPr>
          <w:rFonts w:ascii="Times New Roman" w:hAnsi="Times New Roman" w:cs="Times New Roman"/>
        </w:rPr>
        <w:t xml:space="preserve">Druhou významnou transakciou, ktorá vplýva na záporný výsledok hospodárenia minulých rokov ústrednej správy, je účtovanie o dlhodobých rezervách na zamestnanecké požitky zamestnancov štátnych rozpočtových a štátnych príspevkových organizácií. Výška tejto rezervy sa vykazuje na základe expertného odhadu, ktorý berie do úvahy súčasnú legislatívu v oblasti poskytovania zamestnaneckých požitkov (benefitov) v ústrednej správe, znenia kolektívnych zmlúv a vyššej kolektívnej zmluvy v ústrednej správe, počet zamestnancov, ich vekovú štruktúru a ďalšie faktory. Cieľom výpočtu a zverejňovania tejto dlhodobej rezervy (záväzkov) je postupovanie v súlade s účtovnými štandardami a tým z </w:t>
      </w:r>
      <w:r>
        <w:rPr>
          <w:rFonts w:ascii="Times New Roman" w:hAnsi="Times New Roman" w:cs="Times New Roman"/>
        </w:rPr>
        <w:t>relevantných</w:t>
      </w:r>
      <w:r w:rsidRPr="00CC78BF">
        <w:rPr>
          <w:rFonts w:ascii="Times New Roman" w:hAnsi="Times New Roman" w:cs="Times New Roman"/>
        </w:rPr>
        <w:t xml:space="preserve"> účtovných dát informovať o záväzku štátu voči svojim zamestnancom, ktorý vyplýva zo súčasnej </w:t>
      </w:r>
      <w:r>
        <w:rPr>
          <w:rFonts w:ascii="Times New Roman" w:hAnsi="Times New Roman" w:cs="Times New Roman"/>
        </w:rPr>
        <w:t xml:space="preserve">legislatívnej </w:t>
      </w:r>
      <w:r w:rsidRPr="00CC78BF">
        <w:rPr>
          <w:rFonts w:ascii="Times New Roman" w:hAnsi="Times New Roman" w:cs="Times New Roman"/>
        </w:rPr>
        <w:t>povinnosti. Čo je pri rezervách neisté, je výška a čas plnenia týchto záväzkov, v súlade s definíciou účtovných rezerv. K 31.12.2015 boli vykázané rezervy na zamestnanecké požitky ústrednej správy, o ktorých účtuje Minist</w:t>
      </w:r>
      <w:r>
        <w:rPr>
          <w:rFonts w:ascii="Times New Roman" w:hAnsi="Times New Roman" w:cs="Times New Roman"/>
        </w:rPr>
        <w:t>erstvo financií SR, vo výške 17 </w:t>
      </w:r>
      <w:r w:rsidRPr="00CC78BF">
        <w:rPr>
          <w:rFonts w:ascii="Times New Roman" w:hAnsi="Times New Roman" w:cs="Times New Roman"/>
        </w:rPr>
        <w:t>985 010 tis. eur. Z toho s vplyvom práve na výsledok hospodár</w:t>
      </w:r>
      <w:r>
        <w:rPr>
          <w:rFonts w:ascii="Times New Roman" w:hAnsi="Times New Roman" w:cs="Times New Roman"/>
        </w:rPr>
        <w:t>enia minulých rokov vo výške 17 </w:t>
      </w:r>
      <w:r w:rsidRPr="00CC78BF">
        <w:rPr>
          <w:rFonts w:ascii="Times New Roman" w:hAnsi="Times New Roman" w:cs="Times New Roman"/>
        </w:rPr>
        <w:t xml:space="preserve">387 000 tis. eur.  </w:t>
      </w:r>
    </w:p>
    <w:p w:rsidR="008117A9" w:rsidRPr="00CC78BF" w:rsidP="008117A9">
      <w:pPr>
        <w:bidi w:val="0"/>
        <w:spacing w:after="120" w:line="336" w:lineRule="auto"/>
        <w:jc w:val="both"/>
        <w:rPr>
          <w:rFonts w:ascii="Times New Roman" w:hAnsi="Times New Roman" w:cs="Times New Roman"/>
        </w:rPr>
      </w:pPr>
      <w:r w:rsidRPr="00CC78BF">
        <w:rPr>
          <w:rFonts w:ascii="Times New Roman" w:hAnsi="Times New Roman" w:cs="Times New Roman"/>
        </w:rPr>
        <w:t xml:space="preserve">Celkovo dosiahol výsledok hospodárenia minulých rokov za ústrednú správu -34 863 435 tis. eur. Ostatné organizácie súhrnného celku zlepšujú tento výsledok hospodárenia, ako napríklad obce (spolu 9 257 871 tis. eur), vyššie územné celky (spolu 887 939 tis. eur), štátne fondy (spolu </w:t>
      </w:r>
      <w:r>
        <w:rPr>
          <w:rFonts w:ascii="Times New Roman" w:hAnsi="Times New Roman" w:cs="Times New Roman"/>
        </w:rPr>
        <w:t>3 135 231 tis. </w:t>
      </w:r>
      <w:r w:rsidRPr="00CC78BF">
        <w:rPr>
          <w:rFonts w:ascii="Times New Roman" w:hAnsi="Times New Roman" w:cs="Times New Roman"/>
        </w:rPr>
        <w:t xml:space="preserve">eur), Sociálna poisťovňa (841 168 tis. eur). </w:t>
      </w:r>
    </w:p>
    <w:p w:rsidR="008117A9" w:rsidRPr="00CC78BF" w:rsidP="008117A9">
      <w:pPr>
        <w:bidi w:val="0"/>
        <w:spacing w:after="120" w:line="336" w:lineRule="auto"/>
        <w:jc w:val="both"/>
        <w:rPr>
          <w:rFonts w:ascii="Times New Roman" w:hAnsi="Times New Roman" w:cs="Times New Roman"/>
        </w:rPr>
      </w:pPr>
      <w:r w:rsidRPr="00A84C2D">
        <w:rPr>
          <w:rFonts w:ascii="Times New Roman" w:hAnsi="Times New Roman" w:cs="Times New Roman"/>
          <w:b/>
        </w:rPr>
        <w:t xml:space="preserve">Výsledok hospodárenia bežného </w:t>
      </w:r>
      <w:r>
        <w:rPr>
          <w:rFonts w:ascii="Times New Roman" w:hAnsi="Times New Roman" w:cs="Times New Roman"/>
          <w:b/>
        </w:rPr>
        <w:t xml:space="preserve">účtovného </w:t>
      </w:r>
      <w:r w:rsidRPr="00A84C2D">
        <w:rPr>
          <w:rFonts w:ascii="Times New Roman" w:hAnsi="Times New Roman" w:cs="Times New Roman"/>
          <w:b/>
        </w:rPr>
        <w:t>obdobia 2015</w:t>
      </w:r>
      <w:r w:rsidRPr="00CC78BF">
        <w:rPr>
          <w:rFonts w:ascii="Times New Roman" w:hAnsi="Times New Roman" w:cs="Times New Roman"/>
        </w:rPr>
        <w:t>, ktorý je výsledkom porovnania účtovných výnosov a účtovných nákladov dosiahol za celý súhrnný celok -1 951 273 tis. eur. Záporný výsledok hospodárenia ústrednej správy vo výš</w:t>
      </w:r>
      <w:r>
        <w:rPr>
          <w:rFonts w:ascii="Times New Roman" w:hAnsi="Times New Roman" w:cs="Times New Roman"/>
        </w:rPr>
        <w:t>k</w:t>
      </w:r>
      <w:r w:rsidRPr="00CC78BF">
        <w:rPr>
          <w:rFonts w:ascii="Times New Roman" w:hAnsi="Times New Roman" w:cs="Times New Roman"/>
        </w:rPr>
        <w:t xml:space="preserve">e -2 621 398 tis. eur zlepšilo hospodárenie štátnych fondov v hodnote 316 140 tis. eur, hospodárenie Sociálnej poisťovne v hodnote 220 882 tis. eur, hospodárenie obcí v sume 170 245 tis. eur a hospodárenie vyšších územných celkov v hodnote 74 422 tis. eur. </w:t>
      </w:r>
    </w:p>
    <w:p w:rsidR="008117A9" w:rsidRPr="00CC78BF" w:rsidP="008117A9">
      <w:pPr>
        <w:bidi w:val="0"/>
        <w:spacing w:after="120" w:line="336" w:lineRule="auto"/>
        <w:jc w:val="both"/>
        <w:rPr>
          <w:rFonts w:ascii="Times New Roman" w:hAnsi="Times New Roman" w:cs="Times New Roman"/>
        </w:rPr>
      </w:pPr>
      <w:r w:rsidRPr="00CC78BF">
        <w:rPr>
          <w:rFonts w:ascii="Times New Roman" w:hAnsi="Times New Roman" w:cs="Times New Roman"/>
        </w:rPr>
        <w:t xml:space="preserve">Záporný výsledok hospodárenia ústrednej správy je ovplyvňovaný hotovostným výsledkom hospodárenia  štátneho rozpočtu, keďže mnohé príjmy a výdavky znamenajú v danom období aj akruálne výnosy a náklady (pri splnení podmienky časovej a vecnej súvislosti s daným účtovným obdobím). </w:t>
      </w:r>
    </w:p>
    <w:p w:rsidR="008117A9" w:rsidRPr="00CC78BF" w:rsidP="008117A9">
      <w:pPr>
        <w:bidi w:val="0"/>
        <w:spacing w:after="120" w:line="336" w:lineRule="auto"/>
        <w:jc w:val="both"/>
        <w:rPr>
          <w:rFonts w:ascii="Times New Roman" w:hAnsi="Times New Roman" w:cs="Times New Roman"/>
        </w:rPr>
      </w:pPr>
      <w:r w:rsidRPr="00A84C2D">
        <w:rPr>
          <w:rFonts w:ascii="Times New Roman" w:hAnsi="Times New Roman" w:cs="Times New Roman"/>
          <w:b/>
        </w:rPr>
        <w:t>Oceňovacie rozdiely</w:t>
      </w:r>
      <w:r w:rsidRPr="00CC78BF">
        <w:rPr>
          <w:rFonts w:ascii="Times New Roman" w:hAnsi="Times New Roman" w:cs="Times New Roman"/>
        </w:rPr>
        <w:t xml:space="preserve"> vznikajú z precenenia majetku a záväzkov z precenenia kapitálových účastí v obchodných spoločnostiach, ktoré nie sú súčasťou súhrnného celku alebo predstavujú menšinové podiely subjektov súhrnného celku v obchodných spoločnostiach. Oceňovacie rozdiely dosiahli k 31.12.2015 hodnotu -36 209 tis. eur a medziročne boli nižšie o 38 308 tis. eur, a to najmä znížením oceňovacích rozdielov u obcí o 37 595 tis. eur. </w:t>
      </w:r>
    </w:p>
    <w:p w:rsidR="008117A9" w:rsidRPr="004F2650" w:rsidP="008117A9">
      <w:pPr>
        <w:bidi w:val="0"/>
        <w:spacing w:after="120" w:line="336" w:lineRule="auto"/>
        <w:jc w:val="both"/>
        <w:rPr>
          <w:rFonts w:ascii="Times New Roman" w:hAnsi="Times New Roman" w:cs="Times New Roman"/>
        </w:rPr>
      </w:pPr>
      <w:r w:rsidRPr="00CC78BF">
        <w:rPr>
          <w:rFonts w:ascii="Times New Roman" w:hAnsi="Times New Roman" w:cs="Times New Roman"/>
        </w:rPr>
        <w:t xml:space="preserve">Ako </w:t>
      </w:r>
      <w:r w:rsidRPr="00A84C2D">
        <w:rPr>
          <w:rFonts w:ascii="Times New Roman" w:hAnsi="Times New Roman" w:cs="Times New Roman"/>
          <w:b/>
        </w:rPr>
        <w:t>podiely iných účtovných jednotiek</w:t>
      </w:r>
      <w:r w:rsidRPr="00CC78BF">
        <w:rPr>
          <w:rFonts w:ascii="Times New Roman" w:hAnsi="Times New Roman" w:cs="Times New Roman"/>
        </w:rPr>
        <w:t xml:space="preserve"> sa vykazuje výsledok z použitia metódy vlastného imania v účtovnej konsolidácii. Ide o metódu zahrnutia menšinových podielov v obchodných spoločnostiach do súhrnnej účtovnej závierky, ktorá spočíva v porovnaní hodnoty podielov u vlastníka podielov a hodnoty vlastného imania obchodných spoločností. Keďže podiel vlastníctva je menší ako 51 %, prepočítaná hodnota podielov pripadajúca na iných vlastníkov týchto spoločností tvorí samostatnú položku vo vlastnom imaní súhrnného celku. Medziročne sa hodnota podielov iných účtovných jednotiek zvýšila o 11 080 tis. eur, a to najmä u obcí o 10 910 tis. eur a v ústrednej správe o 1</w:t>
      </w:r>
      <w:r>
        <w:rPr>
          <w:rFonts w:ascii="Times New Roman" w:hAnsi="Times New Roman" w:cs="Times New Roman"/>
        </w:rPr>
        <w:t> </w:t>
      </w:r>
      <w:r w:rsidRPr="00CC78BF">
        <w:rPr>
          <w:rFonts w:ascii="Times New Roman" w:hAnsi="Times New Roman" w:cs="Times New Roman"/>
        </w:rPr>
        <w:t>033</w:t>
      </w:r>
      <w:r>
        <w:rPr>
          <w:rFonts w:ascii="Times New Roman" w:hAnsi="Times New Roman" w:cs="Times New Roman"/>
        </w:rPr>
        <w:t> </w:t>
      </w:r>
      <w:r w:rsidRPr="00CC78BF">
        <w:rPr>
          <w:rFonts w:ascii="Times New Roman" w:hAnsi="Times New Roman" w:cs="Times New Roman"/>
        </w:rPr>
        <w:t>tis.</w:t>
      </w:r>
      <w:r>
        <w:rPr>
          <w:rFonts w:ascii="Times New Roman" w:hAnsi="Times New Roman" w:cs="Times New Roman"/>
        </w:rPr>
        <w:t> </w:t>
      </w:r>
      <w:r w:rsidRPr="00CC78BF">
        <w:rPr>
          <w:rFonts w:ascii="Times New Roman" w:hAnsi="Times New Roman" w:cs="Times New Roman"/>
        </w:rPr>
        <w:t>eur. Na výšku podielov iných účtovných jednotiek vplýva najmä dosiahnutý kladný výsledok hospodárenia obchodnej spoločnosti, ktorý pripadá na podiely všetkých vlastníkov prípadne zmena vo výške samotného podielu na základnom imaní spoločnosti.</w:t>
      </w:r>
    </w:p>
    <w:p w:rsidR="008117A9" w:rsidRPr="009925C3" w:rsidP="002A4EBB">
      <w:pPr>
        <w:pStyle w:val="Heading3"/>
        <w:numPr>
          <w:numId w:val="45"/>
        </w:numPr>
        <w:bidi w:val="0"/>
        <w:ind w:left="1134" w:hanging="567"/>
        <w:rPr>
          <w:rFonts w:hint="default"/>
        </w:rPr>
      </w:pPr>
      <w:bookmarkStart w:id="118" w:name="_Toc465258493"/>
      <w:r w:rsidRPr="009925C3">
        <w:rPr>
          <w:rFonts w:hint="default"/>
        </w:rPr>
        <w:t>Vlastné</w:t>
      </w:r>
      <w:r w:rsidRPr="009925C3">
        <w:rPr>
          <w:rFonts w:hint="default"/>
        </w:rPr>
        <w:t xml:space="preserve"> imanie podnikov š</w:t>
      </w:r>
      <w:r w:rsidRPr="009925C3">
        <w:rPr>
          <w:rFonts w:hint="default"/>
        </w:rPr>
        <w:t>tá</w:t>
      </w:r>
      <w:r w:rsidRPr="009925C3">
        <w:rPr>
          <w:rFonts w:hint="default"/>
        </w:rPr>
        <w:t>tnej sprá</w:t>
      </w:r>
      <w:r w:rsidRPr="009925C3">
        <w:rPr>
          <w:rFonts w:hint="default"/>
        </w:rPr>
        <w:t>vy</w:t>
      </w:r>
      <w:bookmarkEnd w:id="118"/>
    </w:p>
    <w:p w:rsidR="008117A9" w:rsidRPr="00AB2D18" w:rsidP="008117A9">
      <w:pPr>
        <w:bidi w:val="0"/>
        <w:spacing w:after="120" w:line="336" w:lineRule="auto"/>
        <w:jc w:val="both"/>
        <w:rPr>
          <w:rFonts w:ascii="Times New Roman" w:hAnsi="Times New Roman" w:cs="Times New Roman"/>
        </w:rPr>
      </w:pPr>
      <w:r w:rsidRPr="00AB2D18">
        <w:rPr>
          <w:rFonts w:ascii="Times New Roman" w:hAnsi="Times New Roman" w:cs="Times New Roman"/>
          <w:szCs w:val="22"/>
        </w:rPr>
        <w:t>Vlastné imanie</w:t>
      </w:r>
      <w:r w:rsidRPr="00AB2D18">
        <w:rPr>
          <w:rFonts w:ascii="Times New Roman" w:hAnsi="Times New Roman" w:cs="Times New Roman"/>
        </w:rPr>
        <w:t xml:space="preserve"> podnikov štátnej správy </w:t>
      </w:r>
      <w:r>
        <w:rPr>
          <w:rFonts w:ascii="Times New Roman" w:hAnsi="Times New Roman" w:cs="Times New Roman"/>
        </w:rPr>
        <w:t>dosiahlo k 31.12.2015</w:t>
      </w:r>
      <w:r w:rsidRPr="00AB2D18">
        <w:rPr>
          <w:rFonts w:ascii="Times New Roman" w:hAnsi="Times New Roman" w:cs="Times New Roman"/>
        </w:rPr>
        <w:t xml:space="preserve"> hodnotu </w:t>
      </w:r>
      <w:r w:rsidRPr="00AB2D18">
        <w:rPr>
          <w:rFonts w:ascii="Times New Roman" w:hAnsi="Times New Roman" w:cs="Times New Roman"/>
          <w:b/>
        </w:rPr>
        <w:t>16 </w:t>
      </w:r>
      <w:r>
        <w:rPr>
          <w:rFonts w:ascii="Times New Roman" w:hAnsi="Times New Roman" w:cs="Times New Roman"/>
          <w:b/>
        </w:rPr>
        <w:t>543</w:t>
      </w:r>
      <w:r w:rsidRPr="00AB2D18">
        <w:rPr>
          <w:rFonts w:ascii="Times New Roman" w:hAnsi="Times New Roman" w:cs="Times New Roman"/>
          <w:b/>
        </w:rPr>
        <w:t> </w:t>
      </w:r>
      <w:r>
        <w:rPr>
          <w:rFonts w:ascii="Times New Roman" w:hAnsi="Times New Roman" w:cs="Times New Roman"/>
          <w:b/>
        </w:rPr>
        <w:t>805</w:t>
      </w:r>
      <w:r w:rsidRPr="00AB2D18">
        <w:rPr>
          <w:rFonts w:ascii="Times New Roman" w:hAnsi="Times New Roman" w:cs="Times New Roman"/>
          <w:b/>
        </w:rPr>
        <w:t> tis. eur (</w:t>
      </w:r>
      <w:r>
        <w:rPr>
          <w:rFonts w:ascii="Times New Roman" w:hAnsi="Times New Roman" w:cs="Times New Roman"/>
          <w:b/>
        </w:rPr>
        <w:t>21,0</w:t>
      </w:r>
      <w:r w:rsidRPr="00AB2D18">
        <w:rPr>
          <w:rFonts w:ascii="Times New Roman" w:hAnsi="Times New Roman" w:cs="Times New Roman"/>
          <w:b/>
        </w:rPr>
        <w:t> % HDP)</w:t>
      </w:r>
      <w:r w:rsidRPr="00AB2D18">
        <w:rPr>
          <w:rFonts w:ascii="Times New Roman" w:hAnsi="Times New Roman" w:cs="Times New Roman"/>
        </w:rPr>
        <w:t>.</w:t>
      </w:r>
      <w:r w:rsidRPr="00AB2D18">
        <w:rPr>
          <w:rFonts w:ascii="Times New Roman" w:hAnsi="Times New Roman" w:cs="Times New Roman"/>
          <w:szCs w:val="22"/>
        </w:rPr>
        <w:t xml:space="preserve"> Uvedený údaj je nekonsolidovaný a predstavuje súčet </w:t>
      </w:r>
      <w:r w:rsidRPr="00AB2D18">
        <w:rPr>
          <w:rFonts w:ascii="Times New Roman" w:hAnsi="Times New Roman" w:cs="Times New Roman"/>
        </w:rPr>
        <w:t xml:space="preserve">vlastných imaní jednotlivých podnikov z individuálnych účtovných závierok prepočítaný na veľkosť vlastníckych podielov štátu. Tento údaj nemožno dávať do súvislosti s údajom o celkovom čistom bohatstve v časti 3.2., pretože v rámci čistého bohatstva sú všetky podniky okrem podnikov FNM SR zaradené do súhrnného celku a údaje o vlastnom imaní sú konsolidované. </w:t>
      </w:r>
    </w:p>
    <w:p w:rsidR="008117A9" w:rsidRPr="00C73709" w:rsidP="008117A9">
      <w:pPr>
        <w:bidi w:val="0"/>
        <w:spacing w:after="120" w:line="336" w:lineRule="auto"/>
        <w:jc w:val="both"/>
        <w:rPr>
          <w:rFonts w:ascii="Times New Roman" w:hAnsi="Times New Roman" w:cs="Times New Roman"/>
        </w:rPr>
      </w:pPr>
      <w:r w:rsidRPr="00AB2D18">
        <w:rPr>
          <w:rFonts w:ascii="Times New Roman" w:hAnsi="Times New Roman" w:cs="Times New Roman"/>
          <w:szCs w:val="22"/>
        </w:rPr>
        <w:t>Vlastné imanie</w:t>
      </w:r>
      <w:r w:rsidRPr="00AB2D18">
        <w:rPr>
          <w:rFonts w:ascii="Times New Roman" w:hAnsi="Times New Roman" w:cs="Times New Roman"/>
        </w:rPr>
        <w:t xml:space="preserve"> podnikov štátnej správy oproti predchádzajúcemu roku </w:t>
      </w:r>
      <w:r w:rsidRPr="00AB2D18">
        <w:rPr>
          <w:rFonts w:ascii="Times New Roman" w:hAnsi="Times New Roman" w:cs="Times New Roman"/>
          <w:b/>
        </w:rPr>
        <w:t>vzrástlo o </w:t>
      </w:r>
      <w:r>
        <w:rPr>
          <w:rFonts w:ascii="Times New Roman" w:hAnsi="Times New Roman" w:cs="Times New Roman"/>
          <w:b/>
        </w:rPr>
        <w:t>285</w:t>
      </w:r>
      <w:r w:rsidRPr="00AB2D18">
        <w:rPr>
          <w:rFonts w:ascii="Times New Roman" w:hAnsi="Times New Roman" w:cs="Times New Roman"/>
          <w:b/>
        </w:rPr>
        <w:t> </w:t>
      </w:r>
      <w:r>
        <w:rPr>
          <w:rFonts w:ascii="Times New Roman" w:hAnsi="Times New Roman" w:cs="Times New Roman"/>
          <w:b/>
        </w:rPr>
        <w:t>753</w:t>
      </w:r>
      <w:r w:rsidRPr="00AB2D18">
        <w:rPr>
          <w:rFonts w:ascii="Times New Roman" w:hAnsi="Times New Roman" w:cs="Times New Roman"/>
          <w:b/>
        </w:rPr>
        <w:t> tis. eur</w:t>
      </w:r>
      <w:r>
        <w:rPr>
          <w:rStyle w:val="FootnoteReference"/>
          <w:rFonts w:ascii="Times New Roman" w:hAnsi="Times New Roman"/>
          <w:b/>
          <w:rtl w:val="0"/>
        </w:rPr>
        <w:footnoteReference w:id="5"/>
      </w:r>
      <w:r w:rsidRPr="00AB2D18">
        <w:rPr>
          <w:rFonts w:ascii="Times New Roman" w:hAnsi="Times New Roman" w:cs="Times New Roman"/>
        </w:rPr>
        <w:t xml:space="preserve">.  </w:t>
      </w:r>
      <w:r w:rsidRPr="00AB2D18">
        <w:rPr>
          <w:rFonts w:ascii="Times New Roman" w:hAnsi="Times New Roman" w:cs="Times New Roman"/>
          <w:szCs w:val="22"/>
        </w:rPr>
        <w:t xml:space="preserve">V nasledujúcej časti sú podrobnejšie komentované zmeny vlastného imania za vybrané podniky. Príloha č. 1 obsahuje tabuľkový prehľad všetkých podnikov štátnej správy, výšku vlastníckych podielov štátu </w:t>
      </w:r>
      <w:r>
        <w:rPr>
          <w:rFonts w:ascii="Times New Roman" w:hAnsi="Times New Roman" w:cs="Times New Roman"/>
          <w:szCs w:val="22"/>
        </w:rPr>
        <w:t>(k 31.12.2015) a výšku ich vlastných imaní a</w:t>
      </w:r>
      <w:r w:rsidRPr="00AB2D18">
        <w:rPr>
          <w:rFonts w:ascii="Times New Roman" w:hAnsi="Times New Roman" w:cs="Times New Roman"/>
          <w:szCs w:val="22"/>
        </w:rPr>
        <w:t xml:space="preserve"> výsledky hospodárenia</w:t>
      </w:r>
      <w:r>
        <w:rPr>
          <w:rFonts w:ascii="Times New Roman" w:hAnsi="Times New Roman" w:cs="Times New Roman"/>
          <w:szCs w:val="22"/>
        </w:rPr>
        <w:t xml:space="preserve"> (za posledné tri roky)</w:t>
      </w:r>
      <w:r w:rsidRPr="00AB2D18">
        <w:rPr>
          <w:rFonts w:ascii="Times New Roman" w:hAnsi="Times New Roman" w:cs="Times New Roman"/>
          <w:szCs w:val="22"/>
        </w:rPr>
        <w:t>. V poznámkach pod tabuľkou sú uvedené zmeny ku koncu roka</w:t>
      </w:r>
      <w:r>
        <w:rPr>
          <w:rFonts w:ascii="Times New Roman" w:hAnsi="Times New Roman" w:cs="Times New Roman"/>
          <w:szCs w:val="22"/>
        </w:rPr>
        <w:t xml:space="preserve"> 2015</w:t>
      </w:r>
      <w:r w:rsidRPr="00AB2D18">
        <w:rPr>
          <w:rFonts w:ascii="Times New Roman" w:hAnsi="Times New Roman" w:cs="Times New Roman"/>
          <w:szCs w:val="22"/>
        </w:rPr>
        <w:t xml:space="preserve"> oproti predchádzajúcemu </w:t>
      </w:r>
      <w:r w:rsidRPr="00C73709">
        <w:rPr>
          <w:rFonts w:ascii="Times New Roman" w:hAnsi="Times New Roman" w:cs="Times New Roman"/>
          <w:szCs w:val="22"/>
        </w:rPr>
        <w:t xml:space="preserve">roku u podnikov, kde sa zmenil vlastnícky podiel štátu a kde došlo k zlúčeniu, vzniku či zániku účtovnej jednotky. </w:t>
      </w:r>
    </w:p>
    <w:p w:rsidR="008117A9" w:rsidRPr="00C73709" w:rsidP="008117A9">
      <w:pPr>
        <w:bidi w:val="0"/>
        <w:spacing w:after="0" w:line="336" w:lineRule="auto"/>
        <w:jc w:val="both"/>
        <w:rPr>
          <w:rFonts w:ascii="Times New Roman" w:hAnsi="Times New Roman" w:cs="Times New Roman"/>
          <w:szCs w:val="22"/>
        </w:rPr>
      </w:pPr>
      <w:r w:rsidRPr="00C73709">
        <w:rPr>
          <w:rFonts w:ascii="Times New Roman" w:hAnsi="Times New Roman" w:cs="Times New Roman"/>
          <w:szCs w:val="22"/>
        </w:rPr>
        <w:t>Pri komentovaní medziročných zmien vlastného imania vybraných podnikov sa pre účely tejto správy zameriavame najmä na päť hlavných položiek, ktoré spôsobujú prírastok alebo úbytok vlastného imania:</w:t>
      </w:r>
    </w:p>
    <w:p w:rsidR="008117A9" w:rsidRPr="00C73709" w:rsidP="008117A9">
      <w:pPr>
        <w:pStyle w:val="ListParagraph"/>
        <w:numPr>
          <w:numId w:val="26"/>
        </w:numPr>
        <w:bidi w:val="0"/>
        <w:spacing w:after="120" w:line="336" w:lineRule="auto"/>
        <w:jc w:val="both"/>
        <w:rPr>
          <w:rFonts w:ascii="Times New Roman" w:hAnsi="Times New Roman" w:cs="Times New Roman"/>
        </w:rPr>
      </w:pPr>
      <w:r w:rsidRPr="00C73709">
        <w:rPr>
          <w:rFonts w:ascii="Times New Roman" w:hAnsi="Times New Roman" w:cs="Times New Roman"/>
          <w:b/>
        </w:rPr>
        <w:t>Výsledok hospodárenia bežného účtovného obdobia</w:t>
      </w:r>
      <w:r w:rsidRPr="00C73709">
        <w:rPr>
          <w:rFonts w:ascii="Times New Roman" w:hAnsi="Times New Roman" w:cs="Times New Roman"/>
        </w:rPr>
        <w:t xml:space="preserve"> predstavuje čistý zisk (prírastok VI) alebo stratu (úbytok VI) za sledovaný rok. Táto položka je najvýznamnejšia, pretože výsledky hospodárenia poukazujú priamo na pridanú hodnotu podniku k čistému bohatstvu. </w:t>
      </w:r>
    </w:p>
    <w:p w:rsidR="008117A9" w:rsidRPr="00C73709" w:rsidP="008117A9">
      <w:pPr>
        <w:pStyle w:val="ListParagraph"/>
        <w:numPr>
          <w:numId w:val="26"/>
        </w:numPr>
        <w:bidi w:val="0"/>
        <w:spacing w:after="120" w:line="336" w:lineRule="auto"/>
        <w:jc w:val="both"/>
        <w:rPr>
          <w:rFonts w:ascii="Times New Roman" w:hAnsi="Times New Roman" w:cs="Times New Roman"/>
        </w:rPr>
      </w:pPr>
      <w:r w:rsidRPr="00C73709">
        <w:rPr>
          <w:rFonts w:ascii="Times New Roman" w:hAnsi="Times New Roman" w:cs="Times New Roman"/>
          <w:b/>
        </w:rPr>
        <w:t xml:space="preserve">Dividendy </w:t>
      </w:r>
      <w:r w:rsidRPr="00C73709">
        <w:rPr>
          <w:rFonts w:ascii="Times New Roman" w:hAnsi="Times New Roman" w:cs="Times New Roman"/>
        </w:rPr>
        <w:t>sú položkou, ktorá sa zvyčajne vypláca zo zisku minulého účtovného obdobia a spôsobuje úbytok vlastného imania. Dividendy môžu byť v danom roku vyplatené, alebo len schválené na rozdelenie a následne vyplatené v neskoršom období. Pri dividendách sú osobitne spomenuté superdividendy, ak ich výplata bola v danom roku u podniku zaznamenaná. Superdividendy sú všeobecne definované podľa metodiky národných účtov ESA 2010 ako dividendy presahujúce poslednú, respektíve nedávnu úroveň dividend a ziskov. Superdividendy tak indikujú rýchlejší úbytok vlastného imania podnikov.</w:t>
      </w:r>
    </w:p>
    <w:p w:rsidR="008117A9" w:rsidRPr="00C73709" w:rsidP="008117A9">
      <w:pPr>
        <w:pStyle w:val="ListParagraph"/>
        <w:numPr>
          <w:numId w:val="26"/>
        </w:numPr>
        <w:bidi w:val="0"/>
        <w:spacing w:after="120" w:line="336" w:lineRule="auto"/>
        <w:jc w:val="both"/>
        <w:rPr>
          <w:rFonts w:ascii="Times New Roman" w:hAnsi="Times New Roman" w:cs="Times New Roman"/>
        </w:rPr>
      </w:pPr>
      <w:r w:rsidRPr="00C73709">
        <w:rPr>
          <w:rFonts w:ascii="Times New Roman" w:hAnsi="Times New Roman" w:cs="Times New Roman"/>
          <w:b/>
        </w:rPr>
        <w:t>Priame vklady spoločníkov do vlastného imania</w:t>
      </w:r>
      <w:r w:rsidRPr="00C73709">
        <w:rPr>
          <w:rFonts w:ascii="Times New Roman" w:hAnsi="Times New Roman" w:cs="Times New Roman"/>
        </w:rPr>
        <w:t xml:space="preserve"> zvyšujú vlastné imanie spoločnosti. Pod priamymi vkladmi sa rozumejú peňažné a nepeňažné vklady do základného imania, do kapitálových fondov alebo vklady použité na úhradu straty.</w:t>
      </w:r>
    </w:p>
    <w:p w:rsidR="008117A9" w:rsidRPr="00C73709" w:rsidP="008117A9">
      <w:pPr>
        <w:pStyle w:val="ListParagraph"/>
        <w:numPr>
          <w:numId w:val="26"/>
        </w:numPr>
        <w:bidi w:val="0"/>
        <w:spacing w:after="120" w:line="336" w:lineRule="auto"/>
        <w:jc w:val="both"/>
        <w:rPr>
          <w:rFonts w:ascii="Times New Roman" w:hAnsi="Times New Roman" w:cs="Times New Roman"/>
        </w:rPr>
      </w:pPr>
      <w:r w:rsidRPr="00C73709">
        <w:rPr>
          <w:rFonts w:ascii="Times New Roman" w:hAnsi="Times New Roman" w:cs="Times New Roman"/>
          <w:b/>
        </w:rPr>
        <w:t>Preceňovacie zmeny majetku a záväzkov</w:t>
      </w:r>
      <w:r w:rsidRPr="00C73709">
        <w:rPr>
          <w:rFonts w:ascii="Times New Roman" w:hAnsi="Times New Roman" w:cs="Times New Roman"/>
        </w:rPr>
        <w:t xml:space="preserve"> môžu znižovať aj zvyšovať vlastné imanie na základe rozdielu medzi účtovným a reálnym ocenením určitých položiek majetku a záväzkov. Konkrétne prípady sú bližšie vysvetlené pri jednotlivých spoločnostiach. </w:t>
      </w:r>
    </w:p>
    <w:p w:rsidR="008117A9" w:rsidRPr="00C73709" w:rsidP="008117A9">
      <w:pPr>
        <w:pStyle w:val="ListParagraph"/>
        <w:numPr>
          <w:numId w:val="26"/>
        </w:numPr>
        <w:bidi w:val="0"/>
        <w:spacing w:after="120" w:line="336" w:lineRule="auto"/>
        <w:jc w:val="both"/>
        <w:rPr>
          <w:rFonts w:ascii="Times New Roman" w:hAnsi="Times New Roman" w:cs="Times New Roman"/>
        </w:rPr>
      </w:pPr>
      <w:r w:rsidRPr="00C73709">
        <w:rPr>
          <w:rFonts w:ascii="Times New Roman" w:hAnsi="Times New Roman" w:cs="Times New Roman"/>
        </w:rPr>
        <w:t>Pod „</w:t>
      </w:r>
      <w:r w:rsidRPr="00C73709">
        <w:rPr>
          <w:rFonts w:ascii="Times New Roman" w:hAnsi="Times New Roman" w:cs="Times New Roman"/>
          <w:b/>
        </w:rPr>
        <w:t>ostatné zmeny</w:t>
      </w:r>
      <w:r w:rsidRPr="00C73709">
        <w:rPr>
          <w:rFonts w:ascii="Times New Roman" w:hAnsi="Times New Roman" w:cs="Times New Roman"/>
        </w:rPr>
        <w:t xml:space="preserve">“ zaraďujeme opravy významných chýb minulých účtovných období a rozdiely zo zmien použitých účtovných metód a účtovných zásad, ktoré sa účtujú priamo do vlastného imania (do výsledku hospodárenia minulých období), a ktoré môžu spôsobiť úbytok alebo prírastok vlastného imania podniku. Patria sem taktiež zmeny rezerv zo zabezpečovacích derivátov, prípadne zmeny iných rezerv, ktoré nesúvisia s preceňovaním. </w:t>
      </w:r>
    </w:p>
    <w:p w:rsidR="008117A9" w:rsidP="008117A9">
      <w:pPr>
        <w:bidi w:val="0"/>
        <w:spacing w:after="120" w:line="336" w:lineRule="auto"/>
        <w:jc w:val="both"/>
        <w:rPr>
          <w:rFonts w:ascii="Times New Roman" w:hAnsi="Times New Roman" w:cs="Times New Roman"/>
          <w:szCs w:val="22"/>
        </w:rPr>
      </w:pPr>
      <w:r w:rsidRPr="001B20DB">
        <w:rPr>
          <w:rFonts w:ascii="Times New Roman" w:hAnsi="Times New Roman" w:cs="Times New Roman"/>
          <w:szCs w:val="22"/>
        </w:rPr>
        <w:t>Nasledujúca tabuľka predstavuje prehľad zmien vlastného imania vybraných štátnych podnikov. Uvedené podniky sa podieľajú až 91,9 % na celkovom vlastnom imaní všetkých podnikov štátnej správy prepočítaným na vlastnícke podiely štátu.</w:t>
      </w:r>
    </w:p>
    <w:tbl>
      <w:tblPr>
        <w:tblStyle w:val="TableNormal"/>
        <w:tblW w:w="5000" w:type="pct"/>
        <w:tblCellMar>
          <w:left w:w="70" w:type="dxa"/>
          <w:right w:w="70" w:type="dxa"/>
        </w:tblCellMar>
        <w:tblLook w:val="04A0"/>
      </w:tblPr>
      <w:tblGrid>
        <w:gridCol w:w="3207"/>
        <w:gridCol w:w="1000"/>
        <w:gridCol w:w="1181"/>
        <w:gridCol w:w="931"/>
        <w:gridCol w:w="980"/>
        <w:gridCol w:w="1065"/>
        <w:gridCol w:w="70"/>
        <w:gridCol w:w="777"/>
      </w:tblGrid>
      <w:tr>
        <w:tblPrEx>
          <w:tblW w:w="5000" w:type="pct"/>
          <w:tblCellMar>
            <w:left w:w="70" w:type="dxa"/>
            <w:right w:w="70" w:type="dxa"/>
          </w:tblCellMar>
          <w:tblLook w:val="04A0"/>
        </w:tblPrEx>
        <w:trPr>
          <w:trHeight w:val="255"/>
        </w:trPr>
        <w:tc>
          <w:tcPr>
            <w:tcW w:w="5000" w:type="pct"/>
            <w:gridSpan w:val="8"/>
            <w:tcBorders>
              <w:top w:val="nil"/>
              <w:left w:val="nil"/>
              <w:bottom w:val="nil"/>
              <w:right w:val="nil"/>
            </w:tcBorders>
            <w:shd w:val="clear" w:color="000000" w:fill="000000"/>
            <w:noWrap/>
            <w:textDirection w:val="lrTb"/>
            <w:vAlign w:val="bottom"/>
            <w:hideMark/>
          </w:tcPr>
          <w:p w:rsidR="008117A9" w:rsidRPr="00337643" w:rsidP="00A97D6F">
            <w:pPr>
              <w:bidi w:val="0"/>
              <w:spacing w:after="0" w:line="240" w:lineRule="auto"/>
              <w:rPr>
                <w:rFonts w:ascii="Times New Roman" w:hAnsi="Times New Roman" w:cs="Times New Roman"/>
                <w:b/>
                <w:bCs/>
                <w:color w:val="FFFFFF"/>
                <w:sz w:val="20"/>
                <w:szCs w:val="20"/>
                <w:lang w:eastAsia="sk-SK"/>
              </w:rPr>
            </w:pPr>
            <w:r w:rsidRPr="00337643">
              <w:rPr>
                <w:rFonts w:ascii="Times New Roman" w:hAnsi="Times New Roman" w:cs="Times New Roman"/>
                <w:b/>
                <w:bCs/>
                <w:color w:val="FFFFFF"/>
                <w:sz w:val="20"/>
                <w:szCs w:val="20"/>
                <w:lang w:eastAsia="sk-SK"/>
              </w:rPr>
              <w:t>Medziročná zmena vlastného imania k 31 .12. 2015 (v tis. eur)</w:t>
            </w:r>
          </w:p>
        </w:tc>
      </w:tr>
      <w:tr>
        <w:tblPrEx>
          <w:tblW w:w="5000" w:type="pct"/>
          <w:tblCellMar>
            <w:left w:w="70" w:type="dxa"/>
            <w:right w:w="70" w:type="dxa"/>
          </w:tblCellMar>
          <w:tblLook w:val="04A0"/>
        </w:tblPrEx>
        <w:trPr>
          <w:trHeight w:val="510"/>
        </w:trPr>
        <w:tc>
          <w:tcPr>
            <w:tcW w:w="1741" w:type="pct"/>
            <w:tcBorders>
              <w:top w:val="nil"/>
              <w:left w:val="nil"/>
              <w:bottom w:val="single" w:sz="4" w:space="0" w:color="auto"/>
              <w:right w:val="nil"/>
            </w:tcBorders>
            <w:shd w:val="clear" w:color="000000" w:fill="D9D9D9"/>
            <w:noWrap/>
            <w:textDirection w:val="lrTb"/>
            <w:vAlign w:val="center"/>
            <w:hideMark/>
          </w:tcPr>
          <w:p w:rsidR="008117A9" w:rsidRPr="00687361" w:rsidP="00A97D6F">
            <w:pPr>
              <w:bidi w:val="0"/>
              <w:spacing w:after="0" w:line="240" w:lineRule="auto"/>
              <w:rPr>
                <w:rFonts w:ascii="Times New Roman" w:hAnsi="Times New Roman" w:cs="Times New Roman"/>
                <w:b/>
                <w:bCs/>
                <w:color w:val="000000"/>
                <w:sz w:val="18"/>
                <w:szCs w:val="18"/>
                <w:lang w:eastAsia="sk-SK"/>
              </w:rPr>
            </w:pPr>
            <w:r w:rsidRPr="00687361">
              <w:rPr>
                <w:rFonts w:ascii="Times New Roman" w:hAnsi="Times New Roman" w:cs="Times New Roman"/>
                <w:b/>
                <w:bCs/>
                <w:color w:val="000000"/>
                <w:sz w:val="18"/>
                <w:szCs w:val="18"/>
                <w:lang w:eastAsia="sk-SK"/>
              </w:rPr>
              <w:t>Podnik</w:t>
            </w:r>
          </w:p>
        </w:tc>
        <w:tc>
          <w:tcPr>
            <w:tcW w:w="543" w:type="pct"/>
            <w:tcBorders>
              <w:top w:val="nil"/>
              <w:left w:val="nil"/>
              <w:bottom w:val="single" w:sz="4" w:space="0" w:color="auto"/>
              <w:right w:val="nil"/>
            </w:tcBorders>
            <w:shd w:val="clear" w:color="000000" w:fill="D9D9D9"/>
            <w:textDirection w:val="lrTb"/>
            <w:vAlign w:val="center"/>
            <w:hideMark/>
          </w:tcPr>
          <w:p w:rsidR="008117A9" w:rsidRPr="00687361" w:rsidP="00A97D6F">
            <w:pPr>
              <w:bidi w:val="0"/>
              <w:spacing w:after="0" w:line="240" w:lineRule="auto"/>
              <w:jc w:val="center"/>
              <w:rPr>
                <w:rFonts w:ascii="Times New Roman" w:hAnsi="Times New Roman" w:cs="Times New Roman"/>
                <w:b/>
                <w:bCs/>
                <w:color w:val="000000"/>
                <w:sz w:val="18"/>
                <w:szCs w:val="18"/>
                <w:lang w:eastAsia="sk-SK"/>
              </w:rPr>
            </w:pPr>
            <w:r w:rsidRPr="00687361">
              <w:rPr>
                <w:rFonts w:ascii="Times New Roman" w:hAnsi="Times New Roman" w:cs="Times New Roman"/>
                <w:b/>
                <w:bCs/>
                <w:color w:val="000000"/>
                <w:sz w:val="18"/>
                <w:szCs w:val="18"/>
                <w:lang w:eastAsia="sk-SK"/>
              </w:rPr>
              <w:t>VI</w:t>
              <w:br/>
            </w:r>
            <w:r w:rsidRPr="00687361">
              <w:rPr>
                <w:rFonts w:ascii="Times New Roman" w:hAnsi="Times New Roman" w:cs="Times New Roman"/>
                <w:b/>
                <w:bCs/>
                <w:color w:val="000000"/>
                <w:sz w:val="16"/>
                <w:szCs w:val="16"/>
                <w:lang w:eastAsia="sk-SK"/>
              </w:rPr>
              <w:t xml:space="preserve"> Δ2015-2014</w:t>
            </w:r>
          </w:p>
        </w:tc>
        <w:tc>
          <w:tcPr>
            <w:tcW w:w="641" w:type="pct"/>
            <w:tcBorders>
              <w:top w:val="nil"/>
              <w:left w:val="nil"/>
              <w:bottom w:val="single" w:sz="4" w:space="0" w:color="auto"/>
              <w:right w:val="nil"/>
            </w:tcBorders>
            <w:shd w:val="clear" w:color="000000" w:fill="D9D9D9"/>
            <w:textDirection w:val="lrTb"/>
            <w:vAlign w:val="center"/>
            <w:hideMark/>
          </w:tcPr>
          <w:p w:rsidR="008117A9" w:rsidRPr="00687361" w:rsidP="00A97D6F">
            <w:pPr>
              <w:bidi w:val="0"/>
              <w:spacing w:after="0" w:line="240" w:lineRule="auto"/>
              <w:jc w:val="center"/>
              <w:rPr>
                <w:rFonts w:ascii="Times New Roman" w:hAnsi="Times New Roman" w:cs="Times New Roman"/>
                <w:b/>
                <w:bCs/>
                <w:color w:val="000000"/>
                <w:sz w:val="18"/>
                <w:szCs w:val="18"/>
                <w:lang w:eastAsia="sk-SK"/>
              </w:rPr>
            </w:pPr>
            <w:r w:rsidRPr="00687361">
              <w:rPr>
                <w:rFonts w:ascii="Times New Roman" w:hAnsi="Times New Roman" w:cs="Times New Roman"/>
                <w:b/>
                <w:bCs/>
                <w:color w:val="000000"/>
                <w:sz w:val="18"/>
                <w:szCs w:val="18"/>
                <w:lang w:eastAsia="sk-SK"/>
              </w:rPr>
              <w:t>Výsledok hospodárenia</w:t>
            </w:r>
          </w:p>
        </w:tc>
        <w:tc>
          <w:tcPr>
            <w:tcW w:w="505" w:type="pct"/>
            <w:tcBorders>
              <w:top w:val="nil"/>
              <w:left w:val="nil"/>
              <w:bottom w:val="single" w:sz="4" w:space="0" w:color="auto"/>
              <w:right w:val="nil"/>
            </w:tcBorders>
            <w:shd w:val="clear" w:color="000000" w:fill="D9D9D9"/>
            <w:textDirection w:val="lrTb"/>
            <w:vAlign w:val="center"/>
            <w:hideMark/>
          </w:tcPr>
          <w:p w:rsidR="008117A9" w:rsidRPr="00687361" w:rsidP="00A97D6F">
            <w:pPr>
              <w:bidi w:val="0"/>
              <w:spacing w:after="0" w:line="240" w:lineRule="auto"/>
              <w:jc w:val="center"/>
              <w:rPr>
                <w:rFonts w:ascii="Times New Roman" w:hAnsi="Times New Roman" w:cs="Times New Roman"/>
                <w:b/>
                <w:bCs/>
                <w:color w:val="000000"/>
                <w:sz w:val="18"/>
                <w:szCs w:val="18"/>
                <w:lang w:eastAsia="sk-SK"/>
              </w:rPr>
            </w:pPr>
            <w:r w:rsidRPr="00687361">
              <w:rPr>
                <w:rFonts w:ascii="Times New Roman" w:hAnsi="Times New Roman" w:cs="Times New Roman"/>
                <w:b/>
                <w:bCs/>
                <w:color w:val="000000"/>
                <w:sz w:val="18"/>
                <w:szCs w:val="18"/>
                <w:lang w:eastAsia="sk-SK"/>
              </w:rPr>
              <w:t>Dividendy</w:t>
            </w:r>
          </w:p>
        </w:tc>
        <w:tc>
          <w:tcPr>
            <w:tcW w:w="532" w:type="pct"/>
            <w:tcBorders>
              <w:top w:val="nil"/>
              <w:left w:val="nil"/>
              <w:bottom w:val="single" w:sz="4" w:space="0" w:color="auto"/>
              <w:right w:val="nil"/>
            </w:tcBorders>
            <w:shd w:val="clear" w:color="000000" w:fill="D9D9D9"/>
            <w:textDirection w:val="lrTb"/>
            <w:vAlign w:val="center"/>
            <w:hideMark/>
          </w:tcPr>
          <w:p w:rsidR="008117A9" w:rsidRPr="00687361" w:rsidP="00A97D6F">
            <w:pPr>
              <w:bidi w:val="0"/>
              <w:spacing w:after="0" w:line="240" w:lineRule="auto"/>
              <w:jc w:val="center"/>
              <w:rPr>
                <w:rFonts w:ascii="Times New Roman" w:hAnsi="Times New Roman" w:cs="Times New Roman"/>
                <w:b/>
                <w:bCs/>
                <w:color w:val="000000"/>
                <w:sz w:val="18"/>
                <w:szCs w:val="18"/>
                <w:lang w:eastAsia="sk-SK"/>
              </w:rPr>
            </w:pPr>
            <w:r w:rsidRPr="00687361">
              <w:rPr>
                <w:rFonts w:ascii="Times New Roman" w:hAnsi="Times New Roman" w:cs="Times New Roman"/>
                <w:b/>
                <w:bCs/>
                <w:color w:val="000000"/>
                <w:sz w:val="18"/>
                <w:szCs w:val="18"/>
                <w:lang w:eastAsia="sk-SK"/>
              </w:rPr>
              <w:t>Precenenie</w:t>
            </w:r>
          </w:p>
        </w:tc>
        <w:tc>
          <w:tcPr>
            <w:tcW w:w="616" w:type="pct"/>
            <w:gridSpan w:val="2"/>
            <w:tcBorders>
              <w:top w:val="nil"/>
              <w:left w:val="nil"/>
              <w:bottom w:val="single" w:sz="4" w:space="0" w:color="auto"/>
              <w:right w:val="nil"/>
            </w:tcBorders>
            <w:shd w:val="clear" w:color="000000" w:fill="D9D9D9"/>
            <w:textDirection w:val="lrTb"/>
            <w:vAlign w:val="center"/>
            <w:hideMark/>
          </w:tcPr>
          <w:p w:rsidR="008117A9" w:rsidRPr="00687361" w:rsidP="00A97D6F">
            <w:pPr>
              <w:bidi w:val="0"/>
              <w:spacing w:after="0" w:line="240" w:lineRule="auto"/>
              <w:jc w:val="center"/>
              <w:rPr>
                <w:rFonts w:ascii="Times New Roman" w:hAnsi="Times New Roman" w:cs="Times New Roman"/>
                <w:b/>
                <w:bCs/>
                <w:color w:val="000000"/>
                <w:sz w:val="18"/>
                <w:szCs w:val="18"/>
                <w:lang w:eastAsia="sk-SK"/>
              </w:rPr>
            </w:pPr>
            <w:r w:rsidRPr="00687361">
              <w:rPr>
                <w:rFonts w:ascii="Times New Roman" w:hAnsi="Times New Roman" w:cs="Times New Roman"/>
                <w:b/>
                <w:bCs/>
                <w:color w:val="000000"/>
                <w:sz w:val="18"/>
                <w:szCs w:val="18"/>
                <w:lang w:eastAsia="sk-SK"/>
              </w:rPr>
              <w:t>Vklady spoločníkov</w:t>
            </w:r>
          </w:p>
        </w:tc>
        <w:tc>
          <w:tcPr>
            <w:tcW w:w="422" w:type="pct"/>
            <w:tcBorders>
              <w:top w:val="nil"/>
              <w:left w:val="nil"/>
              <w:bottom w:val="single" w:sz="4" w:space="0" w:color="auto"/>
              <w:right w:val="nil"/>
            </w:tcBorders>
            <w:shd w:val="clear" w:color="000000" w:fill="D9D9D9"/>
            <w:textDirection w:val="lrTb"/>
            <w:vAlign w:val="center"/>
            <w:hideMark/>
          </w:tcPr>
          <w:p w:rsidR="008117A9" w:rsidRPr="00687361" w:rsidP="00A97D6F">
            <w:pPr>
              <w:bidi w:val="0"/>
              <w:spacing w:after="0" w:line="240" w:lineRule="auto"/>
              <w:jc w:val="center"/>
              <w:rPr>
                <w:rFonts w:ascii="Times New Roman" w:hAnsi="Times New Roman" w:cs="Times New Roman"/>
                <w:b/>
                <w:bCs/>
                <w:color w:val="000000"/>
                <w:sz w:val="18"/>
                <w:szCs w:val="18"/>
                <w:lang w:eastAsia="sk-SK"/>
              </w:rPr>
            </w:pPr>
            <w:r w:rsidRPr="00687361">
              <w:rPr>
                <w:rFonts w:ascii="Times New Roman" w:hAnsi="Times New Roman" w:cs="Times New Roman"/>
                <w:b/>
                <w:bCs/>
                <w:color w:val="000000"/>
                <w:sz w:val="18"/>
                <w:szCs w:val="18"/>
                <w:lang w:eastAsia="sk-SK"/>
              </w:rPr>
              <w:t>Ostatné</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hyperlink r:id="rId12" w:anchor="RANGE!A1" w:history="1">
              <w:r w:rsidRPr="00337643">
                <w:rPr>
                  <w:rFonts w:ascii="Times New Roman" w:hAnsi="Times New Roman" w:cs="Times New Roman"/>
                  <w:color w:val="000000"/>
                  <w:sz w:val="20"/>
                  <w:szCs w:val="20"/>
                  <w:lang w:eastAsia="sk-SK"/>
                </w:rPr>
                <w:t>Slovenský plynárenský priemysel, a.s.</w:t>
              </w:r>
            </w:hyperlink>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150 599</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435 119</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-288 547</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4 027</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hyperlink r:id="rId12" w:anchor="RANGE!A1" w:history="1">
              <w:r w:rsidRPr="00337643">
                <w:rPr>
                  <w:rFonts w:ascii="Times New Roman" w:hAnsi="Times New Roman" w:cs="Times New Roman"/>
                  <w:color w:val="000000"/>
                  <w:sz w:val="20"/>
                  <w:szCs w:val="20"/>
                  <w:lang w:eastAsia="sk-SK"/>
                </w:rPr>
                <w:t>Slov. elektr</w:t>
              </w:r>
              <w:r>
                <w:rPr>
                  <w:rFonts w:ascii="Times New Roman" w:hAnsi="Times New Roman" w:cs="Times New Roman"/>
                  <w:color w:val="000000"/>
                  <w:sz w:val="20"/>
                  <w:szCs w:val="20"/>
                  <w:lang w:eastAsia="sk-SK"/>
                </w:rPr>
                <w:t>.</w:t>
              </w:r>
              <w:r w:rsidRPr="00337643">
                <w:rPr>
                  <w:rFonts w:ascii="Times New Roman" w:hAnsi="Times New Roman" w:cs="Times New Roman"/>
                  <w:color w:val="000000"/>
                  <w:sz w:val="20"/>
                  <w:szCs w:val="20"/>
                  <w:lang w:eastAsia="sk-SK"/>
                </w:rPr>
                <w:t xml:space="preserve"> a prenos. sústava, a.s.</w:t>
              </w:r>
            </w:hyperlink>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29 446</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72 984</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-66 134</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164</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23 167</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-736</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Slovenské elektrárne,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-253 589</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23 952</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-288 938</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11 397</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Západoslovenská energetika,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-2 968</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57 935</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-60 958</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55</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hyperlink r:id="rId12" w:anchor="RANGE!A1" w:history="1">
              <w:r w:rsidRPr="00337643">
                <w:rPr>
                  <w:rFonts w:ascii="Times New Roman" w:hAnsi="Times New Roman" w:cs="Times New Roman"/>
                  <w:color w:val="000000"/>
                  <w:sz w:val="20"/>
                  <w:szCs w:val="20"/>
                  <w:lang w:eastAsia="sk-SK"/>
                </w:rPr>
                <w:t>Stredoslovenská energetika, a.s.</w:t>
              </w:r>
            </w:hyperlink>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13 751</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65 646</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-51 791</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-104</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hyperlink r:id="rId12" w:anchor="RANGE!A1" w:history="1">
              <w:r w:rsidRPr="00337643">
                <w:rPr>
                  <w:rFonts w:ascii="Times New Roman" w:hAnsi="Times New Roman" w:cs="Times New Roman"/>
                  <w:color w:val="000000"/>
                  <w:sz w:val="20"/>
                  <w:szCs w:val="20"/>
                  <w:lang w:eastAsia="sk-SK"/>
                </w:rPr>
                <w:t>Východosl. energetika Holding, a.s.</w:t>
              </w:r>
            </w:hyperlink>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-35 549</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22 702</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-58 361</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109</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Železnice Slovenskej republiky</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21 870</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17 189</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-2 032</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6 923</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-210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Železničná spoločnosť Slovensko,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-5 239</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-5 889</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650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Železničná spol. Cargo Slovakia,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77</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77</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Národná diaľničná spoločnosť,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23 383</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23 383</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Slovenská záručná a rozv. banka,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2 427</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3 036</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-1 000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391</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Exportno-importná banka SR</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239</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489</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-250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hyperlink r:id="rId12" w:anchor="RANGE!A1" w:history="1">
              <w:r w:rsidRPr="00337643">
                <w:rPr>
                  <w:rFonts w:ascii="Times New Roman" w:hAnsi="Times New Roman" w:cs="Times New Roman"/>
                  <w:color w:val="000000"/>
                  <w:sz w:val="20"/>
                  <w:szCs w:val="20"/>
                  <w:lang w:eastAsia="sk-SK"/>
                </w:rPr>
                <w:t>Lesy SR, š.p.</w:t>
              </w:r>
            </w:hyperlink>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3 290</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7 790</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-5 300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1 616</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-816</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Slov. vodohospodársky podnik, š.p.</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32 824</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-4 509</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37 333</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Vodohospodárska výstavba, š.p.</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154</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923</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92</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-861</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hyperlink r:id="rId12" w:anchor="RANGE!A1" w:history="1">
              <w:r w:rsidRPr="00337643">
                <w:rPr>
                  <w:rFonts w:ascii="Times New Roman" w:hAnsi="Times New Roman" w:cs="Times New Roman"/>
                  <w:color w:val="000000"/>
                  <w:sz w:val="20"/>
                  <w:szCs w:val="20"/>
                  <w:lang w:eastAsia="sk-SK"/>
                </w:rPr>
                <w:t>Tipos, nár.lot.spol., a.s.</w:t>
              </w:r>
            </w:hyperlink>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-4 669</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7 300</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-8 566</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-3 403</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Slovenská pošta,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2 472</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2 183</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-6</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295</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Verejné prístavy,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533</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810</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-269</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-8</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 xml:space="preserve">Letisko M. R. Štefánika - A.B., a.s. </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-7 196</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-7 320</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123</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Transpetrol, a.s.</w:t>
            </w: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-212</w:t>
            </w: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7 130</w:t>
            </w: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-7 000</w:t>
            </w: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-342</w:t>
            </w:r>
          </w:p>
        </w:tc>
      </w:tr>
      <w:tr>
        <w:tblPrEx>
          <w:tblW w:w="5000" w:type="pct"/>
          <w:tblCellMar>
            <w:left w:w="70" w:type="dxa"/>
            <w:right w:w="70" w:type="dxa"/>
          </w:tblCellMar>
          <w:tblLook w:val="04A0"/>
        </w:tblPrEx>
        <w:trPr>
          <w:trHeight w:val="255"/>
        </w:trPr>
        <w:tc>
          <w:tcPr>
            <w:tcW w:w="1741" w:type="pct"/>
            <w:tcBorders>
              <w:top w:val="nil"/>
              <w:left w:val="nil"/>
              <w:bottom w:val="single" w:sz="4" w:space="0" w:color="auto"/>
              <w:right w:val="nil"/>
            </w:tcBorders>
            <w:noWrap/>
            <w:textDirection w:val="lrTb"/>
            <w:vAlign w:val="bottom"/>
            <w:hideMark/>
          </w:tcPr>
          <w:p w:rsidR="008117A9" w:rsidRPr="00337643" w:rsidP="00A97D6F">
            <w:pPr>
              <w:bidi w:val="0"/>
              <w:spacing w:after="0" w:line="240" w:lineRule="auto"/>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Jadrová a vyraď. spoločnosť, a. s.</w:t>
            </w:r>
          </w:p>
        </w:tc>
        <w:tc>
          <w:tcPr>
            <w:tcW w:w="543" w:type="pct"/>
            <w:tcBorders>
              <w:top w:val="nil"/>
              <w:left w:val="nil"/>
              <w:bottom w:val="single" w:sz="4" w:space="0" w:color="auto"/>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6 918</w:t>
            </w:r>
          </w:p>
        </w:tc>
        <w:tc>
          <w:tcPr>
            <w:tcW w:w="641" w:type="pct"/>
            <w:tcBorders>
              <w:top w:val="nil"/>
              <w:left w:val="nil"/>
              <w:bottom w:val="single" w:sz="4" w:space="0" w:color="auto"/>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14 196</w:t>
            </w:r>
          </w:p>
        </w:tc>
        <w:tc>
          <w:tcPr>
            <w:tcW w:w="505" w:type="pct"/>
            <w:tcBorders>
              <w:top w:val="nil"/>
              <w:left w:val="nil"/>
              <w:bottom w:val="single" w:sz="4" w:space="0" w:color="auto"/>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-5 000</w:t>
            </w:r>
          </w:p>
        </w:tc>
        <w:tc>
          <w:tcPr>
            <w:tcW w:w="532" w:type="pct"/>
            <w:tcBorders>
              <w:top w:val="nil"/>
              <w:left w:val="nil"/>
              <w:bottom w:val="single" w:sz="4" w:space="0" w:color="auto"/>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-384</w:t>
            </w:r>
          </w:p>
        </w:tc>
        <w:tc>
          <w:tcPr>
            <w:tcW w:w="578" w:type="pct"/>
            <w:tcBorders>
              <w:top w:val="nil"/>
              <w:left w:val="nil"/>
              <w:bottom w:val="single" w:sz="4" w:space="0" w:color="auto"/>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0</w:t>
            </w:r>
          </w:p>
        </w:tc>
        <w:tc>
          <w:tcPr>
            <w:tcW w:w="460" w:type="pct"/>
            <w:gridSpan w:val="2"/>
            <w:tcBorders>
              <w:top w:val="nil"/>
              <w:left w:val="nil"/>
              <w:bottom w:val="single" w:sz="4" w:space="0" w:color="auto"/>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r w:rsidRPr="00337643">
              <w:rPr>
                <w:rFonts w:ascii="Times New Roman" w:hAnsi="Times New Roman" w:cs="Times New Roman"/>
                <w:color w:val="000000"/>
                <w:sz w:val="20"/>
                <w:szCs w:val="20"/>
                <w:lang w:eastAsia="sk-SK"/>
              </w:rPr>
              <w:t>-1 895</w:t>
            </w:r>
          </w:p>
        </w:tc>
      </w:tr>
      <w:tr>
        <w:tblPrEx>
          <w:tblW w:w="5000" w:type="pct"/>
          <w:tblCellMar>
            <w:left w:w="70" w:type="dxa"/>
            <w:right w:w="70" w:type="dxa"/>
          </w:tblCellMar>
          <w:tblLook w:val="04A0"/>
        </w:tblPrEx>
        <w:trPr>
          <w:trHeight w:val="255"/>
        </w:trPr>
        <w:tc>
          <w:tcPr>
            <w:tcW w:w="1741" w:type="pct"/>
            <w:tcBorders>
              <w:top w:val="nil"/>
              <w:left w:val="nil"/>
              <w:bottom w:val="nil"/>
              <w:right w:val="nil"/>
            </w:tcBorders>
            <w:noWrap/>
            <w:textDirection w:val="lrTb"/>
            <w:vAlign w:val="bottom"/>
            <w:hideMark/>
          </w:tcPr>
          <w:p w:rsidR="008117A9" w:rsidRPr="00337643" w:rsidP="00A97D6F">
            <w:pPr>
              <w:bidi w:val="0"/>
              <w:spacing w:after="0" w:line="240" w:lineRule="auto"/>
              <w:jc w:val="right"/>
              <w:rPr>
                <w:rFonts w:ascii="Times New Roman" w:hAnsi="Times New Roman" w:cs="Times New Roman"/>
                <w:color w:val="000000"/>
                <w:sz w:val="20"/>
                <w:szCs w:val="20"/>
                <w:lang w:eastAsia="sk-SK"/>
              </w:rPr>
            </w:pPr>
          </w:p>
        </w:tc>
        <w:tc>
          <w:tcPr>
            <w:tcW w:w="543"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sz w:val="20"/>
                <w:szCs w:val="20"/>
                <w:lang w:eastAsia="sk-SK"/>
              </w:rPr>
            </w:pPr>
          </w:p>
        </w:tc>
        <w:tc>
          <w:tcPr>
            <w:tcW w:w="641"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sz w:val="20"/>
                <w:szCs w:val="20"/>
                <w:lang w:eastAsia="sk-SK"/>
              </w:rPr>
            </w:pPr>
          </w:p>
        </w:tc>
        <w:tc>
          <w:tcPr>
            <w:tcW w:w="505"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sz w:val="20"/>
                <w:szCs w:val="20"/>
                <w:lang w:eastAsia="sk-SK"/>
              </w:rPr>
            </w:pPr>
          </w:p>
        </w:tc>
        <w:tc>
          <w:tcPr>
            <w:tcW w:w="532"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sz w:val="20"/>
                <w:szCs w:val="20"/>
                <w:lang w:eastAsia="sk-SK"/>
              </w:rPr>
            </w:pPr>
          </w:p>
        </w:tc>
        <w:tc>
          <w:tcPr>
            <w:tcW w:w="578" w:type="pct"/>
            <w:tcBorders>
              <w:top w:val="nil"/>
              <w:left w:val="nil"/>
              <w:bottom w:val="nil"/>
              <w:right w:val="nil"/>
            </w:tcBorders>
            <w:noWrap/>
            <w:textDirection w:val="lrTb"/>
            <w:vAlign w:val="bottom"/>
            <w:hideMark/>
          </w:tcPr>
          <w:p w:rsidR="008117A9" w:rsidRPr="00337643" w:rsidP="00A97D6F">
            <w:pPr>
              <w:bidi w:val="0"/>
              <w:spacing w:after="0" w:line="240" w:lineRule="auto"/>
              <w:rPr>
                <w:rFonts w:ascii="Times New Roman" w:hAnsi="Times New Roman" w:cs="Times New Roman"/>
                <w:sz w:val="20"/>
                <w:szCs w:val="20"/>
                <w:lang w:eastAsia="sk-SK"/>
              </w:rPr>
            </w:pPr>
          </w:p>
        </w:tc>
        <w:tc>
          <w:tcPr>
            <w:tcW w:w="460" w:type="pct"/>
            <w:gridSpan w:val="2"/>
            <w:tcBorders>
              <w:top w:val="nil"/>
              <w:left w:val="nil"/>
              <w:bottom w:val="nil"/>
              <w:right w:val="nil"/>
            </w:tcBorders>
            <w:noWrap/>
            <w:textDirection w:val="lrTb"/>
            <w:vAlign w:val="center"/>
            <w:hideMark/>
          </w:tcPr>
          <w:p w:rsidR="008117A9" w:rsidRPr="00337643" w:rsidP="00A97D6F">
            <w:pPr>
              <w:bidi w:val="0"/>
              <w:spacing w:after="0" w:line="240" w:lineRule="auto"/>
              <w:jc w:val="right"/>
              <w:rPr>
                <w:rFonts w:ascii="Times New Roman" w:hAnsi="Times New Roman" w:cs="Times New Roman"/>
                <w:i/>
                <w:iCs/>
                <w:color w:val="000000"/>
                <w:sz w:val="16"/>
                <w:szCs w:val="16"/>
                <w:lang w:eastAsia="sk-SK"/>
              </w:rPr>
            </w:pPr>
            <w:r w:rsidRPr="00337643">
              <w:rPr>
                <w:rFonts w:ascii="Times New Roman" w:hAnsi="Times New Roman" w:cs="Times New Roman"/>
                <w:i/>
                <w:iCs/>
                <w:color w:val="000000"/>
                <w:sz w:val="16"/>
                <w:szCs w:val="16"/>
                <w:lang w:eastAsia="sk-SK"/>
              </w:rPr>
              <w:t>Zdroj: IÚZ</w:t>
            </w:r>
          </w:p>
        </w:tc>
      </w:tr>
    </w:tbl>
    <w:p w:rsidR="008117A9" w:rsidP="008117A9">
      <w:pPr>
        <w:bidi w:val="0"/>
        <w:spacing w:after="120" w:line="336" w:lineRule="auto"/>
        <w:jc w:val="both"/>
        <w:rPr>
          <w:rFonts w:ascii="Times New Roman" w:hAnsi="Times New Roman" w:cs="Times New Roman"/>
          <w:b/>
          <w:szCs w:val="22"/>
        </w:rPr>
      </w:pPr>
      <w:r w:rsidRPr="00807502">
        <w:rPr>
          <w:rFonts w:ascii="Times New Roman" w:hAnsi="Times New Roman" w:cs="Times New Roman"/>
          <w:b/>
          <w:szCs w:val="22"/>
        </w:rPr>
        <w:t>Slovenský plynárenský priemysel, a.s (ďalej „</w:t>
      </w:r>
      <w:r>
        <w:rPr>
          <w:rFonts w:ascii="Times New Roman" w:hAnsi="Times New Roman" w:cs="Times New Roman"/>
          <w:b/>
          <w:szCs w:val="22"/>
        </w:rPr>
        <w:t>SPP</w:t>
      </w:r>
      <w:r w:rsidRPr="00807502">
        <w:rPr>
          <w:rFonts w:ascii="Times New Roman" w:hAnsi="Times New Roman" w:cs="Times New Roman"/>
          <w:b/>
          <w:szCs w:val="22"/>
        </w:rPr>
        <w:t>“)</w:t>
      </w:r>
    </w:p>
    <w:p w:rsidR="008117A9" w:rsidRPr="00807502" w:rsidP="008117A9">
      <w:pPr>
        <w:bidi w:val="0"/>
        <w:spacing w:after="120" w:line="336" w:lineRule="auto"/>
        <w:jc w:val="both"/>
        <w:rPr>
          <w:rFonts w:ascii="Times New Roman" w:hAnsi="Times New Roman" w:cs="Times New Roman"/>
          <w:szCs w:val="22"/>
        </w:rPr>
      </w:pPr>
      <w:r w:rsidRPr="00807502">
        <w:rPr>
          <w:rFonts w:ascii="Times New Roman" w:hAnsi="Times New Roman" w:cs="Times New Roman"/>
          <w:szCs w:val="22"/>
        </w:rPr>
        <w:t xml:space="preserve">Medziročný nárast </w:t>
      </w:r>
      <w:r>
        <w:rPr>
          <w:rFonts w:ascii="Times New Roman" w:hAnsi="Times New Roman" w:cs="Times New Roman"/>
          <w:szCs w:val="22"/>
        </w:rPr>
        <w:t xml:space="preserve">vlastného imania v roku 2015 o </w:t>
      </w:r>
      <w:r w:rsidRPr="00807502">
        <w:rPr>
          <w:rFonts w:ascii="Times New Roman" w:hAnsi="Times New Roman" w:cs="Times New Roman"/>
          <w:szCs w:val="22"/>
        </w:rPr>
        <w:t>150</w:t>
      </w:r>
      <w:r>
        <w:rPr>
          <w:rFonts w:ascii="Times New Roman" w:hAnsi="Times New Roman" w:cs="Times New Roman"/>
          <w:szCs w:val="22"/>
        </w:rPr>
        <w:t> </w:t>
      </w:r>
      <w:r w:rsidRPr="00807502">
        <w:rPr>
          <w:rFonts w:ascii="Times New Roman" w:hAnsi="Times New Roman" w:cs="Times New Roman"/>
          <w:szCs w:val="22"/>
        </w:rPr>
        <w:t>599</w:t>
      </w:r>
      <w:r>
        <w:rPr>
          <w:rFonts w:ascii="Times New Roman" w:hAnsi="Times New Roman" w:cs="Times New Roman"/>
          <w:szCs w:val="22"/>
        </w:rPr>
        <w:t> tis. eur</w:t>
      </w:r>
      <w:r w:rsidRPr="00807502">
        <w:rPr>
          <w:rFonts w:ascii="Times New Roman" w:hAnsi="Times New Roman" w:cs="Times New Roman"/>
          <w:szCs w:val="22"/>
        </w:rPr>
        <w:t xml:space="preserve"> bol pozitívne ovplyvnený výsledkom hospodárenia v sume 435 119 tis. eur (nárast o 66 %). Negatívny dopad malo vyplatenie dividendy 288 547 tis. eur</w:t>
      </w:r>
      <w:r>
        <w:rPr>
          <w:rFonts w:ascii="Times New Roman" w:hAnsi="Times New Roman" w:cs="Times New Roman"/>
          <w:szCs w:val="22"/>
        </w:rPr>
        <w:t xml:space="preserve">, pričom podiel ESA dividendy tvoril sumu 126 970 tis. eur a zvyšných 161 577 tis. eur pripadol na superdividendu. </w:t>
      </w:r>
      <w:r w:rsidRPr="00807502">
        <w:rPr>
          <w:rFonts w:ascii="Times New Roman" w:hAnsi="Times New Roman" w:cs="Times New Roman"/>
          <w:szCs w:val="22"/>
        </w:rPr>
        <w:t xml:space="preserve">Na ostatných zmenách </w:t>
      </w:r>
      <w:r>
        <w:rPr>
          <w:rFonts w:ascii="Times New Roman" w:hAnsi="Times New Roman" w:cs="Times New Roman"/>
          <w:szCs w:val="22"/>
        </w:rPr>
        <w:t xml:space="preserve"> v sume </w:t>
      </w:r>
      <w:r w:rsidRPr="00807502">
        <w:rPr>
          <w:rFonts w:ascii="Times New Roman" w:hAnsi="Times New Roman" w:cs="Times New Roman"/>
          <w:szCs w:val="22"/>
        </w:rPr>
        <w:t>4 027 tis. eur sa naj</w:t>
      </w:r>
      <w:r>
        <w:rPr>
          <w:rFonts w:ascii="Times New Roman" w:hAnsi="Times New Roman" w:cs="Times New Roman"/>
          <w:szCs w:val="22"/>
        </w:rPr>
        <w:t>výraznejšie podieľalo zníženie r</w:t>
      </w:r>
      <w:r w:rsidRPr="00807502">
        <w:rPr>
          <w:rFonts w:ascii="Times New Roman" w:hAnsi="Times New Roman" w:cs="Times New Roman"/>
          <w:szCs w:val="22"/>
        </w:rPr>
        <w:t xml:space="preserve">ezervy zo zabezpečovacích derivátov </w:t>
      </w:r>
      <w:r>
        <w:rPr>
          <w:rFonts w:ascii="Times New Roman" w:hAnsi="Times New Roman" w:cs="Times New Roman"/>
          <w:szCs w:val="22"/>
        </w:rPr>
        <w:t>o</w:t>
      </w:r>
      <w:r w:rsidRPr="00807502">
        <w:rPr>
          <w:rFonts w:ascii="Times New Roman" w:hAnsi="Times New Roman" w:cs="Times New Roman"/>
          <w:szCs w:val="22"/>
        </w:rPr>
        <w:t xml:space="preserve"> 4 033 tis. eur.</w:t>
      </w:r>
    </w:p>
    <w:p w:rsidR="008117A9" w:rsidP="008117A9">
      <w:pPr>
        <w:bidi w:val="0"/>
        <w:spacing w:after="120" w:line="336" w:lineRule="auto"/>
        <w:jc w:val="both"/>
        <w:rPr>
          <w:rFonts w:ascii="Times New Roman" w:hAnsi="Times New Roman" w:cs="Times New Roman"/>
          <w:szCs w:val="22"/>
        </w:rPr>
      </w:pPr>
      <w:r w:rsidRPr="00807502">
        <w:rPr>
          <w:rFonts w:ascii="Times New Roman" w:hAnsi="Times New Roman" w:cs="Times New Roman"/>
          <w:szCs w:val="22"/>
        </w:rPr>
        <w:t>Výnosy z predaja zemného plynu a elektrickej energie dosiahli hodnotu 1 332 501 tis. eur, čo v medziročnom porovnaní predstavuje pokles o</w:t>
      </w:r>
      <w:r>
        <w:rPr>
          <w:rFonts w:ascii="Times New Roman" w:hAnsi="Times New Roman" w:cs="Times New Roman"/>
          <w:szCs w:val="22"/>
        </w:rPr>
        <w:t> 12,6 %</w:t>
      </w:r>
      <w:r w:rsidRPr="00807502">
        <w:rPr>
          <w:rFonts w:ascii="Times New Roman" w:hAnsi="Times New Roman" w:cs="Times New Roman"/>
          <w:szCs w:val="22"/>
        </w:rPr>
        <w:t xml:space="preserve">. Výšku výnosov ovplyvnil najmä nižší predaj </w:t>
      </w:r>
      <w:r>
        <w:rPr>
          <w:rFonts w:ascii="Times New Roman" w:hAnsi="Times New Roman" w:cs="Times New Roman"/>
          <w:szCs w:val="22"/>
        </w:rPr>
        <w:t xml:space="preserve">objemu </w:t>
      </w:r>
      <w:r w:rsidRPr="00807502">
        <w:rPr>
          <w:rFonts w:ascii="Times New Roman" w:hAnsi="Times New Roman" w:cs="Times New Roman"/>
          <w:szCs w:val="22"/>
        </w:rPr>
        <w:t>zemnéh</w:t>
      </w:r>
      <w:r>
        <w:rPr>
          <w:rFonts w:ascii="Times New Roman" w:hAnsi="Times New Roman" w:cs="Times New Roman"/>
          <w:szCs w:val="22"/>
        </w:rPr>
        <w:t>o plynu</w:t>
      </w:r>
      <w:r w:rsidRPr="00807502">
        <w:rPr>
          <w:rFonts w:ascii="Times New Roman" w:hAnsi="Times New Roman" w:cs="Times New Roman"/>
          <w:szCs w:val="22"/>
        </w:rPr>
        <w:t xml:space="preserve">, znižujúca cena plynu na svetových trhoch a posilnenie konkurencie. Opatrenia zamerané na úsporu a efektívnejšie využívanie energií, iné palivá v podobe obnoviteľných zdrojov energie a uhlia, nadpriemerné teploty sú faktormi ovplyvňujúcimi </w:t>
      </w:r>
      <w:r>
        <w:rPr>
          <w:rFonts w:ascii="Times New Roman" w:hAnsi="Times New Roman" w:cs="Times New Roman"/>
          <w:szCs w:val="22"/>
        </w:rPr>
        <w:t xml:space="preserve">zníženú </w:t>
      </w:r>
      <w:r w:rsidRPr="00807502">
        <w:rPr>
          <w:rFonts w:ascii="Times New Roman" w:hAnsi="Times New Roman" w:cs="Times New Roman"/>
          <w:szCs w:val="22"/>
        </w:rPr>
        <w:t>spotrebu</w:t>
      </w:r>
      <w:r>
        <w:rPr>
          <w:rFonts w:ascii="Times New Roman" w:hAnsi="Times New Roman" w:cs="Times New Roman"/>
          <w:szCs w:val="22"/>
        </w:rPr>
        <w:t xml:space="preserve"> plynu</w:t>
      </w:r>
      <w:r w:rsidRPr="00807502">
        <w:rPr>
          <w:rFonts w:ascii="Times New Roman" w:hAnsi="Times New Roman" w:cs="Times New Roman"/>
          <w:szCs w:val="22"/>
        </w:rPr>
        <w:t xml:space="preserve">. </w:t>
      </w:r>
    </w:p>
    <w:p w:rsidR="008117A9"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Oproti tomu t</w:t>
      </w:r>
      <w:r w:rsidRPr="00807502">
        <w:rPr>
          <w:rFonts w:ascii="Times New Roman" w:hAnsi="Times New Roman" w:cs="Times New Roman"/>
          <w:szCs w:val="22"/>
        </w:rPr>
        <w:t xml:space="preserve">ržby za elektrickú energiu zaznamenali v roku 2015 viac ako dvojnásobný medziročný rast. Trend rastu predaja elektrickej energie plánuje SPP udržať. V roku 2015 sa </w:t>
      </w:r>
      <w:r>
        <w:rPr>
          <w:rFonts w:ascii="Times New Roman" w:hAnsi="Times New Roman" w:cs="Times New Roman"/>
          <w:szCs w:val="22"/>
        </w:rPr>
        <w:t>spoločnosti</w:t>
      </w:r>
      <w:r w:rsidRPr="00807502">
        <w:rPr>
          <w:rFonts w:ascii="Times New Roman" w:hAnsi="Times New Roman" w:cs="Times New Roman"/>
          <w:szCs w:val="22"/>
        </w:rPr>
        <w:t xml:space="preserve"> prvý krát podaril pokles počtu odberných miest v dodávke plynu prevýšiť novými odbernými miestami v dodávke elektriny. Náklady na nákup zemného plyn</w:t>
      </w:r>
      <w:r>
        <w:rPr>
          <w:rFonts w:ascii="Times New Roman" w:hAnsi="Times New Roman" w:cs="Times New Roman"/>
          <w:szCs w:val="22"/>
        </w:rPr>
        <w:t>u</w:t>
      </w:r>
      <w:r w:rsidRPr="00807502">
        <w:rPr>
          <w:rFonts w:ascii="Times New Roman" w:hAnsi="Times New Roman" w:cs="Times New Roman"/>
          <w:szCs w:val="22"/>
        </w:rPr>
        <w:t>, zmena stavu zásob, nákup elektrickej energie, spotreba materiálu a energie zaznamenali pokles o</w:t>
      </w:r>
      <w:r>
        <w:rPr>
          <w:rFonts w:ascii="Times New Roman" w:hAnsi="Times New Roman" w:cs="Times New Roman"/>
          <w:szCs w:val="22"/>
        </w:rPr>
        <w:t> 12,6 %.</w:t>
      </w:r>
      <w:r w:rsidRPr="00807502">
        <w:rPr>
          <w:rFonts w:ascii="Times New Roman" w:hAnsi="Times New Roman" w:cs="Times New Roman"/>
          <w:szCs w:val="22"/>
        </w:rPr>
        <w:t xml:space="preserve"> </w:t>
      </w:r>
    </w:p>
    <w:p w:rsidR="008117A9" w:rsidRPr="00807502" w:rsidP="00F5568F">
      <w:pPr>
        <w:bidi w:val="0"/>
        <w:spacing w:after="120" w:line="336" w:lineRule="auto"/>
        <w:jc w:val="both"/>
        <w:rPr>
          <w:rFonts w:ascii="Times New Roman" w:hAnsi="Times New Roman" w:cs="Times New Roman"/>
          <w:szCs w:val="22"/>
        </w:rPr>
      </w:pPr>
      <w:r w:rsidRPr="00807502">
        <w:rPr>
          <w:rFonts w:ascii="Times New Roman" w:hAnsi="Times New Roman" w:cs="Times New Roman"/>
          <w:szCs w:val="22"/>
        </w:rPr>
        <w:t>Najvyššiu úsporu zaznamenali náklady na nákup zemného plynu, ktoré súviseli najmä s p</w:t>
      </w:r>
      <w:r>
        <w:rPr>
          <w:rFonts w:ascii="Times New Roman" w:hAnsi="Times New Roman" w:cs="Times New Roman"/>
          <w:szCs w:val="22"/>
        </w:rPr>
        <w:t>oklesom objemu nakúpeného plynu a</w:t>
      </w:r>
      <w:r w:rsidRPr="00807502">
        <w:rPr>
          <w:rFonts w:ascii="Times New Roman" w:hAnsi="Times New Roman" w:cs="Times New Roman"/>
          <w:szCs w:val="22"/>
        </w:rPr>
        <w:t xml:space="preserve"> cien CNG (stlačeného zemného plynu) na medzinárodných trhoch. </w:t>
      </w:r>
      <w:r w:rsidR="00F5568F">
        <w:rPr>
          <w:rFonts w:ascii="Times New Roman" w:hAnsi="Times New Roman"/>
        </w:rPr>
        <w:t xml:space="preserve">V roku 2015 došlo k významnému zníženiu osobitného odvodu do štátneho rozpočtu o 180 321 tis. eur z dôvodu, že v roku 2014 </w:t>
      </w:r>
      <w:r w:rsidRPr="00F5568F" w:rsidR="00F5568F">
        <w:rPr>
          <w:rFonts w:ascii="Times New Roman" w:hAnsi="Times New Roman" w:cs="Times New Roman"/>
          <w:szCs w:val="22"/>
        </w:rPr>
        <w:t>spoločnosť</w:t>
      </w:r>
      <w:r w:rsidR="00F5568F">
        <w:rPr>
          <w:rFonts w:ascii="Times New Roman" w:hAnsi="Times New Roman"/>
        </w:rPr>
        <w:t xml:space="preserve"> vykázala vysoký zisk z predaja finančných investícií, z predaja obchodného podielu dcérskej spoločnosti  SPP Infastructure, a.s. a z precenenia obchodných podielov v dcérskych a pridružených spoločnostiach.</w:t>
      </w:r>
      <w:r w:rsidR="00F5568F">
        <w:t xml:space="preserve"> </w:t>
      </w:r>
      <w:r>
        <w:rPr>
          <w:rFonts w:ascii="Times New Roman" w:hAnsi="Times New Roman" w:cs="Times New Roman"/>
          <w:szCs w:val="22"/>
        </w:rPr>
        <w:t>V</w:t>
      </w:r>
      <w:r w:rsidRPr="00807502">
        <w:rPr>
          <w:rFonts w:ascii="Times New Roman" w:hAnsi="Times New Roman" w:cs="Times New Roman"/>
          <w:szCs w:val="22"/>
        </w:rPr>
        <w:t xml:space="preserve"> súvahe </w:t>
      </w:r>
      <w:r>
        <w:rPr>
          <w:rFonts w:ascii="Times New Roman" w:hAnsi="Times New Roman" w:cs="Times New Roman"/>
          <w:szCs w:val="22"/>
        </w:rPr>
        <w:t>k</w:t>
      </w:r>
      <w:r w:rsidRPr="00807502">
        <w:rPr>
          <w:rFonts w:ascii="Times New Roman" w:hAnsi="Times New Roman" w:cs="Times New Roman"/>
          <w:szCs w:val="22"/>
        </w:rPr>
        <w:t xml:space="preserve"> 31. 12. 201</w:t>
      </w:r>
      <w:r>
        <w:rPr>
          <w:rFonts w:ascii="Times New Roman" w:hAnsi="Times New Roman" w:cs="Times New Roman"/>
          <w:szCs w:val="22"/>
        </w:rPr>
        <w:t>5</w:t>
      </w:r>
      <w:r w:rsidRPr="00807502">
        <w:rPr>
          <w:rFonts w:ascii="Times New Roman" w:hAnsi="Times New Roman" w:cs="Times New Roman"/>
          <w:szCs w:val="22"/>
        </w:rPr>
        <w:t xml:space="preserve"> spoločnosť vykazuje odhad výšky preplatku z osobitného odvodu z podnikania v regulovaných </w:t>
      </w:r>
      <w:r w:rsidR="00293952">
        <w:rPr>
          <w:rFonts w:ascii="Times New Roman" w:hAnsi="Times New Roman" w:cs="Times New Roman"/>
          <w:szCs w:val="22"/>
        </w:rPr>
        <w:t>odvetviach vo výške 30 547 tis. </w:t>
      </w:r>
      <w:r w:rsidRPr="00807502">
        <w:rPr>
          <w:rFonts w:ascii="Times New Roman" w:hAnsi="Times New Roman" w:cs="Times New Roman"/>
          <w:szCs w:val="22"/>
        </w:rPr>
        <w:t xml:space="preserve">eur. </w:t>
      </w:r>
    </w:p>
    <w:p w:rsidR="008117A9" w:rsidRPr="00337643" w:rsidP="008117A9">
      <w:pPr>
        <w:bidi w:val="0"/>
        <w:spacing w:after="120" w:line="336" w:lineRule="auto"/>
        <w:jc w:val="both"/>
        <w:rPr>
          <w:rFonts w:ascii="Times New Roman" w:hAnsi="Times New Roman" w:cs="Times New Roman"/>
          <w:b/>
          <w:szCs w:val="22"/>
        </w:rPr>
      </w:pPr>
      <w:r w:rsidRPr="00337643">
        <w:rPr>
          <w:rFonts w:ascii="Times New Roman" w:hAnsi="Times New Roman" w:cs="Times New Roman"/>
          <w:b/>
          <w:szCs w:val="22"/>
        </w:rPr>
        <w:t>Západoslovenská energetika, a.s. (ďalej „ZSE“)</w:t>
      </w:r>
    </w:p>
    <w:p w:rsidR="008117A9" w:rsidRPr="00337643" w:rsidP="008117A9">
      <w:pPr>
        <w:bidi w:val="0"/>
        <w:spacing w:after="120" w:line="336" w:lineRule="auto"/>
        <w:jc w:val="both"/>
        <w:rPr>
          <w:rFonts w:ascii="Times New Roman" w:hAnsi="Times New Roman" w:cs="Times New Roman"/>
          <w:szCs w:val="22"/>
        </w:rPr>
      </w:pPr>
      <w:r w:rsidRPr="00337643">
        <w:rPr>
          <w:rFonts w:ascii="Times New Roman" w:hAnsi="Times New Roman" w:cs="Times New Roman"/>
          <w:szCs w:val="22"/>
        </w:rPr>
        <w:t>Vlastné imanie ZSE sa v roku 2015 znížilo v porovnaní s predchádzajúcim rokom o 2 968 tis. eur. Výšku vlastného imania negatívne ovplyvnila predovšetkým výplata divi</w:t>
      </w:r>
      <w:r>
        <w:rPr>
          <w:rFonts w:ascii="Times New Roman" w:hAnsi="Times New Roman" w:cs="Times New Roman"/>
          <w:szCs w:val="22"/>
        </w:rPr>
        <w:t>dend v sume 60 958 tis. eur</w:t>
      </w:r>
      <w:r w:rsidRPr="00337643">
        <w:rPr>
          <w:rFonts w:ascii="Times New Roman" w:hAnsi="Times New Roman" w:cs="Times New Roman"/>
          <w:szCs w:val="22"/>
        </w:rPr>
        <w:t>. Z nej superdividenda, vzťahujúca sa na vlastnícky podiel štátu bola v roku 2015 zaznamenaná vo výške 865 tis. eur a ESA dividenda vzťahujúca sa na vlastnícky podiel štátu bola za rok 2015 vykázaná vo výške 30 223 tis. eur. Naopak, pozitívne na výšku vlastného imania ZSE pôsobil čistý zisk sumou 57 935 tis. eur</w:t>
      </w:r>
      <w:r>
        <w:rPr>
          <w:rFonts w:ascii="Times New Roman" w:hAnsi="Times New Roman" w:cs="Times New Roman"/>
          <w:szCs w:val="22"/>
        </w:rPr>
        <w:t>.</w:t>
      </w:r>
      <w:r w:rsidRPr="00337643">
        <w:rPr>
          <w:rFonts w:ascii="Times New Roman" w:hAnsi="Times New Roman" w:cs="Times New Roman"/>
          <w:szCs w:val="22"/>
        </w:rPr>
        <w:t xml:space="preserve"> </w:t>
      </w:r>
    </w:p>
    <w:p w:rsidR="008117A9" w:rsidRPr="00337643"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Čistý zisk medziročne klesol o 5,6 % a jeho vývoj </w:t>
      </w:r>
      <w:r w:rsidRPr="00D15114">
        <w:rPr>
          <w:rFonts w:ascii="Times New Roman" w:hAnsi="Times New Roman" w:cs="Times New Roman"/>
          <w:szCs w:val="22"/>
        </w:rPr>
        <w:t>ovplyvnila hlavne prevádzková činnosť.</w:t>
      </w:r>
      <w:r>
        <w:rPr>
          <w:rFonts w:ascii="Times New Roman" w:hAnsi="Times New Roman" w:cs="Times New Roman"/>
          <w:szCs w:val="22"/>
        </w:rPr>
        <w:br/>
      </w:r>
      <w:r w:rsidRPr="00337643">
        <w:rPr>
          <w:rFonts w:ascii="Times New Roman" w:hAnsi="Times New Roman" w:cs="Times New Roman"/>
          <w:szCs w:val="22"/>
        </w:rPr>
        <w:t>V porovnaní s rokom 2014 došlo k výraznejšiemu poklesu tržieb o 24,1 %</w:t>
      </w:r>
      <w:r>
        <w:rPr>
          <w:rFonts w:ascii="Times New Roman" w:hAnsi="Times New Roman" w:cs="Times New Roman"/>
          <w:szCs w:val="22"/>
        </w:rPr>
        <w:t xml:space="preserve"> za služby poskytované </w:t>
      </w:r>
      <w:r w:rsidRPr="00337643">
        <w:rPr>
          <w:rFonts w:ascii="Times New Roman" w:hAnsi="Times New Roman" w:cs="Times New Roman"/>
          <w:szCs w:val="22"/>
        </w:rPr>
        <w:t xml:space="preserve">dcérskym a pridruženým spoločnostiam. </w:t>
      </w:r>
      <w:r>
        <w:rPr>
          <w:rFonts w:ascii="Times New Roman" w:hAnsi="Times New Roman" w:cs="Times New Roman"/>
          <w:szCs w:val="22"/>
        </w:rPr>
        <w:t xml:space="preserve">Pokles súvisí aj s organizačnými zmenami v posledných dvoch rokoch, keď ZSE postupne vyčleňovala niektoré činnosti do dcérskych spoločností (v roku 2014 to boli napríklad služby v oblasti investícií a prevádzky distribučnej siete a v roku 2015 zákaznícke služby). </w:t>
      </w:r>
      <w:r w:rsidRPr="00337643">
        <w:rPr>
          <w:rFonts w:ascii="Times New Roman" w:hAnsi="Times New Roman" w:cs="Times New Roman"/>
          <w:szCs w:val="22"/>
        </w:rPr>
        <w:t xml:space="preserve">Významne negatívny vplyv na čistý zisk mali aj nižšie výnosy z dividend od dcérskych spoločností (v porovnaní s rokom 2014 pokles o 19,8 %). Obdobne ako v roku 2014 aj v roku 2015 bol významný pokles </w:t>
      </w:r>
      <w:r>
        <w:rPr>
          <w:rFonts w:ascii="Times New Roman" w:hAnsi="Times New Roman" w:cs="Times New Roman"/>
          <w:szCs w:val="22"/>
        </w:rPr>
        <w:t xml:space="preserve">dividend </w:t>
      </w:r>
      <w:r w:rsidRPr="00337643">
        <w:rPr>
          <w:rFonts w:ascii="Times New Roman" w:hAnsi="Times New Roman" w:cs="Times New Roman"/>
          <w:szCs w:val="22"/>
        </w:rPr>
        <w:t xml:space="preserve">zaznamenaný </w:t>
      </w:r>
      <w:r>
        <w:rPr>
          <w:rFonts w:ascii="Times New Roman" w:hAnsi="Times New Roman" w:cs="Times New Roman"/>
          <w:szCs w:val="22"/>
        </w:rPr>
        <w:t>za</w:t>
      </w:r>
      <w:r w:rsidRPr="00337643">
        <w:rPr>
          <w:rFonts w:ascii="Times New Roman" w:hAnsi="Times New Roman" w:cs="Times New Roman"/>
          <w:szCs w:val="22"/>
        </w:rPr>
        <w:t xml:space="preserve"> spoločnosti ZSE Energy Solutions, s.r.o. a ZSE Energia, a.s. Oproti tomu došlo k úspore na nákladoch z prevádzkovej činnosti </w:t>
      </w:r>
      <w:r>
        <w:rPr>
          <w:rFonts w:ascii="Times New Roman" w:hAnsi="Times New Roman" w:cs="Times New Roman"/>
          <w:szCs w:val="22"/>
        </w:rPr>
        <w:t xml:space="preserve">o </w:t>
      </w:r>
      <w:r w:rsidRPr="00337643">
        <w:rPr>
          <w:rFonts w:ascii="Times New Roman" w:hAnsi="Times New Roman" w:cs="Times New Roman"/>
          <w:szCs w:val="22"/>
        </w:rPr>
        <w:t>28,9 % (predovšetkým došlo k úspore na poplatkoch za údržbu informačného systému, poradenstvo a zrušenie služieb call centra).</w:t>
      </w:r>
      <w:r>
        <w:rPr>
          <w:rFonts w:ascii="Times New Roman" w:hAnsi="Times New Roman" w:cs="Times New Roman"/>
          <w:szCs w:val="22"/>
        </w:rPr>
        <w:t xml:space="preserve"> </w:t>
      </w:r>
      <w:r w:rsidRPr="00337643">
        <w:rPr>
          <w:rFonts w:ascii="Times New Roman" w:hAnsi="Times New Roman" w:cs="Times New Roman"/>
          <w:szCs w:val="22"/>
        </w:rPr>
        <w:t xml:space="preserve">V roku 2015 významne vzrástli </w:t>
      </w:r>
      <w:r>
        <w:rPr>
          <w:rFonts w:ascii="Times New Roman" w:hAnsi="Times New Roman" w:cs="Times New Roman"/>
          <w:szCs w:val="22"/>
        </w:rPr>
        <w:t xml:space="preserve">v rámci finančných výnosov </w:t>
      </w:r>
      <w:r w:rsidRPr="00337643">
        <w:rPr>
          <w:rFonts w:ascii="Times New Roman" w:hAnsi="Times New Roman" w:cs="Times New Roman"/>
          <w:szCs w:val="22"/>
        </w:rPr>
        <w:t xml:space="preserve">úroky z pôžičiek pre spoločnosť Západoslovenská distribučná, a.s. </w:t>
      </w:r>
      <w:r>
        <w:rPr>
          <w:rFonts w:ascii="Times New Roman" w:hAnsi="Times New Roman" w:cs="Times New Roman"/>
          <w:szCs w:val="22"/>
        </w:rPr>
        <w:t>(nárast</w:t>
      </w:r>
      <w:r w:rsidRPr="00337643">
        <w:rPr>
          <w:rFonts w:ascii="Times New Roman" w:hAnsi="Times New Roman" w:cs="Times New Roman"/>
          <w:szCs w:val="22"/>
        </w:rPr>
        <w:t xml:space="preserve"> o 244,2 %</w:t>
      </w:r>
      <w:r>
        <w:rPr>
          <w:rFonts w:ascii="Times New Roman" w:hAnsi="Times New Roman" w:cs="Times New Roman"/>
          <w:szCs w:val="22"/>
        </w:rPr>
        <w:t>)</w:t>
      </w:r>
      <w:r w:rsidRPr="00337643">
        <w:rPr>
          <w:rFonts w:ascii="Times New Roman" w:hAnsi="Times New Roman" w:cs="Times New Roman"/>
          <w:szCs w:val="22"/>
        </w:rPr>
        <w:t>.</w:t>
      </w:r>
    </w:p>
    <w:p w:rsidR="008117A9" w:rsidRPr="00687361" w:rsidP="008117A9">
      <w:pPr>
        <w:bidi w:val="0"/>
        <w:spacing w:after="120" w:line="336" w:lineRule="auto"/>
        <w:jc w:val="both"/>
        <w:rPr>
          <w:rFonts w:ascii="Times New Roman" w:hAnsi="Times New Roman" w:cs="Times New Roman"/>
          <w:b/>
          <w:szCs w:val="22"/>
        </w:rPr>
      </w:pPr>
      <w:r w:rsidRPr="00687361">
        <w:rPr>
          <w:rFonts w:ascii="Times New Roman" w:hAnsi="Times New Roman" w:cs="Times New Roman"/>
          <w:b/>
          <w:szCs w:val="22"/>
        </w:rPr>
        <w:t>Stredoslovenská energetika, a.s. (ďalej „SSE“)</w:t>
      </w:r>
    </w:p>
    <w:p w:rsidR="008117A9" w:rsidRPr="00687361" w:rsidP="008117A9">
      <w:pPr>
        <w:bidi w:val="0"/>
        <w:spacing w:after="120" w:line="336" w:lineRule="auto"/>
        <w:jc w:val="both"/>
        <w:rPr>
          <w:rFonts w:ascii="Times New Roman" w:hAnsi="Times New Roman" w:cs="Times New Roman"/>
          <w:szCs w:val="22"/>
        </w:rPr>
      </w:pPr>
      <w:r w:rsidRPr="00687361">
        <w:rPr>
          <w:rFonts w:ascii="Times New Roman" w:hAnsi="Times New Roman" w:cs="Times New Roman"/>
          <w:szCs w:val="22"/>
        </w:rPr>
        <w:t>Vlastné imanie SSE sa v roku 2015 zvýšilo o 13 751 tis. eur najmä vplyvom výsledku hospodárenia v sume 65 646 tis. eur. Pozitívny vplyv výsledku hospodárenia zmier</w:t>
      </w:r>
      <w:r>
        <w:rPr>
          <w:rFonts w:ascii="Times New Roman" w:hAnsi="Times New Roman" w:cs="Times New Roman"/>
          <w:szCs w:val="22"/>
        </w:rPr>
        <w:t>nila výplata dividend v sume 51 791 tis. eur</w:t>
      </w:r>
      <w:r w:rsidRPr="00687361">
        <w:rPr>
          <w:rFonts w:ascii="Times New Roman" w:hAnsi="Times New Roman" w:cs="Times New Roman"/>
          <w:szCs w:val="22"/>
        </w:rPr>
        <w:t xml:space="preserve">. </w:t>
      </w:r>
    </w:p>
    <w:p w:rsidR="008117A9" w:rsidRPr="00687361" w:rsidP="008117A9">
      <w:pPr>
        <w:bidi w:val="0"/>
        <w:spacing w:after="120" w:line="336" w:lineRule="auto"/>
        <w:jc w:val="both"/>
        <w:rPr>
          <w:rFonts w:ascii="Times New Roman" w:hAnsi="Times New Roman" w:cs="Times New Roman"/>
          <w:szCs w:val="22"/>
        </w:rPr>
      </w:pPr>
      <w:r w:rsidRPr="00687361">
        <w:rPr>
          <w:rFonts w:ascii="Times New Roman" w:hAnsi="Times New Roman" w:cs="Times New Roman"/>
          <w:szCs w:val="22"/>
        </w:rPr>
        <w:t>Čistý zisk roku 2015 zaznamenal v porovnaní s rokom 2014 nárast o 21,1 %, čo bolo spôsobené predovšetkým zvýšením tržieb za dodávku a distribúciu elektrickej energie a z predaja plynu. Obdobne ako v roku 2014</w:t>
      </w:r>
      <w:r>
        <w:rPr>
          <w:rFonts w:ascii="Times New Roman" w:hAnsi="Times New Roman" w:cs="Times New Roman"/>
          <w:szCs w:val="22"/>
        </w:rPr>
        <w:t>,</w:t>
      </w:r>
      <w:r w:rsidRPr="00687361">
        <w:rPr>
          <w:rFonts w:ascii="Times New Roman" w:hAnsi="Times New Roman" w:cs="Times New Roman"/>
          <w:szCs w:val="22"/>
        </w:rPr>
        <w:t xml:space="preserve"> aj v roku 2015 bol zaznamenaný nárast výnosov z dividend od dcérskych spoločností (podstatnú časť tvoril výnos z dividend prijatý od spoločnosti Stredoslovenská energetika – Distribúcia, a.s. v sume 41 128 tis. eur).</w:t>
      </w:r>
    </w:p>
    <w:p w:rsidR="008117A9" w:rsidRPr="00687361" w:rsidP="008117A9">
      <w:pPr>
        <w:bidi w:val="0"/>
        <w:spacing w:after="120" w:line="336" w:lineRule="auto"/>
        <w:jc w:val="both"/>
        <w:rPr>
          <w:rFonts w:ascii="Times New Roman" w:hAnsi="Times New Roman" w:cs="Times New Roman"/>
          <w:szCs w:val="22"/>
        </w:rPr>
      </w:pPr>
      <w:r w:rsidRPr="00687361">
        <w:rPr>
          <w:rFonts w:ascii="Times New Roman" w:hAnsi="Times New Roman" w:cs="Times New Roman"/>
          <w:szCs w:val="22"/>
        </w:rPr>
        <w:t>Z dôvodu požiadaviek ÚRSO sa k 1. januáru a následne k 31. decembru 2015 uskutočnila ďalšia reorganizácia skupiny SSE, v rámci ktorej bola predaná časť podniku do dcérskej spoločnosti Stredoslovenská energetika – Distribúcia, a.s. (vybran</w:t>
      </w:r>
      <w:r>
        <w:rPr>
          <w:rFonts w:ascii="Times New Roman" w:hAnsi="Times New Roman" w:cs="Times New Roman"/>
          <w:szCs w:val="22"/>
        </w:rPr>
        <w:t>é činnosti odboru d</w:t>
      </w:r>
      <w:r w:rsidRPr="00687361">
        <w:rPr>
          <w:rFonts w:ascii="Times New Roman" w:hAnsi="Times New Roman" w:cs="Times New Roman"/>
          <w:szCs w:val="22"/>
        </w:rPr>
        <w:t>oprava a mechanizácia, a IT činnosti). Z daných transakcií SSE vykázala zisk vo výške 897 tis. eur.</w:t>
      </w:r>
    </w:p>
    <w:p w:rsidR="008117A9" w:rsidRPr="00687361" w:rsidP="008117A9">
      <w:pPr>
        <w:bidi w:val="0"/>
        <w:spacing w:after="120" w:line="336" w:lineRule="auto"/>
        <w:jc w:val="both"/>
        <w:rPr>
          <w:rFonts w:ascii="Times New Roman" w:hAnsi="Times New Roman" w:cs="Times New Roman"/>
          <w:szCs w:val="22"/>
        </w:rPr>
      </w:pPr>
      <w:r w:rsidRPr="00687361">
        <w:rPr>
          <w:rFonts w:ascii="Times New Roman" w:hAnsi="Times New Roman" w:cs="Times New Roman"/>
          <w:szCs w:val="22"/>
        </w:rPr>
        <w:t>V roku 2015 došlo k zníženiu základného imania v dcérskej spoločnosti Elektroenergetické montáže, a.s., čo malo za následok zníženie investície SSE v sume 4 448 tis. eur.</w:t>
      </w:r>
    </w:p>
    <w:p w:rsidR="008117A9" w:rsidRPr="00AF2F5E" w:rsidP="008117A9">
      <w:pPr>
        <w:bidi w:val="0"/>
        <w:spacing w:after="120" w:line="336" w:lineRule="auto"/>
        <w:jc w:val="both"/>
        <w:rPr>
          <w:rFonts w:ascii="Times New Roman" w:hAnsi="Times New Roman" w:cs="Times New Roman"/>
          <w:b/>
          <w:szCs w:val="22"/>
        </w:rPr>
      </w:pPr>
      <w:r w:rsidRPr="00AF2F5E">
        <w:rPr>
          <w:rFonts w:ascii="Times New Roman" w:hAnsi="Times New Roman" w:cs="Times New Roman"/>
          <w:b/>
          <w:szCs w:val="22"/>
        </w:rPr>
        <w:t>Východoslovenská energetika Holding, a.s. (ďalej „VSE“)</w:t>
      </w:r>
    </w:p>
    <w:p w:rsidR="008117A9" w:rsidRPr="00AF2F5E" w:rsidP="008117A9">
      <w:pPr>
        <w:bidi w:val="0"/>
        <w:spacing w:after="120" w:line="336" w:lineRule="auto"/>
        <w:jc w:val="both"/>
        <w:rPr>
          <w:rFonts w:ascii="Times New Roman" w:hAnsi="Times New Roman" w:cs="Times New Roman"/>
          <w:szCs w:val="22"/>
        </w:rPr>
      </w:pPr>
      <w:r w:rsidRPr="00AF2F5E">
        <w:rPr>
          <w:rFonts w:ascii="Times New Roman" w:hAnsi="Times New Roman" w:cs="Times New Roman"/>
          <w:szCs w:val="22"/>
        </w:rPr>
        <w:t xml:space="preserve">Vlastné imanie VSE sa v roku 2015 znížilo v porovnaní s predchádzajúcim rokom o 35 549 tis. eur najmä vplyvom vyplatenia </w:t>
      </w:r>
      <w:r>
        <w:rPr>
          <w:rFonts w:ascii="Times New Roman" w:hAnsi="Times New Roman" w:cs="Times New Roman"/>
          <w:szCs w:val="22"/>
        </w:rPr>
        <w:t>dividend v hodnote 58 361 tis. eur. Z tejto sumy ESA dividenda</w:t>
      </w:r>
      <w:r w:rsidRPr="00B84622">
        <w:rPr>
          <w:rFonts w:ascii="Times New Roman" w:hAnsi="Times New Roman" w:cs="Times New Roman"/>
          <w:szCs w:val="22"/>
        </w:rPr>
        <w:t xml:space="preserve"> vzťahujúca sa na vlastnícky podiel štátu bola vykázaná vo výške 28 373 tis</w:t>
      </w:r>
      <w:r>
        <w:rPr>
          <w:rFonts w:ascii="Times New Roman" w:hAnsi="Times New Roman" w:cs="Times New Roman"/>
          <w:szCs w:val="22"/>
        </w:rPr>
        <w:t>. eur</w:t>
      </w:r>
      <w:r w:rsidRPr="00AF2F5E">
        <w:rPr>
          <w:rFonts w:ascii="Times New Roman" w:hAnsi="Times New Roman" w:cs="Times New Roman"/>
          <w:szCs w:val="22"/>
        </w:rPr>
        <w:t xml:space="preserve"> </w:t>
      </w:r>
      <w:r>
        <w:rPr>
          <w:rFonts w:ascii="Times New Roman" w:hAnsi="Times New Roman" w:cs="Times New Roman"/>
          <w:szCs w:val="22"/>
        </w:rPr>
        <w:t>a superdividenda</w:t>
      </w:r>
      <w:r w:rsidRPr="00AF2F5E">
        <w:rPr>
          <w:rFonts w:ascii="Times New Roman" w:hAnsi="Times New Roman" w:cs="Times New Roman"/>
          <w:szCs w:val="22"/>
        </w:rPr>
        <w:t xml:space="preserve"> v </w:t>
      </w:r>
      <w:r>
        <w:rPr>
          <w:rFonts w:ascii="Times New Roman" w:hAnsi="Times New Roman" w:cs="Times New Roman"/>
          <w:szCs w:val="22"/>
        </w:rPr>
        <w:t>sume</w:t>
      </w:r>
      <w:r w:rsidRPr="00AF2F5E">
        <w:rPr>
          <w:rFonts w:ascii="Times New Roman" w:hAnsi="Times New Roman" w:cs="Times New Roman"/>
          <w:szCs w:val="22"/>
        </w:rPr>
        <w:t xml:space="preserve"> 2</w:t>
      </w:r>
      <w:r>
        <w:rPr>
          <w:rFonts w:ascii="Times New Roman" w:hAnsi="Times New Roman" w:cs="Times New Roman"/>
          <w:szCs w:val="22"/>
        </w:rPr>
        <w:t> </w:t>
      </w:r>
      <w:r w:rsidRPr="00AF2F5E">
        <w:rPr>
          <w:rFonts w:ascii="Times New Roman" w:hAnsi="Times New Roman" w:cs="Times New Roman"/>
          <w:szCs w:val="22"/>
        </w:rPr>
        <w:t>927</w:t>
      </w:r>
      <w:r>
        <w:rPr>
          <w:rFonts w:ascii="Times New Roman" w:hAnsi="Times New Roman" w:cs="Times New Roman"/>
          <w:szCs w:val="22"/>
        </w:rPr>
        <w:t> </w:t>
      </w:r>
      <w:r w:rsidRPr="00AF2F5E">
        <w:rPr>
          <w:rFonts w:ascii="Times New Roman" w:hAnsi="Times New Roman" w:cs="Times New Roman"/>
          <w:szCs w:val="22"/>
        </w:rPr>
        <w:t>tis.</w:t>
      </w:r>
      <w:r>
        <w:rPr>
          <w:rFonts w:ascii="Times New Roman" w:hAnsi="Times New Roman" w:cs="Times New Roman"/>
          <w:szCs w:val="22"/>
        </w:rPr>
        <w:t> </w:t>
      </w:r>
      <w:r w:rsidRPr="00AF2F5E">
        <w:rPr>
          <w:rFonts w:ascii="Times New Roman" w:hAnsi="Times New Roman" w:cs="Times New Roman"/>
          <w:szCs w:val="22"/>
        </w:rPr>
        <w:t>eur. Negatívny vplyv výplaty dividend na výšku vlastného imania zmiernil dosiahnutý zisk v sume 22</w:t>
      </w:r>
      <w:r>
        <w:rPr>
          <w:rFonts w:ascii="Times New Roman" w:hAnsi="Times New Roman" w:cs="Times New Roman"/>
          <w:szCs w:val="22"/>
        </w:rPr>
        <w:t> </w:t>
      </w:r>
      <w:r w:rsidRPr="00AF2F5E">
        <w:rPr>
          <w:rFonts w:ascii="Times New Roman" w:hAnsi="Times New Roman" w:cs="Times New Roman"/>
          <w:szCs w:val="22"/>
        </w:rPr>
        <w:t>702 tis. eur.</w:t>
      </w:r>
    </w:p>
    <w:p w:rsidR="008117A9" w:rsidRPr="00AF2F5E" w:rsidP="008117A9">
      <w:pPr>
        <w:bidi w:val="0"/>
        <w:spacing w:after="120" w:line="336" w:lineRule="auto"/>
        <w:jc w:val="both"/>
        <w:rPr>
          <w:rFonts w:ascii="Times New Roman" w:hAnsi="Times New Roman" w:cs="Times New Roman"/>
          <w:szCs w:val="22"/>
        </w:rPr>
      </w:pPr>
      <w:r w:rsidRPr="00AF2F5E">
        <w:rPr>
          <w:rFonts w:ascii="Times New Roman" w:hAnsi="Times New Roman" w:cs="Times New Roman"/>
          <w:szCs w:val="22"/>
        </w:rPr>
        <w:t xml:space="preserve">Čistý zisk dosiahnutý v roku 2015 bol v porovnaní s predchádzajúcim rokom 7 </w:t>
      </w:r>
      <w:r>
        <w:rPr>
          <w:rFonts w:ascii="Times New Roman" w:hAnsi="Times New Roman" w:cs="Times New Roman"/>
          <w:szCs w:val="22"/>
        </w:rPr>
        <w:t>násobne</w:t>
      </w:r>
      <w:r w:rsidRPr="00AF2F5E">
        <w:rPr>
          <w:rFonts w:ascii="Times New Roman" w:hAnsi="Times New Roman" w:cs="Times New Roman"/>
          <w:szCs w:val="22"/>
        </w:rPr>
        <w:t xml:space="preserve"> nižší, čo je </w:t>
      </w:r>
      <w:r>
        <w:rPr>
          <w:rFonts w:ascii="Times New Roman" w:hAnsi="Times New Roman" w:cs="Times New Roman"/>
          <w:szCs w:val="22"/>
        </w:rPr>
        <w:t>spôsobené</w:t>
      </w:r>
      <w:r w:rsidRPr="00AF2F5E">
        <w:rPr>
          <w:rFonts w:ascii="Times New Roman" w:hAnsi="Times New Roman" w:cs="Times New Roman"/>
          <w:szCs w:val="22"/>
        </w:rPr>
        <w:t xml:space="preserve"> predovšetkým tým, že v priebehu roku 2014 bol zrealizovaný prevod hlavného predmetu podnikania – činnosť divízie obchod z pôvodnej spoločnosti VSE, a.s. na spoločnosť VSE Development, a.s., pri ktorom došlo k preceneniu majetku a záväzkov, ktoré tvorilo významnú časť zisku dosiahnutého v roku 2014. </w:t>
      </w:r>
      <w:r>
        <w:rPr>
          <w:rFonts w:ascii="Times New Roman" w:hAnsi="Times New Roman" w:cs="Times New Roman"/>
          <w:szCs w:val="22"/>
        </w:rPr>
        <w:t>Jednorazový vplyv tejto transakcie na výsledok hospodárenia v roku 2014 vidno z porovnania čistého zisku za roky 2015 a 2013, kedy dosiahol približne rovnaké hodnoty.</w:t>
      </w:r>
      <w:r w:rsidRPr="00AF2F5E">
        <w:rPr>
          <w:rFonts w:ascii="Times New Roman" w:hAnsi="Times New Roman" w:cs="Times New Roman"/>
          <w:szCs w:val="22"/>
        </w:rPr>
        <w:t xml:space="preserve"> </w:t>
      </w:r>
    </w:p>
    <w:p w:rsidR="008117A9" w:rsidRPr="00AF2F5E"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Zisk z</w:t>
      </w:r>
      <w:r w:rsidRPr="00AF2F5E">
        <w:rPr>
          <w:rFonts w:ascii="Times New Roman" w:hAnsi="Times New Roman" w:cs="Times New Roman"/>
          <w:szCs w:val="22"/>
        </w:rPr>
        <w:t xml:space="preserve"> </w:t>
      </w:r>
      <w:r>
        <w:rPr>
          <w:rFonts w:ascii="Times New Roman" w:hAnsi="Times New Roman" w:cs="Times New Roman"/>
          <w:szCs w:val="22"/>
        </w:rPr>
        <w:t>prevádzkovej činnosti</w:t>
      </w:r>
      <w:r w:rsidRPr="00AF2F5E">
        <w:rPr>
          <w:rFonts w:ascii="Times New Roman" w:hAnsi="Times New Roman" w:cs="Times New Roman"/>
          <w:szCs w:val="22"/>
        </w:rPr>
        <w:t xml:space="preserve"> vzrástol v porovnaní s predchádzajúcim rokom 2,2 násobne najmä vplyvom vyššieho výnosu z prijatých dividend od dcérskych spoločností, ktorý bol daný významným nárastom výsledku hospodárenia dcérskej spoločnosti Východoslovenská distribučná, a.s. a skutočnosťou, že VSE na základe rozhodnutia </w:t>
      </w:r>
      <w:r>
        <w:rPr>
          <w:rFonts w:ascii="Times New Roman" w:hAnsi="Times New Roman" w:cs="Times New Roman"/>
          <w:szCs w:val="22"/>
        </w:rPr>
        <w:t>v</w:t>
      </w:r>
      <w:r w:rsidRPr="00AF2F5E">
        <w:rPr>
          <w:rFonts w:ascii="Times New Roman" w:hAnsi="Times New Roman" w:cs="Times New Roman"/>
          <w:szCs w:val="22"/>
        </w:rPr>
        <w:t>alného zhromaždenia kúpila 1.</w:t>
      </w:r>
      <w:r>
        <w:rPr>
          <w:rFonts w:ascii="Times New Roman" w:hAnsi="Times New Roman" w:cs="Times New Roman"/>
          <w:szCs w:val="22"/>
        </w:rPr>
        <w:t> </w:t>
      </w:r>
      <w:r w:rsidRPr="00AF2F5E">
        <w:rPr>
          <w:rFonts w:ascii="Times New Roman" w:hAnsi="Times New Roman" w:cs="Times New Roman"/>
          <w:szCs w:val="22"/>
        </w:rPr>
        <w:t>septembra 2015 spoločnosť RWE Gas Slovensko, s.r.o. od spoločnosti RWE Česká republika, s.r.o.</w:t>
      </w:r>
    </w:p>
    <w:p w:rsidR="008117A9" w:rsidRPr="00AF2F5E" w:rsidP="008117A9">
      <w:pPr>
        <w:bidi w:val="0"/>
        <w:spacing w:after="120" w:line="336" w:lineRule="auto"/>
        <w:jc w:val="both"/>
        <w:rPr>
          <w:rFonts w:ascii="Times New Roman" w:hAnsi="Times New Roman" w:cs="Times New Roman"/>
          <w:b/>
          <w:szCs w:val="22"/>
        </w:rPr>
      </w:pPr>
      <w:r w:rsidRPr="00AF2F5E">
        <w:rPr>
          <w:rFonts w:ascii="Times New Roman" w:hAnsi="Times New Roman" w:cs="Times New Roman"/>
          <w:b/>
          <w:szCs w:val="22"/>
        </w:rPr>
        <w:t>Slovenské elektrárne, a.s.</w:t>
      </w:r>
      <w:r>
        <w:rPr>
          <w:rFonts w:ascii="Times New Roman" w:hAnsi="Times New Roman" w:cs="Times New Roman"/>
          <w:b/>
          <w:szCs w:val="22"/>
        </w:rPr>
        <w:t xml:space="preserve"> </w:t>
      </w:r>
      <w:r w:rsidRPr="0069614E">
        <w:rPr>
          <w:rFonts w:ascii="Times New Roman" w:hAnsi="Times New Roman" w:cs="Times New Roman"/>
          <w:b/>
          <w:szCs w:val="22"/>
        </w:rPr>
        <w:t>(ďalej „</w:t>
      </w:r>
      <w:r>
        <w:rPr>
          <w:rFonts w:ascii="Times New Roman" w:hAnsi="Times New Roman" w:cs="Times New Roman"/>
          <w:b/>
          <w:szCs w:val="22"/>
        </w:rPr>
        <w:t>SE</w:t>
      </w:r>
      <w:r w:rsidRPr="0069614E">
        <w:rPr>
          <w:rFonts w:ascii="Times New Roman" w:hAnsi="Times New Roman" w:cs="Times New Roman"/>
          <w:b/>
          <w:szCs w:val="22"/>
        </w:rPr>
        <w:t>“)</w:t>
      </w:r>
    </w:p>
    <w:p w:rsidR="008117A9" w:rsidRPr="00AF2F5E" w:rsidP="008117A9">
      <w:pPr>
        <w:bidi w:val="0"/>
        <w:spacing w:after="120" w:line="336" w:lineRule="auto"/>
        <w:jc w:val="both"/>
        <w:rPr>
          <w:rFonts w:ascii="Times New Roman" w:hAnsi="Times New Roman" w:cs="Times New Roman"/>
          <w:szCs w:val="22"/>
        </w:rPr>
      </w:pPr>
      <w:r w:rsidRPr="00AF2F5E">
        <w:rPr>
          <w:rFonts w:ascii="Times New Roman" w:hAnsi="Times New Roman" w:cs="Times New Roman"/>
          <w:szCs w:val="22"/>
        </w:rPr>
        <w:t xml:space="preserve">Vlastné imanie SE sa v roku 2015 v porovnaní s rokom 2014 znížilo o 253 589 tis. eur predovšetkým vplyvom </w:t>
      </w:r>
      <w:r>
        <w:rPr>
          <w:rFonts w:ascii="Times New Roman" w:hAnsi="Times New Roman" w:cs="Times New Roman"/>
          <w:szCs w:val="22"/>
        </w:rPr>
        <w:t>zmeny</w:t>
      </w:r>
      <w:r w:rsidRPr="00AF2F5E">
        <w:rPr>
          <w:rFonts w:ascii="Times New Roman" w:hAnsi="Times New Roman" w:cs="Times New Roman"/>
          <w:szCs w:val="22"/>
        </w:rPr>
        <w:t xml:space="preserve"> rezerv z precenenia majetku, ktorá je vykázaná v súvislosti so znížením účtovnej hodnoty dlhodobého majetku. Negatívny vplyv rezerv na výšku vlastného imania čiastočne zmiernil dosiahnutý zisk v sume 23 952 tis. eur. </w:t>
      </w:r>
    </w:p>
    <w:p w:rsidR="008117A9" w:rsidP="008117A9">
      <w:pPr>
        <w:bidi w:val="0"/>
        <w:spacing w:after="120" w:line="336" w:lineRule="auto"/>
        <w:jc w:val="both"/>
        <w:rPr>
          <w:rFonts w:ascii="Times New Roman" w:hAnsi="Times New Roman" w:cs="Times New Roman"/>
          <w:szCs w:val="22"/>
        </w:rPr>
      </w:pPr>
      <w:r w:rsidRPr="00AF2F5E">
        <w:rPr>
          <w:rFonts w:ascii="Times New Roman" w:hAnsi="Times New Roman" w:cs="Times New Roman"/>
          <w:szCs w:val="22"/>
        </w:rPr>
        <w:t>Čistý zisk dosiahnutý v roku 2015 je o 7 násobok nižší ako bol v roku 2014 (pokles o 145 804 tis. eur). Hlavným dôvodom bolo zníženie hodnoty dlhodobého hmotného majetku a zmeny jadrových rezerv. K 31. decembru 2015 SE vykázal</w:t>
      </w:r>
      <w:r>
        <w:rPr>
          <w:rFonts w:ascii="Times New Roman" w:hAnsi="Times New Roman" w:cs="Times New Roman"/>
          <w:szCs w:val="22"/>
        </w:rPr>
        <w:t>i</w:t>
      </w:r>
      <w:r w:rsidRPr="00AF2F5E">
        <w:rPr>
          <w:rFonts w:ascii="Times New Roman" w:hAnsi="Times New Roman" w:cs="Times New Roman"/>
          <w:szCs w:val="22"/>
        </w:rPr>
        <w:t xml:space="preserve"> zníženie hodnoty dlhodobého hmotného majetku v hodnote 819</w:t>
      </w:r>
      <w:r>
        <w:rPr>
          <w:rFonts w:ascii="Times New Roman" w:hAnsi="Times New Roman" w:cs="Times New Roman"/>
          <w:szCs w:val="22"/>
        </w:rPr>
        <w:t> </w:t>
      </w:r>
      <w:r w:rsidRPr="00AF2F5E">
        <w:rPr>
          <w:rFonts w:ascii="Times New Roman" w:hAnsi="Times New Roman" w:cs="Times New Roman"/>
          <w:szCs w:val="22"/>
        </w:rPr>
        <w:t>694 tis. eur, ktoré odzrkadľuje dopad poklesu trhovej ceny elektrickej energie. Strata zo zníženia hodnoty majetku bola alokovaná na proporcionálnej báze na jednotlivé položky majetku patriace do jednotky generujúcej peňažné toky, najskôr voči rezerve z precenenia majetku (v sume 288</w:t>
      </w:r>
      <w:r>
        <w:rPr>
          <w:rFonts w:ascii="Times New Roman" w:hAnsi="Times New Roman" w:cs="Times New Roman"/>
          <w:szCs w:val="22"/>
        </w:rPr>
        <w:t> </w:t>
      </w:r>
      <w:r w:rsidRPr="00AF2F5E">
        <w:rPr>
          <w:rFonts w:ascii="Times New Roman" w:hAnsi="Times New Roman" w:cs="Times New Roman"/>
          <w:szCs w:val="22"/>
        </w:rPr>
        <w:t>938</w:t>
      </w:r>
      <w:r>
        <w:rPr>
          <w:rFonts w:ascii="Times New Roman" w:hAnsi="Times New Roman" w:cs="Times New Roman"/>
          <w:szCs w:val="22"/>
        </w:rPr>
        <w:t> </w:t>
      </w:r>
      <w:r w:rsidRPr="00AF2F5E">
        <w:rPr>
          <w:rFonts w:ascii="Times New Roman" w:hAnsi="Times New Roman" w:cs="Times New Roman"/>
          <w:szCs w:val="22"/>
        </w:rPr>
        <w:t>tis.</w:t>
      </w:r>
      <w:r>
        <w:rPr>
          <w:rFonts w:ascii="Times New Roman" w:hAnsi="Times New Roman" w:cs="Times New Roman"/>
          <w:szCs w:val="22"/>
        </w:rPr>
        <w:t> </w:t>
      </w:r>
      <w:r w:rsidRPr="00AF2F5E">
        <w:rPr>
          <w:rFonts w:ascii="Times New Roman" w:hAnsi="Times New Roman" w:cs="Times New Roman"/>
          <w:szCs w:val="22"/>
        </w:rPr>
        <w:t xml:space="preserve">eur) a zvyšok bol vykázaný vo výkaze ziskov a strát (v sume 450 867 tis. eur). </w:t>
      </w:r>
    </w:p>
    <w:p w:rsidR="008117A9" w:rsidRPr="00AF2F5E"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Výrazný medziročný pokles nákladov </w:t>
      </w:r>
      <w:r w:rsidRPr="00AF2F5E">
        <w:rPr>
          <w:rFonts w:ascii="Times New Roman" w:hAnsi="Times New Roman" w:cs="Times New Roman"/>
          <w:szCs w:val="22"/>
        </w:rPr>
        <w:t>o 488 072 tis. eur</w:t>
      </w:r>
      <w:r>
        <w:rPr>
          <w:rFonts w:ascii="Times New Roman" w:hAnsi="Times New Roman" w:cs="Times New Roman"/>
          <w:szCs w:val="22"/>
        </w:rPr>
        <w:t xml:space="preserve"> spôsobilo prehodnotenie rezerv na vyraďovanie a likvidáciu jadrovoenergetických zariadení a uskladnenie vyhoretého jadrového paliva najmä na základe dokumentu „Aktualizácia koncepčného plánu vyraďovania JE EBO V2 resp. EMO 1&amp;2</w:t>
      </w:r>
      <w:r>
        <w:rPr>
          <w:rStyle w:val="FootnoteReference"/>
          <w:rFonts w:ascii="Times New Roman" w:hAnsi="Times New Roman"/>
          <w:szCs w:val="22"/>
          <w:rtl w:val="0"/>
        </w:rPr>
        <w:footnoteReference w:id="6"/>
      </w:r>
      <w:r>
        <w:rPr>
          <w:rFonts w:ascii="Times New Roman" w:hAnsi="Times New Roman" w:cs="Times New Roman"/>
          <w:szCs w:val="22"/>
        </w:rPr>
        <w:t xml:space="preserve"> z dôvodu predĺženia prevádzkovej životnosti na 60 rokov“, ktorý bol vypracovaný k 15.10.2015 a následne odsúhlasený Úradom jadrového dozoru SR. Rezervy boli znížené na základe predĺženej životnosti jadrových elektrární a posunutia termínu predpokladaného uvedenia hlbinného úložiska vyhoretého jadrového paliva do prevádzky z roku 2037 na rok 2065.</w:t>
      </w:r>
      <w:r w:rsidRPr="00AF2F5E">
        <w:rPr>
          <w:rFonts w:ascii="Times New Roman" w:hAnsi="Times New Roman" w:cs="Times New Roman"/>
          <w:szCs w:val="22"/>
        </w:rPr>
        <w:t xml:space="preserve"> </w:t>
      </w:r>
    </w:p>
    <w:p w:rsidR="008117A9" w:rsidRPr="00AF2F5E" w:rsidP="008117A9">
      <w:pPr>
        <w:bidi w:val="0"/>
        <w:spacing w:after="120" w:line="336" w:lineRule="auto"/>
        <w:jc w:val="both"/>
        <w:rPr>
          <w:rFonts w:ascii="Times New Roman" w:hAnsi="Times New Roman" w:cs="Times New Roman"/>
          <w:szCs w:val="22"/>
        </w:rPr>
      </w:pPr>
      <w:r w:rsidRPr="00AF2F5E">
        <w:rPr>
          <w:rFonts w:ascii="Times New Roman" w:hAnsi="Times New Roman" w:cs="Times New Roman"/>
          <w:szCs w:val="22"/>
        </w:rPr>
        <w:t xml:space="preserve">V roku 2015 došlo k poklesu výnosov z predaja elektrickej energie a tepla </w:t>
      </w:r>
      <w:r>
        <w:rPr>
          <w:rFonts w:ascii="Times New Roman" w:hAnsi="Times New Roman" w:cs="Times New Roman"/>
          <w:szCs w:val="22"/>
        </w:rPr>
        <w:t>o 3,52 %</w:t>
      </w:r>
      <w:r w:rsidRPr="00AF2F5E">
        <w:rPr>
          <w:rFonts w:ascii="Times New Roman" w:hAnsi="Times New Roman" w:cs="Times New Roman"/>
          <w:szCs w:val="22"/>
        </w:rPr>
        <w:t>. Kým predaj na domácom trhu, vrátane obchodníkov</w:t>
      </w:r>
      <w:r>
        <w:rPr>
          <w:rFonts w:ascii="Times New Roman" w:hAnsi="Times New Roman" w:cs="Times New Roman"/>
          <w:szCs w:val="22"/>
        </w:rPr>
        <w:t>,</w:t>
      </w:r>
      <w:r w:rsidRPr="00AF2F5E">
        <w:rPr>
          <w:rFonts w:ascii="Times New Roman" w:hAnsi="Times New Roman" w:cs="Times New Roman"/>
          <w:szCs w:val="22"/>
        </w:rPr>
        <w:t xml:space="preserve"> mierne poklesol, predaj na zahraničnom trhu naopak mierne stúpol.</w:t>
      </w:r>
    </w:p>
    <w:p w:rsidR="008117A9" w:rsidRPr="00293C60" w:rsidP="00293C60">
      <w:pPr>
        <w:bidi w:val="0"/>
        <w:spacing w:after="120" w:line="336" w:lineRule="auto"/>
        <w:jc w:val="both"/>
        <w:rPr>
          <w:color w:val="1F497D"/>
        </w:rPr>
      </w:pPr>
      <w:r w:rsidRPr="00293C60" w:rsidR="00293C60">
        <w:rPr>
          <w:rFonts w:ascii="Times New Roman" w:hAnsi="Times New Roman" w:cs="Times New Roman"/>
          <w:szCs w:val="22"/>
        </w:rPr>
        <w:t>Dňa 18.12.2015 podpísali spoločnosti Enel Produzione S.p.A a EP Slovakia B.V., dcérska spoločnosť spoločnosti Energetický a průmyslový ho</w:t>
      </w:r>
      <w:r w:rsidR="00195249">
        <w:rPr>
          <w:rFonts w:ascii="Times New Roman" w:hAnsi="Times New Roman" w:cs="Times New Roman"/>
          <w:szCs w:val="22"/>
        </w:rPr>
        <w:t>lding a.s., zmluvu o predaji 66</w:t>
      </w:r>
      <w:r w:rsidRPr="00293C60" w:rsidR="00293C60">
        <w:rPr>
          <w:rFonts w:ascii="Times New Roman" w:hAnsi="Times New Roman" w:cs="Times New Roman"/>
          <w:szCs w:val="22"/>
        </w:rPr>
        <w:t xml:space="preserve">% podielu Enel Produzione S.p.A na základnom imaní spoločnosti Slovenské elektrárne, a.s. </w:t>
      </w:r>
      <w:r>
        <w:rPr>
          <w:rFonts w:ascii="Times New Roman" w:hAnsi="Times New Roman" w:cs="Times New Roman"/>
          <w:szCs w:val="22"/>
        </w:rPr>
        <w:t xml:space="preserve">Predaj </w:t>
      </w:r>
      <w:r w:rsidRPr="00AF2F5E">
        <w:rPr>
          <w:rFonts w:ascii="Times New Roman" w:hAnsi="Times New Roman" w:cs="Times New Roman"/>
          <w:szCs w:val="22"/>
        </w:rPr>
        <w:t>však</w:t>
      </w:r>
      <w:r>
        <w:rPr>
          <w:rFonts w:ascii="Times New Roman" w:hAnsi="Times New Roman" w:cs="Times New Roman"/>
          <w:szCs w:val="22"/>
        </w:rPr>
        <w:t xml:space="preserve"> komplikuje dostavba elektrárne Mochovce a nízke ceny elektrickej energie. SE majú záväzok dostavať tretí a štvrtý reaktor elektrárne Mochovce, pričom odhadovaná cena projektu sa naposledy zdvihla v roku 2014 na 4,6 miliardy eur oproti pôvodným očakávaniam z roku 2008, ktoré boli nižšie o 1,8 miliardy eur.</w:t>
      </w:r>
      <w:r w:rsidRPr="00AF2F5E">
        <w:rPr>
          <w:rFonts w:ascii="Times New Roman" w:hAnsi="Times New Roman" w:cs="Times New Roman"/>
          <w:szCs w:val="22"/>
        </w:rPr>
        <w:t xml:space="preserve"> EPH upozornil, že pri súčasných trhových cenách elektriny budú Mochovce vyrábať elektrinu so stratou.</w:t>
      </w:r>
    </w:p>
    <w:p w:rsidR="008117A9" w:rsidRPr="0069614E" w:rsidP="008117A9">
      <w:pPr>
        <w:bidi w:val="0"/>
        <w:spacing w:after="120" w:line="336" w:lineRule="auto"/>
        <w:jc w:val="both"/>
        <w:rPr>
          <w:rFonts w:ascii="Times New Roman" w:hAnsi="Times New Roman" w:cs="Times New Roman"/>
          <w:b/>
          <w:szCs w:val="22"/>
        </w:rPr>
      </w:pPr>
      <w:r w:rsidRPr="0069614E">
        <w:rPr>
          <w:rFonts w:ascii="Times New Roman" w:hAnsi="Times New Roman" w:cs="Times New Roman"/>
          <w:b/>
          <w:szCs w:val="22"/>
        </w:rPr>
        <w:t>Slov</w:t>
      </w:r>
      <w:r>
        <w:rPr>
          <w:rFonts w:ascii="Times New Roman" w:hAnsi="Times New Roman" w:cs="Times New Roman"/>
          <w:b/>
          <w:szCs w:val="22"/>
        </w:rPr>
        <w:t>enská</w:t>
      </w:r>
      <w:r w:rsidRPr="0069614E">
        <w:rPr>
          <w:rFonts w:ascii="Times New Roman" w:hAnsi="Times New Roman" w:cs="Times New Roman"/>
          <w:b/>
          <w:szCs w:val="22"/>
        </w:rPr>
        <w:t xml:space="preserve"> elektr</w:t>
      </w:r>
      <w:r>
        <w:rPr>
          <w:rFonts w:ascii="Times New Roman" w:hAnsi="Times New Roman" w:cs="Times New Roman"/>
          <w:b/>
          <w:szCs w:val="22"/>
        </w:rPr>
        <w:t>izačná</w:t>
      </w:r>
      <w:r w:rsidRPr="0069614E">
        <w:rPr>
          <w:rFonts w:ascii="Times New Roman" w:hAnsi="Times New Roman" w:cs="Times New Roman"/>
          <w:b/>
          <w:szCs w:val="22"/>
        </w:rPr>
        <w:t xml:space="preserve"> prenos</w:t>
      </w:r>
      <w:r>
        <w:rPr>
          <w:rFonts w:ascii="Times New Roman" w:hAnsi="Times New Roman" w:cs="Times New Roman"/>
          <w:b/>
          <w:szCs w:val="22"/>
        </w:rPr>
        <w:t>ová sústava</w:t>
      </w:r>
      <w:r w:rsidRPr="0069614E">
        <w:rPr>
          <w:rFonts w:ascii="Times New Roman" w:hAnsi="Times New Roman" w:cs="Times New Roman"/>
          <w:b/>
          <w:szCs w:val="22"/>
        </w:rPr>
        <w:t>, a.s.</w:t>
      </w:r>
      <w:r>
        <w:rPr>
          <w:rFonts w:ascii="Times New Roman" w:hAnsi="Times New Roman" w:cs="Times New Roman"/>
          <w:b/>
          <w:szCs w:val="22"/>
        </w:rPr>
        <w:t xml:space="preserve"> </w:t>
      </w:r>
      <w:r w:rsidRPr="0069614E">
        <w:rPr>
          <w:rFonts w:ascii="Times New Roman" w:hAnsi="Times New Roman" w:cs="Times New Roman"/>
          <w:b/>
          <w:szCs w:val="22"/>
        </w:rPr>
        <w:t>(ďalej „</w:t>
      </w:r>
      <w:r>
        <w:rPr>
          <w:rFonts w:ascii="Times New Roman" w:hAnsi="Times New Roman" w:cs="Times New Roman"/>
          <w:b/>
          <w:szCs w:val="22"/>
        </w:rPr>
        <w:t>SEPS</w:t>
      </w:r>
      <w:r w:rsidRPr="0069614E">
        <w:rPr>
          <w:rFonts w:ascii="Times New Roman" w:hAnsi="Times New Roman" w:cs="Times New Roman"/>
          <w:b/>
          <w:szCs w:val="22"/>
        </w:rPr>
        <w:t>“)</w:t>
      </w:r>
    </w:p>
    <w:p w:rsidR="008117A9" w:rsidRPr="0069614E"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Nárast vlastného imania SEPS </w:t>
      </w:r>
      <w:r w:rsidRPr="0069614E">
        <w:rPr>
          <w:rFonts w:ascii="Times New Roman" w:hAnsi="Times New Roman" w:cs="Times New Roman"/>
          <w:szCs w:val="22"/>
        </w:rPr>
        <w:t xml:space="preserve">o 29 446 </w:t>
      </w:r>
      <w:r>
        <w:rPr>
          <w:rFonts w:ascii="Times New Roman" w:hAnsi="Times New Roman" w:cs="Times New Roman"/>
          <w:szCs w:val="22"/>
        </w:rPr>
        <w:t xml:space="preserve">tis. eur </w:t>
      </w:r>
      <w:r w:rsidRPr="0069614E">
        <w:rPr>
          <w:rFonts w:ascii="Times New Roman" w:hAnsi="Times New Roman" w:cs="Times New Roman"/>
          <w:szCs w:val="22"/>
        </w:rPr>
        <w:t xml:space="preserve">v porovnaní s rokom 2014 v prevažnej miere ovplyvnilo rozhodnutie </w:t>
      </w:r>
      <w:r>
        <w:rPr>
          <w:rFonts w:ascii="Times New Roman" w:hAnsi="Times New Roman" w:cs="Times New Roman"/>
          <w:szCs w:val="22"/>
        </w:rPr>
        <w:t xml:space="preserve">jediného akcionára </w:t>
      </w:r>
      <w:r w:rsidRPr="0069614E">
        <w:rPr>
          <w:rFonts w:ascii="Times New Roman" w:hAnsi="Times New Roman" w:cs="Times New Roman"/>
          <w:szCs w:val="22"/>
        </w:rPr>
        <w:t xml:space="preserve">Ministerstva financií </w:t>
      </w:r>
      <w:r>
        <w:rPr>
          <w:rFonts w:ascii="Times New Roman" w:hAnsi="Times New Roman" w:cs="Times New Roman"/>
          <w:szCs w:val="22"/>
        </w:rPr>
        <w:t>SR</w:t>
      </w:r>
      <w:r w:rsidRPr="0069614E">
        <w:rPr>
          <w:rFonts w:ascii="Times New Roman" w:hAnsi="Times New Roman" w:cs="Times New Roman"/>
          <w:szCs w:val="22"/>
        </w:rPr>
        <w:t xml:space="preserve"> z 28. júla 2015 o znížení základného imania spoločnosti o 81</w:t>
      </w:r>
      <w:r>
        <w:rPr>
          <w:rFonts w:ascii="Times New Roman" w:hAnsi="Times New Roman" w:cs="Times New Roman"/>
          <w:szCs w:val="22"/>
        </w:rPr>
        <w:t> </w:t>
      </w:r>
      <w:r w:rsidRPr="0069614E">
        <w:rPr>
          <w:rFonts w:ascii="Times New Roman" w:hAnsi="Times New Roman" w:cs="Times New Roman"/>
          <w:szCs w:val="22"/>
        </w:rPr>
        <w:t>833</w:t>
      </w:r>
      <w:r>
        <w:rPr>
          <w:rFonts w:ascii="Times New Roman" w:hAnsi="Times New Roman" w:cs="Times New Roman"/>
          <w:szCs w:val="22"/>
        </w:rPr>
        <w:t> tis. eur a vzatí z obehu akcií</w:t>
      </w:r>
      <w:r w:rsidRPr="0069614E">
        <w:rPr>
          <w:rFonts w:ascii="Times New Roman" w:hAnsi="Times New Roman" w:cs="Times New Roman"/>
          <w:szCs w:val="22"/>
        </w:rPr>
        <w:t xml:space="preserve"> formou ich zrušenia. Zároveň došlo k zvýšeniu základného imania o sumu 105 000 tis. eur upísaním nových akcií</w:t>
      </w:r>
      <w:r>
        <w:rPr>
          <w:rFonts w:ascii="Times New Roman" w:hAnsi="Times New Roman" w:cs="Times New Roman"/>
          <w:szCs w:val="22"/>
        </w:rPr>
        <w:t>,</w:t>
      </w:r>
      <w:r w:rsidRPr="0069614E">
        <w:rPr>
          <w:rFonts w:ascii="Times New Roman" w:hAnsi="Times New Roman" w:cs="Times New Roman"/>
          <w:szCs w:val="22"/>
        </w:rPr>
        <w:t xml:space="preserve"> čo </w:t>
      </w:r>
      <w:r>
        <w:rPr>
          <w:rFonts w:ascii="Times New Roman" w:hAnsi="Times New Roman" w:cs="Times New Roman"/>
          <w:szCs w:val="22"/>
        </w:rPr>
        <w:t>sumárne zvýšilo vlastné imanie</w:t>
      </w:r>
      <w:r w:rsidRPr="0069614E">
        <w:rPr>
          <w:rFonts w:ascii="Times New Roman" w:hAnsi="Times New Roman" w:cs="Times New Roman"/>
          <w:szCs w:val="22"/>
        </w:rPr>
        <w:t xml:space="preserve"> o sumu 23 167 tis. eur.</w:t>
      </w:r>
    </w:p>
    <w:p w:rsidR="008117A9" w:rsidRPr="0069614E"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P</w:t>
      </w:r>
      <w:r w:rsidRPr="0069614E">
        <w:rPr>
          <w:rFonts w:ascii="Times New Roman" w:hAnsi="Times New Roman" w:cs="Times New Roman"/>
          <w:szCs w:val="22"/>
        </w:rPr>
        <w:t xml:space="preserve">ozitívny vplyv na </w:t>
      </w:r>
      <w:r>
        <w:rPr>
          <w:rFonts w:ascii="Times New Roman" w:hAnsi="Times New Roman" w:cs="Times New Roman"/>
          <w:szCs w:val="22"/>
        </w:rPr>
        <w:t>vlastné imanie</w:t>
      </w:r>
      <w:r w:rsidRPr="0069614E">
        <w:rPr>
          <w:rFonts w:ascii="Times New Roman" w:hAnsi="Times New Roman" w:cs="Times New Roman"/>
          <w:szCs w:val="22"/>
        </w:rPr>
        <w:t xml:space="preserve"> mal </w:t>
      </w:r>
      <w:r>
        <w:rPr>
          <w:rFonts w:ascii="Times New Roman" w:hAnsi="Times New Roman" w:cs="Times New Roman"/>
          <w:szCs w:val="22"/>
        </w:rPr>
        <w:t>čistý zisk</w:t>
      </w:r>
      <w:r w:rsidRPr="0069614E">
        <w:rPr>
          <w:rFonts w:ascii="Times New Roman" w:hAnsi="Times New Roman" w:cs="Times New Roman"/>
          <w:szCs w:val="22"/>
        </w:rPr>
        <w:t xml:space="preserve"> vo výške 72 984 tis. eur, ktorý bol čiastočne negovaný schválením vyplatenia dividend z nerozdeleného zisku roku 2014 v sume 66 134 tis. eur. </w:t>
      </w:r>
    </w:p>
    <w:p w:rsidR="008117A9" w:rsidP="008117A9">
      <w:pPr>
        <w:bidi w:val="0"/>
        <w:spacing w:after="120" w:line="336" w:lineRule="auto"/>
        <w:jc w:val="both"/>
        <w:rPr>
          <w:rFonts w:ascii="Times New Roman" w:hAnsi="Times New Roman" w:cs="Times New Roman"/>
          <w:szCs w:val="22"/>
        </w:rPr>
      </w:pPr>
      <w:r w:rsidRPr="005A44E3">
        <w:rPr>
          <w:rFonts w:ascii="Times New Roman" w:hAnsi="Times New Roman" w:cs="Times New Roman"/>
          <w:szCs w:val="22"/>
        </w:rPr>
        <w:t>Elektrina vyrobená zo zdrojov na Slovensku bola v roku 2015 približne na rovnakej úrovni ako v roku 2014 (pokles o 0,2 %). Celková brutto spotreba elektriny medziročne vzrástla o 4,3 %. Zvýšenie spotreby elektriny bolo zabezpečené zvýšeným dovozom elektriny zo zahraničia. V roku 2015 sa podiel importu na spotrebe elektriny zvýšil na 8,1 %, v ro</w:t>
      </w:r>
      <w:r>
        <w:rPr>
          <w:rFonts w:ascii="Times New Roman" w:hAnsi="Times New Roman" w:cs="Times New Roman"/>
          <w:szCs w:val="22"/>
        </w:rPr>
        <w:t>ku 2014 to bolo 3,9 %. Od roku 2007 bol podiel importu elektriny na spotrebe Slovenska najvyšší.</w:t>
      </w:r>
    </w:p>
    <w:p w:rsidR="008117A9" w:rsidP="008117A9">
      <w:pPr>
        <w:bidi w:val="0"/>
        <w:spacing w:after="120" w:line="336" w:lineRule="auto"/>
        <w:jc w:val="both"/>
        <w:rPr>
          <w:rFonts w:ascii="Times New Roman" w:hAnsi="Times New Roman" w:cs="Times New Roman"/>
          <w:szCs w:val="22"/>
        </w:rPr>
      </w:pPr>
      <w:r w:rsidRPr="0069614E">
        <w:rPr>
          <w:rFonts w:ascii="Times New Roman" w:hAnsi="Times New Roman" w:cs="Times New Roman"/>
          <w:szCs w:val="22"/>
        </w:rPr>
        <w:t xml:space="preserve">Čistý zisk spoločnosti medziročne vzrástol o 7,6 %. Najväčšou položkou celkových výnosov </w:t>
      </w:r>
      <w:r>
        <w:rPr>
          <w:rFonts w:ascii="Times New Roman" w:hAnsi="Times New Roman" w:cs="Times New Roman"/>
          <w:szCs w:val="22"/>
        </w:rPr>
        <w:t>boli</w:t>
      </w:r>
      <w:r w:rsidRPr="0069614E">
        <w:rPr>
          <w:rFonts w:ascii="Times New Roman" w:hAnsi="Times New Roman" w:cs="Times New Roman"/>
          <w:szCs w:val="22"/>
        </w:rPr>
        <w:t xml:space="preserve"> tržby za služby prevádzkovateľa prenosovej sústavy vo výške 393 010 tis. eur</w:t>
      </w:r>
      <w:r>
        <w:rPr>
          <w:rFonts w:ascii="Times New Roman" w:hAnsi="Times New Roman" w:cs="Times New Roman"/>
          <w:szCs w:val="22"/>
        </w:rPr>
        <w:t>, ktoré sú v primárnej miere realizované prostredníctvom dcérskej spoločnosti OKTE, a.s..</w:t>
      </w:r>
      <w:r w:rsidRPr="0069614E">
        <w:rPr>
          <w:rFonts w:ascii="Times New Roman" w:hAnsi="Times New Roman" w:cs="Times New Roman"/>
          <w:szCs w:val="22"/>
        </w:rPr>
        <w:t xml:space="preserve"> </w:t>
      </w:r>
      <w:r>
        <w:rPr>
          <w:rFonts w:ascii="Times New Roman" w:hAnsi="Times New Roman" w:cs="Times New Roman"/>
          <w:szCs w:val="22"/>
        </w:rPr>
        <w:t>V rámci nich</w:t>
      </w:r>
      <w:r w:rsidRPr="0069614E">
        <w:rPr>
          <w:rFonts w:ascii="Times New Roman" w:hAnsi="Times New Roman" w:cs="Times New Roman"/>
          <w:szCs w:val="22"/>
        </w:rPr>
        <w:t xml:space="preserve"> najväčší podiel </w:t>
      </w:r>
      <w:r>
        <w:rPr>
          <w:rFonts w:ascii="Times New Roman" w:hAnsi="Times New Roman" w:cs="Times New Roman"/>
          <w:szCs w:val="22"/>
        </w:rPr>
        <w:t>tvorili</w:t>
      </w:r>
      <w:r w:rsidRPr="0069614E">
        <w:rPr>
          <w:rFonts w:ascii="Times New Roman" w:hAnsi="Times New Roman" w:cs="Times New Roman"/>
          <w:szCs w:val="22"/>
        </w:rPr>
        <w:t xml:space="preserve"> tržby za prístup do prenosovej sústavy sumou 138 973 tis. eur a tržby za systémové služby sumou 164 064 tis. eur.</w:t>
      </w:r>
      <w:r>
        <w:rPr>
          <w:rFonts w:ascii="Times New Roman" w:hAnsi="Times New Roman" w:cs="Times New Roman"/>
          <w:szCs w:val="22"/>
        </w:rPr>
        <w:t xml:space="preserve"> Tržby tvoria primárne poplatky OKTE, a.s., ktorá ich centrálne fakturuje a následne uhrádza SEPS vo výške fakturácie obchodným partnerom.</w:t>
      </w:r>
      <w:r w:rsidRPr="0069614E">
        <w:rPr>
          <w:rFonts w:ascii="Times New Roman" w:hAnsi="Times New Roman" w:cs="Times New Roman"/>
          <w:szCs w:val="22"/>
        </w:rPr>
        <w:t xml:space="preserve"> Od novembra 2014 došlo k spusteniu štvorstranového Market Couplingu (tzv. 4mmC), t. z. prevádzky prepojených denných trhov formou alokácie cezhraničných kapacít medzi českou, slovenskou, maďarskou a rumunskou trhovou oblasťou (</w:t>
      </w:r>
      <w:r>
        <w:rPr>
          <w:rFonts w:ascii="Times New Roman" w:hAnsi="Times New Roman" w:cs="Times New Roman"/>
          <w:szCs w:val="22"/>
        </w:rPr>
        <w:t>dovtedy</w:t>
      </w:r>
      <w:r w:rsidRPr="0069614E">
        <w:rPr>
          <w:rFonts w:ascii="Times New Roman" w:hAnsi="Times New Roman" w:cs="Times New Roman"/>
          <w:szCs w:val="22"/>
        </w:rPr>
        <w:t xml:space="preserve"> bolo prepojenie bez Rumunska). V rámci prepojenia SEPS vykonáva funkciu shipping agenta a jej výnosy a náklady tvoria platby za elektrinu prenesenú cez cezhraničné spojenia v rámci prepojenia trhov s elektrinou. </w:t>
      </w:r>
      <w:r>
        <w:rPr>
          <w:rFonts w:ascii="Times New Roman" w:hAnsi="Times New Roman" w:cs="Times New Roman"/>
          <w:szCs w:val="22"/>
        </w:rPr>
        <w:t xml:space="preserve">Nárast čistého zisku z tejto cezhraničnej aktivity dosiahol </w:t>
      </w:r>
      <w:r w:rsidRPr="0069614E">
        <w:rPr>
          <w:rFonts w:ascii="Times New Roman" w:hAnsi="Times New Roman" w:cs="Times New Roman"/>
          <w:szCs w:val="22"/>
        </w:rPr>
        <w:t xml:space="preserve"> 8</w:t>
      </w:r>
      <w:r>
        <w:rPr>
          <w:rFonts w:ascii="Times New Roman" w:hAnsi="Times New Roman" w:cs="Times New Roman"/>
          <w:szCs w:val="22"/>
        </w:rPr>
        <w:t> </w:t>
      </w:r>
      <w:r w:rsidRPr="0069614E">
        <w:rPr>
          <w:rFonts w:ascii="Times New Roman" w:hAnsi="Times New Roman" w:cs="Times New Roman"/>
          <w:szCs w:val="22"/>
        </w:rPr>
        <w:t>379</w:t>
      </w:r>
      <w:r>
        <w:rPr>
          <w:rFonts w:ascii="Times New Roman" w:hAnsi="Times New Roman" w:cs="Times New Roman"/>
          <w:szCs w:val="22"/>
        </w:rPr>
        <w:t> </w:t>
      </w:r>
      <w:r w:rsidRPr="0069614E">
        <w:rPr>
          <w:rFonts w:ascii="Times New Roman" w:hAnsi="Times New Roman" w:cs="Times New Roman"/>
          <w:szCs w:val="22"/>
        </w:rPr>
        <w:t>tis. eur</w:t>
      </w:r>
      <w:r>
        <w:rPr>
          <w:rFonts w:ascii="Times New Roman" w:hAnsi="Times New Roman" w:cs="Times New Roman"/>
          <w:szCs w:val="22"/>
        </w:rPr>
        <w:t xml:space="preserve"> (o 195%)</w:t>
      </w:r>
      <w:r w:rsidRPr="0069614E">
        <w:rPr>
          <w:rFonts w:ascii="Times New Roman" w:hAnsi="Times New Roman" w:cs="Times New Roman"/>
          <w:szCs w:val="22"/>
        </w:rPr>
        <w:t xml:space="preserve">. </w:t>
      </w:r>
    </w:p>
    <w:p w:rsidR="008117A9" w:rsidP="008117A9">
      <w:pPr>
        <w:bidi w:val="0"/>
        <w:spacing w:after="120" w:line="336" w:lineRule="auto"/>
        <w:jc w:val="both"/>
        <w:rPr>
          <w:rFonts w:ascii="Times New Roman" w:hAnsi="Times New Roman" w:cs="Times New Roman"/>
          <w:szCs w:val="22"/>
        </w:rPr>
      </w:pPr>
      <w:r w:rsidRPr="0069614E">
        <w:rPr>
          <w:rFonts w:ascii="Times New Roman" w:hAnsi="Times New Roman" w:cs="Times New Roman"/>
          <w:szCs w:val="22"/>
        </w:rPr>
        <w:t xml:space="preserve">Náklady </w:t>
      </w:r>
      <w:r>
        <w:rPr>
          <w:rFonts w:ascii="Times New Roman" w:hAnsi="Times New Roman" w:cs="Times New Roman"/>
          <w:szCs w:val="22"/>
        </w:rPr>
        <w:t xml:space="preserve">spoločnosti </w:t>
      </w:r>
      <w:r w:rsidRPr="0069614E">
        <w:rPr>
          <w:rFonts w:ascii="Times New Roman" w:hAnsi="Times New Roman" w:cs="Times New Roman"/>
          <w:szCs w:val="22"/>
        </w:rPr>
        <w:t>sú v najväčšej miere tvorené nákladmi na podporné služby v sume 146</w:t>
      </w:r>
      <w:r>
        <w:rPr>
          <w:rFonts w:ascii="Times New Roman" w:hAnsi="Times New Roman" w:cs="Times New Roman"/>
          <w:szCs w:val="22"/>
        </w:rPr>
        <w:t> </w:t>
      </w:r>
      <w:r w:rsidRPr="0069614E">
        <w:rPr>
          <w:rFonts w:ascii="Times New Roman" w:hAnsi="Times New Roman" w:cs="Times New Roman"/>
          <w:szCs w:val="22"/>
        </w:rPr>
        <w:t>210</w:t>
      </w:r>
      <w:r>
        <w:rPr>
          <w:rFonts w:ascii="Times New Roman" w:hAnsi="Times New Roman" w:cs="Times New Roman"/>
          <w:szCs w:val="22"/>
        </w:rPr>
        <w:t> </w:t>
      </w:r>
      <w:r w:rsidRPr="0069614E">
        <w:rPr>
          <w:rFonts w:ascii="Times New Roman" w:hAnsi="Times New Roman" w:cs="Times New Roman"/>
          <w:szCs w:val="22"/>
        </w:rPr>
        <w:t>tis.</w:t>
      </w:r>
      <w:r>
        <w:rPr>
          <w:rFonts w:ascii="Times New Roman" w:hAnsi="Times New Roman" w:cs="Times New Roman"/>
          <w:szCs w:val="22"/>
        </w:rPr>
        <w:t> </w:t>
      </w:r>
      <w:r w:rsidRPr="0069614E">
        <w:rPr>
          <w:rFonts w:ascii="Times New Roman" w:hAnsi="Times New Roman" w:cs="Times New Roman"/>
          <w:szCs w:val="22"/>
        </w:rPr>
        <w:t>eur, ktoré sú potrebné na  zabezpečovanie systémových služieb, nákladmi na opravu a údržbu v sume 12 867 tis. eur. Spotreba materiálu, energie a ostatných neskladovateľných dodávok predstavovala čiastku 13 322 tis. eur. Nárast dlhodobých bankových úverov a finančného lízingu o</w:t>
      </w:r>
      <w:r>
        <w:rPr>
          <w:rFonts w:ascii="Times New Roman" w:hAnsi="Times New Roman" w:cs="Times New Roman"/>
          <w:szCs w:val="22"/>
        </w:rPr>
        <w:t> </w:t>
      </w:r>
      <w:r w:rsidRPr="0069614E">
        <w:rPr>
          <w:rFonts w:ascii="Times New Roman" w:hAnsi="Times New Roman" w:cs="Times New Roman"/>
          <w:szCs w:val="22"/>
        </w:rPr>
        <w:t>22</w:t>
      </w:r>
      <w:r>
        <w:rPr>
          <w:rFonts w:ascii="Times New Roman" w:hAnsi="Times New Roman" w:cs="Times New Roman"/>
          <w:szCs w:val="22"/>
        </w:rPr>
        <w:t> </w:t>
      </w:r>
      <w:r w:rsidRPr="0069614E">
        <w:rPr>
          <w:rFonts w:ascii="Times New Roman" w:hAnsi="Times New Roman" w:cs="Times New Roman"/>
          <w:szCs w:val="22"/>
        </w:rPr>
        <w:t xml:space="preserve">531 tis. eur mal za následok nárast nákladových úrokov o 289 %. </w:t>
      </w:r>
    </w:p>
    <w:p w:rsidR="008117A9" w:rsidRPr="0069614E" w:rsidP="008117A9">
      <w:pPr>
        <w:bidi w:val="0"/>
        <w:spacing w:after="120" w:line="336" w:lineRule="auto"/>
        <w:jc w:val="both"/>
        <w:rPr>
          <w:rFonts w:ascii="Times New Roman" w:hAnsi="Times New Roman" w:cs="Times New Roman"/>
          <w:szCs w:val="22"/>
        </w:rPr>
      </w:pPr>
      <w:r w:rsidRPr="0069614E">
        <w:rPr>
          <w:rFonts w:ascii="Times New Roman" w:hAnsi="Times New Roman" w:cs="Times New Roman"/>
          <w:szCs w:val="22"/>
        </w:rPr>
        <w:t>V roku 2015 z dôvodu dohody o zlúčení dvoch spoločností</w:t>
      </w:r>
      <w:r>
        <w:rPr>
          <w:rFonts w:ascii="Times New Roman" w:hAnsi="Times New Roman" w:cs="Times New Roman"/>
          <w:szCs w:val="22"/>
        </w:rPr>
        <w:t>, v ktorých má SEPS majetkovú účasť, došlo</w:t>
      </w:r>
      <w:r w:rsidRPr="0069614E">
        <w:rPr>
          <w:rFonts w:ascii="Times New Roman" w:hAnsi="Times New Roman" w:cs="Times New Roman"/>
          <w:szCs w:val="22"/>
        </w:rPr>
        <w:t xml:space="preserve"> k preceneniu finančnej investície o 138 tis. eur (</w:t>
      </w:r>
      <w:r>
        <w:rPr>
          <w:rFonts w:ascii="Times New Roman" w:hAnsi="Times New Roman" w:cs="Times New Roman"/>
          <w:szCs w:val="22"/>
        </w:rPr>
        <w:t>nárast</w:t>
      </w:r>
      <w:r w:rsidRPr="0069614E">
        <w:rPr>
          <w:rFonts w:ascii="Times New Roman" w:hAnsi="Times New Roman" w:cs="Times New Roman"/>
          <w:szCs w:val="22"/>
        </w:rPr>
        <w:t xml:space="preserve"> </w:t>
      </w:r>
      <w:r>
        <w:rPr>
          <w:rFonts w:ascii="Times New Roman" w:hAnsi="Times New Roman" w:cs="Times New Roman"/>
          <w:szCs w:val="22"/>
        </w:rPr>
        <w:t xml:space="preserve">o </w:t>
      </w:r>
      <w:r w:rsidRPr="0069614E">
        <w:rPr>
          <w:rFonts w:ascii="Times New Roman" w:hAnsi="Times New Roman" w:cs="Times New Roman"/>
          <w:szCs w:val="22"/>
        </w:rPr>
        <w:t xml:space="preserve">3 %). Spolu s odloženou daňou k finančnej investícii a odloženou daňou súvisiacou s odvodom z podnikania v regulovaných odvetviach došlo k medziročnej zmene položky precenenia tvoriacej súčasť </w:t>
      </w:r>
      <w:r>
        <w:rPr>
          <w:rFonts w:ascii="Times New Roman" w:hAnsi="Times New Roman" w:cs="Times New Roman"/>
          <w:szCs w:val="22"/>
        </w:rPr>
        <w:t>vlastného imania</w:t>
      </w:r>
      <w:r w:rsidRPr="0069614E">
        <w:rPr>
          <w:rFonts w:ascii="Times New Roman" w:hAnsi="Times New Roman" w:cs="Times New Roman"/>
          <w:szCs w:val="22"/>
        </w:rPr>
        <w:t xml:space="preserve"> o 164 tis. eur. Spoločnosť má penzijný program s vopred stanoveným dôchodkovým plnením a príspevkami. Strata súvisiaca s poistno-matematickými odhadmi v súvislosti s penzijným programom pri odchode do dôchodku je v sume 943 tis. eur a spolu s rezervou na odchodné 208 tis. eur sa na medziročnom znížení </w:t>
      </w:r>
      <w:r>
        <w:rPr>
          <w:rFonts w:ascii="Times New Roman" w:hAnsi="Times New Roman" w:cs="Times New Roman"/>
          <w:szCs w:val="22"/>
        </w:rPr>
        <w:t>vlastného imania</w:t>
      </w:r>
      <w:r w:rsidRPr="0069614E">
        <w:rPr>
          <w:rFonts w:ascii="Times New Roman" w:hAnsi="Times New Roman" w:cs="Times New Roman"/>
          <w:szCs w:val="22"/>
        </w:rPr>
        <w:t xml:space="preserve"> podieľajú sumou 736 tis. eur. </w:t>
      </w:r>
    </w:p>
    <w:p w:rsidR="008117A9" w:rsidRPr="00726E80" w:rsidP="008117A9">
      <w:pPr>
        <w:bidi w:val="0"/>
        <w:spacing w:after="120" w:line="336" w:lineRule="auto"/>
        <w:jc w:val="both"/>
        <w:rPr>
          <w:rFonts w:ascii="Times New Roman" w:hAnsi="Times New Roman" w:cs="Times New Roman"/>
          <w:b/>
          <w:szCs w:val="22"/>
        </w:rPr>
      </w:pPr>
      <w:r w:rsidRPr="00726E80">
        <w:rPr>
          <w:rFonts w:ascii="Times New Roman" w:hAnsi="Times New Roman" w:cs="Times New Roman"/>
          <w:b/>
          <w:szCs w:val="22"/>
        </w:rPr>
        <w:t>Lesy SR, š.p.</w:t>
      </w:r>
      <w:r>
        <w:rPr>
          <w:rFonts w:ascii="Times New Roman" w:hAnsi="Times New Roman" w:cs="Times New Roman"/>
          <w:b/>
          <w:szCs w:val="22"/>
        </w:rPr>
        <w:t xml:space="preserve"> </w:t>
      </w:r>
      <w:r w:rsidRPr="00726E80">
        <w:rPr>
          <w:rFonts w:ascii="Times New Roman" w:hAnsi="Times New Roman" w:cs="Times New Roman"/>
          <w:b/>
          <w:szCs w:val="22"/>
        </w:rPr>
        <w:t>(ďalej „</w:t>
      </w:r>
      <w:r>
        <w:rPr>
          <w:rFonts w:ascii="Times New Roman" w:hAnsi="Times New Roman" w:cs="Times New Roman"/>
          <w:b/>
          <w:szCs w:val="22"/>
        </w:rPr>
        <w:t>Lesy SR</w:t>
      </w:r>
      <w:r w:rsidRPr="00726E80">
        <w:rPr>
          <w:rFonts w:ascii="Times New Roman" w:hAnsi="Times New Roman" w:cs="Times New Roman"/>
          <w:b/>
          <w:szCs w:val="22"/>
        </w:rPr>
        <w:t>“)</w:t>
      </w:r>
    </w:p>
    <w:p w:rsidR="008117A9"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Vlastné imanie</w:t>
      </w:r>
      <w:r w:rsidRPr="00807502">
        <w:rPr>
          <w:rFonts w:ascii="Times New Roman" w:hAnsi="Times New Roman" w:cs="Times New Roman"/>
          <w:szCs w:val="22"/>
        </w:rPr>
        <w:t xml:space="preserve"> </w:t>
      </w:r>
      <w:r>
        <w:rPr>
          <w:rFonts w:ascii="Times New Roman" w:hAnsi="Times New Roman" w:cs="Times New Roman"/>
          <w:szCs w:val="22"/>
        </w:rPr>
        <w:t xml:space="preserve">spoločnosti </w:t>
      </w:r>
      <w:r w:rsidRPr="00807502">
        <w:rPr>
          <w:rFonts w:ascii="Times New Roman" w:hAnsi="Times New Roman" w:cs="Times New Roman"/>
          <w:szCs w:val="22"/>
        </w:rPr>
        <w:t xml:space="preserve">sa v roku 2015 zvýšilo o 3 290 tis. eur najmä v súvislosti so ziskom v sume 7 790 tis. eur. Dividendy </w:t>
      </w:r>
      <w:r>
        <w:rPr>
          <w:rFonts w:ascii="Times New Roman" w:hAnsi="Times New Roman" w:cs="Times New Roman"/>
          <w:szCs w:val="22"/>
        </w:rPr>
        <w:t xml:space="preserve">(podiely na zisku) </w:t>
      </w:r>
      <w:r w:rsidRPr="00807502">
        <w:rPr>
          <w:rFonts w:ascii="Times New Roman" w:hAnsi="Times New Roman" w:cs="Times New Roman"/>
          <w:szCs w:val="22"/>
        </w:rPr>
        <w:t xml:space="preserve">boli vyplatené v sume 5 300 tis. eur v dvoch splátkach po 2 650 tis. eur. </w:t>
      </w:r>
    </w:p>
    <w:p w:rsidR="008117A9" w:rsidRPr="00807502"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Čistý zisk medziročne klesol o 14 %. </w:t>
      </w:r>
      <w:r w:rsidRPr="00807502">
        <w:rPr>
          <w:rFonts w:ascii="Times New Roman" w:hAnsi="Times New Roman" w:cs="Times New Roman"/>
          <w:szCs w:val="22"/>
        </w:rPr>
        <w:t xml:space="preserve">Na </w:t>
      </w:r>
      <w:r>
        <w:rPr>
          <w:rFonts w:ascii="Times New Roman" w:hAnsi="Times New Roman" w:cs="Times New Roman"/>
          <w:szCs w:val="22"/>
        </w:rPr>
        <w:t>výnosoch</w:t>
      </w:r>
      <w:r w:rsidRPr="00807502">
        <w:rPr>
          <w:rFonts w:ascii="Times New Roman" w:hAnsi="Times New Roman" w:cs="Times New Roman"/>
          <w:szCs w:val="22"/>
        </w:rPr>
        <w:t xml:space="preserve"> sa najvyššou mierou podieľajú tržby za vlastné výkony a tovar v sume 214 992 tis. eur</w:t>
      </w:r>
      <w:r>
        <w:rPr>
          <w:rFonts w:ascii="Times New Roman" w:hAnsi="Times New Roman" w:cs="Times New Roman"/>
          <w:szCs w:val="22"/>
        </w:rPr>
        <w:t>.</w:t>
      </w:r>
      <w:r w:rsidRPr="00807502">
        <w:rPr>
          <w:rFonts w:ascii="Times New Roman" w:hAnsi="Times New Roman" w:cs="Times New Roman"/>
          <w:szCs w:val="22"/>
        </w:rPr>
        <w:t xml:space="preserve"> </w:t>
      </w:r>
      <w:r>
        <w:rPr>
          <w:rFonts w:ascii="Times New Roman" w:hAnsi="Times New Roman" w:cs="Times New Roman"/>
          <w:szCs w:val="22"/>
        </w:rPr>
        <w:t>T</w:t>
      </w:r>
      <w:r w:rsidRPr="00807502">
        <w:rPr>
          <w:rFonts w:ascii="Times New Roman" w:hAnsi="Times New Roman" w:cs="Times New Roman"/>
          <w:szCs w:val="22"/>
        </w:rPr>
        <w:t xml:space="preserve">ržby za predaj dreva </w:t>
      </w:r>
      <w:r>
        <w:rPr>
          <w:rFonts w:ascii="Times New Roman" w:hAnsi="Times New Roman" w:cs="Times New Roman"/>
          <w:szCs w:val="22"/>
        </w:rPr>
        <w:t xml:space="preserve">v sume </w:t>
      </w:r>
      <w:r w:rsidRPr="00807502">
        <w:rPr>
          <w:rFonts w:ascii="Times New Roman" w:hAnsi="Times New Roman" w:cs="Times New Roman"/>
          <w:szCs w:val="22"/>
        </w:rPr>
        <w:t>197 132 tis. eur narást</w:t>
      </w:r>
      <w:r>
        <w:rPr>
          <w:rFonts w:ascii="Times New Roman" w:hAnsi="Times New Roman" w:cs="Times New Roman"/>
          <w:szCs w:val="22"/>
        </w:rPr>
        <w:t>li</w:t>
      </w:r>
      <w:r w:rsidRPr="00807502">
        <w:rPr>
          <w:rFonts w:ascii="Times New Roman" w:hAnsi="Times New Roman" w:cs="Times New Roman"/>
          <w:szCs w:val="22"/>
        </w:rPr>
        <w:t xml:space="preserve"> o 7,9</w:t>
      </w:r>
      <w:r>
        <w:rPr>
          <w:rFonts w:ascii="Times New Roman" w:hAnsi="Times New Roman" w:cs="Times New Roman"/>
          <w:szCs w:val="22"/>
        </w:rPr>
        <w:t> </w:t>
      </w:r>
      <w:r w:rsidRPr="00807502">
        <w:rPr>
          <w:rFonts w:ascii="Times New Roman" w:hAnsi="Times New Roman" w:cs="Times New Roman"/>
          <w:szCs w:val="22"/>
        </w:rPr>
        <w:t>%</w:t>
      </w:r>
      <w:r>
        <w:rPr>
          <w:rFonts w:ascii="Times New Roman" w:hAnsi="Times New Roman" w:cs="Times New Roman"/>
          <w:szCs w:val="22"/>
        </w:rPr>
        <w:t>, keď pokles cien dreva bol kompenzovaný nárastom objemu v</w:t>
      </w:r>
      <w:r w:rsidRPr="00807502">
        <w:rPr>
          <w:rFonts w:ascii="Times New Roman" w:hAnsi="Times New Roman" w:cs="Times New Roman"/>
          <w:szCs w:val="22"/>
        </w:rPr>
        <w:t>yťaženého dreva</w:t>
      </w:r>
      <w:r>
        <w:rPr>
          <w:rFonts w:ascii="Times New Roman" w:hAnsi="Times New Roman" w:cs="Times New Roman"/>
          <w:szCs w:val="22"/>
        </w:rPr>
        <w:t>.</w:t>
      </w:r>
      <w:r w:rsidRPr="00807502">
        <w:rPr>
          <w:rFonts w:ascii="Times New Roman" w:hAnsi="Times New Roman" w:cs="Times New Roman"/>
          <w:szCs w:val="22"/>
        </w:rPr>
        <w:t xml:space="preserve"> Napriek úsiliu o rýchle spracovanie kalamitného dreva z veternej smršti Žofia, ktorá zasiahla Slovensko v máji 2014, bolo drevo v roku 2015 znehodnotené poveternostnými vplyvmi a jeho kvalita a tým pádom aj cena sa výrazne znížila. </w:t>
      </w:r>
      <w:r>
        <w:rPr>
          <w:rFonts w:ascii="Times New Roman" w:hAnsi="Times New Roman" w:cs="Times New Roman"/>
          <w:szCs w:val="22"/>
        </w:rPr>
        <w:t>O</w:t>
      </w:r>
      <w:r w:rsidRPr="00807502">
        <w:rPr>
          <w:rFonts w:ascii="Times New Roman" w:hAnsi="Times New Roman" w:cs="Times New Roman"/>
          <w:szCs w:val="22"/>
        </w:rPr>
        <w:t>statné tržby ťažobnej činnosti pokles</w:t>
      </w:r>
      <w:r>
        <w:rPr>
          <w:rFonts w:ascii="Times New Roman" w:hAnsi="Times New Roman" w:cs="Times New Roman"/>
          <w:szCs w:val="22"/>
        </w:rPr>
        <w:t>li o 23 %</w:t>
      </w:r>
      <w:r w:rsidRPr="00807502">
        <w:rPr>
          <w:rFonts w:ascii="Times New Roman" w:hAnsi="Times New Roman" w:cs="Times New Roman"/>
          <w:szCs w:val="22"/>
        </w:rPr>
        <w:t xml:space="preserve">. Osobné náklady </w:t>
      </w:r>
      <w:r>
        <w:rPr>
          <w:rFonts w:ascii="Times New Roman" w:hAnsi="Times New Roman" w:cs="Times New Roman"/>
          <w:szCs w:val="22"/>
        </w:rPr>
        <w:t>vzrástli o 6,7 %,</w:t>
      </w:r>
      <w:r w:rsidRPr="00807502">
        <w:rPr>
          <w:rFonts w:ascii="Times New Roman" w:hAnsi="Times New Roman" w:cs="Times New Roman"/>
          <w:szCs w:val="22"/>
        </w:rPr>
        <w:t xml:space="preserve"> náklady na služby zaznamenali nárast o 4,8 %</w:t>
      </w:r>
      <w:r>
        <w:rPr>
          <w:rFonts w:ascii="Times New Roman" w:hAnsi="Times New Roman" w:cs="Times New Roman"/>
          <w:szCs w:val="22"/>
        </w:rPr>
        <w:t>, v rámci nich</w:t>
      </w:r>
      <w:r w:rsidRPr="00807502">
        <w:rPr>
          <w:rFonts w:ascii="Times New Roman" w:hAnsi="Times New Roman" w:cs="Times New Roman"/>
          <w:szCs w:val="22"/>
        </w:rPr>
        <w:t xml:space="preserve"> náklady na ťažbovú činnosť zaznamenali nárast o </w:t>
      </w:r>
      <w:r>
        <w:rPr>
          <w:rFonts w:ascii="Times New Roman" w:hAnsi="Times New Roman" w:cs="Times New Roman"/>
          <w:szCs w:val="22"/>
        </w:rPr>
        <w:t>9,7 %</w:t>
      </w:r>
      <w:r w:rsidRPr="00807502">
        <w:rPr>
          <w:rFonts w:ascii="Times New Roman" w:hAnsi="Times New Roman" w:cs="Times New Roman"/>
          <w:szCs w:val="22"/>
        </w:rPr>
        <w:t>. Tieto do určitej miery odzrkadľujú vplyv veternej kalamity z roku 2014, kedy náročnosť spracovania kalamitných porastov je vyššia a vyššie sú i ceny dodávateľov lesníckych prác. Pokles o 1 780 tis. eur zaznamenali náklady na služby v pestovnej</w:t>
      </w:r>
      <w:r>
        <w:rPr>
          <w:rFonts w:ascii="Times New Roman" w:hAnsi="Times New Roman" w:cs="Times New Roman"/>
          <w:szCs w:val="22"/>
        </w:rPr>
        <w:t xml:space="preserve"> činnosti hradenej z eurofondov.</w:t>
      </w:r>
    </w:p>
    <w:p w:rsidR="008117A9" w:rsidRPr="00807502" w:rsidP="008117A9">
      <w:pPr>
        <w:bidi w:val="0"/>
        <w:spacing w:after="120" w:line="336" w:lineRule="auto"/>
        <w:jc w:val="both"/>
        <w:rPr>
          <w:rFonts w:ascii="Times New Roman" w:hAnsi="Times New Roman" w:cs="Times New Roman"/>
          <w:szCs w:val="22"/>
        </w:rPr>
      </w:pPr>
      <w:r w:rsidRPr="00807502">
        <w:rPr>
          <w:rFonts w:ascii="Times New Roman" w:hAnsi="Times New Roman" w:cs="Times New Roman"/>
          <w:szCs w:val="22"/>
        </w:rPr>
        <w:t xml:space="preserve">Pozitívny vplyv na </w:t>
      </w:r>
      <w:r>
        <w:rPr>
          <w:rFonts w:ascii="Times New Roman" w:hAnsi="Times New Roman" w:cs="Times New Roman"/>
          <w:szCs w:val="22"/>
        </w:rPr>
        <w:t>vlastné imanie</w:t>
      </w:r>
      <w:r w:rsidRPr="00807502">
        <w:rPr>
          <w:rFonts w:ascii="Times New Roman" w:hAnsi="Times New Roman" w:cs="Times New Roman"/>
          <w:szCs w:val="22"/>
        </w:rPr>
        <w:t xml:space="preserve"> </w:t>
      </w:r>
      <w:r>
        <w:rPr>
          <w:rFonts w:ascii="Times New Roman" w:hAnsi="Times New Roman" w:cs="Times New Roman"/>
          <w:szCs w:val="22"/>
        </w:rPr>
        <w:t>mala</w:t>
      </w:r>
      <w:r w:rsidRPr="00807502">
        <w:rPr>
          <w:rFonts w:ascii="Times New Roman" w:hAnsi="Times New Roman" w:cs="Times New Roman"/>
          <w:szCs w:val="22"/>
        </w:rPr>
        <w:t xml:space="preserve"> zmena základného imania </w:t>
      </w:r>
      <w:r>
        <w:rPr>
          <w:rFonts w:ascii="Times New Roman" w:hAnsi="Times New Roman" w:cs="Times New Roman"/>
          <w:szCs w:val="22"/>
        </w:rPr>
        <w:t>v súhrnnej</w:t>
      </w:r>
      <w:r w:rsidRPr="00807502">
        <w:rPr>
          <w:rFonts w:ascii="Times New Roman" w:hAnsi="Times New Roman" w:cs="Times New Roman"/>
          <w:szCs w:val="22"/>
        </w:rPr>
        <w:t xml:space="preserve"> výške 1 616 tis. eur v súvislosti s inventúrou, delimitáciou</w:t>
      </w:r>
      <w:r>
        <w:rPr>
          <w:rFonts w:ascii="Times New Roman" w:hAnsi="Times New Roman" w:cs="Times New Roman"/>
          <w:szCs w:val="22"/>
        </w:rPr>
        <w:t xml:space="preserve"> a</w:t>
      </w:r>
      <w:r w:rsidRPr="00807502">
        <w:rPr>
          <w:rFonts w:ascii="Times New Roman" w:hAnsi="Times New Roman" w:cs="Times New Roman"/>
          <w:szCs w:val="22"/>
        </w:rPr>
        <w:t xml:space="preserve"> reštitúciou pozemkov v zmysle Zákona o lesoch č.</w:t>
      </w:r>
      <w:r>
        <w:rPr>
          <w:rFonts w:ascii="Times New Roman" w:hAnsi="Times New Roman" w:cs="Times New Roman"/>
          <w:szCs w:val="22"/>
        </w:rPr>
        <w:t> </w:t>
      </w:r>
      <w:r w:rsidRPr="00807502">
        <w:rPr>
          <w:rFonts w:ascii="Times New Roman" w:hAnsi="Times New Roman" w:cs="Times New Roman"/>
          <w:szCs w:val="22"/>
        </w:rPr>
        <w:t>326/2005</w:t>
      </w:r>
      <w:r>
        <w:rPr>
          <w:rFonts w:ascii="Times New Roman" w:hAnsi="Times New Roman" w:cs="Times New Roman"/>
          <w:szCs w:val="22"/>
        </w:rPr>
        <w:t> </w:t>
      </w:r>
      <w:r w:rsidRPr="00807502">
        <w:rPr>
          <w:rFonts w:ascii="Times New Roman" w:hAnsi="Times New Roman" w:cs="Times New Roman"/>
          <w:szCs w:val="22"/>
        </w:rPr>
        <w:t>Z.</w:t>
      </w:r>
      <w:r>
        <w:rPr>
          <w:rFonts w:ascii="Times New Roman" w:hAnsi="Times New Roman" w:cs="Times New Roman"/>
          <w:szCs w:val="22"/>
        </w:rPr>
        <w:t> </w:t>
      </w:r>
      <w:r w:rsidRPr="00807502">
        <w:rPr>
          <w:rFonts w:ascii="Times New Roman" w:hAnsi="Times New Roman" w:cs="Times New Roman"/>
          <w:szCs w:val="22"/>
        </w:rPr>
        <w:t xml:space="preserve">z. v znení neskorších predpisov. Ostatné zmeny negatívne vplývali na </w:t>
      </w:r>
      <w:r>
        <w:rPr>
          <w:rFonts w:ascii="Times New Roman" w:hAnsi="Times New Roman" w:cs="Times New Roman"/>
          <w:szCs w:val="22"/>
        </w:rPr>
        <w:t>vlastné imanie</w:t>
      </w:r>
      <w:r w:rsidRPr="00807502">
        <w:rPr>
          <w:rFonts w:ascii="Times New Roman" w:hAnsi="Times New Roman" w:cs="Times New Roman"/>
          <w:szCs w:val="22"/>
        </w:rPr>
        <w:t xml:space="preserve"> vo výške 816 tis. eur. Tieto tvorili najmä dar Národnému lesnícke</w:t>
      </w:r>
      <w:r>
        <w:rPr>
          <w:rFonts w:ascii="Times New Roman" w:hAnsi="Times New Roman" w:cs="Times New Roman"/>
          <w:szCs w:val="22"/>
        </w:rPr>
        <w:t>mu centru vo Zvolene v sume 600 </w:t>
      </w:r>
      <w:r w:rsidRPr="00807502">
        <w:rPr>
          <w:rFonts w:ascii="Times New Roman" w:hAnsi="Times New Roman" w:cs="Times New Roman"/>
          <w:szCs w:val="22"/>
        </w:rPr>
        <w:t>tis</w:t>
      </w:r>
      <w:r>
        <w:rPr>
          <w:rFonts w:ascii="Times New Roman" w:hAnsi="Times New Roman" w:cs="Times New Roman"/>
          <w:szCs w:val="22"/>
        </w:rPr>
        <w:t> </w:t>
      </w:r>
      <w:r w:rsidRPr="00807502">
        <w:rPr>
          <w:rFonts w:ascii="Times New Roman" w:hAnsi="Times New Roman" w:cs="Times New Roman"/>
          <w:szCs w:val="22"/>
        </w:rPr>
        <w:t xml:space="preserve">eur, oprava chyby </w:t>
      </w:r>
      <w:r>
        <w:rPr>
          <w:rFonts w:ascii="Times New Roman" w:hAnsi="Times New Roman" w:cs="Times New Roman"/>
          <w:szCs w:val="22"/>
        </w:rPr>
        <w:t>v</w:t>
      </w:r>
      <w:r w:rsidRPr="00807502">
        <w:rPr>
          <w:rFonts w:ascii="Times New Roman" w:hAnsi="Times New Roman" w:cs="Times New Roman"/>
          <w:szCs w:val="22"/>
        </w:rPr>
        <w:t xml:space="preserve"> odloženej dani 1 329 tis</w:t>
      </w:r>
      <w:r>
        <w:rPr>
          <w:rFonts w:ascii="Times New Roman" w:hAnsi="Times New Roman" w:cs="Times New Roman"/>
          <w:szCs w:val="22"/>
        </w:rPr>
        <w:t>.</w:t>
      </w:r>
      <w:r w:rsidRPr="00807502">
        <w:rPr>
          <w:rFonts w:ascii="Times New Roman" w:hAnsi="Times New Roman" w:cs="Times New Roman"/>
          <w:szCs w:val="22"/>
        </w:rPr>
        <w:t xml:space="preserve"> eur a zmeny v štatutárnych a ostatných fondoch 1</w:t>
      </w:r>
      <w:r>
        <w:rPr>
          <w:rFonts w:ascii="Times New Roman" w:hAnsi="Times New Roman" w:cs="Times New Roman"/>
          <w:szCs w:val="22"/>
        </w:rPr>
        <w:t> </w:t>
      </w:r>
      <w:r w:rsidRPr="00807502">
        <w:rPr>
          <w:rFonts w:ascii="Times New Roman" w:hAnsi="Times New Roman" w:cs="Times New Roman"/>
          <w:szCs w:val="22"/>
        </w:rPr>
        <w:t xml:space="preserve">445 tis. eur. Ako sporný majetok spoločnosť eviduje stavby a pozemky v hodnote 21 201 tis. eur. Uvedená skutočnosť môže mať </w:t>
      </w:r>
      <w:r>
        <w:rPr>
          <w:rFonts w:ascii="Times New Roman" w:hAnsi="Times New Roman" w:cs="Times New Roman"/>
          <w:szCs w:val="22"/>
        </w:rPr>
        <w:t xml:space="preserve">v budúcnosti negatívny </w:t>
      </w:r>
      <w:r w:rsidRPr="00807502">
        <w:rPr>
          <w:rFonts w:ascii="Times New Roman" w:hAnsi="Times New Roman" w:cs="Times New Roman"/>
          <w:szCs w:val="22"/>
        </w:rPr>
        <w:t xml:space="preserve">vplyv na výšku vykázaného majetku </w:t>
      </w:r>
      <w:r>
        <w:rPr>
          <w:rFonts w:ascii="Times New Roman" w:hAnsi="Times New Roman" w:cs="Times New Roman"/>
          <w:szCs w:val="22"/>
        </w:rPr>
        <w:t>v prípade reštitúcií</w:t>
      </w:r>
      <w:r w:rsidRPr="00807502">
        <w:rPr>
          <w:rFonts w:ascii="Times New Roman" w:hAnsi="Times New Roman" w:cs="Times New Roman"/>
          <w:szCs w:val="22"/>
        </w:rPr>
        <w:t>.</w:t>
      </w:r>
    </w:p>
    <w:p w:rsidR="008117A9" w:rsidRPr="00467DF7" w:rsidP="008117A9">
      <w:pPr>
        <w:bidi w:val="0"/>
        <w:spacing w:after="120" w:line="336" w:lineRule="auto"/>
        <w:jc w:val="both"/>
        <w:rPr>
          <w:rFonts w:ascii="Times New Roman" w:hAnsi="Times New Roman" w:cs="Times New Roman"/>
          <w:b/>
          <w:szCs w:val="22"/>
        </w:rPr>
      </w:pPr>
      <w:r w:rsidRPr="00467DF7">
        <w:rPr>
          <w:rFonts w:ascii="Times New Roman" w:hAnsi="Times New Roman" w:cs="Times New Roman"/>
          <w:b/>
          <w:szCs w:val="22"/>
        </w:rPr>
        <w:t>Tipos, národná lotériová spoločnosť, a.s.</w:t>
      </w:r>
      <w:r>
        <w:rPr>
          <w:rFonts w:ascii="Times New Roman" w:hAnsi="Times New Roman" w:cs="Times New Roman"/>
          <w:b/>
          <w:szCs w:val="22"/>
        </w:rPr>
        <w:t xml:space="preserve"> </w:t>
      </w:r>
      <w:r w:rsidRPr="00726E80">
        <w:rPr>
          <w:rFonts w:ascii="Times New Roman" w:hAnsi="Times New Roman" w:cs="Times New Roman"/>
          <w:b/>
          <w:szCs w:val="22"/>
        </w:rPr>
        <w:t>(ďalej „</w:t>
      </w:r>
      <w:r>
        <w:rPr>
          <w:rFonts w:ascii="Times New Roman" w:hAnsi="Times New Roman" w:cs="Times New Roman"/>
          <w:b/>
          <w:szCs w:val="22"/>
        </w:rPr>
        <w:t>Tipos</w:t>
      </w:r>
      <w:r w:rsidRPr="00726E80">
        <w:rPr>
          <w:rFonts w:ascii="Times New Roman" w:hAnsi="Times New Roman" w:cs="Times New Roman"/>
          <w:b/>
          <w:szCs w:val="22"/>
        </w:rPr>
        <w:t>“)</w:t>
      </w:r>
    </w:p>
    <w:p w:rsidR="008117A9" w:rsidRPr="00226556" w:rsidP="008117A9">
      <w:pPr>
        <w:bidi w:val="0"/>
        <w:spacing w:after="120" w:line="336" w:lineRule="auto"/>
        <w:jc w:val="both"/>
        <w:rPr>
          <w:rFonts w:ascii="Times New Roman" w:hAnsi="Times New Roman" w:cs="Times New Roman"/>
          <w:szCs w:val="22"/>
        </w:rPr>
      </w:pPr>
      <w:r w:rsidRPr="00226556">
        <w:rPr>
          <w:rFonts w:ascii="Times New Roman" w:hAnsi="Times New Roman" w:cs="Times New Roman"/>
          <w:szCs w:val="22"/>
        </w:rPr>
        <w:t xml:space="preserve">V porovnaní s rokom 2014 došlo k zníženiu </w:t>
      </w:r>
      <w:r>
        <w:rPr>
          <w:rFonts w:ascii="Times New Roman" w:hAnsi="Times New Roman" w:cs="Times New Roman"/>
          <w:szCs w:val="22"/>
        </w:rPr>
        <w:t>vlastného imania</w:t>
      </w:r>
      <w:r w:rsidRPr="00226556">
        <w:rPr>
          <w:rFonts w:ascii="Times New Roman" w:hAnsi="Times New Roman" w:cs="Times New Roman"/>
          <w:szCs w:val="22"/>
        </w:rPr>
        <w:t xml:space="preserve"> TIPOS</w:t>
      </w:r>
      <w:r>
        <w:rPr>
          <w:rFonts w:ascii="Times New Roman" w:hAnsi="Times New Roman" w:cs="Times New Roman"/>
          <w:szCs w:val="22"/>
        </w:rPr>
        <w:t>-</w:t>
      </w:r>
      <w:r w:rsidRPr="00226556">
        <w:rPr>
          <w:rFonts w:ascii="Times New Roman" w:hAnsi="Times New Roman" w:cs="Times New Roman"/>
          <w:szCs w:val="22"/>
        </w:rPr>
        <w:t xml:space="preserve">u o 4 669 tis. eur najmä z dôvodu vyplatenia dividendy v sume 8 566 tis. eur. Ďalším negatívnym vplyvom na </w:t>
      </w:r>
      <w:r>
        <w:rPr>
          <w:rFonts w:ascii="Times New Roman" w:hAnsi="Times New Roman" w:cs="Times New Roman"/>
          <w:szCs w:val="22"/>
        </w:rPr>
        <w:t>vlastné imanie</w:t>
      </w:r>
      <w:r w:rsidRPr="00226556">
        <w:rPr>
          <w:rFonts w:ascii="Times New Roman" w:hAnsi="Times New Roman" w:cs="Times New Roman"/>
          <w:szCs w:val="22"/>
        </w:rPr>
        <w:t xml:space="preserve"> bolo vyplatenie výhier v hodnote 3 047 tis. eur z Fondu na podporu a zabezpečenie hazardných hier. Negatívne vplyvy </w:t>
      </w:r>
      <w:r>
        <w:rPr>
          <w:rFonts w:ascii="Times New Roman" w:hAnsi="Times New Roman" w:cs="Times New Roman"/>
          <w:szCs w:val="22"/>
        </w:rPr>
        <w:t>týchto</w:t>
      </w:r>
      <w:r w:rsidRPr="00226556">
        <w:rPr>
          <w:rFonts w:ascii="Times New Roman" w:hAnsi="Times New Roman" w:cs="Times New Roman"/>
          <w:szCs w:val="22"/>
        </w:rPr>
        <w:t xml:space="preserve"> dvoch položiek čiastočne </w:t>
      </w:r>
      <w:r>
        <w:rPr>
          <w:rFonts w:ascii="Times New Roman" w:hAnsi="Times New Roman" w:cs="Times New Roman"/>
          <w:szCs w:val="22"/>
        </w:rPr>
        <w:t>kompenzoval</w:t>
      </w:r>
      <w:r w:rsidRPr="00226556">
        <w:rPr>
          <w:rFonts w:ascii="Times New Roman" w:hAnsi="Times New Roman" w:cs="Times New Roman"/>
          <w:szCs w:val="22"/>
        </w:rPr>
        <w:t xml:space="preserve"> čistý zisk vo výške 7 300 tis. eur. </w:t>
      </w:r>
    </w:p>
    <w:p w:rsidR="008117A9" w:rsidRPr="00226556" w:rsidP="008117A9">
      <w:pPr>
        <w:bidi w:val="0"/>
        <w:spacing w:after="120" w:line="336" w:lineRule="auto"/>
        <w:jc w:val="both"/>
        <w:rPr>
          <w:rFonts w:ascii="Times New Roman" w:hAnsi="Times New Roman" w:cs="Times New Roman"/>
          <w:szCs w:val="22"/>
        </w:rPr>
      </w:pPr>
      <w:r w:rsidRPr="00226556">
        <w:rPr>
          <w:rFonts w:ascii="Times New Roman" w:hAnsi="Times New Roman" w:cs="Times New Roman"/>
          <w:szCs w:val="22"/>
        </w:rPr>
        <w:t xml:space="preserve">Čistý zisk v medziročnom porovnaní klesol o 23 % najmä vplyvom významného rastu nákladov na výhry </w:t>
      </w:r>
      <w:r>
        <w:rPr>
          <w:rFonts w:ascii="Times New Roman" w:hAnsi="Times New Roman" w:cs="Times New Roman"/>
          <w:szCs w:val="22"/>
        </w:rPr>
        <w:t>(</w:t>
      </w:r>
      <w:r w:rsidRPr="00226556">
        <w:rPr>
          <w:rFonts w:ascii="Times New Roman" w:hAnsi="Times New Roman" w:cs="Times New Roman"/>
          <w:szCs w:val="22"/>
        </w:rPr>
        <w:t>v porovnaní s rokom 2014 nárast o 26 294 tis. eur</w:t>
      </w:r>
      <w:r>
        <w:rPr>
          <w:rFonts w:ascii="Times New Roman" w:hAnsi="Times New Roman" w:cs="Times New Roman"/>
          <w:szCs w:val="22"/>
        </w:rPr>
        <w:t>)</w:t>
      </w:r>
      <w:r w:rsidRPr="00226556">
        <w:rPr>
          <w:rFonts w:ascii="Times New Roman" w:hAnsi="Times New Roman" w:cs="Times New Roman"/>
          <w:szCs w:val="22"/>
        </w:rPr>
        <w:t xml:space="preserve">. Táto položka má stúpajúcu tendenciu </w:t>
      </w:r>
      <w:r>
        <w:rPr>
          <w:rFonts w:ascii="Times New Roman" w:hAnsi="Times New Roman" w:cs="Times New Roman"/>
          <w:szCs w:val="22"/>
        </w:rPr>
        <w:t xml:space="preserve">za posledné dva roky </w:t>
      </w:r>
      <w:r w:rsidRPr="00226556">
        <w:rPr>
          <w:rFonts w:ascii="Times New Roman" w:hAnsi="Times New Roman" w:cs="Times New Roman"/>
          <w:szCs w:val="22"/>
        </w:rPr>
        <w:t xml:space="preserve">zaznamenala </w:t>
      </w:r>
      <w:r>
        <w:rPr>
          <w:rFonts w:ascii="Times New Roman" w:hAnsi="Times New Roman" w:cs="Times New Roman"/>
          <w:szCs w:val="22"/>
        </w:rPr>
        <w:t xml:space="preserve">kumulatívny </w:t>
      </w:r>
      <w:r w:rsidRPr="00226556">
        <w:rPr>
          <w:rFonts w:ascii="Times New Roman" w:hAnsi="Times New Roman" w:cs="Times New Roman"/>
          <w:szCs w:val="22"/>
        </w:rPr>
        <w:t>nárast o</w:t>
      </w:r>
      <w:r>
        <w:rPr>
          <w:rFonts w:ascii="Times New Roman" w:hAnsi="Times New Roman" w:cs="Times New Roman"/>
          <w:szCs w:val="22"/>
        </w:rPr>
        <w:t> 16,5 %</w:t>
      </w:r>
      <w:r w:rsidRPr="00226556">
        <w:rPr>
          <w:rFonts w:ascii="Times New Roman" w:hAnsi="Times New Roman" w:cs="Times New Roman"/>
          <w:szCs w:val="22"/>
        </w:rPr>
        <w:t xml:space="preserve">. </w:t>
      </w:r>
      <w:r>
        <w:rPr>
          <w:rFonts w:ascii="Times New Roman" w:hAnsi="Times New Roman" w:cs="Times New Roman"/>
          <w:szCs w:val="22"/>
        </w:rPr>
        <w:t xml:space="preserve">Oproti tomu na zisk najpozitívnejšie v posledných rokoch vplývajú výnosy </w:t>
      </w:r>
      <w:r w:rsidRPr="00226556">
        <w:rPr>
          <w:rFonts w:ascii="Times New Roman" w:hAnsi="Times New Roman" w:cs="Times New Roman"/>
          <w:szCs w:val="22"/>
        </w:rPr>
        <w:t>z hazardných hier  prevádzkovaných prostredníctvom internetu</w:t>
      </w:r>
      <w:r>
        <w:rPr>
          <w:rFonts w:ascii="Times New Roman" w:hAnsi="Times New Roman" w:cs="Times New Roman"/>
          <w:szCs w:val="22"/>
        </w:rPr>
        <w:t>, ktoré v roku 2015</w:t>
      </w:r>
      <w:r w:rsidRPr="00226556">
        <w:rPr>
          <w:rFonts w:ascii="Times New Roman" w:hAnsi="Times New Roman" w:cs="Times New Roman"/>
          <w:szCs w:val="22"/>
        </w:rPr>
        <w:t xml:space="preserve"> </w:t>
      </w:r>
      <w:r>
        <w:rPr>
          <w:rFonts w:ascii="Times New Roman" w:hAnsi="Times New Roman" w:cs="Times New Roman"/>
          <w:szCs w:val="22"/>
        </w:rPr>
        <w:t>vzrástli o 10,9 %</w:t>
      </w:r>
      <w:r w:rsidRPr="00226556">
        <w:rPr>
          <w:rFonts w:ascii="Times New Roman" w:hAnsi="Times New Roman" w:cs="Times New Roman"/>
          <w:szCs w:val="22"/>
        </w:rPr>
        <w:t xml:space="preserve">. </w:t>
      </w:r>
      <w:r>
        <w:rPr>
          <w:rFonts w:ascii="Times New Roman" w:hAnsi="Times New Roman" w:cs="Times New Roman"/>
          <w:szCs w:val="22"/>
        </w:rPr>
        <w:t xml:space="preserve">Výnosy z ostatných hier </w:t>
      </w:r>
      <w:r w:rsidRPr="00226556">
        <w:rPr>
          <w:rFonts w:ascii="Times New Roman" w:hAnsi="Times New Roman" w:cs="Times New Roman"/>
          <w:szCs w:val="22"/>
        </w:rPr>
        <w:t xml:space="preserve">(lotérie, </w:t>
      </w:r>
      <w:r>
        <w:rPr>
          <w:rFonts w:ascii="Times New Roman" w:hAnsi="Times New Roman" w:cs="Times New Roman"/>
          <w:szCs w:val="22"/>
        </w:rPr>
        <w:t>kurzové</w:t>
      </w:r>
      <w:r w:rsidRPr="00226556">
        <w:rPr>
          <w:rFonts w:ascii="Times New Roman" w:hAnsi="Times New Roman" w:cs="Times New Roman"/>
          <w:szCs w:val="22"/>
        </w:rPr>
        <w:t xml:space="preserve"> stávky</w:t>
      </w:r>
      <w:r>
        <w:rPr>
          <w:rFonts w:ascii="Times New Roman" w:hAnsi="Times New Roman" w:cs="Times New Roman"/>
          <w:szCs w:val="22"/>
        </w:rPr>
        <w:t>, nelotériové produkty</w:t>
      </w:r>
      <w:r w:rsidRPr="00226556">
        <w:rPr>
          <w:rFonts w:ascii="Times New Roman" w:hAnsi="Times New Roman" w:cs="Times New Roman"/>
          <w:szCs w:val="22"/>
        </w:rPr>
        <w:t xml:space="preserve">) </w:t>
      </w:r>
      <w:r>
        <w:rPr>
          <w:rFonts w:ascii="Times New Roman" w:hAnsi="Times New Roman" w:cs="Times New Roman"/>
          <w:szCs w:val="22"/>
        </w:rPr>
        <w:t>vzrástli</w:t>
      </w:r>
      <w:r w:rsidRPr="00226556">
        <w:rPr>
          <w:rFonts w:ascii="Times New Roman" w:hAnsi="Times New Roman" w:cs="Times New Roman"/>
          <w:szCs w:val="22"/>
        </w:rPr>
        <w:t xml:space="preserve"> </w:t>
      </w:r>
      <w:r>
        <w:rPr>
          <w:rFonts w:ascii="Times New Roman" w:hAnsi="Times New Roman" w:cs="Times New Roman"/>
          <w:szCs w:val="22"/>
        </w:rPr>
        <w:t>len o 1,8</w:t>
      </w:r>
      <w:r>
        <w:t> %</w:t>
      </w:r>
      <w:r w:rsidRPr="00226556">
        <w:rPr>
          <w:rFonts w:ascii="Times New Roman" w:hAnsi="Times New Roman" w:cs="Times New Roman"/>
          <w:szCs w:val="22"/>
        </w:rPr>
        <w:t>.</w:t>
      </w:r>
    </w:p>
    <w:p w:rsidR="008117A9" w:rsidRPr="00226556" w:rsidP="008117A9">
      <w:pPr>
        <w:bidi w:val="0"/>
        <w:spacing w:after="120" w:line="336" w:lineRule="auto"/>
        <w:jc w:val="both"/>
        <w:rPr>
          <w:rFonts w:ascii="Times New Roman" w:hAnsi="Times New Roman" w:cs="Times New Roman"/>
          <w:szCs w:val="22"/>
        </w:rPr>
      </w:pPr>
      <w:r w:rsidRPr="00226556">
        <w:rPr>
          <w:rFonts w:ascii="Times New Roman" w:hAnsi="Times New Roman" w:cs="Times New Roman"/>
          <w:szCs w:val="22"/>
        </w:rPr>
        <w:t>Formou zákonného odvodu z prevádzkovania hazardných hier spoločnosť odviedla do štátneho rozpočtu 35 807 tis. eur (pokles o 0,7 %). V danom roku spoločnosť uhradila do štátneho rozpočtu ročnú splátku mimoriadneho odvodu roku 2014 vo výške 2 004 tis. eur. Spoločnosť eviduje ako krátkodobé záväzky neuhradenú splátku mimoriadneho odvodu roku 2015 v sume 2 004 tis. eur a zostávajúcu časť vo výške 7 976 tis. eur v dlhodobých záväzkoch, ktorých splatnosť je do 31.</w:t>
      </w:r>
      <w:r>
        <w:rPr>
          <w:rFonts w:ascii="Times New Roman" w:hAnsi="Times New Roman" w:cs="Times New Roman"/>
          <w:szCs w:val="22"/>
        </w:rPr>
        <w:t>12.</w:t>
      </w:r>
      <w:r w:rsidRPr="00226556">
        <w:rPr>
          <w:rFonts w:ascii="Times New Roman" w:hAnsi="Times New Roman" w:cs="Times New Roman"/>
          <w:szCs w:val="22"/>
        </w:rPr>
        <w:t>2020.</w:t>
      </w:r>
    </w:p>
    <w:p w:rsidR="008117A9" w:rsidRPr="00914A18" w:rsidP="008117A9">
      <w:pPr>
        <w:bidi w:val="0"/>
        <w:spacing w:before="240"/>
        <w:jc w:val="both"/>
        <w:rPr>
          <w:rFonts w:ascii="Times New Roman" w:hAnsi="Times New Roman" w:cs="Times New Roman"/>
          <w:b/>
          <w:szCs w:val="22"/>
        </w:rPr>
      </w:pPr>
      <w:r>
        <w:rPr>
          <w:rFonts w:ascii="Times New Roman" w:hAnsi="Times New Roman" w:cs="Times New Roman"/>
          <w:b/>
          <w:szCs w:val="22"/>
        </w:rPr>
        <w:t xml:space="preserve">Železnice Slovenskej republiky </w:t>
      </w:r>
      <w:r w:rsidRPr="00914A18">
        <w:rPr>
          <w:rFonts w:ascii="Times New Roman" w:hAnsi="Times New Roman" w:cs="Times New Roman"/>
          <w:b/>
          <w:szCs w:val="22"/>
        </w:rPr>
        <w:t>(ďalej „ŽSR“)</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 xml:space="preserve">Vlastné imanie </w:t>
      </w:r>
      <w:r>
        <w:rPr>
          <w:rFonts w:ascii="Times New Roman" w:hAnsi="Times New Roman" w:cs="Times New Roman"/>
          <w:szCs w:val="22"/>
        </w:rPr>
        <w:t>ŽSR</w:t>
      </w:r>
      <w:r w:rsidRPr="00914A18">
        <w:rPr>
          <w:rFonts w:ascii="Times New Roman" w:hAnsi="Times New Roman" w:cs="Times New Roman"/>
          <w:szCs w:val="22"/>
        </w:rPr>
        <w:t xml:space="preserve"> sa v roku 2015 zvýšilo oproti predchádzajúcemu roku o 21 870 tis. eur  najmä vplyvom čistého zisku vo výške 17 189 tis. eur a nepeňažného vkladu vo výške 6 923 tis. eur.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Čistý zisk  medziročne výrazne vzrástol o 12 357 tis. eur (takmer 3,6 násobný rast) z dôvodu rastu  výnosov o 2,5 % a poklesu prevádzkových nákladov o 0,8 %. Hlavný vplyv na rast prevádzkových výnosov mali vyššie tržby z prevádzkovania železničnej infraštruktúry (najmä zvýšenie tržieb za pridelenie kapacity železničnej infraštruktúry na železničných tratiach pre osobnú dopravu o 9,6</w:t>
      </w:r>
      <w:r>
        <w:rPr>
          <w:rFonts w:ascii="Times New Roman" w:hAnsi="Times New Roman" w:cs="Times New Roman"/>
          <w:szCs w:val="22"/>
        </w:rPr>
        <w:t> </w:t>
      </w:r>
      <w:r w:rsidRPr="00914A18">
        <w:rPr>
          <w:rFonts w:ascii="Times New Roman" w:hAnsi="Times New Roman" w:cs="Times New Roman"/>
          <w:szCs w:val="22"/>
        </w:rPr>
        <w:t>%, pre nákladnú dopravu o 4,3 %) ako aj z predaja a distribúcie trakčnej elektriny (vplyv rastu dopravných výkonov).  Hlavným zdrojom zaznamenaného rastu tržieb bol zvýšený objem výkonov v oblasti osobnej dopravy.  Nárast výkonov bol zaznamenaný najmä na strane prepravcu Regio Jet (dôsledok navýšenia vozby osobných vlakov) a na strane Železničnej spoločnosti Slovensko, a.s. - vplyv zvýšenej potreby vlakov pre osobnú prepravu z dôvodu realizácie opatrenia v zmysle rozhodnutia vlády SR o bezplatnej preprave žiakov, študentov a dôchodcov vo vlakoch od 17. novembra 2014. Výška tržieb za prístup do železničnej infraštruktúry, ktorú tvorí  kompenzácia poskytovaná štátom ŽSR za zníženie poplatkov za prístup do železničnej infraštruktúry nákladným prepravcom sa medziročne nezmenila</w:t>
      </w:r>
      <w:r>
        <w:rPr>
          <w:rFonts w:ascii="Times New Roman" w:hAnsi="Times New Roman"/>
          <w:szCs w:val="22"/>
          <w:vertAlign w:val="superscript"/>
          <w:rtl w:val="0"/>
        </w:rPr>
        <w:footnoteReference w:id="7"/>
      </w:r>
      <w:r w:rsidRPr="00CB69F7">
        <w:rPr>
          <w:rFonts w:ascii="Times New Roman" w:hAnsi="Times New Roman" w:cs="Times New Roman"/>
          <w:szCs w:val="22"/>
          <w:vertAlign w:val="superscript"/>
        </w:rPr>
        <w:t>.</w:t>
      </w:r>
      <w:r w:rsidRPr="00914A18">
        <w:rPr>
          <w:rFonts w:ascii="Times New Roman" w:hAnsi="Times New Roman" w:cs="Times New Roman"/>
          <w:szCs w:val="22"/>
        </w:rPr>
        <w:t xml:space="preserve">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Pokles prevádzkových nákladoch bol spôsobený zúčtovaním opravných položiek k pohľadávkam voči Železničnej spoločnosti Cargo Slovakia, a.s. z dôvodu úhrady pohľadávky. Výška dosiahnutého poklesu bola čiastočne eliminovaná rastom v nákladových položkách energie (</w:t>
      </w:r>
      <w:r>
        <w:rPr>
          <w:rFonts w:ascii="Times New Roman" w:hAnsi="Times New Roman" w:cs="Times New Roman"/>
          <w:szCs w:val="22"/>
        </w:rPr>
        <w:t>protihodnota</w:t>
      </w:r>
      <w:r w:rsidRPr="00914A18">
        <w:rPr>
          <w:rFonts w:ascii="Times New Roman" w:hAnsi="Times New Roman" w:cs="Times New Roman"/>
          <w:szCs w:val="22"/>
        </w:rPr>
        <w:t xml:space="preserve"> k vyššiemu nákupu elektriny bol vyšší predaj elektriny)</w:t>
      </w:r>
      <w:r>
        <w:rPr>
          <w:rFonts w:ascii="Times New Roman" w:hAnsi="Times New Roman" w:cs="Times New Roman"/>
          <w:szCs w:val="22"/>
        </w:rPr>
        <w:t>, osobné náklady (vplyv novej k</w:t>
      </w:r>
      <w:r w:rsidRPr="00914A18">
        <w:rPr>
          <w:rFonts w:ascii="Times New Roman" w:hAnsi="Times New Roman" w:cs="Times New Roman"/>
          <w:szCs w:val="22"/>
        </w:rPr>
        <w:t xml:space="preserve">olektívnej zmluvy), materiál a suroviny a opravy a udržiavanie.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Pozitívne vplyvy na strane prevádzkových  nákladov a výnosov doplnil aj významný pokles nákladových úrokov, ktorý svojím vplyvom pokryl súčasný pokles výnosových úrokov.</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Okrem zisku pozitívne ovplyvnil výšku vlastného imania aj nepeňažný vklad  do kapitálových fondov vo výške 6 923 tis. eur v podobe prevodu vlastníckeho práva k  pozemkom. Negatívny dopad na konečný stav vlastného imania malo precenenie rezervy na zamestnanecké požitky vo výške 2 032 tis. eur.</w:t>
      </w:r>
    </w:p>
    <w:p w:rsidR="008117A9" w:rsidRPr="00914A18" w:rsidP="008117A9">
      <w:pPr>
        <w:bidi w:val="0"/>
        <w:spacing w:after="120" w:line="336" w:lineRule="auto"/>
        <w:jc w:val="both"/>
        <w:rPr>
          <w:rFonts w:cs="Times New Roman"/>
          <w:b/>
          <w:szCs w:val="24"/>
        </w:rPr>
      </w:pPr>
      <w:r w:rsidRPr="00914A18">
        <w:rPr>
          <w:rFonts w:ascii="Times New Roman" w:hAnsi="Times New Roman" w:cs="Times New Roman"/>
          <w:b/>
          <w:szCs w:val="22"/>
        </w:rPr>
        <w:t>Železničn</w:t>
      </w:r>
      <w:r>
        <w:rPr>
          <w:rFonts w:ascii="Times New Roman" w:hAnsi="Times New Roman" w:cs="Times New Roman"/>
          <w:b/>
          <w:szCs w:val="22"/>
        </w:rPr>
        <w:t>á</w:t>
      </w:r>
      <w:r w:rsidRPr="00914A18">
        <w:rPr>
          <w:rFonts w:ascii="Times New Roman" w:hAnsi="Times New Roman" w:cs="Times New Roman"/>
          <w:b/>
          <w:szCs w:val="22"/>
        </w:rPr>
        <w:t xml:space="preserve"> spoločnos</w:t>
      </w:r>
      <w:r>
        <w:rPr>
          <w:rFonts w:ascii="Times New Roman" w:hAnsi="Times New Roman" w:cs="Times New Roman"/>
          <w:b/>
          <w:szCs w:val="22"/>
        </w:rPr>
        <w:t>ť</w:t>
      </w:r>
      <w:r w:rsidRPr="00914A18">
        <w:rPr>
          <w:rFonts w:ascii="Times New Roman" w:hAnsi="Times New Roman" w:cs="Times New Roman"/>
          <w:b/>
          <w:szCs w:val="22"/>
        </w:rPr>
        <w:t xml:space="preserve"> Slovensko, a.s. (ďalej „ŽS Slovensko“)</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Vlastné imanie ŽS Slovensko sa v roku 2015 znížilo o 5 239 tis. eur najmä vplyvom dosiahnutej straty vo výške 5 889 tis. eur.</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 xml:space="preserve">Generovanie straty, ktorá sa medziročne znížila o 7,7 %, spôsobilo hlavne pokles tržieb za prepravu osôb, súvisiacich výkonov vplyvom stratových IC vlakov a nižšieho počtu prepravených osôb z dôvodu redukcie prepravných výkonov IC vlakov. Naopak výrazný medziročný rast počtu cestujúcich bol zaznamenaný vo vnútroštátnej preprave osôb ovplyvnený predovšetkým zavedením bezplatnej prepravy pre vybrané kategórie cestujúcich (deti, študenti a dôchodcovia) vyplývajúcej zo Zmluvy o dopravných službách vo verejnom záujme. V medzinárodnej doprave bol tiež zaznamenaný mierny rast počtu cestujúcich a to o 0,3 %.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Celkový medziročný rast počtu cestujúcich o 21,1 % sa v konečnom dôsledku prejavil nielen rastom výnosov z prepravy vo verejnom záujme, ale aj rastom nákladov súvisiacich s vyššími výkonmi v preprave. Napríklad došlo k rastu odpisov o 26,5 % z dôvodu  obstarania nových vozňov, k rastu osobných nákladov o 1,8 % z dôvodu vyššieho počtu zamestnancov.</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 xml:space="preserve">Úspora bola zaznamenaná na položke spotreba materiálu a služieb, pričom bola spôsobená rozpustením časti rezervy na environmentálne záťaže. V zmysle Uznesenia vlády SR č. 38/2015 bola rezerva pre vybrané objekty zrušená z dôvodu zaradenia do Operačného programu „Kvalita životného prostredia“, v rámci ktorého môže Ministerstvo životného prostredia SR na ich sanáciu žiadať nenávratný finančný príspevok zo zdrojov EÚ.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Na zmiernení vygenerovanej straty sa spolupodieľal aj pokles úrokov z úverov, kurzové zisky a vyšší zisk z precenenia derivátov.</w:t>
      </w:r>
    </w:p>
    <w:p w:rsidR="008117A9" w:rsidRPr="0012203B" w:rsidP="008117A9">
      <w:pPr>
        <w:bidi w:val="0"/>
        <w:jc w:val="both"/>
        <w:rPr>
          <w:rFonts w:cs="Times New Roman"/>
          <w:b/>
          <w:szCs w:val="24"/>
        </w:rPr>
      </w:pPr>
      <w:r w:rsidRPr="0012203B">
        <w:rPr>
          <w:rFonts w:ascii="Times New Roman" w:hAnsi="Times New Roman" w:cs="Times New Roman"/>
          <w:b/>
          <w:szCs w:val="22"/>
        </w:rPr>
        <w:t>N</w:t>
      </w:r>
      <w:r>
        <w:rPr>
          <w:rFonts w:ascii="Times New Roman" w:hAnsi="Times New Roman" w:cs="Times New Roman"/>
          <w:b/>
          <w:szCs w:val="22"/>
        </w:rPr>
        <w:t>árodná diaľničná spoločnosť</w:t>
      </w:r>
      <w:r w:rsidRPr="0012203B">
        <w:rPr>
          <w:rFonts w:ascii="Times New Roman" w:hAnsi="Times New Roman" w:cs="Times New Roman"/>
          <w:b/>
          <w:szCs w:val="22"/>
        </w:rPr>
        <w:t>, a. s. (ďalej „NDS“)</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 xml:space="preserve">Vlastné imanie NDS sa v roku 2015 zvýšilo oproti predchádzajúcemu roku len vplyvom čistého zisku o 23 383 tis. eur.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Čistý zisk zaznamenal medziročne pokles o 29,1 %. Bol spôsobený vplyvom nákladov na elektronické mýto, ktoré vzrástli o 25,7 %. Najväčší vplyv na to mala zmena spôsobu účtovania platieb realizovaných cez palivové karty a náklady na zmenený systém. Rast nákladov bol zaznamenaný aj na položke odpisov a amortizácie z dôvodu dokončenia a zaradenia majetku do užívania, osobných nákladov z dôvodu vyššieho počtu zamestnancov. Naopak pozitívny vývoj bol vykázaný na nižšej spotrebe materiálu, služieb a vyšších výnosoch z dotácií. Vyššie investičné dotácie poskytnuté zo štátneho rozpočtu a fondov EÚ boli určené na krytie investičných výdavkov vynaložených na výstavbu diaľnic a ciest pre motorové vozidlá a ostatných ciest.</w:t>
      </w:r>
    </w:p>
    <w:p w:rsidR="008117A9" w:rsidRPr="00BE6494"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Negatívny vývoj niektorých nákladov čiastočne eliminovali výnosy, ktoré sa zvýšili o 3,1 % vplyvom zvýšenia dopravnej intenzity a otvorenia nových diaľničných úsekov, čo prináša dodatočné výnosy z poplatkov za používanie diaľničnej infraštruk</w:t>
      </w:r>
      <w:r>
        <w:rPr>
          <w:rFonts w:ascii="Times New Roman" w:hAnsi="Times New Roman" w:cs="Times New Roman"/>
          <w:szCs w:val="22"/>
        </w:rPr>
        <w:t>t</w:t>
      </w:r>
      <w:r w:rsidRPr="00914A18">
        <w:rPr>
          <w:rFonts w:ascii="Times New Roman" w:hAnsi="Times New Roman" w:cs="Times New Roman"/>
          <w:szCs w:val="22"/>
        </w:rPr>
        <w:t xml:space="preserve">úry. Pozitívny vplyv malo aj zvýšenie výnosov z elektronického mýta a predaja diaľničných nálepiek, a to najmä vplyvom vyššieho predaja ročných diaľničných známok, ktorý predstavoval takmer 60,0 % z celkového objemu predaja diaľničných známok. Celkové zvýšenie výnosov zo spoplatnených úsekov bolo medziročne o 5,8 %. </w:t>
      </w:r>
    </w:p>
    <w:p w:rsidR="008117A9" w:rsidRPr="0012203B" w:rsidP="008117A9">
      <w:pPr>
        <w:bidi w:val="0"/>
        <w:spacing w:after="120" w:line="336" w:lineRule="auto"/>
        <w:jc w:val="both"/>
        <w:rPr>
          <w:rFonts w:ascii="Times New Roman" w:hAnsi="Times New Roman" w:cs="Times New Roman"/>
          <w:b/>
          <w:szCs w:val="22"/>
        </w:rPr>
      </w:pPr>
      <w:r>
        <w:rPr>
          <w:rFonts w:ascii="Times New Roman" w:hAnsi="Times New Roman" w:cs="Times New Roman"/>
          <w:b/>
          <w:szCs w:val="22"/>
        </w:rPr>
        <w:t>Exportno-importná</w:t>
      </w:r>
      <w:r w:rsidRPr="00914A18">
        <w:rPr>
          <w:rFonts w:ascii="Times New Roman" w:hAnsi="Times New Roman" w:cs="Times New Roman"/>
          <w:b/>
          <w:szCs w:val="22"/>
        </w:rPr>
        <w:t xml:space="preserve"> bank</w:t>
      </w:r>
      <w:r>
        <w:rPr>
          <w:rFonts w:ascii="Times New Roman" w:hAnsi="Times New Roman" w:cs="Times New Roman"/>
          <w:b/>
          <w:szCs w:val="22"/>
        </w:rPr>
        <w:t>a</w:t>
      </w:r>
      <w:r w:rsidRPr="00914A18">
        <w:rPr>
          <w:rFonts w:ascii="Times New Roman" w:hAnsi="Times New Roman" w:cs="Times New Roman"/>
          <w:b/>
          <w:szCs w:val="22"/>
        </w:rPr>
        <w:t xml:space="preserve"> Slovenskej </w:t>
      </w:r>
      <w:r w:rsidRPr="0012203B">
        <w:rPr>
          <w:rFonts w:ascii="Times New Roman" w:hAnsi="Times New Roman" w:cs="Times New Roman"/>
          <w:b/>
          <w:szCs w:val="22"/>
        </w:rPr>
        <w:t>republiky (ďalej „EXIMBANKA“)</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Vlastné imanie EXIMBANK</w:t>
      </w:r>
      <w:r>
        <w:rPr>
          <w:rFonts w:ascii="Times New Roman" w:hAnsi="Times New Roman" w:cs="Times New Roman"/>
          <w:szCs w:val="22"/>
        </w:rPr>
        <w:t>Y</w:t>
      </w:r>
      <w:r w:rsidRPr="00914A18">
        <w:rPr>
          <w:rFonts w:ascii="Times New Roman" w:hAnsi="Times New Roman" w:cs="Times New Roman"/>
          <w:szCs w:val="22"/>
        </w:rPr>
        <w:t xml:space="preserve"> sa v roku 2015 zvýšilo o 239 tis. eur vplyvom zisku bežného </w:t>
      </w:r>
      <w:r>
        <w:rPr>
          <w:rFonts w:ascii="Times New Roman" w:hAnsi="Times New Roman" w:cs="Times New Roman"/>
          <w:szCs w:val="22"/>
        </w:rPr>
        <w:t xml:space="preserve">účtovného </w:t>
      </w:r>
      <w:r w:rsidRPr="00914A18">
        <w:rPr>
          <w:rFonts w:ascii="Times New Roman" w:hAnsi="Times New Roman" w:cs="Times New Roman"/>
          <w:szCs w:val="22"/>
        </w:rPr>
        <w:t xml:space="preserve">obdobia vo výške 489 tis. eur. Pozitívny vplyv zisku čiastočne eliminovalo vyplatenie odvodu do štátneho rozpočtu vo výške 250 tis. eur.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 xml:space="preserve">Zisk vzrástol o 43,0 % vplyvom uplatnenia nevyužitej daňovej straty z minulých rokov. Zisk pred zdanením medziročne klesol o 62,0 % najmä vplyvom rastu tvorby rezervy na záruky a poklesu čistého úrokového výnosu ako výsledku výraznejšieho poklesu úrokových výnosov ako poklesu úrokových nákladov. Negatívny vplyv nižších úrokových výnosov bol spôsobený poklesom najmä v segmente pohľadávok voči klientom o 7,5 % a v segmente pohľadávok voči bankám bol zaznamenaný pokles o 10,2 %. Výsledok bol dosiahnutý poklesom angažovanosti v oblasti bankových úverov o 13,9 %, najmä z dôvodu splatenia pohľadávok klientmi. Spoločnosť naďalej v súlade so svojou stratégiou znižovala objem refinančných úverov pre banky a zameriavala sa prioritne na poskytovanie priamych úverov exportérom. Najväčšie zastúpenie pritom mali investičné úvery určené na nákup a modernizáciu technológie a súvisiacej infraštruktúry.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 xml:space="preserve">Angažovanosť v oblasti bankových záruk medziročne klesla o 6,4 % z dôvodu cieleného znižovania angažovanosti v niektorých obchodných prípadoch. Z pohľadu druhu poskytovaných záruk došlo k nárastu neplatobných bankových záruk o 14,2 % poskytovaných na kvantitatívne, prípadne kvalitatívne podmienky kontraktu. Neplatobné bankové záruky boli zamerané na podporu realizácie komplexných vývozných kontraktov „na kľúč“. Oproti tomu klesla angažovanosť v oblasti platobných bankových záruk o 10,9 % z dôvodu splácania úverov zabezpečených týmito zárukami. Napriek zníženiu angažovanosti v oblasti bankových záruk došlo k navýšeniu rezervy na záruky. </w:t>
      </w:r>
    </w:p>
    <w:p w:rsidR="008117A9" w:rsidRPr="00914A18" w:rsidP="008117A9">
      <w:pPr>
        <w:bidi w:val="0"/>
        <w:spacing w:after="120" w:line="336" w:lineRule="auto"/>
        <w:jc w:val="both"/>
        <w:rPr>
          <w:rFonts w:ascii="Times New Roman" w:hAnsi="Times New Roman" w:cs="Times New Roman"/>
          <w:szCs w:val="22"/>
        </w:rPr>
      </w:pPr>
      <w:r w:rsidRPr="00914A18">
        <w:rPr>
          <w:rFonts w:ascii="Times New Roman" w:hAnsi="Times New Roman" w:cs="Times New Roman"/>
          <w:szCs w:val="22"/>
        </w:rPr>
        <w:t xml:space="preserve">Ku koncu roka 2015 bol zaznamenaný pokles aj oblasti poistnej angažovanosti  o 2,4 %. Z pohľadu druhu poskytnutých poistení bol zaznamenaný nárast poistenia neobchodovateľných rizík o 2,6 %. Dopad poistenia na zisk za obdobie bol kladný najmä vplyvom vyššieho predpísaného poistného očisteného o podiel zaisťovateľov. Pozitívny  dopad na zisk malo aj rozpustenie opravných položiek najmä k pohľadávkam voči klientom. </w:t>
      </w:r>
    </w:p>
    <w:p w:rsidR="008117A9" w:rsidRPr="00D948EB" w:rsidP="008117A9">
      <w:pPr>
        <w:bidi w:val="0"/>
        <w:spacing w:after="120" w:line="336" w:lineRule="auto"/>
        <w:jc w:val="both"/>
        <w:rPr>
          <w:rFonts w:ascii="Times New Roman" w:hAnsi="Times New Roman" w:cs="Times New Roman"/>
          <w:b/>
          <w:szCs w:val="22"/>
        </w:rPr>
      </w:pPr>
      <w:r w:rsidRPr="00D948EB">
        <w:rPr>
          <w:rFonts w:ascii="Times New Roman" w:hAnsi="Times New Roman" w:cs="Times New Roman"/>
          <w:b/>
          <w:szCs w:val="22"/>
        </w:rPr>
        <w:t>Podstatné informácie k ostatným podnikom štátnej správy</w:t>
      </w:r>
    </w:p>
    <w:p w:rsidR="008117A9" w:rsidP="008117A9">
      <w:pPr>
        <w:bidi w:val="0"/>
        <w:spacing w:after="120" w:line="336" w:lineRule="auto"/>
        <w:jc w:val="both"/>
        <w:rPr>
          <w:rFonts w:ascii="Times New Roman" w:hAnsi="Times New Roman" w:cs="Times New Roman"/>
          <w:szCs w:val="22"/>
        </w:rPr>
      </w:pPr>
      <w:r w:rsidRPr="00D948EB">
        <w:rPr>
          <w:rFonts w:ascii="Times New Roman" w:hAnsi="Times New Roman" w:cs="Times New Roman"/>
          <w:szCs w:val="22"/>
        </w:rPr>
        <w:t xml:space="preserve">Vlastné imanie </w:t>
      </w:r>
      <w:r w:rsidRPr="00D67944">
        <w:rPr>
          <w:rFonts w:ascii="Times New Roman" w:hAnsi="Times New Roman" w:cs="Times New Roman"/>
          <w:b/>
          <w:szCs w:val="22"/>
        </w:rPr>
        <w:t>Slovenského vodohospodárskeho podniku, š.p</w:t>
      </w:r>
      <w:r>
        <w:rPr>
          <w:rFonts w:ascii="Times New Roman" w:hAnsi="Times New Roman" w:cs="Times New Roman"/>
          <w:szCs w:val="22"/>
        </w:rPr>
        <w:t>. (ďalej „SVP“)</w:t>
      </w:r>
      <w:r w:rsidRPr="00D948EB">
        <w:rPr>
          <w:rFonts w:ascii="Times New Roman" w:hAnsi="Times New Roman" w:cs="Times New Roman"/>
          <w:szCs w:val="22"/>
        </w:rPr>
        <w:t xml:space="preserve"> sa v roku 2015 zvýšilo o 32 824 tis. eur predovšetkým vplyvom </w:t>
      </w:r>
      <w:r>
        <w:rPr>
          <w:rFonts w:ascii="Times New Roman" w:hAnsi="Times New Roman" w:cs="Times New Roman"/>
          <w:szCs w:val="22"/>
        </w:rPr>
        <w:t>nárastu</w:t>
      </w:r>
      <w:r w:rsidRPr="00D948EB">
        <w:rPr>
          <w:rFonts w:ascii="Times New Roman" w:hAnsi="Times New Roman" w:cs="Times New Roman"/>
          <w:szCs w:val="22"/>
        </w:rPr>
        <w:t xml:space="preserve"> základného imania, ktor</w:t>
      </w:r>
      <w:r>
        <w:rPr>
          <w:rFonts w:ascii="Times New Roman" w:hAnsi="Times New Roman" w:cs="Times New Roman"/>
          <w:szCs w:val="22"/>
        </w:rPr>
        <w:t>ý vznikol</w:t>
      </w:r>
      <w:r w:rsidRPr="00D948EB">
        <w:rPr>
          <w:rFonts w:ascii="Times New Roman" w:hAnsi="Times New Roman" w:cs="Times New Roman"/>
          <w:szCs w:val="22"/>
        </w:rPr>
        <w:t xml:space="preserve"> bezplatným nadobudnutím pozemkov do správy SVP</w:t>
      </w:r>
      <w:r>
        <w:rPr>
          <w:rFonts w:ascii="Times New Roman" w:hAnsi="Times New Roman" w:cs="Times New Roman"/>
          <w:szCs w:val="22"/>
        </w:rPr>
        <w:t>. N</w:t>
      </w:r>
      <w:r w:rsidRPr="00D948EB">
        <w:rPr>
          <w:rFonts w:ascii="Times New Roman" w:hAnsi="Times New Roman" w:cs="Times New Roman"/>
          <w:szCs w:val="22"/>
        </w:rPr>
        <w:t>adobudnutie pozemkov spočívalo v zaradení pozemkov</w:t>
      </w:r>
      <w:r>
        <w:rPr>
          <w:rFonts w:ascii="Times New Roman" w:hAnsi="Times New Roman" w:cs="Times New Roman"/>
          <w:szCs w:val="22"/>
        </w:rPr>
        <w:t xml:space="preserve"> do majetku spoločnosti</w:t>
      </w:r>
      <w:r w:rsidRPr="00D948EB">
        <w:rPr>
          <w:rFonts w:ascii="Times New Roman" w:hAnsi="Times New Roman" w:cs="Times New Roman"/>
          <w:szCs w:val="22"/>
        </w:rPr>
        <w:t>, ktoré do toho času</w:t>
      </w:r>
      <w:r>
        <w:rPr>
          <w:rFonts w:ascii="Times New Roman" w:hAnsi="Times New Roman" w:cs="Times New Roman"/>
          <w:szCs w:val="22"/>
        </w:rPr>
        <w:t xml:space="preserve"> vôbec</w:t>
      </w:r>
      <w:r w:rsidRPr="00D948EB">
        <w:rPr>
          <w:rFonts w:ascii="Times New Roman" w:hAnsi="Times New Roman" w:cs="Times New Roman"/>
          <w:szCs w:val="22"/>
        </w:rPr>
        <w:t xml:space="preserve"> neboli, resp. boli nesprávne zapísané v </w:t>
      </w:r>
      <w:r>
        <w:rPr>
          <w:rFonts w:ascii="Times New Roman" w:hAnsi="Times New Roman" w:cs="Times New Roman"/>
          <w:szCs w:val="22"/>
        </w:rPr>
        <w:t>katastri nehnuteľností</w:t>
      </w:r>
      <w:r w:rsidRPr="00D948EB">
        <w:rPr>
          <w:rFonts w:ascii="Times New Roman" w:hAnsi="Times New Roman" w:cs="Times New Roman"/>
          <w:szCs w:val="22"/>
        </w:rPr>
        <w:t xml:space="preserve">. </w:t>
      </w:r>
      <w:r>
        <w:rPr>
          <w:rFonts w:ascii="Times New Roman" w:hAnsi="Times New Roman" w:cs="Times New Roman"/>
          <w:szCs w:val="22"/>
        </w:rPr>
        <w:t>Hospodársky výsledok strata v sume 4 509 tis. eur</w:t>
      </w:r>
      <w:r w:rsidRPr="00D948EB">
        <w:rPr>
          <w:rFonts w:ascii="Times New Roman" w:hAnsi="Times New Roman" w:cs="Times New Roman"/>
          <w:szCs w:val="22"/>
        </w:rPr>
        <w:t xml:space="preserve"> bol sp</w:t>
      </w:r>
      <w:r>
        <w:rPr>
          <w:rFonts w:ascii="Times New Roman" w:hAnsi="Times New Roman" w:cs="Times New Roman"/>
          <w:szCs w:val="22"/>
        </w:rPr>
        <w:t>ôsobený</w:t>
      </w:r>
      <w:r w:rsidRPr="00D948EB">
        <w:rPr>
          <w:rFonts w:ascii="Times New Roman" w:hAnsi="Times New Roman" w:cs="Times New Roman"/>
          <w:szCs w:val="22"/>
        </w:rPr>
        <w:t xml:space="preserve"> hlavne poklesom tržieb z nájomného s Vodohospodárskou výstavbou, š.p. </w:t>
      </w:r>
      <w:r>
        <w:rPr>
          <w:rFonts w:ascii="Times New Roman" w:hAnsi="Times New Roman" w:cs="Times New Roman"/>
          <w:szCs w:val="22"/>
        </w:rPr>
        <w:t>za Vodné dielo Gabčíkovo</w:t>
      </w:r>
      <w:r w:rsidRPr="00D948EB">
        <w:rPr>
          <w:rFonts w:ascii="Times New Roman" w:hAnsi="Times New Roman" w:cs="Times New Roman"/>
          <w:szCs w:val="22"/>
        </w:rPr>
        <w:t xml:space="preserve"> a poklesom tržieb za hydroenergetický potenciál </w:t>
      </w:r>
      <w:r>
        <w:rPr>
          <w:rFonts w:ascii="Times New Roman" w:hAnsi="Times New Roman" w:cs="Times New Roman"/>
          <w:szCs w:val="22"/>
        </w:rPr>
        <w:t>kvôli mimoriadnemu suchu v roku 2015.</w:t>
      </w:r>
    </w:p>
    <w:p w:rsidR="008117A9" w:rsidRPr="00D67944" w:rsidP="008117A9">
      <w:pPr>
        <w:bidi w:val="0"/>
        <w:spacing w:after="120" w:line="336" w:lineRule="auto"/>
        <w:jc w:val="both"/>
        <w:rPr>
          <w:rFonts w:ascii="Times New Roman" w:hAnsi="Times New Roman" w:cs="Times New Roman"/>
          <w:szCs w:val="22"/>
        </w:rPr>
      </w:pPr>
      <w:r w:rsidRPr="00D67944">
        <w:rPr>
          <w:rFonts w:ascii="Times New Roman" w:hAnsi="Times New Roman" w:cs="Times New Roman"/>
          <w:szCs w:val="22"/>
        </w:rPr>
        <w:t>Vláda SR</w:t>
      </w:r>
      <w:r>
        <w:rPr>
          <w:rFonts w:ascii="Times New Roman" w:hAnsi="Times New Roman" w:cs="Times New Roman"/>
          <w:szCs w:val="22"/>
        </w:rPr>
        <w:t xml:space="preserve"> uznesením č. 250 zo dňa 19.5.</w:t>
      </w:r>
      <w:r w:rsidRPr="00D67944">
        <w:rPr>
          <w:rFonts w:ascii="Times New Roman" w:hAnsi="Times New Roman" w:cs="Times New Roman"/>
          <w:szCs w:val="22"/>
        </w:rPr>
        <w:t>2015 schválila predaj 49 % podielu štátu v</w:t>
      </w:r>
      <w:r>
        <w:rPr>
          <w:rFonts w:ascii="Times New Roman" w:hAnsi="Times New Roman" w:cs="Times New Roman"/>
          <w:szCs w:val="22"/>
        </w:rPr>
        <w:t> </w:t>
      </w:r>
      <w:r w:rsidRPr="00A917AF">
        <w:rPr>
          <w:rFonts w:ascii="Times New Roman" w:hAnsi="Times New Roman" w:cs="Times New Roman"/>
          <w:b/>
          <w:szCs w:val="22"/>
        </w:rPr>
        <w:t>Slovak</w:t>
      </w:r>
      <w:r>
        <w:rPr>
          <w:rFonts w:ascii="Times New Roman" w:hAnsi="Times New Roman" w:cs="Times New Roman"/>
          <w:b/>
          <w:szCs w:val="22"/>
        </w:rPr>
        <w:t> </w:t>
      </w:r>
      <w:r w:rsidRPr="00A917AF">
        <w:rPr>
          <w:rFonts w:ascii="Times New Roman" w:hAnsi="Times New Roman" w:cs="Times New Roman"/>
          <w:b/>
          <w:szCs w:val="22"/>
        </w:rPr>
        <w:t>Telekome,</w:t>
      </w:r>
      <w:r>
        <w:rPr>
          <w:rFonts w:ascii="Times New Roman" w:hAnsi="Times New Roman" w:cs="Times New Roman"/>
          <w:b/>
          <w:szCs w:val="22"/>
        </w:rPr>
        <w:t> </w:t>
      </w:r>
      <w:r w:rsidRPr="00A917AF">
        <w:rPr>
          <w:rFonts w:ascii="Times New Roman" w:hAnsi="Times New Roman" w:cs="Times New Roman"/>
          <w:b/>
          <w:szCs w:val="22"/>
        </w:rPr>
        <w:t>a.s.</w:t>
      </w:r>
      <w:r>
        <w:rPr>
          <w:rFonts w:ascii="Times New Roman" w:hAnsi="Times New Roman" w:cs="Times New Roman"/>
          <w:szCs w:val="22"/>
        </w:rPr>
        <w:t xml:space="preserve"> (ďalej „ST“)</w:t>
      </w:r>
      <w:r w:rsidRPr="00D67944">
        <w:rPr>
          <w:rFonts w:ascii="Times New Roman" w:hAnsi="Times New Roman" w:cs="Times New Roman"/>
          <w:szCs w:val="22"/>
        </w:rPr>
        <w:t xml:space="preserve"> formou priameho predaja majoritnému akcionárovi Deutsche Telekomu. Kúpna cena za podiel </w:t>
      </w:r>
      <w:r>
        <w:rPr>
          <w:rFonts w:ascii="Times New Roman" w:hAnsi="Times New Roman" w:cs="Times New Roman"/>
          <w:szCs w:val="22"/>
        </w:rPr>
        <w:t>štátu</w:t>
      </w:r>
      <w:r w:rsidRPr="00D67944">
        <w:rPr>
          <w:rFonts w:ascii="Times New Roman" w:hAnsi="Times New Roman" w:cs="Times New Roman"/>
          <w:szCs w:val="22"/>
        </w:rPr>
        <w:t xml:space="preserve"> v ST bola dohodnutá na 900 000 tis. eur. N</w:t>
      </w:r>
      <w:r>
        <w:rPr>
          <w:rFonts w:ascii="Times New Roman" w:hAnsi="Times New Roman" w:cs="Times New Roman"/>
          <w:szCs w:val="22"/>
        </w:rPr>
        <w:t>emecká firma 30.10.</w:t>
      </w:r>
      <w:r w:rsidRPr="00D67944">
        <w:rPr>
          <w:rFonts w:ascii="Times New Roman" w:hAnsi="Times New Roman" w:cs="Times New Roman"/>
          <w:szCs w:val="22"/>
        </w:rPr>
        <w:t>2015 zaplatila na účet Ministerstva financií SR 800 000 tis. eur (príjem štátnych finančných aktív) a ďalších 100 000 tis. eur je viazaných na osobitnom účte pre prípadné súdne spory. Obe strany sa zároveň dohodli na vyplatení dividend za výsledky hospodáre</w:t>
      </w:r>
      <w:r>
        <w:rPr>
          <w:rFonts w:ascii="Times New Roman" w:hAnsi="Times New Roman" w:cs="Times New Roman"/>
          <w:szCs w:val="22"/>
        </w:rPr>
        <w:t>nia v roku 2014 vo výške 16 000 </w:t>
      </w:r>
      <w:r w:rsidRPr="00D67944">
        <w:rPr>
          <w:rFonts w:ascii="Times New Roman" w:hAnsi="Times New Roman" w:cs="Times New Roman"/>
          <w:szCs w:val="22"/>
        </w:rPr>
        <w:t>tis.</w:t>
      </w:r>
      <w:r>
        <w:rPr>
          <w:rFonts w:ascii="Times New Roman" w:hAnsi="Times New Roman" w:cs="Times New Roman"/>
          <w:szCs w:val="22"/>
        </w:rPr>
        <w:t> </w:t>
      </w:r>
      <w:r w:rsidRPr="00D67944">
        <w:rPr>
          <w:rFonts w:ascii="Times New Roman" w:hAnsi="Times New Roman" w:cs="Times New Roman"/>
          <w:szCs w:val="22"/>
        </w:rPr>
        <w:t>eur.</w:t>
      </w:r>
    </w:p>
    <w:p w:rsidR="008117A9" w:rsidP="008117A9">
      <w:pPr>
        <w:bidi w:val="0"/>
        <w:spacing w:after="120" w:line="336" w:lineRule="auto"/>
        <w:jc w:val="both"/>
        <w:rPr>
          <w:rFonts w:ascii="Times New Roman" w:hAnsi="Times New Roman" w:cs="Times New Roman"/>
          <w:bCs/>
          <w:szCs w:val="22"/>
        </w:rPr>
      </w:pPr>
      <w:r w:rsidRPr="00D67944">
        <w:rPr>
          <w:rFonts w:ascii="Times New Roman" w:hAnsi="Times New Roman" w:cs="Times New Roman"/>
          <w:szCs w:val="22"/>
        </w:rPr>
        <w:t xml:space="preserve">Štátny podiel v ST sa mal pôvodne predávať prostredníctvom verejnej ponuky akcií. Podľa pôvodného rozhodnutia vlády SR z februára 2015 bolo zámerom predať 49 % akcií </w:t>
      </w:r>
      <w:r>
        <w:rPr>
          <w:rFonts w:ascii="Times New Roman" w:hAnsi="Times New Roman" w:cs="Times New Roman"/>
          <w:szCs w:val="22"/>
        </w:rPr>
        <w:t>ST</w:t>
      </w:r>
      <w:r w:rsidRPr="00D67944">
        <w:rPr>
          <w:rFonts w:ascii="Times New Roman" w:hAnsi="Times New Roman" w:cs="Times New Roman"/>
          <w:szCs w:val="22"/>
        </w:rPr>
        <w:t xml:space="preserve"> </w:t>
      </w:r>
      <w:r w:rsidRPr="00D67944">
        <w:rPr>
          <w:rFonts w:ascii="Times New Roman" w:hAnsi="Times New Roman" w:cs="Times New Roman"/>
          <w:bCs/>
          <w:szCs w:val="22"/>
        </w:rPr>
        <w:t xml:space="preserve">formou tzv. duálneho procesu </w:t>
      </w:r>
      <w:r w:rsidRPr="00D67944">
        <w:rPr>
          <w:rFonts w:ascii="Times New Roman" w:hAnsi="Times New Roman" w:cs="Times New Roman"/>
          <w:szCs w:val="22"/>
        </w:rPr>
        <w:t>(„dual track“)</w:t>
      </w:r>
      <w:r w:rsidRPr="00D67944">
        <w:rPr>
          <w:rFonts w:ascii="Times New Roman" w:hAnsi="Times New Roman" w:cs="Times New Roman"/>
          <w:bCs/>
          <w:szCs w:val="22"/>
        </w:rPr>
        <w:t xml:space="preserve">, t.j. verejnou ponukou akcií na kapitálových trhoch v kombinácií s priamym predajom, v závislosti od toho, ktorou formou sa dosiahne </w:t>
      </w:r>
      <w:r>
        <w:rPr>
          <w:rFonts w:ascii="Times New Roman" w:hAnsi="Times New Roman" w:cs="Times New Roman"/>
          <w:bCs/>
          <w:szCs w:val="22"/>
        </w:rPr>
        <w:t>pre štát najvýhodnejšia</w:t>
      </w:r>
      <w:r w:rsidRPr="00D67944">
        <w:rPr>
          <w:rFonts w:ascii="Times New Roman" w:hAnsi="Times New Roman" w:cs="Times New Roman"/>
          <w:bCs/>
          <w:szCs w:val="22"/>
        </w:rPr>
        <w:t xml:space="preserve"> </w:t>
      </w:r>
      <w:r>
        <w:rPr>
          <w:rFonts w:ascii="Times New Roman" w:hAnsi="Times New Roman" w:cs="Times New Roman"/>
          <w:bCs/>
          <w:szCs w:val="22"/>
        </w:rPr>
        <w:t>predajná cena</w:t>
      </w:r>
      <w:r w:rsidRPr="00D67944">
        <w:rPr>
          <w:rFonts w:ascii="Times New Roman" w:hAnsi="Times New Roman" w:cs="Times New Roman"/>
          <w:bCs/>
          <w:szCs w:val="22"/>
        </w:rPr>
        <w:t xml:space="preserve">. </w:t>
      </w:r>
      <w:r w:rsidRPr="00D67944">
        <w:rPr>
          <w:rFonts w:ascii="Times New Roman" w:hAnsi="Times New Roman" w:cs="Times New Roman"/>
          <w:szCs w:val="22"/>
        </w:rPr>
        <w:t xml:space="preserve">Štát sa </w:t>
      </w:r>
      <w:r>
        <w:rPr>
          <w:rFonts w:ascii="Times New Roman" w:hAnsi="Times New Roman" w:cs="Times New Roman"/>
          <w:szCs w:val="22"/>
        </w:rPr>
        <w:t xml:space="preserve">napokon </w:t>
      </w:r>
      <w:r w:rsidRPr="00D67944">
        <w:rPr>
          <w:rFonts w:ascii="Times New Roman" w:hAnsi="Times New Roman" w:cs="Times New Roman"/>
          <w:szCs w:val="22"/>
        </w:rPr>
        <w:t xml:space="preserve">rozhodol nepokračovať v procese predaja podielu cez burzy, pretože dostal </w:t>
      </w:r>
      <w:r>
        <w:rPr>
          <w:rFonts w:ascii="Times New Roman" w:hAnsi="Times New Roman" w:cs="Times New Roman"/>
          <w:szCs w:val="22"/>
        </w:rPr>
        <w:t>výhodnejšiu</w:t>
      </w:r>
      <w:r w:rsidRPr="00D67944">
        <w:rPr>
          <w:rFonts w:ascii="Times New Roman" w:hAnsi="Times New Roman" w:cs="Times New Roman"/>
          <w:szCs w:val="22"/>
        </w:rPr>
        <w:t xml:space="preserve"> ponuku od majoritného akcionára S</w:t>
      </w:r>
      <w:r>
        <w:rPr>
          <w:rFonts w:ascii="Times New Roman" w:hAnsi="Times New Roman" w:cs="Times New Roman"/>
          <w:szCs w:val="22"/>
        </w:rPr>
        <w:t>T</w:t>
      </w:r>
      <w:r w:rsidRPr="00D67944">
        <w:rPr>
          <w:rFonts w:ascii="Times New Roman" w:hAnsi="Times New Roman" w:cs="Times New Roman"/>
          <w:szCs w:val="22"/>
        </w:rPr>
        <w:t>. Dopyt na kapitálových trhoch pritom pri verejnej ponuke akcií vygeneroval cenu na s</w:t>
      </w:r>
      <w:r>
        <w:rPr>
          <w:rFonts w:ascii="Times New Roman" w:hAnsi="Times New Roman" w:cs="Times New Roman"/>
          <w:szCs w:val="22"/>
        </w:rPr>
        <w:t>podnej hranici ponukového pásma na úrovni</w:t>
      </w:r>
      <w:r w:rsidRPr="00D67944">
        <w:rPr>
          <w:rFonts w:ascii="Times New Roman" w:hAnsi="Times New Roman" w:cs="Times New Roman"/>
          <w:szCs w:val="22"/>
        </w:rPr>
        <w:t xml:space="preserve"> 17,70 eura za akciu. Za celý predávaný podiel by tak predajom cez burzu štát zinkasoval 750</w:t>
      </w:r>
      <w:r>
        <w:rPr>
          <w:rFonts w:ascii="Times New Roman" w:hAnsi="Times New Roman" w:cs="Times New Roman"/>
          <w:szCs w:val="22"/>
        </w:rPr>
        <w:t> 000 tis.</w:t>
      </w:r>
      <w:r w:rsidRPr="00D67944">
        <w:rPr>
          <w:rFonts w:ascii="Times New Roman" w:hAnsi="Times New Roman" w:cs="Times New Roman"/>
          <w:szCs w:val="22"/>
        </w:rPr>
        <w:t> eur. Vzhľadom na túto skutočnosť v</w:t>
      </w:r>
      <w:r>
        <w:rPr>
          <w:rFonts w:ascii="Times New Roman" w:hAnsi="Times New Roman" w:cs="Times New Roman"/>
          <w:bCs/>
          <w:szCs w:val="22"/>
        </w:rPr>
        <w:t>láda SR dňa 6.5.</w:t>
      </w:r>
      <w:r w:rsidRPr="00D67944">
        <w:rPr>
          <w:rFonts w:ascii="Times New Roman" w:hAnsi="Times New Roman" w:cs="Times New Roman"/>
          <w:bCs/>
          <w:szCs w:val="22"/>
        </w:rPr>
        <w:t>2015 rozhodla o tom, že 49 % podiel F</w:t>
      </w:r>
      <w:r>
        <w:rPr>
          <w:rFonts w:ascii="Times New Roman" w:hAnsi="Times New Roman" w:cs="Times New Roman"/>
          <w:bCs/>
          <w:szCs w:val="22"/>
        </w:rPr>
        <w:t>ondu národného majetku</w:t>
      </w:r>
      <w:r w:rsidRPr="00D67944">
        <w:rPr>
          <w:rFonts w:ascii="Times New Roman" w:hAnsi="Times New Roman" w:cs="Times New Roman"/>
          <w:bCs/>
          <w:szCs w:val="22"/>
        </w:rPr>
        <w:t xml:space="preserve"> SR v </w:t>
      </w:r>
      <w:r>
        <w:rPr>
          <w:rFonts w:ascii="Times New Roman" w:hAnsi="Times New Roman" w:cs="Times New Roman"/>
          <w:bCs/>
          <w:szCs w:val="22"/>
        </w:rPr>
        <w:t>ST</w:t>
      </w:r>
      <w:r w:rsidRPr="00D67944">
        <w:rPr>
          <w:rFonts w:ascii="Times New Roman" w:hAnsi="Times New Roman" w:cs="Times New Roman"/>
          <w:bCs/>
          <w:szCs w:val="22"/>
        </w:rPr>
        <w:t xml:space="preserve"> bude realizovaný formou priameho predaja za vyššiu ponúknutú cenu, ako bola trhová cena vygenerovaná v rámci úvodnej verejnej ponuky akcií.</w:t>
      </w:r>
    </w:p>
    <w:p w:rsidR="008117A9" w:rsidP="008117A9">
      <w:pPr>
        <w:bidi w:val="0"/>
        <w:spacing w:after="120" w:line="336" w:lineRule="auto"/>
        <w:jc w:val="both"/>
        <w:rPr>
          <w:rFonts w:ascii="Times New Roman" w:hAnsi="Times New Roman" w:cs="Times New Roman"/>
          <w:bCs/>
          <w:szCs w:val="22"/>
        </w:rPr>
      </w:pPr>
      <w:r w:rsidRPr="00492F8C">
        <w:rPr>
          <w:rFonts w:ascii="Times New Roman" w:hAnsi="Times New Roman" w:cs="Times New Roman"/>
          <w:bCs/>
          <w:szCs w:val="22"/>
        </w:rPr>
        <w:t>Zákonom č. 375/2015 Z.z. došlo k zrušeniu Fondu národného maj</w:t>
      </w:r>
      <w:r>
        <w:rPr>
          <w:rFonts w:ascii="Times New Roman" w:hAnsi="Times New Roman" w:cs="Times New Roman"/>
          <w:bCs/>
          <w:szCs w:val="22"/>
        </w:rPr>
        <w:t>etku SR s účinnosťou ku dňu 15.12.</w:t>
      </w:r>
      <w:r w:rsidRPr="00492F8C">
        <w:rPr>
          <w:rFonts w:ascii="Times New Roman" w:hAnsi="Times New Roman" w:cs="Times New Roman"/>
          <w:bCs/>
          <w:szCs w:val="22"/>
        </w:rPr>
        <w:t xml:space="preserve">2015. Následne Ministerstvo hospodárstva SR vydalo rozhodnutie o určení právneho nástupcu FNM SR, ktorým sa k </w:t>
      </w:r>
      <w:r>
        <w:rPr>
          <w:rFonts w:ascii="Times New Roman" w:hAnsi="Times New Roman" w:cs="Times New Roman"/>
          <w:bCs/>
          <w:szCs w:val="22"/>
        </w:rPr>
        <w:t>1</w:t>
      </w:r>
      <w:r w:rsidRPr="00492F8C">
        <w:rPr>
          <w:rFonts w:ascii="Times New Roman" w:hAnsi="Times New Roman" w:cs="Times New Roman"/>
          <w:bCs/>
          <w:szCs w:val="22"/>
        </w:rPr>
        <w:t>.</w:t>
      </w:r>
      <w:r>
        <w:rPr>
          <w:rFonts w:ascii="Times New Roman" w:hAnsi="Times New Roman" w:cs="Times New Roman"/>
          <w:bCs/>
          <w:szCs w:val="22"/>
        </w:rPr>
        <w:t>1.</w:t>
      </w:r>
      <w:r w:rsidRPr="00492F8C">
        <w:rPr>
          <w:rFonts w:ascii="Times New Roman" w:hAnsi="Times New Roman" w:cs="Times New Roman"/>
          <w:bCs/>
          <w:szCs w:val="22"/>
        </w:rPr>
        <w:t xml:space="preserve">2016 stala spoločnosť </w:t>
      </w:r>
      <w:r w:rsidRPr="00492F8C">
        <w:rPr>
          <w:rFonts w:ascii="Times New Roman" w:hAnsi="Times New Roman" w:cs="Times New Roman"/>
          <w:b/>
          <w:bCs/>
          <w:szCs w:val="22"/>
        </w:rPr>
        <w:t>MH Manažment, a.s</w:t>
      </w:r>
      <w:r w:rsidRPr="00492F8C">
        <w:rPr>
          <w:rFonts w:ascii="Times New Roman" w:hAnsi="Times New Roman" w:cs="Times New Roman"/>
          <w:bCs/>
          <w:szCs w:val="22"/>
        </w:rPr>
        <w:t xml:space="preserve">.. MH Manažment, a.s. vstúpila do všetkých práv a povinností FNM SR (prešiel na ňu majetok FNM SR, vrátane pohľadávok, majetkových účastí na podnikaní právnických osôb a iných majetkových práv a záväzkov FNM SR). Stopercentným akcionárom spoločnosti je Ministerstvo hospodárstva SR. </w:t>
      </w:r>
    </w:p>
    <w:p w:rsidR="008117A9" w:rsidRPr="001B20DB" w:rsidP="002A4EBB">
      <w:pPr>
        <w:pStyle w:val="Heading3"/>
        <w:numPr>
          <w:numId w:val="45"/>
        </w:numPr>
        <w:bidi w:val="0"/>
        <w:ind w:left="993" w:hanging="709"/>
      </w:pPr>
      <w:bookmarkStart w:id="119" w:name="_Toc465258494"/>
      <w:r w:rsidRPr="001B20DB">
        <w:rPr>
          <w:rFonts w:eastAsiaTheme="minorHAnsi"/>
          <w:lang w:eastAsia="en-US"/>
        </w:rPr>
        <w:t>Vlastné imanie Národnej banky Slovenska</w:t>
      </w:r>
      <w:bookmarkEnd w:id="119"/>
    </w:p>
    <w:p w:rsidR="008117A9"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Národná banka Slovenska (ďalej „NBS“) aj v roku 2015 čelila </w:t>
      </w:r>
      <w:r w:rsidRPr="00C820FC">
        <w:rPr>
          <w:rFonts w:ascii="Times New Roman" w:hAnsi="Times New Roman" w:cs="Times New Roman"/>
          <w:szCs w:val="22"/>
        </w:rPr>
        <w:t>v rámci Eurosystému</w:t>
      </w:r>
      <w:r>
        <w:rPr>
          <w:rFonts w:ascii="Times New Roman" w:hAnsi="Times New Roman" w:cs="Times New Roman"/>
          <w:szCs w:val="22"/>
        </w:rPr>
        <w:t xml:space="preserve"> viacerým výzvam, medzi ktoré patrilo</w:t>
      </w:r>
      <w:r w:rsidRPr="00C820FC">
        <w:rPr>
          <w:rFonts w:ascii="Times New Roman" w:hAnsi="Times New Roman" w:cs="Times New Roman"/>
          <w:szCs w:val="22"/>
        </w:rPr>
        <w:t xml:space="preserve"> najmä pretrvávanie prostr</w:t>
      </w:r>
      <w:r>
        <w:rPr>
          <w:rFonts w:ascii="Times New Roman" w:hAnsi="Times New Roman" w:cs="Times New Roman"/>
          <w:szCs w:val="22"/>
        </w:rPr>
        <w:t>edia nízkych úrokových sadzieb,</w:t>
      </w:r>
      <w:r w:rsidRPr="00C820FC">
        <w:rPr>
          <w:rFonts w:ascii="Times New Roman" w:hAnsi="Times New Roman" w:cs="Times New Roman"/>
          <w:szCs w:val="22"/>
        </w:rPr>
        <w:t xml:space="preserve"> rozširovanie využívania neštandardných nástrojov v podmienkach rastu globálnych rizík, ale aj sfunkčnenie druhého piliera Bankovej únie (Jednotného rezolučného fondu) a zavedenie nového mechanizmu rotácie hlasovacích práv (v dôsledku vstupu Litvy do eurozóny). </w:t>
      </w:r>
    </w:p>
    <w:tbl>
      <w:tblPr>
        <w:tblStyle w:val="TableNormal"/>
        <w:tblW w:w="5000" w:type="pct"/>
        <w:tblCellMar>
          <w:left w:w="70" w:type="dxa"/>
          <w:right w:w="70" w:type="dxa"/>
        </w:tblCellMar>
        <w:tblLook w:val="04A0"/>
      </w:tblPr>
      <w:tblGrid>
        <w:gridCol w:w="2270"/>
        <w:gridCol w:w="965"/>
        <w:gridCol w:w="236"/>
        <w:gridCol w:w="1192"/>
        <w:gridCol w:w="1076"/>
        <w:gridCol w:w="1212"/>
        <w:gridCol w:w="1319"/>
        <w:gridCol w:w="941"/>
      </w:tblGrid>
      <w:tr>
        <w:tblPrEx>
          <w:tblW w:w="5000" w:type="pct"/>
          <w:tblCellMar>
            <w:left w:w="70" w:type="dxa"/>
            <w:right w:w="70" w:type="dxa"/>
          </w:tblCellMar>
          <w:tblLook w:val="04A0"/>
        </w:tblPrEx>
        <w:trPr>
          <w:trHeight w:val="255"/>
        </w:trPr>
        <w:tc>
          <w:tcPr>
            <w:tcW w:w="5000" w:type="pct"/>
            <w:gridSpan w:val="8"/>
            <w:tcBorders>
              <w:top w:val="nil"/>
              <w:left w:val="nil"/>
              <w:bottom w:val="nil"/>
              <w:right w:val="nil"/>
            </w:tcBorders>
            <w:shd w:val="clear" w:color="000000" w:fill="000000"/>
            <w:noWrap/>
            <w:textDirection w:val="lrTb"/>
            <w:vAlign w:val="bottom"/>
            <w:hideMark/>
          </w:tcPr>
          <w:p w:rsidR="008117A9" w:rsidRPr="00982BC3" w:rsidP="00A97D6F">
            <w:pPr>
              <w:bidi w:val="0"/>
              <w:spacing w:after="0" w:line="240" w:lineRule="auto"/>
              <w:rPr>
                <w:rFonts w:ascii="Times New Roman" w:hAnsi="Times New Roman" w:cs="Times New Roman"/>
                <w:b/>
                <w:bCs/>
                <w:color w:val="FFFFFF"/>
                <w:sz w:val="20"/>
                <w:szCs w:val="20"/>
                <w:lang w:eastAsia="sk-SK"/>
              </w:rPr>
            </w:pPr>
            <w:r w:rsidRPr="00982BC3">
              <w:rPr>
                <w:rFonts w:ascii="Times New Roman" w:hAnsi="Times New Roman" w:cs="Times New Roman"/>
                <w:b/>
                <w:bCs/>
                <w:color w:val="FFFFFF"/>
                <w:sz w:val="20"/>
                <w:szCs w:val="20"/>
                <w:lang w:eastAsia="sk-SK"/>
              </w:rPr>
              <w:t xml:space="preserve">Medziročná zmena vlastného imania </w:t>
            </w:r>
            <w:r>
              <w:rPr>
                <w:rFonts w:ascii="Times New Roman" w:hAnsi="Times New Roman" w:cs="Times New Roman"/>
                <w:b/>
                <w:bCs/>
                <w:color w:val="FFFFFF"/>
                <w:sz w:val="20"/>
                <w:szCs w:val="20"/>
                <w:lang w:eastAsia="sk-SK"/>
              </w:rPr>
              <w:t xml:space="preserve">NBS </w:t>
            </w:r>
            <w:r w:rsidRPr="00982BC3">
              <w:rPr>
                <w:rFonts w:ascii="Times New Roman" w:hAnsi="Times New Roman" w:cs="Times New Roman"/>
                <w:b/>
                <w:bCs/>
                <w:color w:val="FFFFFF"/>
                <w:sz w:val="20"/>
                <w:szCs w:val="20"/>
                <w:lang w:eastAsia="sk-SK"/>
              </w:rPr>
              <w:t>k 31 .12. 2015 (v tis. eur)</w:t>
            </w:r>
          </w:p>
        </w:tc>
      </w:tr>
      <w:tr>
        <w:tblPrEx>
          <w:tblW w:w="5000" w:type="pct"/>
          <w:tblCellMar>
            <w:left w:w="70" w:type="dxa"/>
            <w:right w:w="70" w:type="dxa"/>
          </w:tblCellMar>
          <w:tblLook w:val="04A0"/>
        </w:tblPrEx>
        <w:trPr>
          <w:trHeight w:val="510"/>
        </w:trPr>
        <w:tc>
          <w:tcPr>
            <w:tcW w:w="1232" w:type="pct"/>
            <w:tcBorders>
              <w:top w:val="nil"/>
              <w:left w:val="nil"/>
              <w:bottom w:val="single" w:sz="4" w:space="0" w:color="auto"/>
              <w:right w:val="nil"/>
            </w:tcBorders>
            <w:shd w:val="clear" w:color="000000" w:fill="D9D9D9"/>
            <w:noWrap/>
            <w:textDirection w:val="lrTb"/>
            <w:vAlign w:val="center"/>
            <w:hideMark/>
          </w:tcPr>
          <w:p w:rsidR="008117A9" w:rsidRPr="00982BC3" w:rsidP="00A97D6F">
            <w:pPr>
              <w:bidi w:val="0"/>
              <w:spacing w:after="0" w:line="240" w:lineRule="auto"/>
              <w:rPr>
                <w:rFonts w:ascii="Times New Roman" w:hAnsi="Times New Roman" w:cs="Times New Roman"/>
                <w:b/>
                <w:bCs/>
                <w:color w:val="000000"/>
                <w:sz w:val="18"/>
                <w:szCs w:val="18"/>
                <w:lang w:eastAsia="sk-SK"/>
              </w:rPr>
            </w:pPr>
          </w:p>
        </w:tc>
        <w:tc>
          <w:tcPr>
            <w:tcW w:w="652" w:type="pct"/>
            <w:gridSpan w:val="2"/>
            <w:tcBorders>
              <w:top w:val="nil"/>
              <w:left w:val="nil"/>
              <w:bottom w:val="single" w:sz="4" w:space="0" w:color="auto"/>
              <w:right w:val="nil"/>
            </w:tcBorders>
            <w:shd w:val="clear" w:color="000000" w:fill="D9D9D9"/>
            <w:textDirection w:val="lrTb"/>
            <w:vAlign w:val="center"/>
            <w:hideMark/>
          </w:tcPr>
          <w:p w:rsidR="008117A9" w:rsidRPr="00982BC3" w:rsidP="00A97D6F">
            <w:pPr>
              <w:bidi w:val="0"/>
              <w:spacing w:after="0" w:line="240" w:lineRule="auto"/>
              <w:jc w:val="center"/>
              <w:rPr>
                <w:rFonts w:ascii="Times New Roman" w:hAnsi="Times New Roman" w:cs="Times New Roman"/>
                <w:b/>
                <w:bCs/>
                <w:color w:val="000000"/>
                <w:sz w:val="18"/>
                <w:szCs w:val="18"/>
                <w:lang w:eastAsia="sk-SK"/>
              </w:rPr>
            </w:pPr>
            <w:r w:rsidRPr="00982BC3">
              <w:rPr>
                <w:rFonts w:ascii="Times New Roman" w:hAnsi="Times New Roman" w:cs="Times New Roman"/>
                <w:b/>
                <w:bCs/>
                <w:color w:val="000000"/>
                <w:sz w:val="18"/>
                <w:szCs w:val="18"/>
                <w:lang w:eastAsia="sk-SK"/>
              </w:rPr>
              <w:t>VI</w:t>
              <w:br/>
              <w:t xml:space="preserve"> Δ2015-2014</w:t>
            </w:r>
          </w:p>
        </w:tc>
        <w:tc>
          <w:tcPr>
            <w:tcW w:w="647" w:type="pct"/>
            <w:tcBorders>
              <w:top w:val="nil"/>
              <w:left w:val="nil"/>
              <w:bottom w:val="single" w:sz="4" w:space="0" w:color="auto"/>
              <w:right w:val="nil"/>
            </w:tcBorders>
            <w:shd w:val="clear" w:color="000000" w:fill="D9D9D9"/>
            <w:textDirection w:val="lrTb"/>
            <w:vAlign w:val="center"/>
            <w:hideMark/>
          </w:tcPr>
          <w:p w:rsidR="008117A9" w:rsidRPr="00982BC3" w:rsidP="00A97D6F">
            <w:pPr>
              <w:bidi w:val="0"/>
              <w:spacing w:after="0" w:line="240" w:lineRule="auto"/>
              <w:jc w:val="center"/>
              <w:rPr>
                <w:rFonts w:ascii="Times New Roman" w:hAnsi="Times New Roman" w:cs="Times New Roman"/>
                <w:b/>
                <w:bCs/>
                <w:color w:val="000000"/>
                <w:sz w:val="18"/>
                <w:szCs w:val="18"/>
                <w:lang w:eastAsia="sk-SK"/>
              </w:rPr>
            </w:pPr>
            <w:r w:rsidRPr="00982BC3">
              <w:rPr>
                <w:rFonts w:ascii="Times New Roman" w:hAnsi="Times New Roman" w:cs="Times New Roman"/>
                <w:b/>
                <w:bCs/>
                <w:color w:val="000000"/>
                <w:sz w:val="18"/>
                <w:szCs w:val="18"/>
                <w:lang w:eastAsia="sk-SK"/>
              </w:rPr>
              <w:t>Výsledok hospodárenia</w:t>
            </w:r>
          </w:p>
        </w:tc>
        <w:tc>
          <w:tcPr>
            <w:tcW w:w="584" w:type="pct"/>
            <w:tcBorders>
              <w:top w:val="nil"/>
              <w:left w:val="nil"/>
              <w:bottom w:val="single" w:sz="4" w:space="0" w:color="auto"/>
              <w:right w:val="nil"/>
            </w:tcBorders>
            <w:shd w:val="clear" w:color="000000" w:fill="D9D9D9"/>
            <w:textDirection w:val="lrTb"/>
            <w:vAlign w:val="center"/>
            <w:hideMark/>
          </w:tcPr>
          <w:p w:rsidR="008117A9" w:rsidRPr="00982BC3" w:rsidP="00A97D6F">
            <w:pPr>
              <w:bidi w:val="0"/>
              <w:spacing w:after="0" w:line="240" w:lineRule="auto"/>
              <w:jc w:val="center"/>
              <w:rPr>
                <w:rFonts w:ascii="Times New Roman" w:hAnsi="Times New Roman" w:cs="Times New Roman"/>
                <w:b/>
                <w:bCs/>
                <w:color w:val="000000"/>
                <w:sz w:val="18"/>
                <w:szCs w:val="18"/>
                <w:lang w:eastAsia="sk-SK"/>
              </w:rPr>
            </w:pPr>
            <w:r w:rsidRPr="00982BC3">
              <w:rPr>
                <w:rFonts w:ascii="Times New Roman" w:hAnsi="Times New Roman" w:cs="Times New Roman"/>
                <w:b/>
                <w:bCs/>
                <w:color w:val="000000"/>
                <w:sz w:val="18"/>
                <w:szCs w:val="18"/>
                <w:lang w:eastAsia="sk-SK"/>
              </w:rPr>
              <w:t>Dividendy</w:t>
            </w:r>
          </w:p>
        </w:tc>
        <w:tc>
          <w:tcPr>
            <w:tcW w:w="658" w:type="pct"/>
            <w:tcBorders>
              <w:top w:val="nil"/>
              <w:left w:val="nil"/>
              <w:bottom w:val="single" w:sz="4" w:space="0" w:color="auto"/>
              <w:right w:val="nil"/>
            </w:tcBorders>
            <w:shd w:val="clear" w:color="000000" w:fill="D9D9D9"/>
            <w:textDirection w:val="lrTb"/>
            <w:vAlign w:val="center"/>
            <w:hideMark/>
          </w:tcPr>
          <w:p w:rsidR="008117A9" w:rsidRPr="00982BC3" w:rsidP="00A97D6F">
            <w:pPr>
              <w:bidi w:val="0"/>
              <w:spacing w:after="0" w:line="240" w:lineRule="auto"/>
              <w:jc w:val="center"/>
              <w:rPr>
                <w:rFonts w:ascii="Times New Roman" w:hAnsi="Times New Roman" w:cs="Times New Roman"/>
                <w:b/>
                <w:bCs/>
                <w:color w:val="000000"/>
                <w:sz w:val="18"/>
                <w:szCs w:val="18"/>
                <w:lang w:eastAsia="sk-SK"/>
              </w:rPr>
            </w:pPr>
            <w:r w:rsidRPr="00982BC3">
              <w:rPr>
                <w:rFonts w:ascii="Times New Roman" w:hAnsi="Times New Roman" w:cs="Times New Roman"/>
                <w:b/>
                <w:bCs/>
                <w:color w:val="000000"/>
                <w:sz w:val="18"/>
                <w:szCs w:val="18"/>
                <w:lang w:eastAsia="sk-SK"/>
              </w:rPr>
              <w:t>Precenenie</w:t>
            </w:r>
          </w:p>
        </w:tc>
        <w:tc>
          <w:tcPr>
            <w:tcW w:w="716" w:type="pct"/>
            <w:tcBorders>
              <w:top w:val="nil"/>
              <w:left w:val="nil"/>
              <w:bottom w:val="single" w:sz="4" w:space="0" w:color="auto"/>
              <w:right w:val="nil"/>
            </w:tcBorders>
            <w:shd w:val="clear" w:color="000000" w:fill="D9D9D9"/>
            <w:textDirection w:val="lrTb"/>
            <w:vAlign w:val="center"/>
            <w:hideMark/>
          </w:tcPr>
          <w:p w:rsidR="008117A9" w:rsidRPr="00982BC3" w:rsidP="00A97D6F">
            <w:pPr>
              <w:bidi w:val="0"/>
              <w:spacing w:after="0" w:line="240" w:lineRule="auto"/>
              <w:jc w:val="center"/>
              <w:rPr>
                <w:rFonts w:ascii="Times New Roman" w:hAnsi="Times New Roman" w:cs="Times New Roman"/>
                <w:b/>
                <w:bCs/>
                <w:color w:val="000000"/>
                <w:sz w:val="18"/>
                <w:szCs w:val="18"/>
                <w:lang w:eastAsia="sk-SK"/>
              </w:rPr>
            </w:pPr>
            <w:r w:rsidRPr="00982BC3">
              <w:rPr>
                <w:rFonts w:ascii="Times New Roman" w:hAnsi="Times New Roman" w:cs="Times New Roman"/>
                <w:b/>
                <w:bCs/>
                <w:color w:val="000000"/>
                <w:sz w:val="18"/>
                <w:szCs w:val="18"/>
                <w:lang w:eastAsia="sk-SK"/>
              </w:rPr>
              <w:t>Vklady spoločníkov</w:t>
            </w:r>
          </w:p>
        </w:tc>
        <w:tc>
          <w:tcPr>
            <w:tcW w:w="511" w:type="pct"/>
            <w:tcBorders>
              <w:top w:val="nil"/>
              <w:left w:val="nil"/>
              <w:bottom w:val="single" w:sz="4" w:space="0" w:color="auto"/>
              <w:right w:val="nil"/>
            </w:tcBorders>
            <w:shd w:val="clear" w:color="000000" w:fill="D9D9D9"/>
            <w:textDirection w:val="lrTb"/>
            <w:vAlign w:val="center"/>
            <w:hideMark/>
          </w:tcPr>
          <w:p w:rsidR="008117A9" w:rsidRPr="00982BC3" w:rsidP="00A97D6F">
            <w:pPr>
              <w:bidi w:val="0"/>
              <w:spacing w:after="0" w:line="240" w:lineRule="auto"/>
              <w:jc w:val="center"/>
              <w:rPr>
                <w:rFonts w:ascii="Times New Roman" w:hAnsi="Times New Roman" w:cs="Times New Roman"/>
                <w:b/>
                <w:bCs/>
                <w:color w:val="000000"/>
                <w:sz w:val="18"/>
                <w:szCs w:val="18"/>
                <w:lang w:eastAsia="sk-SK"/>
              </w:rPr>
            </w:pPr>
            <w:r w:rsidRPr="00982BC3">
              <w:rPr>
                <w:rFonts w:ascii="Times New Roman" w:hAnsi="Times New Roman" w:cs="Times New Roman"/>
                <w:b/>
                <w:bCs/>
                <w:color w:val="000000"/>
                <w:sz w:val="18"/>
                <w:szCs w:val="18"/>
                <w:lang w:eastAsia="sk-SK"/>
              </w:rPr>
              <w:t>Ostatné</w:t>
            </w:r>
          </w:p>
        </w:tc>
      </w:tr>
      <w:tr>
        <w:tblPrEx>
          <w:tblW w:w="5000" w:type="pct"/>
          <w:tblCellMar>
            <w:left w:w="70" w:type="dxa"/>
            <w:right w:w="70" w:type="dxa"/>
          </w:tblCellMar>
          <w:tblLook w:val="04A0"/>
        </w:tblPrEx>
        <w:trPr>
          <w:trHeight w:val="255"/>
        </w:trPr>
        <w:tc>
          <w:tcPr>
            <w:tcW w:w="1232" w:type="pct"/>
            <w:tcBorders>
              <w:top w:val="nil"/>
              <w:left w:val="nil"/>
              <w:bottom w:val="single" w:sz="4" w:space="0" w:color="auto"/>
              <w:right w:val="nil"/>
            </w:tcBorders>
            <w:noWrap/>
            <w:textDirection w:val="lrTb"/>
            <w:vAlign w:val="bottom"/>
            <w:hideMark/>
          </w:tcPr>
          <w:p w:rsidR="008117A9" w:rsidRPr="00982BC3" w:rsidP="00A97D6F">
            <w:pPr>
              <w:bidi w:val="0"/>
              <w:spacing w:after="0" w:line="240" w:lineRule="auto"/>
              <w:rPr>
                <w:rFonts w:ascii="Times New Roman" w:hAnsi="Times New Roman" w:cs="Times New Roman"/>
                <w:color w:val="000000"/>
                <w:sz w:val="20"/>
                <w:szCs w:val="20"/>
                <w:lang w:eastAsia="sk-SK"/>
              </w:rPr>
            </w:pPr>
            <w:r w:rsidRPr="00982BC3">
              <w:rPr>
                <w:rFonts w:ascii="Times New Roman" w:hAnsi="Times New Roman" w:cs="Times New Roman"/>
                <w:color w:val="000000"/>
                <w:sz w:val="20"/>
                <w:szCs w:val="20"/>
                <w:lang w:eastAsia="sk-SK"/>
              </w:rPr>
              <w:t>Národná banka Slovenska</w:t>
            </w:r>
          </w:p>
        </w:tc>
        <w:tc>
          <w:tcPr>
            <w:tcW w:w="524" w:type="pct"/>
            <w:tcBorders>
              <w:top w:val="nil"/>
              <w:left w:val="nil"/>
              <w:bottom w:val="single" w:sz="4" w:space="0" w:color="auto"/>
              <w:right w:val="nil"/>
            </w:tcBorders>
            <w:noWrap/>
            <w:textDirection w:val="lrTb"/>
            <w:vAlign w:val="bottom"/>
            <w:hideMark/>
          </w:tcPr>
          <w:p w:rsidR="008117A9" w:rsidRPr="00982BC3" w:rsidP="00A97D6F">
            <w:pPr>
              <w:bidi w:val="0"/>
              <w:spacing w:after="0" w:line="240" w:lineRule="auto"/>
              <w:jc w:val="right"/>
              <w:rPr>
                <w:rFonts w:ascii="Times New Roman" w:hAnsi="Times New Roman" w:cs="Times New Roman"/>
                <w:color w:val="000000"/>
                <w:sz w:val="20"/>
                <w:szCs w:val="20"/>
                <w:lang w:eastAsia="sk-SK"/>
              </w:rPr>
            </w:pPr>
            <w:r w:rsidRPr="00982BC3">
              <w:rPr>
                <w:rFonts w:ascii="Times New Roman" w:hAnsi="Times New Roman" w:cs="Times New Roman"/>
                <w:color w:val="000000"/>
                <w:sz w:val="20"/>
                <w:szCs w:val="20"/>
                <w:lang w:eastAsia="sk-SK"/>
              </w:rPr>
              <w:t>58</w:t>
            </w:r>
            <w:r>
              <w:rPr>
                <w:rFonts w:ascii="Times New Roman" w:hAnsi="Times New Roman" w:cs="Times New Roman"/>
                <w:color w:val="000000"/>
                <w:sz w:val="20"/>
                <w:szCs w:val="20"/>
                <w:lang w:eastAsia="sk-SK"/>
              </w:rPr>
              <w:t xml:space="preserve"> </w:t>
            </w:r>
            <w:r w:rsidRPr="00982BC3">
              <w:rPr>
                <w:rFonts w:ascii="Times New Roman" w:hAnsi="Times New Roman" w:cs="Times New Roman"/>
                <w:color w:val="000000"/>
                <w:sz w:val="20"/>
                <w:szCs w:val="20"/>
                <w:lang w:eastAsia="sk-SK"/>
              </w:rPr>
              <w:t>853</w:t>
            </w:r>
          </w:p>
        </w:tc>
        <w:tc>
          <w:tcPr>
            <w:tcW w:w="775" w:type="pct"/>
            <w:gridSpan w:val="2"/>
            <w:tcBorders>
              <w:top w:val="nil"/>
              <w:left w:val="nil"/>
              <w:bottom w:val="single" w:sz="4" w:space="0" w:color="auto"/>
              <w:right w:val="nil"/>
            </w:tcBorders>
            <w:noWrap/>
            <w:textDirection w:val="lrTb"/>
            <w:vAlign w:val="bottom"/>
            <w:hideMark/>
          </w:tcPr>
          <w:p w:rsidR="008117A9" w:rsidRPr="00982BC3" w:rsidP="00A97D6F">
            <w:pPr>
              <w:bidi w:val="0"/>
              <w:spacing w:after="0" w:line="240" w:lineRule="auto"/>
              <w:jc w:val="right"/>
              <w:rPr>
                <w:rFonts w:ascii="Times New Roman" w:hAnsi="Times New Roman" w:cs="Times New Roman"/>
                <w:color w:val="000000"/>
                <w:sz w:val="20"/>
                <w:szCs w:val="20"/>
                <w:lang w:eastAsia="sk-SK"/>
              </w:rPr>
            </w:pPr>
            <w:r w:rsidRPr="00982BC3">
              <w:rPr>
                <w:rFonts w:ascii="Times New Roman" w:hAnsi="Times New Roman" w:cs="Times New Roman"/>
                <w:color w:val="000000"/>
                <w:sz w:val="20"/>
                <w:szCs w:val="20"/>
                <w:lang w:eastAsia="sk-SK"/>
              </w:rPr>
              <w:t>4</w:t>
            </w:r>
            <w:r>
              <w:rPr>
                <w:rFonts w:ascii="Times New Roman" w:hAnsi="Times New Roman" w:cs="Times New Roman"/>
                <w:color w:val="000000"/>
                <w:sz w:val="20"/>
                <w:szCs w:val="20"/>
                <w:lang w:eastAsia="sk-SK"/>
              </w:rPr>
              <w:t xml:space="preserve"> </w:t>
            </w:r>
            <w:r w:rsidRPr="00982BC3">
              <w:rPr>
                <w:rFonts w:ascii="Times New Roman" w:hAnsi="Times New Roman" w:cs="Times New Roman"/>
                <w:color w:val="000000"/>
                <w:sz w:val="20"/>
                <w:szCs w:val="20"/>
                <w:lang w:eastAsia="sk-SK"/>
              </w:rPr>
              <w:t>604</w:t>
            </w:r>
          </w:p>
        </w:tc>
        <w:tc>
          <w:tcPr>
            <w:tcW w:w="584" w:type="pct"/>
            <w:tcBorders>
              <w:top w:val="nil"/>
              <w:left w:val="nil"/>
              <w:bottom w:val="single" w:sz="4" w:space="0" w:color="auto"/>
              <w:right w:val="nil"/>
            </w:tcBorders>
            <w:noWrap/>
            <w:textDirection w:val="lrTb"/>
            <w:vAlign w:val="bottom"/>
            <w:hideMark/>
          </w:tcPr>
          <w:p w:rsidR="008117A9" w:rsidRPr="00982BC3" w:rsidP="00A97D6F">
            <w:pPr>
              <w:bidi w:val="0"/>
              <w:spacing w:after="0" w:line="240" w:lineRule="auto"/>
              <w:jc w:val="right"/>
              <w:rPr>
                <w:rFonts w:ascii="Times New Roman" w:hAnsi="Times New Roman" w:cs="Times New Roman"/>
                <w:color w:val="000000"/>
                <w:sz w:val="20"/>
                <w:szCs w:val="20"/>
                <w:lang w:eastAsia="sk-SK"/>
              </w:rPr>
            </w:pPr>
            <w:r w:rsidRPr="00982BC3">
              <w:rPr>
                <w:rFonts w:ascii="Times New Roman" w:hAnsi="Times New Roman" w:cs="Times New Roman"/>
                <w:color w:val="000000"/>
                <w:sz w:val="20"/>
                <w:szCs w:val="20"/>
                <w:lang w:eastAsia="sk-SK"/>
              </w:rPr>
              <w:t>0</w:t>
            </w:r>
          </w:p>
        </w:tc>
        <w:tc>
          <w:tcPr>
            <w:tcW w:w="658" w:type="pct"/>
            <w:tcBorders>
              <w:top w:val="nil"/>
              <w:left w:val="nil"/>
              <w:bottom w:val="single" w:sz="4" w:space="0" w:color="auto"/>
              <w:right w:val="nil"/>
            </w:tcBorders>
            <w:noWrap/>
            <w:textDirection w:val="lrTb"/>
            <w:vAlign w:val="bottom"/>
            <w:hideMark/>
          </w:tcPr>
          <w:p w:rsidR="008117A9" w:rsidRPr="00982BC3" w:rsidP="00A97D6F">
            <w:pPr>
              <w:bidi w:val="0"/>
              <w:spacing w:after="0" w:line="240" w:lineRule="auto"/>
              <w:jc w:val="right"/>
              <w:rPr>
                <w:rFonts w:ascii="Times New Roman" w:hAnsi="Times New Roman" w:cs="Times New Roman"/>
                <w:color w:val="000000"/>
                <w:sz w:val="20"/>
                <w:szCs w:val="20"/>
                <w:lang w:eastAsia="sk-SK"/>
              </w:rPr>
            </w:pPr>
            <w:r w:rsidRPr="00982BC3">
              <w:rPr>
                <w:rFonts w:ascii="Times New Roman" w:hAnsi="Times New Roman" w:cs="Times New Roman"/>
                <w:color w:val="000000"/>
                <w:sz w:val="20"/>
                <w:szCs w:val="20"/>
                <w:lang w:eastAsia="sk-SK"/>
              </w:rPr>
              <w:t>54</w:t>
            </w:r>
            <w:r>
              <w:rPr>
                <w:rFonts w:ascii="Times New Roman" w:hAnsi="Times New Roman" w:cs="Times New Roman"/>
                <w:color w:val="000000"/>
                <w:sz w:val="20"/>
                <w:szCs w:val="20"/>
                <w:lang w:eastAsia="sk-SK"/>
              </w:rPr>
              <w:t xml:space="preserve"> </w:t>
            </w:r>
            <w:r w:rsidRPr="00982BC3">
              <w:rPr>
                <w:rFonts w:ascii="Times New Roman" w:hAnsi="Times New Roman" w:cs="Times New Roman"/>
                <w:color w:val="000000"/>
                <w:sz w:val="20"/>
                <w:szCs w:val="20"/>
                <w:lang w:eastAsia="sk-SK"/>
              </w:rPr>
              <w:t>249</w:t>
            </w:r>
          </w:p>
        </w:tc>
        <w:tc>
          <w:tcPr>
            <w:tcW w:w="716" w:type="pct"/>
            <w:tcBorders>
              <w:top w:val="nil"/>
              <w:left w:val="nil"/>
              <w:bottom w:val="single" w:sz="4" w:space="0" w:color="auto"/>
              <w:right w:val="nil"/>
            </w:tcBorders>
            <w:noWrap/>
            <w:textDirection w:val="lrTb"/>
            <w:vAlign w:val="bottom"/>
            <w:hideMark/>
          </w:tcPr>
          <w:p w:rsidR="008117A9" w:rsidRPr="00982BC3" w:rsidP="00A97D6F">
            <w:pPr>
              <w:bidi w:val="0"/>
              <w:spacing w:after="0" w:line="240" w:lineRule="auto"/>
              <w:jc w:val="right"/>
              <w:rPr>
                <w:rFonts w:ascii="Times New Roman" w:hAnsi="Times New Roman" w:cs="Times New Roman"/>
                <w:color w:val="000000"/>
                <w:sz w:val="20"/>
                <w:szCs w:val="20"/>
                <w:lang w:eastAsia="sk-SK"/>
              </w:rPr>
            </w:pPr>
            <w:r w:rsidRPr="00982BC3">
              <w:rPr>
                <w:rFonts w:ascii="Times New Roman" w:hAnsi="Times New Roman" w:cs="Times New Roman"/>
                <w:color w:val="000000"/>
                <w:sz w:val="20"/>
                <w:szCs w:val="20"/>
                <w:lang w:eastAsia="sk-SK"/>
              </w:rPr>
              <w:t>0</w:t>
            </w:r>
          </w:p>
        </w:tc>
        <w:tc>
          <w:tcPr>
            <w:tcW w:w="511" w:type="pct"/>
            <w:tcBorders>
              <w:top w:val="nil"/>
              <w:left w:val="nil"/>
              <w:bottom w:val="single" w:sz="4" w:space="0" w:color="auto"/>
              <w:right w:val="nil"/>
            </w:tcBorders>
            <w:noWrap/>
            <w:textDirection w:val="lrTb"/>
            <w:vAlign w:val="bottom"/>
            <w:hideMark/>
          </w:tcPr>
          <w:p w:rsidR="008117A9" w:rsidRPr="00982BC3" w:rsidP="00A97D6F">
            <w:pPr>
              <w:bidi w:val="0"/>
              <w:spacing w:after="0" w:line="240" w:lineRule="auto"/>
              <w:jc w:val="right"/>
              <w:rPr>
                <w:rFonts w:ascii="Times New Roman" w:hAnsi="Times New Roman" w:cs="Times New Roman"/>
                <w:color w:val="000000"/>
                <w:sz w:val="20"/>
                <w:szCs w:val="20"/>
                <w:lang w:eastAsia="sk-SK"/>
              </w:rPr>
            </w:pPr>
            <w:r w:rsidRPr="00982BC3">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255"/>
        </w:trPr>
        <w:tc>
          <w:tcPr>
            <w:tcW w:w="1232" w:type="pct"/>
            <w:tcBorders>
              <w:top w:val="nil"/>
              <w:left w:val="nil"/>
              <w:bottom w:val="nil"/>
              <w:right w:val="nil"/>
            </w:tcBorders>
            <w:noWrap/>
            <w:textDirection w:val="lrTb"/>
            <w:vAlign w:val="bottom"/>
            <w:hideMark/>
          </w:tcPr>
          <w:p w:rsidR="008117A9" w:rsidRPr="00982BC3" w:rsidP="00A97D6F">
            <w:pPr>
              <w:bidi w:val="0"/>
              <w:spacing w:after="0" w:line="240" w:lineRule="auto"/>
              <w:jc w:val="right"/>
              <w:rPr>
                <w:rFonts w:ascii="Times New Roman" w:hAnsi="Times New Roman" w:cs="Times New Roman"/>
                <w:color w:val="000000"/>
                <w:sz w:val="20"/>
                <w:szCs w:val="20"/>
                <w:lang w:eastAsia="sk-SK"/>
              </w:rPr>
            </w:pPr>
          </w:p>
        </w:tc>
        <w:tc>
          <w:tcPr>
            <w:tcW w:w="524" w:type="pct"/>
            <w:tcBorders>
              <w:top w:val="nil"/>
              <w:left w:val="nil"/>
              <w:bottom w:val="nil"/>
              <w:right w:val="nil"/>
            </w:tcBorders>
            <w:noWrap/>
            <w:textDirection w:val="lrTb"/>
            <w:vAlign w:val="bottom"/>
            <w:hideMark/>
          </w:tcPr>
          <w:p w:rsidR="008117A9" w:rsidRPr="00982BC3" w:rsidP="00A97D6F">
            <w:pPr>
              <w:bidi w:val="0"/>
              <w:spacing w:after="0" w:line="240" w:lineRule="auto"/>
              <w:rPr>
                <w:rFonts w:ascii="Times New Roman" w:hAnsi="Times New Roman" w:cs="Times New Roman"/>
                <w:sz w:val="20"/>
                <w:szCs w:val="20"/>
                <w:lang w:eastAsia="sk-SK"/>
              </w:rPr>
            </w:pPr>
          </w:p>
        </w:tc>
        <w:tc>
          <w:tcPr>
            <w:tcW w:w="775" w:type="pct"/>
            <w:gridSpan w:val="2"/>
            <w:tcBorders>
              <w:top w:val="nil"/>
              <w:left w:val="nil"/>
              <w:bottom w:val="nil"/>
              <w:right w:val="nil"/>
            </w:tcBorders>
            <w:noWrap/>
            <w:textDirection w:val="lrTb"/>
            <w:vAlign w:val="bottom"/>
            <w:hideMark/>
          </w:tcPr>
          <w:p w:rsidR="008117A9" w:rsidRPr="00982BC3" w:rsidP="00A97D6F">
            <w:pPr>
              <w:bidi w:val="0"/>
              <w:spacing w:after="0" w:line="240" w:lineRule="auto"/>
              <w:rPr>
                <w:rFonts w:ascii="Times New Roman" w:hAnsi="Times New Roman" w:cs="Times New Roman"/>
                <w:sz w:val="20"/>
                <w:szCs w:val="20"/>
                <w:lang w:eastAsia="sk-SK"/>
              </w:rPr>
            </w:pPr>
          </w:p>
        </w:tc>
        <w:tc>
          <w:tcPr>
            <w:tcW w:w="584" w:type="pct"/>
            <w:tcBorders>
              <w:top w:val="nil"/>
              <w:left w:val="nil"/>
              <w:bottom w:val="nil"/>
              <w:right w:val="nil"/>
            </w:tcBorders>
            <w:noWrap/>
            <w:textDirection w:val="lrTb"/>
            <w:vAlign w:val="bottom"/>
            <w:hideMark/>
          </w:tcPr>
          <w:p w:rsidR="008117A9" w:rsidRPr="00982BC3" w:rsidP="00A97D6F">
            <w:pPr>
              <w:bidi w:val="0"/>
              <w:spacing w:after="0" w:line="240" w:lineRule="auto"/>
              <w:rPr>
                <w:rFonts w:ascii="Times New Roman" w:hAnsi="Times New Roman" w:cs="Times New Roman"/>
                <w:sz w:val="20"/>
                <w:szCs w:val="20"/>
                <w:lang w:eastAsia="sk-SK"/>
              </w:rPr>
            </w:pPr>
          </w:p>
        </w:tc>
        <w:tc>
          <w:tcPr>
            <w:tcW w:w="658" w:type="pct"/>
            <w:tcBorders>
              <w:top w:val="nil"/>
              <w:left w:val="nil"/>
              <w:bottom w:val="nil"/>
              <w:right w:val="nil"/>
            </w:tcBorders>
            <w:noWrap/>
            <w:textDirection w:val="lrTb"/>
            <w:vAlign w:val="bottom"/>
            <w:hideMark/>
          </w:tcPr>
          <w:p w:rsidR="008117A9" w:rsidRPr="00982BC3" w:rsidP="00A97D6F">
            <w:pPr>
              <w:bidi w:val="0"/>
              <w:spacing w:after="0" w:line="240" w:lineRule="auto"/>
              <w:rPr>
                <w:rFonts w:ascii="Times New Roman" w:hAnsi="Times New Roman" w:cs="Times New Roman"/>
                <w:sz w:val="20"/>
                <w:szCs w:val="20"/>
                <w:lang w:eastAsia="sk-SK"/>
              </w:rPr>
            </w:pPr>
          </w:p>
        </w:tc>
        <w:tc>
          <w:tcPr>
            <w:tcW w:w="716" w:type="pct"/>
            <w:tcBorders>
              <w:top w:val="nil"/>
              <w:left w:val="nil"/>
              <w:bottom w:val="nil"/>
              <w:right w:val="nil"/>
            </w:tcBorders>
            <w:noWrap/>
            <w:textDirection w:val="lrTb"/>
            <w:vAlign w:val="bottom"/>
            <w:hideMark/>
          </w:tcPr>
          <w:p w:rsidR="008117A9" w:rsidRPr="00982BC3" w:rsidP="00A97D6F">
            <w:pPr>
              <w:bidi w:val="0"/>
              <w:spacing w:after="0" w:line="240" w:lineRule="auto"/>
              <w:rPr>
                <w:rFonts w:ascii="Times New Roman" w:hAnsi="Times New Roman" w:cs="Times New Roman"/>
                <w:sz w:val="20"/>
                <w:szCs w:val="20"/>
                <w:lang w:eastAsia="sk-SK"/>
              </w:rPr>
            </w:pPr>
          </w:p>
        </w:tc>
        <w:tc>
          <w:tcPr>
            <w:tcW w:w="511" w:type="pct"/>
            <w:tcBorders>
              <w:top w:val="nil"/>
              <w:left w:val="nil"/>
              <w:bottom w:val="nil"/>
              <w:right w:val="nil"/>
            </w:tcBorders>
            <w:noWrap/>
            <w:textDirection w:val="lrTb"/>
            <w:vAlign w:val="center"/>
            <w:hideMark/>
          </w:tcPr>
          <w:p w:rsidR="008117A9" w:rsidRPr="00982BC3" w:rsidP="00A97D6F">
            <w:pPr>
              <w:bidi w:val="0"/>
              <w:spacing w:after="0" w:line="240" w:lineRule="auto"/>
              <w:jc w:val="right"/>
              <w:rPr>
                <w:rFonts w:ascii="Times New Roman" w:hAnsi="Times New Roman" w:cs="Times New Roman"/>
                <w:i/>
                <w:iCs/>
                <w:color w:val="000000"/>
                <w:sz w:val="16"/>
                <w:szCs w:val="16"/>
                <w:lang w:eastAsia="sk-SK"/>
              </w:rPr>
            </w:pPr>
            <w:r w:rsidRPr="00982BC3">
              <w:rPr>
                <w:rFonts w:ascii="Times New Roman" w:hAnsi="Times New Roman" w:cs="Times New Roman"/>
                <w:i/>
                <w:iCs/>
                <w:color w:val="000000"/>
                <w:sz w:val="16"/>
                <w:szCs w:val="16"/>
                <w:lang w:eastAsia="sk-SK"/>
              </w:rPr>
              <w:t>Zdroj: IÚZ</w:t>
            </w:r>
          </w:p>
        </w:tc>
      </w:tr>
    </w:tbl>
    <w:p w:rsidR="008117A9" w:rsidRPr="00C820FC"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Vlastné imanie NBS dosiahlo k 31.12.2015 zápornú hodnotu -3 358 368 tis. eur. </w:t>
      </w:r>
      <w:r w:rsidRPr="00C820FC">
        <w:rPr>
          <w:rFonts w:ascii="Times New Roman" w:hAnsi="Times New Roman" w:cs="Times New Roman"/>
          <w:szCs w:val="22"/>
        </w:rPr>
        <w:t xml:space="preserve">Vlastné imanie sa v roku 2015 zvýšilo </w:t>
      </w:r>
      <w:r>
        <w:rPr>
          <w:rFonts w:ascii="Times New Roman" w:hAnsi="Times New Roman" w:cs="Times New Roman"/>
          <w:szCs w:val="22"/>
        </w:rPr>
        <w:t xml:space="preserve">(znížila sa jeho záporná hodnota) </w:t>
      </w:r>
      <w:r w:rsidRPr="00C820FC">
        <w:rPr>
          <w:rFonts w:ascii="Times New Roman" w:hAnsi="Times New Roman" w:cs="Times New Roman"/>
          <w:szCs w:val="22"/>
        </w:rPr>
        <w:t xml:space="preserve">o 58 853 tis. eur, a to predovšetkým vplyvom navýšenia stavu účtov precenenia o 54 249 tis. eur. V </w:t>
      </w:r>
      <w:r>
        <w:rPr>
          <w:rFonts w:ascii="Times New Roman" w:hAnsi="Times New Roman" w:cs="Times New Roman"/>
          <w:szCs w:val="22"/>
        </w:rPr>
        <w:t>menšej</w:t>
      </w:r>
      <w:r w:rsidRPr="00C820FC">
        <w:rPr>
          <w:rFonts w:ascii="Times New Roman" w:hAnsi="Times New Roman" w:cs="Times New Roman"/>
          <w:szCs w:val="22"/>
        </w:rPr>
        <w:t xml:space="preserve"> miere k rastu vlastného imania prispel aj </w:t>
      </w:r>
      <w:r>
        <w:rPr>
          <w:rFonts w:ascii="Times New Roman" w:hAnsi="Times New Roman" w:cs="Times New Roman"/>
          <w:szCs w:val="22"/>
        </w:rPr>
        <w:t xml:space="preserve">čistý </w:t>
      </w:r>
      <w:r w:rsidRPr="00C820FC">
        <w:rPr>
          <w:rFonts w:ascii="Times New Roman" w:hAnsi="Times New Roman" w:cs="Times New Roman"/>
          <w:szCs w:val="22"/>
        </w:rPr>
        <w:t>zisk v sume 4 604 tis. eur.</w:t>
      </w:r>
      <w:r>
        <w:rPr>
          <w:rFonts w:ascii="Times New Roman" w:hAnsi="Times New Roman" w:cs="Times New Roman"/>
          <w:szCs w:val="22"/>
        </w:rPr>
        <w:t xml:space="preserve"> </w:t>
      </w:r>
    </w:p>
    <w:p w:rsidR="008117A9" w:rsidRPr="00C820FC" w:rsidP="008117A9">
      <w:pPr>
        <w:bidi w:val="0"/>
        <w:spacing w:after="120" w:line="336" w:lineRule="auto"/>
        <w:jc w:val="both"/>
        <w:rPr>
          <w:rFonts w:ascii="Times New Roman" w:hAnsi="Times New Roman" w:cs="Times New Roman"/>
          <w:szCs w:val="22"/>
        </w:rPr>
      </w:pPr>
      <w:r w:rsidRPr="00C820FC">
        <w:rPr>
          <w:rFonts w:ascii="Times New Roman" w:hAnsi="Times New Roman" w:cs="Times New Roman"/>
          <w:szCs w:val="22"/>
        </w:rPr>
        <w:t>Zisk bežného obdobia v porovnaní s predchádzajúcim rokom 2014 zaznamenal pokles až o 95,49 % najmä vplyvom negatívneho vývoja zisku z finančných činností. Primárnym  dôvodom bol pokles čistých úrokových výnosov z euro investícií a navýšenia všeobecnej rezervy na finančné riziká. Pokles čistých úrokových výnosov z euro investícií súvisí najmä so znížením čistého úrokového výnosu z cenných papierov (v dôsledku zavedenia záporných úrokových sadzieb od roku 2014) a so znížením objemu portfólia cenných papierov (poklesol podiel investičného portfólia denominovaného v EUR v prospech rastu podielu investičného portfólia denominovaného v USD). Pokles základnej úrokovej sadzby ECB mal významný vplyv aj na zníženie pohľadávok v rámci Eurosystému (pokles o 77,3%), ktoré predstavujú pozíciu NBS voči ostatným členom Európskeho systému centrálnych bánk z cezhraničných operácií (najmä z operácií realizovaných prostredníctvom TARGET2).</w:t>
      </w:r>
    </w:p>
    <w:p w:rsidR="008117A9" w:rsidRPr="00C820FC" w:rsidP="008117A9">
      <w:pPr>
        <w:bidi w:val="0"/>
        <w:spacing w:after="120" w:line="336" w:lineRule="auto"/>
        <w:jc w:val="both"/>
        <w:rPr>
          <w:rFonts w:ascii="Times New Roman" w:hAnsi="Times New Roman" w:cs="Times New Roman"/>
          <w:szCs w:val="22"/>
        </w:rPr>
      </w:pPr>
      <w:r w:rsidRPr="00C820FC">
        <w:rPr>
          <w:rFonts w:ascii="Times New Roman" w:hAnsi="Times New Roman" w:cs="Times New Roman"/>
          <w:szCs w:val="22"/>
        </w:rPr>
        <w:t>V priebehu roku 2015 výrazne vzrástli cenné papiere držané na účely menovej politiky  (dlhové cenné papiere emitované najmä verejnou správou a peňažnými finančnými inštitúciami eurozóny) o 5</w:t>
      </w:r>
      <w:r>
        <w:rPr>
          <w:rFonts w:ascii="Times New Roman" w:hAnsi="Times New Roman" w:cs="Times New Roman"/>
          <w:szCs w:val="22"/>
        </w:rPr>
        <w:t> </w:t>
      </w:r>
      <w:r w:rsidRPr="00C820FC">
        <w:rPr>
          <w:rFonts w:ascii="Times New Roman" w:hAnsi="Times New Roman" w:cs="Times New Roman"/>
          <w:szCs w:val="22"/>
        </w:rPr>
        <w:t>024</w:t>
      </w:r>
      <w:r>
        <w:rPr>
          <w:rFonts w:ascii="Times New Roman" w:hAnsi="Times New Roman" w:cs="Times New Roman"/>
          <w:szCs w:val="22"/>
        </w:rPr>
        <w:t> </w:t>
      </w:r>
      <w:r w:rsidRPr="00C820FC">
        <w:rPr>
          <w:rFonts w:ascii="Times New Roman" w:hAnsi="Times New Roman" w:cs="Times New Roman"/>
          <w:szCs w:val="22"/>
        </w:rPr>
        <w:t>925 tis. eur (nárast o 78,7 %). Nárast bol spôsobený najmä nákupom cenných papierov v rámci nového programu PSPP</w:t>
      </w:r>
      <w:r>
        <w:rPr>
          <w:rFonts w:ascii="Times New Roman" w:hAnsi="Times New Roman" w:cs="Times New Roman"/>
          <w:szCs w:val="22"/>
        </w:rPr>
        <w:t xml:space="preserve"> (P</w:t>
      </w:r>
      <w:r w:rsidRPr="00FA490A">
        <w:rPr>
          <w:rFonts w:ascii="Times New Roman" w:hAnsi="Times New Roman" w:cs="Times New Roman"/>
          <w:szCs w:val="22"/>
        </w:rPr>
        <w:t>ublic sector asset purchase programme</w:t>
      </w:r>
      <w:r>
        <w:rPr>
          <w:rFonts w:ascii="Times New Roman" w:hAnsi="Times New Roman" w:cs="Times New Roman"/>
          <w:szCs w:val="22"/>
        </w:rPr>
        <w:t xml:space="preserve"> - </w:t>
      </w:r>
      <w:r w:rsidRPr="00FA490A">
        <w:rPr>
          <w:rFonts w:ascii="Times New Roman" w:hAnsi="Times New Roman" w:cs="Times New Roman"/>
          <w:szCs w:val="22"/>
        </w:rPr>
        <w:t xml:space="preserve"> </w:t>
      </w:r>
      <w:r w:rsidRPr="004723B9">
        <w:rPr>
          <w:rFonts w:ascii="Times New Roman" w:hAnsi="Times New Roman" w:cs="Times New Roman"/>
          <w:szCs w:val="22"/>
        </w:rPr>
        <w:t>program nákupu aktív verejného sektora na sekundárnych trhoch</w:t>
      </w:r>
      <w:r>
        <w:rPr>
          <w:rFonts w:ascii="Times New Roman" w:hAnsi="Times New Roman" w:cs="Times New Roman"/>
          <w:szCs w:val="22"/>
        </w:rPr>
        <w:t>)</w:t>
      </w:r>
      <w:r w:rsidRPr="00C820FC">
        <w:rPr>
          <w:rFonts w:ascii="Times New Roman" w:hAnsi="Times New Roman" w:cs="Times New Roman"/>
          <w:szCs w:val="22"/>
        </w:rPr>
        <w:t xml:space="preserve"> spusteného v marci 2015, ktorého cieľom bolo uvoľňovanie menových a finančných podmienok vrátane podmienok pre poskytovanie úverov nefinančným korporáciám a domácnostiam v eurozóne. Zároveň v roku 2015 došlo aj k poklesu položky „ostatné cenné papiere“ o 2 369 230 tis. eur (pokles o 49,3%) hlavne z dôvodu </w:t>
      </w:r>
      <w:r>
        <w:rPr>
          <w:rFonts w:ascii="Times New Roman" w:hAnsi="Times New Roman" w:cs="Times New Roman"/>
          <w:szCs w:val="22"/>
        </w:rPr>
        <w:t>termínu splatnosti</w:t>
      </w:r>
      <w:r w:rsidRPr="00C820FC">
        <w:rPr>
          <w:rFonts w:ascii="Times New Roman" w:hAnsi="Times New Roman" w:cs="Times New Roman"/>
          <w:szCs w:val="22"/>
        </w:rPr>
        <w:t xml:space="preserve"> cenných papierov. </w:t>
      </w:r>
    </w:p>
    <w:p w:rsidR="008117A9" w:rsidRPr="007C03E0" w:rsidP="002A4EBB">
      <w:pPr>
        <w:pStyle w:val="Heading3"/>
        <w:numPr>
          <w:numId w:val="45"/>
        </w:numPr>
        <w:bidi w:val="0"/>
        <w:ind w:left="1080"/>
        <w:rPr>
          <w:rFonts w:hint="default"/>
        </w:rPr>
      </w:pPr>
      <w:bookmarkStart w:id="120" w:name="_Toc465258495"/>
      <w:r w:rsidRPr="007C03E0">
        <w:rPr>
          <w:rFonts w:hint="default"/>
        </w:rPr>
        <w:t>Implicitné</w:t>
      </w:r>
      <w:r w:rsidRPr="007C03E0">
        <w:rPr>
          <w:rFonts w:hint="default"/>
        </w:rPr>
        <w:t xml:space="preserve"> zá</w:t>
      </w:r>
      <w:r w:rsidRPr="007C03E0">
        <w:rPr>
          <w:rFonts w:hint="default"/>
        </w:rPr>
        <w:t>vä</w:t>
      </w:r>
      <w:r w:rsidRPr="007C03E0">
        <w:rPr>
          <w:rFonts w:hint="default"/>
        </w:rPr>
        <w:t>zky</w:t>
      </w:r>
      <w:bookmarkEnd w:id="120"/>
    </w:p>
    <w:p w:rsidR="008117A9" w:rsidP="008117A9">
      <w:pPr>
        <w:bidi w:val="0"/>
        <w:spacing w:after="120" w:line="336" w:lineRule="auto"/>
        <w:jc w:val="both"/>
        <w:rPr>
          <w:rFonts w:ascii="Times New Roman" w:hAnsi="Times New Roman" w:cs="Times New Roman"/>
          <w:szCs w:val="22"/>
        </w:rPr>
      </w:pPr>
      <w:r w:rsidRPr="007C03E0">
        <w:rPr>
          <w:rFonts w:ascii="Times New Roman" w:hAnsi="Times New Roman" w:cs="Times New Roman"/>
          <w:szCs w:val="22"/>
        </w:rPr>
        <w:t>Implicitné záväzky sú podľa ústavného zákona o rozpočtovej zodpovednosti definované ako „rozdiel medzi očakávanými budúcimi výdavkami subjektov verejnej správy a očakávanými budúcimi príjmami subjektov verejnej správy, ktoré vyplývajú z finančných dôsledkov spôsobených budúcim uplatňovaním práv a povinností ustanovených právnym poriadkom Slovenskej republiky, ak tieto nie sú súčasťou dlhu verejnej správy“. Z uvedeného vyplýva, že nejde o záväzky vykázané v súvahe subjektov verejnej správy, keďže ich ocenenie môže byť problematické. Napriek tomu v individuálnych prípadoch možno, pri použití adekvátnych analytických metód a pri zohľadnení aktuálneho legislatívneho stavu, odhadnúť ich výšku.</w:t>
      </w:r>
    </w:p>
    <w:tbl>
      <w:tblPr>
        <w:tblStyle w:val="TableNormal"/>
        <w:tblW w:w="5000" w:type="pct"/>
        <w:tblCellMar>
          <w:left w:w="70" w:type="dxa"/>
          <w:right w:w="70" w:type="dxa"/>
        </w:tblCellMar>
        <w:tblLook w:val="04A0"/>
      </w:tblPr>
      <w:tblGrid>
        <w:gridCol w:w="3302"/>
        <w:gridCol w:w="857"/>
        <w:gridCol w:w="1207"/>
        <w:gridCol w:w="857"/>
        <w:gridCol w:w="1207"/>
        <w:gridCol w:w="490"/>
        <w:gridCol w:w="1291"/>
      </w:tblGrid>
      <w:tr>
        <w:tblPrEx>
          <w:tblW w:w="5000" w:type="pct"/>
          <w:tblCellMar>
            <w:left w:w="70" w:type="dxa"/>
            <w:right w:w="70" w:type="dxa"/>
          </w:tblCellMar>
          <w:tblLook w:val="04A0"/>
        </w:tblPrEx>
        <w:trPr>
          <w:trHeight w:val="259"/>
        </w:trPr>
        <w:tc>
          <w:tcPr>
            <w:tcW w:w="5000" w:type="pct"/>
            <w:gridSpan w:val="7"/>
            <w:tcBorders>
              <w:top w:val="nil"/>
              <w:left w:val="nil"/>
              <w:bottom w:val="nil"/>
              <w:right w:val="nil"/>
            </w:tcBorders>
            <w:shd w:val="clear" w:color="000000" w:fill="000000"/>
            <w:noWrap/>
            <w:textDirection w:val="lrTb"/>
            <w:vAlign w:val="center"/>
            <w:hideMark/>
          </w:tcPr>
          <w:p w:rsidR="008117A9" w:rsidRPr="004D3C6C" w:rsidP="00A97D6F">
            <w:pPr>
              <w:bidi w:val="0"/>
              <w:spacing w:after="0" w:line="240" w:lineRule="auto"/>
              <w:rPr>
                <w:rFonts w:ascii="Times New Roman" w:hAnsi="Times New Roman" w:cs="Times New Roman"/>
                <w:b/>
                <w:bCs/>
                <w:color w:val="FFFFFF"/>
                <w:sz w:val="20"/>
                <w:szCs w:val="20"/>
                <w:lang w:eastAsia="sk-SK"/>
              </w:rPr>
            </w:pPr>
            <w:r w:rsidRPr="00D91747">
              <w:rPr>
                <w:rFonts w:ascii="Times New Roman" w:hAnsi="Times New Roman" w:cs="Times New Roman"/>
                <w:b/>
                <w:bCs/>
                <w:color w:val="FFFFFF"/>
                <w:sz w:val="20"/>
                <w:szCs w:val="20"/>
                <w:lang w:eastAsia="sk-SK"/>
              </w:rPr>
              <w:t xml:space="preserve">Odhad implicitných záväzkov (tis. </w:t>
            </w:r>
            <w:r>
              <w:rPr>
                <w:rFonts w:ascii="Times New Roman" w:hAnsi="Times New Roman" w:cs="Times New Roman"/>
                <w:b/>
                <w:bCs/>
                <w:color w:val="FFFFFF"/>
                <w:sz w:val="20"/>
                <w:szCs w:val="20"/>
                <w:lang w:eastAsia="sk-SK"/>
              </w:rPr>
              <w:t>e</w:t>
            </w:r>
            <w:r w:rsidRPr="00D91747">
              <w:rPr>
                <w:rFonts w:ascii="Times New Roman" w:hAnsi="Times New Roman" w:cs="Times New Roman"/>
                <w:b/>
                <w:bCs/>
                <w:color w:val="FFFFFF"/>
                <w:sz w:val="20"/>
                <w:szCs w:val="20"/>
                <w:lang w:eastAsia="sk-SK"/>
              </w:rPr>
              <w:t>ur)</w:t>
            </w:r>
            <w:r w:rsidRPr="00D91747">
              <w:rPr>
                <w:rFonts w:ascii="Times New Roman" w:hAnsi="Times New Roman" w:cs="Times New Roman"/>
                <w:color w:val="000000"/>
                <w:sz w:val="20"/>
                <w:szCs w:val="20"/>
                <w:lang w:eastAsia="sk-SK"/>
              </w:rPr>
              <w:t> </w:t>
            </w:r>
          </w:p>
        </w:tc>
      </w:tr>
      <w:tr>
        <w:tblPrEx>
          <w:tblW w:w="5000" w:type="pct"/>
          <w:tblCellMar>
            <w:left w:w="70" w:type="dxa"/>
            <w:right w:w="70" w:type="dxa"/>
          </w:tblCellMar>
          <w:tblLook w:val="04A0"/>
        </w:tblPrEx>
        <w:trPr>
          <w:trHeight w:val="225"/>
        </w:trPr>
        <w:tc>
          <w:tcPr>
            <w:tcW w:w="1793" w:type="pct"/>
            <w:tcBorders>
              <w:top w:val="nil"/>
              <w:left w:val="nil"/>
              <w:bottom w:val="nil"/>
              <w:right w:val="nil"/>
            </w:tcBorders>
            <w:shd w:val="clear" w:color="000000" w:fill="BFBFBF"/>
            <w:noWrap/>
            <w:textDirection w:val="lrTb"/>
            <w:vAlign w:val="center"/>
            <w:hideMark/>
          </w:tcPr>
          <w:p w:rsidR="008117A9" w:rsidRPr="00D91747" w:rsidP="00A97D6F">
            <w:pPr>
              <w:bidi w:val="0"/>
              <w:spacing w:after="0" w:line="240" w:lineRule="auto"/>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 </w:t>
            </w:r>
          </w:p>
        </w:tc>
        <w:tc>
          <w:tcPr>
            <w:tcW w:w="1120" w:type="pct"/>
            <w:gridSpan w:val="2"/>
            <w:tcBorders>
              <w:top w:val="nil"/>
              <w:left w:val="nil"/>
              <w:bottom w:val="nil"/>
              <w:right w:val="nil"/>
            </w:tcBorders>
            <w:shd w:val="clear" w:color="000000" w:fill="BFBFBF"/>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Hodnota k 31.12.2015 </w:t>
            </w:r>
          </w:p>
        </w:tc>
        <w:tc>
          <w:tcPr>
            <w:tcW w:w="1120" w:type="pct"/>
            <w:gridSpan w:val="2"/>
            <w:tcBorders>
              <w:top w:val="nil"/>
              <w:left w:val="nil"/>
              <w:bottom w:val="nil"/>
              <w:right w:val="nil"/>
            </w:tcBorders>
            <w:shd w:val="clear" w:color="000000" w:fill="BFBFBF"/>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Hodnota k 31.12.2014 </w:t>
            </w:r>
          </w:p>
        </w:tc>
        <w:tc>
          <w:tcPr>
            <w:tcW w:w="966" w:type="pct"/>
            <w:gridSpan w:val="2"/>
            <w:tcBorders>
              <w:top w:val="nil"/>
              <w:left w:val="nil"/>
              <w:bottom w:val="nil"/>
              <w:right w:val="nil"/>
            </w:tcBorders>
            <w:shd w:val="clear" w:color="000000" w:fill="BFBFBF"/>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2015-2014</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shd w:val="clear" w:color="000000" w:fill="D9D9D9"/>
            <w:noWrap/>
            <w:textDirection w:val="lrTb"/>
            <w:vAlign w:val="center"/>
            <w:hideMark/>
          </w:tcPr>
          <w:p w:rsidR="008117A9" w:rsidRPr="00D91747" w:rsidP="00A97D6F">
            <w:pPr>
              <w:bidi w:val="0"/>
              <w:spacing w:after="0" w:line="240" w:lineRule="auto"/>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 </w:t>
            </w:r>
          </w:p>
        </w:tc>
        <w:tc>
          <w:tcPr>
            <w:tcW w:w="465" w:type="pct"/>
            <w:tcBorders>
              <w:top w:val="nil"/>
              <w:left w:val="nil"/>
              <w:bottom w:val="nil"/>
              <w:right w:val="nil"/>
            </w:tcBorders>
            <w:shd w:val="clear" w:color="000000" w:fill="D9D9D9"/>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 HDP</w:t>
            </w:r>
          </w:p>
        </w:tc>
        <w:tc>
          <w:tcPr>
            <w:tcW w:w="655" w:type="pct"/>
            <w:tcBorders>
              <w:top w:val="nil"/>
              <w:left w:val="nil"/>
              <w:bottom w:val="nil"/>
              <w:right w:val="nil"/>
            </w:tcBorders>
            <w:shd w:val="clear" w:color="000000" w:fill="D9D9D9"/>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tis. Eur</w:t>
            </w:r>
          </w:p>
        </w:tc>
        <w:tc>
          <w:tcPr>
            <w:tcW w:w="465" w:type="pct"/>
            <w:tcBorders>
              <w:top w:val="nil"/>
              <w:left w:val="nil"/>
              <w:bottom w:val="nil"/>
              <w:right w:val="nil"/>
            </w:tcBorders>
            <w:shd w:val="clear" w:color="000000" w:fill="D9D9D9"/>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 HDP</w:t>
            </w:r>
          </w:p>
        </w:tc>
        <w:tc>
          <w:tcPr>
            <w:tcW w:w="655" w:type="pct"/>
            <w:tcBorders>
              <w:top w:val="nil"/>
              <w:left w:val="nil"/>
              <w:bottom w:val="nil"/>
              <w:right w:val="nil"/>
            </w:tcBorders>
            <w:shd w:val="clear" w:color="000000" w:fill="D9D9D9"/>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tis. Eur</w:t>
            </w:r>
          </w:p>
        </w:tc>
        <w:tc>
          <w:tcPr>
            <w:tcW w:w="266" w:type="pct"/>
            <w:tcBorders>
              <w:top w:val="nil"/>
              <w:left w:val="nil"/>
              <w:bottom w:val="nil"/>
              <w:right w:val="nil"/>
            </w:tcBorders>
            <w:shd w:val="clear" w:color="000000" w:fill="D9D9D9"/>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p.b.</w:t>
            </w:r>
          </w:p>
        </w:tc>
        <w:tc>
          <w:tcPr>
            <w:tcW w:w="700" w:type="pct"/>
            <w:tcBorders>
              <w:top w:val="nil"/>
              <w:left w:val="nil"/>
              <w:bottom w:val="nil"/>
              <w:right w:val="nil"/>
            </w:tcBorders>
            <w:shd w:val="clear" w:color="000000" w:fill="D9D9D9"/>
            <w:noWrap/>
            <w:textDirection w:val="lrTb"/>
            <w:vAlign w:val="center"/>
            <w:hideMark/>
          </w:tcPr>
          <w:p w:rsidR="008117A9" w:rsidRPr="00D91747" w:rsidP="00A97D6F">
            <w:pPr>
              <w:bidi w:val="0"/>
              <w:spacing w:after="0" w:line="240" w:lineRule="auto"/>
              <w:jc w:val="center"/>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tis. Eur</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Starnutie obyvateľstva</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-131,0%</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-103 068 501</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-148,6%</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-111 803 428</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17,7</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8 734 928</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ind w:firstLine="200" w:firstLineChars="100"/>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 xml:space="preserve"> - dôchodkový systém</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-50,0%</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-39 348 666</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-57,8%</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-43 445 940</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7,8</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4 097 274</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ind w:firstLine="200" w:firstLineChars="100"/>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 xml:space="preserve"> - zdravotníctvo</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-87,4%</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-68 777 648</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-99,4%</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-74 796 443</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12,0</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6 018 795</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ind w:firstLine="200" w:firstLineChars="100"/>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 xml:space="preserve"> - dlhodobá starostlivosť</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-16,1%</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-12 663 692</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-17,2%</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-12 965 831</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1,1</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302 139</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ind w:firstLine="200" w:firstLineChars="100"/>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 xml:space="preserve"> - poistenie v nezamestnanosti</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5,5%</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4 312 789</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6,1%</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4 555 428</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-0,6</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-242 640</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ind w:firstLine="200" w:firstLineChars="100"/>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 xml:space="preserve"> - školstvo</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17,0%</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13 408 716</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19,7%</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14 849 357</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-2,7</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-1 440 641</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PPP projekt - rýchlostná cesta R1</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-2,7%</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-2 009 083</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-2,8%</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-2 114 061</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0,1</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104 978</w:t>
            </w:r>
          </w:p>
        </w:tc>
      </w:tr>
      <w:tr>
        <w:tblPrEx>
          <w:tblW w:w="5000" w:type="pct"/>
          <w:tblCellMar>
            <w:left w:w="70" w:type="dxa"/>
            <w:right w:w="70" w:type="dxa"/>
          </w:tblCellMar>
          <w:tblLook w:val="04A0"/>
        </w:tblPrEx>
        <w:trPr>
          <w:trHeight w:val="259"/>
        </w:trPr>
        <w:tc>
          <w:tcPr>
            <w:tcW w:w="1793" w:type="pct"/>
            <w:tcBorders>
              <w:top w:val="nil"/>
              <w:left w:val="nil"/>
              <w:bottom w:val="nil"/>
              <w:right w:val="nil"/>
            </w:tcBorders>
            <w:noWrap/>
            <w:textDirection w:val="lrTb"/>
            <w:vAlign w:val="center"/>
            <w:hideMark/>
          </w:tcPr>
          <w:p w:rsidR="008117A9" w:rsidRPr="00D91747" w:rsidP="00A97D6F">
            <w:pPr>
              <w:bidi w:val="0"/>
              <w:spacing w:after="0" w:line="240" w:lineRule="auto"/>
              <w:rPr>
                <w:rFonts w:ascii="Times New Roman" w:hAnsi="Times New Roman" w:cs="Times New Roman"/>
                <w:b/>
                <w:bCs/>
                <w:color w:val="000000"/>
                <w:sz w:val="20"/>
                <w:szCs w:val="20"/>
                <w:lang w:eastAsia="sk-SK"/>
              </w:rPr>
            </w:pPr>
            <w:r>
              <w:rPr>
                <w:rFonts w:ascii="Times New Roman" w:hAnsi="Times New Roman" w:cs="Times New Roman"/>
                <w:b/>
                <w:bCs/>
                <w:color w:val="000000"/>
                <w:sz w:val="20"/>
                <w:szCs w:val="20"/>
                <w:lang w:eastAsia="sk-SK"/>
              </w:rPr>
              <w:t>Národný jadrový</w:t>
            </w:r>
            <w:r w:rsidRPr="00D91747">
              <w:rPr>
                <w:rFonts w:ascii="Times New Roman" w:hAnsi="Times New Roman" w:cs="Times New Roman"/>
                <w:b/>
                <w:bCs/>
                <w:color w:val="000000"/>
                <w:sz w:val="20"/>
                <w:szCs w:val="20"/>
                <w:lang w:eastAsia="sk-SK"/>
              </w:rPr>
              <w:t xml:space="preserve"> fond</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3,1%</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2 351 679</w:t>
            </w:r>
          </w:p>
        </w:tc>
        <w:tc>
          <w:tcPr>
            <w:tcW w:w="46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3,3%</w:t>
            </w:r>
          </w:p>
        </w:tc>
        <w:tc>
          <w:tcPr>
            <w:tcW w:w="655"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2 450 852</w:t>
            </w:r>
          </w:p>
        </w:tc>
        <w:tc>
          <w:tcPr>
            <w:tcW w:w="266"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-0,1</w:t>
            </w:r>
          </w:p>
        </w:tc>
        <w:tc>
          <w:tcPr>
            <w:tcW w:w="700" w:type="pct"/>
            <w:tcBorders>
              <w:top w:val="nil"/>
              <w:left w:val="nil"/>
              <w:bottom w:val="nil"/>
              <w:right w:val="nil"/>
            </w:tcBorders>
            <w:noWrap/>
            <w:textDirection w:val="lrTb"/>
            <w:vAlign w:val="center"/>
            <w:hideMark/>
          </w:tcPr>
          <w:p w:rsidR="008117A9" w:rsidRPr="00D91747" w:rsidP="00A97D6F">
            <w:pPr>
              <w:bidi w:val="0"/>
              <w:spacing w:after="0" w:line="240" w:lineRule="auto"/>
              <w:jc w:val="right"/>
              <w:rPr>
                <w:rFonts w:ascii="Times New Roman" w:hAnsi="Times New Roman" w:cs="Times New Roman"/>
                <w:color w:val="000000"/>
                <w:sz w:val="20"/>
                <w:szCs w:val="20"/>
                <w:lang w:eastAsia="sk-SK"/>
              </w:rPr>
            </w:pPr>
            <w:r w:rsidRPr="00D91747">
              <w:rPr>
                <w:rFonts w:ascii="Times New Roman" w:hAnsi="Times New Roman" w:cs="Times New Roman"/>
                <w:color w:val="000000"/>
                <w:sz w:val="20"/>
                <w:szCs w:val="20"/>
                <w:lang w:eastAsia="sk-SK"/>
              </w:rPr>
              <w:t>-99 173</w:t>
            </w:r>
          </w:p>
        </w:tc>
      </w:tr>
      <w:tr>
        <w:tblPrEx>
          <w:tblW w:w="5000" w:type="pct"/>
          <w:tblCellMar>
            <w:left w:w="70" w:type="dxa"/>
            <w:right w:w="70" w:type="dxa"/>
          </w:tblCellMar>
          <w:tblLook w:val="04A0"/>
        </w:tblPrEx>
        <w:trPr>
          <w:trHeight w:val="270"/>
        </w:trPr>
        <w:tc>
          <w:tcPr>
            <w:tcW w:w="1793" w:type="pct"/>
            <w:tcBorders>
              <w:top w:val="single" w:sz="4" w:space="0" w:color="auto"/>
              <w:left w:val="nil"/>
              <w:bottom w:val="single" w:sz="8" w:space="0" w:color="auto"/>
              <w:right w:val="nil"/>
            </w:tcBorders>
            <w:shd w:val="clear" w:color="000000" w:fill="D9D9D9"/>
            <w:noWrap/>
            <w:textDirection w:val="lrTb"/>
            <w:vAlign w:val="center"/>
            <w:hideMark/>
          </w:tcPr>
          <w:p w:rsidR="008117A9" w:rsidRPr="00D91747" w:rsidP="00A97D6F">
            <w:pPr>
              <w:bidi w:val="0"/>
              <w:spacing w:after="0" w:line="240" w:lineRule="auto"/>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Implicitné záväzky spolu</w:t>
            </w:r>
          </w:p>
        </w:tc>
        <w:tc>
          <w:tcPr>
            <w:tcW w:w="465" w:type="pct"/>
            <w:tcBorders>
              <w:top w:val="single" w:sz="4" w:space="0" w:color="auto"/>
              <w:left w:val="nil"/>
              <w:bottom w:val="single" w:sz="8" w:space="0" w:color="auto"/>
              <w:right w:val="nil"/>
            </w:tcBorders>
            <w:shd w:val="clear" w:color="000000" w:fill="D9D9D9"/>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-130,5%</w:t>
            </w:r>
          </w:p>
        </w:tc>
        <w:tc>
          <w:tcPr>
            <w:tcW w:w="655" w:type="pct"/>
            <w:tcBorders>
              <w:top w:val="single" w:sz="4" w:space="0" w:color="auto"/>
              <w:left w:val="nil"/>
              <w:bottom w:val="single" w:sz="8" w:space="0" w:color="auto"/>
              <w:right w:val="nil"/>
            </w:tcBorders>
            <w:shd w:val="clear" w:color="000000" w:fill="D9D9D9"/>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-102 725 905</w:t>
            </w:r>
          </w:p>
        </w:tc>
        <w:tc>
          <w:tcPr>
            <w:tcW w:w="465" w:type="pct"/>
            <w:tcBorders>
              <w:top w:val="single" w:sz="4" w:space="0" w:color="auto"/>
              <w:left w:val="nil"/>
              <w:bottom w:val="single" w:sz="8" w:space="0" w:color="auto"/>
              <w:right w:val="nil"/>
            </w:tcBorders>
            <w:shd w:val="clear" w:color="000000" w:fill="D9D9D9"/>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-148,2%</w:t>
            </w:r>
          </w:p>
        </w:tc>
        <w:tc>
          <w:tcPr>
            <w:tcW w:w="655" w:type="pct"/>
            <w:tcBorders>
              <w:top w:val="single" w:sz="4" w:space="0" w:color="auto"/>
              <w:left w:val="nil"/>
              <w:bottom w:val="single" w:sz="8" w:space="0" w:color="auto"/>
              <w:right w:val="nil"/>
            </w:tcBorders>
            <w:shd w:val="clear" w:color="000000" w:fill="D9D9D9"/>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-111 466 637</w:t>
            </w:r>
          </w:p>
        </w:tc>
        <w:tc>
          <w:tcPr>
            <w:tcW w:w="266" w:type="pct"/>
            <w:tcBorders>
              <w:top w:val="single" w:sz="4" w:space="0" w:color="auto"/>
              <w:left w:val="nil"/>
              <w:bottom w:val="single" w:sz="8" w:space="0" w:color="auto"/>
              <w:right w:val="nil"/>
            </w:tcBorders>
            <w:shd w:val="clear" w:color="000000" w:fill="D9D9D9"/>
            <w:noWrap/>
            <w:textDirection w:val="lrTb"/>
            <w:vAlign w:val="center"/>
            <w:hideMark/>
          </w:tcPr>
          <w:p w:rsidR="008117A9" w:rsidRPr="00D91747" w:rsidP="00A97D6F">
            <w:pPr>
              <w:bidi w:val="0"/>
              <w:spacing w:after="0" w:line="240" w:lineRule="auto"/>
              <w:jc w:val="right"/>
              <w:rPr>
                <w:rFonts w:ascii="Times New Roman" w:hAnsi="Times New Roman" w:cs="Times New Roman"/>
                <w:b/>
                <w:bCs/>
                <w:color w:val="000000"/>
                <w:sz w:val="20"/>
                <w:szCs w:val="20"/>
                <w:lang w:eastAsia="sk-SK"/>
              </w:rPr>
            </w:pPr>
            <w:r w:rsidRPr="00D91747">
              <w:rPr>
                <w:rFonts w:ascii="Times New Roman" w:hAnsi="Times New Roman" w:cs="Times New Roman"/>
                <w:b/>
                <w:bCs/>
                <w:color w:val="000000"/>
                <w:sz w:val="20"/>
                <w:szCs w:val="20"/>
                <w:lang w:eastAsia="sk-SK"/>
              </w:rPr>
              <w:t>17,7</w:t>
            </w:r>
          </w:p>
        </w:tc>
        <w:tc>
          <w:tcPr>
            <w:tcW w:w="700" w:type="pct"/>
            <w:tcBorders>
              <w:top w:val="single" w:sz="4" w:space="0" w:color="auto"/>
              <w:left w:val="nil"/>
              <w:bottom w:val="single" w:sz="8" w:space="0" w:color="auto"/>
              <w:right w:val="nil"/>
            </w:tcBorders>
            <w:shd w:val="clear" w:color="000000" w:fill="D9D9D9"/>
            <w:noWrap/>
            <w:textDirection w:val="lrTb"/>
            <w:vAlign w:val="center"/>
            <w:hideMark/>
          </w:tcPr>
          <w:p w:rsidR="008117A9" w:rsidRPr="00D91747" w:rsidP="00A97D6F">
            <w:pPr>
              <w:bidi w:val="0"/>
              <w:spacing w:after="0" w:line="240" w:lineRule="auto"/>
              <w:rPr>
                <w:rFonts w:ascii="Times New Roman" w:hAnsi="Times New Roman" w:cs="Times New Roman"/>
                <w:b/>
                <w:bCs/>
                <w:color w:val="000000"/>
                <w:sz w:val="20"/>
                <w:szCs w:val="20"/>
                <w:lang w:eastAsia="sk-SK"/>
              </w:rPr>
            </w:pPr>
            <w:r>
              <w:rPr>
                <w:rFonts w:ascii="Times New Roman" w:hAnsi="Times New Roman" w:cs="Times New Roman"/>
                <w:b/>
                <w:bCs/>
                <w:color w:val="000000"/>
                <w:sz w:val="20"/>
                <w:szCs w:val="20"/>
                <w:lang w:eastAsia="sk-SK"/>
              </w:rPr>
              <w:t xml:space="preserve">       8 740 732</w:t>
            </w:r>
          </w:p>
        </w:tc>
      </w:tr>
    </w:tbl>
    <w:p w:rsidR="008117A9" w:rsidRPr="00B47972" w:rsidP="008117A9">
      <w:pPr>
        <w:bidi w:val="0"/>
        <w:spacing w:after="120" w:line="336" w:lineRule="auto"/>
        <w:jc w:val="right"/>
        <w:rPr>
          <w:rFonts w:ascii="Times New Roman" w:hAnsi="Times New Roman" w:cs="Times New Roman"/>
          <w:i/>
          <w:sz w:val="18"/>
          <w:szCs w:val="18"/>
        </w:rPr>
      </w:pPr>
      <w:r w:rsidRPr="00B47972">
        <w:rPr>
          <w:rFonts w:ascii="Times New Roman" w:hAnsi="Times New Roman" w:cs="Times New Roman"/>
          <w:i/>
          <w:sz w:val="18"/>
          <w:szCs w:val="18"/>
        </w:rPr>
        <w:t>Zdroj: IFP</w:t>
      </w:r>
    </w:p>
    <w:p w:rsidR="008117A9" w:rsidP="008117A9">
      <w:pPr>
        <w:bidi w:val="0"/>
        <w:spacing w:after="120" w:line="336" w:lineRule="auto"/>
        <w:jc w:val="both"/>
        <w:rPr>
          <w:rFonts w:ascii="Times New Roman" w:hAnsi="Times New Roman" w:cs="Times New Roman"/>
          <w:szCs w:val="22"/>
        </w:rPr>
      </w:pPr>
      <w:r w:rsidRPr="00797644">
        <w:rPr>
          <w:rFonts w:ascii="Times New Roman" w:hAnsi="Times New Roman" w:cs="Times New Roman"/>
          <w:szCs w:val="22"/>
        </w:rPr>
        <w:t xml:space="preserve">Implicitné záväzky spojené so starnutím obyvateľstva najviac </w:t>
      </w:r>
      <w:r>
        <w:rPr>
          <w:rFonts w:ascii="Times New Roman" w:hAnsi="Times New Roman" w:cs="Times New Roman"/>
          <w:szCs w:val="22"/>
        </w:rPr>
        <w:t xml:space="preserve">negatívne </w:t>
      </w:r>
      <w:r w:rsidRPr="00797644">
        <w:rPr>
          <w:rFonts w:ascii="Times New Roman" w:hAnsi="Times New Roman" w:cs="Times New Roman"/>
          <w:szCs w:val="22"/>
        </w:rPr>
        <w:t>ovplyvňujú záväzky dôchodkového systému a zdravotníctva spolu vo výške 137,4 % HDP. Poistenie v nezamestnanosti a výdavky na školstvo sú položkami, ktoré naopak celkovú výšku implicitných záväzkov znižujú spolu vo výške 22,5 % HDP. Starnutie populácie prináša so sebou postupné znižovanie počtu detí a aktívneho obyvateľstva na trhu práce, čo automaticky vedie (za predpokladu nezmenených iných podmienok ako napríklad očakávaný väčší dôraz na výdavky do školstva v budúcnosti) k úsporám na strane výdavkov verejných financií.</w:t>
      </w:r>
    </w:p>
    <w:p w:rsidR="008117A9" w:rsidRPr="00A656BF" w:rsidP="008117A9">
      <w:pPr>
        <w:bidi w:val="0"/>
        <w:spacing w:after="120" w:line="336" w:lineRule="auto"/>
        <w:jc w:val="both"/>
        <w:rPr>
          <w:rFonts w:ascii="Times New Roman" w:hAnsi="Times New Roman" w:cs="Times New Roman"/>
          <w:szCs w:val="22"/>
        </w:rPr>
      </w:pPr>
      <w:r w:rsidRPr="001B17EB">
        <w:rPr>
          <w:rFonts w:ascii="Times New Roman" w:hAnsi="Times New Roman" w:cs="Times New Roman"/>
          <w:b/>
          <w:szCs w:val="22"/>
        </w:rPr>
        <w:t xml:space="preserve">Hodnota implicitných záväzkov klesla ku koncu roku 2015 na úroveň 130,5 % HDP. </w:t>
      </w:r>
      <w:r w:rsidRPr="001B17EB">
        <w:rPr>
          <w:rFonts w:ascii="Times New Roman" w:hAnsi="Times New Roman" w:cs="Times New Roman"/>
          <w:szCs w:val="22"/>
        </w:rPr>
        <w:t>V porovnaní s rokom 2014 klesli implicitné záväzky o 17,7 p.</w:t>
      </w:r>
      <w:r w:rsidRPr="00A656BF">
        <w:rPr>
          <w:rFonts w:ascii="Times New Roman" w:hAnsi="Times New Roman" w:cs="Times New Roman"/>
          <w:szCs w:val="22"/>
        </w:rPr>
        <w:t xml:space="preserve">b. Táto zmena je primárne výsledkom aktualizácie makroekonomických údajov (vrátane prognózy príjmov) a posunom východiskového roka. Tieto faktory sa týkajú všetkých zložiek implicitných záväzkov, najviac však boli ovplyvnené aktualizáciou príjmov implicitné záväzky zdravotníctva, ktoré sa hlavne z tohto dôvodu znížili o 12 p.b. Na strane výdavkov </w:t>
      </w:r>
      <w:r>
        <w:rPr>
          <w:rFonts w:ascii="Times New Roman" w:hAnsi="Times New Roman" w:cs="Times New Roman"/>
          <w:szCs w:val="22"/>
        </w:rPr>
        <w:t xml:space="preserve">súvisiacich so starnutím populácie </w:t>
      </w:r>
      <w:r w:rsidRPr="00A656BF">
        <w:rPr>
          <w:rFonts w:ascii="Times New Roman" w:hAnsi="Times New Roman" w:cs="Times New Roman"/>
          <w:szCs w:val="22"/>
        </w:rPr>
        <w:t xml:space="preserve">nenastala v roku 2015 žiadna výrazná zmena. </w:t>
      </w:r>
    </w:p>
    <w:p w:rsidR="008117A9"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Na zmenu implicitných záväzkov oproti predchádzajúcemu roku pôsobili dve vecné úpravy:</w:t>
      </w:r>
    </w:p>
    <w:p w:rsidR="008117A9" w:rsidP="008117A9">
      <w:pPr>
        <w:pStyle w:val="ListParagraph"/>
        <w:numPr>
          <w:numId w:val="42"/>
        </w:numPr>
        <w:bidi w:val="0"/>
        <w:spacing w:after="120" w:line="336" w:lineRule="auto"/>
        <w:jc w:val="both"/>
        <w:rPr>
          <w:rFonts w:ascii="Times New Roman" w:hAnsi="Times New Roman" w:cs="Times New Roman"/>
        </w:rPr>
      </w:pPr>
      <w:r w:rsidRPr="00400F63">
        <w:rPr>
          <w:rFonts w:ascii="Times New Roman" w:hAnsi="Times New Roman" w:cs="Times New Roman"/>
        </w:rPr>
        <w:t xml:space="preserve">Záväzky spojené s dôchodkovým systémom </w:t>
      </w:r>
      <w:r>
        <w:rPr>
          <w:rFonts w:ascii="Times New Roman" w:hAnsi="Times New Roman" w:cs="Times New Roman"/>
        </w:rPr>
        <w:t xml:space="preserve">sa znížili o </w:t>
      </w:r>
      <w:r w:rsidRPr="00400F63">
        <w:rPr>
          <w:rFonts w:ascii="Times New Roman" w:hAnsi="Times New Roman" w:cs="Times New Roman"/>
        </w:rPr>
        <w:t>8,0 % HDP vplyvom vyňatia výsluhových dôchodkov</w:t>
      </w:r>
      <w:r>
        <w:rPr>
          <w:rFonts w:ascii="Times New Roman" w:hAnsi="Times New Roman" w:cs="Times New Roman"/>
        </w:rPr>
        <w:t xml:space="preserve"> z odhadovaných implicitných záväzkov na starobné dôchodky</w:t>
      </w:r>
      <w:r w:rsidRPr="00400F63">
        <w:rPr>
          <w:rFonts w:ascii="Times New Roman" w:hAnsi="Times New Roman" w:cs="Times New Roman"/>
        </w:rPr>
        <w:t>, bez tejto korekcie by záväzky do dôchodkového systému medziročne mierne vzrástli o 0,3 % HDP.</w:t>
      </w:r>
      <w:r>
        <w:rPr>
          <w:rFonts w:ascii="Times New Roman" w:hAnsi="Times New Roman" w:cs="Times New Roman"/>
        </w:rPr>
        <w:t xml:space="preserve"> Počnúc rokom 2014 sa v rámci účtovníctva vykazujú rezervy na zamestnanecké požitky v ústrednej správe. Rezervy na výsluhové dôchodky silových zložiek (vojaci, policajti, colníci a hasiči) tvoria hlavnú zložku rezerv na zamestnanecké požitky. Z dôvodu odstránenia duplicity vo výpočte odhadu čistého bohatstva boli preto za rok 2015 implicitné záväzky prislúchajúce výsluhovým dôchodkom vyňaté. Počnúc týmto rokom sú vo výpočte čistého bohatstva výsluhové dôchodky premietnuté formou účtovných rezerv a dôchodky všeobecného systému dôchodkového poistenia (poistenci Sociálnej poisťovne) sú do čistého bohatstva premietnuté odhadom implicitných záväzkov.</w:t>
      </w:r>
    </w:p>
    <w:p w:rsidR="008117A9" w:rsidRPr="00400F63" w:rsidP="008117A9">
      <w:pPr>
        <w:pStyle w:val="ListParagraph"/>
        <w:numPr>
          <w:numId w:val="42"/>
        </w:numPr>
        <w:bidi w:val="0"/>
        <w:spacing w:after="120" w:line="336" w:lineRule="auto"/>
        <w:jc w:val="both"/>
        <w:rPr>
          <w:rFonts w:ascii="Times New Roman" w:hAnsi="Times New Roman" w:cs="Times New Roman"/>
        </w:rPr>
      </w:pPr>
      <w:r w:rsidRPr="003F194F">
        <w:rPr>
          <w:rFonts w:ascii="Times New Roman" w:hAnsi="Times New Roman" w:cs="Times New Roman"/>
        </w:rPr>
        <w:t>V porovnaní s minuloročnou projekciou implicitných záväzkov pristúpilo MF SR k vynechaniu memorandovej položky PPP projektu na výstavbu Univerzitnej nemocnice v Bratislave. V roku 2014 táto položka nevstupovala priamo do výšky implicitných záväzkov, keďže sa čakalo na definitívne potvrdenie realizácie stavby. Vzhľadom na to, že k schváleniu tohto PPP projektu nedošlo, neuvažujeme pre rok 2015 s vplyvom tohto projektu ani memorandovo.</w:t>
      </w:r>
    </w:p>
    <w:p w:rsidR="008117A9" w:rsidRPr="004D3C6C" w:rsidP="008117A9">
      <w:pPr>
        <w:bidi w:val="0"/>
        <w:spacing w:after="120" w:line="336" w:lineRule="auto"/>
        <w:jc w:val="both"/>
        <w:rPr>
          <w:rFonts w:ascii="Times New Roman" w:hAnsi="Times New Roman" w:cs="Times New Roman"/>
          <w:szCs w:val="22"/>
        </w:rPr>
      </w:pPr>
      <w:r w:rsidRPr="003F194F">
        <w:rPr>
          <w:rFonts w:ascii="Times New Roman" w:hAnsi="Times New Roman" w:cs="Times New Roman"/>
          <w:szCs w:val="22"/>
        </w:rPr>
        <w:t xml:space="preserve">Dve položky implicitných záväzkov, ktoré nesúvisia so starnutím obyvateľstva, boli medziročne zmenené len minimálne na úrovni 0,1 % HDP. Implicitné záväzky súvisiace so splácaním dlhodobého PPP projektu rýchlostnej cesty R1 sú kvantifikované na základe odhadu platieb štátu za dostupnosť počas celej doby trvania koncesie do roku 2041. Oproti roku 2014 došlo k miernemu poklesu z </w:t>
      </w:r>
      <w:r w:rsidRPr="004D3C6C">
        <w:rPr>
          <w:rFonts w:ascii="Times New Roman" w:hAnsi="Times New Roman" w:cs="Times New Roman"/>
          <w:szCs w:val="22"/>
        </w:rPr>
        <w:t>dôvodu posunu východiskového roka a aktualizácie platieb za dostupnosť.</w:t>
      </w:r>
    </w:p>
    <w:p w:rsidR="00C92A18" w:rsidP="004B28B7">
      <w:pPr>
        <w:bidi w:val="0"/>
        <w:spacing w:after="120" w:line="336" w:lineRule="auto"/>
        <w:jc w:val="both"/>
        <w:rPr>
          <w:rFonts w:ascii="Times New Roman" w:hAnsi="Times New Roman" w:cs="Times New Roman"/>
          <w:szCs w:val="22"/>
        </w:rPr>
      </w:pPr>
      <w:r w:rsidRPr="004D3C6C" w:rsidR="008117A9">
        <w:rPr>
          <w:rFonts w:ascii="Times New Roman" w:hAnsi="Times New Roman" w:cs="Times New Roman"/>
          <w:szCs w:val="22"/>
        </w:rPr>
        <w:t xml:space="preserve">Implicitný záväzok súvisiaci s Národným jadrovým fondom vyplýva z financovania vyraďovania jadrových zariadení, keď veľkosť budúcich nákladov výraznejšie porastie kvôli zvyšujúcim sa nákladom na skladovanie a likvidáciu jadrového odpadu. V celom horizonte, najmä vďaka kumulujúcemu sa prebytku systému v prvých dekádach, je vplyv zahrnutia Národného jadrového fondu kladný vo výške 3,1 % HDP a znižuje celkové implicitné záväzky. Mierne zhoršenie prebytku oproti predchádzajúcemu roku spôsobilo posunutie východiskového roku. </w:t>
      </w:r>
    </w:p>
    <w:p w:rsidR="008117A9" w:rsidRPr="00BE6494" w:rsidP="002A4EBB">
      <w:pPr>
        <w:pStyle w:val="Heading3"/>
        <w:numPr>
          <w:numId w:val="45"/>
        </w:numPr>
        <w:bidi w:val="0"/>
        <w:ind w:left="1080"/>
        <w:rPr>
          <w:rFonts w:hint="default"/>
        </w:rPr>
      </w:pPr>
      <w:bookmarkStart w:id="121" w:name="_Toc465258496"/>
      <w:r w:rsidRPr="00BE6494">
        <w:rPr>
          <w:rFonts w:hint="default"/>
        </w:rPr>
        <w:t>Podmienené</w:t>
      </w:r>
      <w:r w:rsidRPr="00BE6494">
        <w:rPr>
          <w:rFonts w:hint="default"/>
        </w:rPr>
        <w:t xml:space="preserve"> zá</w:t>
      </w:r>
      <w:r w:rsidRPr="00BE6494">
        <w:rPr>
          <w:rFonts w:hint="default"/>
        </w:rPr>
        <w:t>vä</w:t>
      </w:r>
      <w:r w:rsidRPr="00BE6494">
        <w:rPr>
          <w:rFonts w:hint="default"/>
        </w:rPr>
        <w:t>zky</w:t>
      </w:r>
      <w:bookmarkEnd w:id="121"/>
    </w:p>
    <w:p w:rsidR="008117A9" w:rsidRPr="00BE6494" w:rsidP="008117A9">
      <w:pPr>
        <w:bidi w:val="0"/>
        <w:spacing w:before="120" w:after="120" w:line="336" w:lineRule="auto"/>
        <w:jc w:val="both"/>
        <w:rPr>
          <w:rFonts w:ascii="Times New Roman" w:hAnsi="Times New Roman" w:cs="Times New Roman"/>
          <w:szCs w:val="22"/>
        </w:rPr>
      </w:pPr>
      <w:r w:rsidRPr="00BE6494">
        <w:rPr>
          <w:rFonts w:ascii="Times New Roman" w:hAnsi="Times New Roman" w:cs="Times New Roman"/>
          <w:szCs w:val="22"/>
        </w:rPr>
        <w:t>Podmienenými záväzkami sú iné pasíva účtovnej jednotky, ktorá ich vykazuje v poznámkach individuálnej účtovnej závierky. Nejde teda o záväzok vykázaný na súvahových položkách pasív, pretože nie je splnená podmienka na ich zaúčtovanie (výška záväzku sa nedá spoľahlivo oceniť, obdobie, ku ktorému sa povinnosť viaže nie je určené a úbytok ekonomických úžitkov v budúcnosti nie je istý).</w:t>
      </w:r>
    </w:p>
    <w:p w:rsidR="008117A9" w:rsidP="008117A9">
      <w:pPr>
        <w:bidi w:val="0"/>
        <w:spacing w:before="120" w:after="120" w:line="336" w:lineRule="auto"/>
        <w:jc w:val="both"/>
        <w:rPr>
          <w:rFonts w:ascii="Times New Roman" w:hAnsi="Times New Roman" w:cs="Times New Roman"/>
          <w:szCs w:val="22"/>
        </w:rPr>
      </w:pPr>
      <w:r w:rsidRPr="00BE6494">
        <w:rPr>
          <w:rFonts w:ascii="Times New Roman" w:hAnsi="Times New Roman" w:cs="Times New Roman"/>
          <w:szCs w:val="22"/>
        </w:rPr>
        <w:t xml:space="preserve">Celkové podmienené záväzky verejného sektora boli k 31.12.2015 vykázané vo výške </w:t>
      </w:r>
      <w:r w:rsidRPr="00BE6494">
        <w:rPr>
          <w:rFonts w:ascii="Times New Roman" w:hAnsi="Times New Roman" w:cs="Times New Roman"/>
          <w:b/>
          <w:bCs/>
          <w:szCs w:val="22"/>
        </w:rPr>
        <w:t>13 271 343 </w:t>
      </w:r>
      <w:r w:rsidRPr="00BE6494">
        <w:rPr>
          <w:rFonts w:ascii="Times New Roman" w:hAnsi="Times New Roman" w:cs="Times New Roman"/>
          <w:b/>
          <w:szCs w:val="22"/>
        </w:rPr>
        <w:t>tis. eur (16,9 % HDP)</w:t>
      </w:r>
      <w:r w:rsidRPr="00BE6494">
        <w:rPr>
          <w:rFonts w:ascii="Times New Roman" w:hAnsi="Times New Roman" w:cs="Times New Roman"/>
          <w:szCs w:val="22"/>
        </w:rPr>
        <w:t>. V rámci verejného sektora bola rozhodujúca časť (99,7 %) podmienených záväzkov vykázaná v sektore ústrednej správy vrátane podnikov štátnej správy. Zvyšná časť pripadá na samosprávu, ktorá okrem obcí a vyšších územných celkov zahŕňa aj ich rozpočtové a príspevkové organizácie a obchodné spoločnosti. Medziročný pokles celkových podmienených záväzkov o 129 716 tis. eur</w:t>
      </w:r>
      <w:r>
        <w:rPr>
          <w:rFonts w:ascii="Times New Roman" w:hAnsi="Times New Roman" w:cs="Times New Roman"/>
          <w:szCs w:val="22"/>
        </w:rPr>
        <w:t xml:space="preserve"> ku koncu roka 2015</w:t>
      </w:r>
      <w:r w:rsidRPr="00BE6494">
        <w:rPr>
          <w:rFonts w:ascii="Times New Roman" w:hAnsi="Times New Roman" w:cs="Times New Roman"/>
          <w:szCs w:val="22"/>
        </w:rPr>
        <w:t xml:space="preserve"> je ďalej popísaný podľa jednotlivých skupín najväčších podmienených záväzkov.</w:t>
      </w:r>
    </w:p>
    <w:tbl>
      <w:tblPr>
        <w:tblStyle w:val="TableNormal"/>
        <w:tblW w:w="5000" w:type="pct"/>
        <w:tblCellMar>
          <w:left w:w="70" w:type="dxa"/>
          <w:right w:w="70" w:type="dxa"/>
        </w:tblCellMar>
        <w:tblLook w:val="04A0"/>
      </w:tblPr>
      <w:tblGrid>
        <w:gridCol w:w="3755"/>
        <w:gridCol w:w="1559"/>
        <w:gridCol w:w="1277"/>
        <w:gridCol w:w="1417"/>
        <w:gridCol w:w="1203"/>
      </w:tblGrid>
      <w:tr>
        <w:tblPrEx>
          <w:tblW w:w="5000" w:type="pct"/>
          <w:tblCellMar>
            <w:left w:w="70" w:type="dxa"/>
            <w:right w:w="70" w:type="dxa"/>
          </w:tblCellMar>
          <w:tblLook w:val="04A0"/>
        </w:tblPrEx>
        <w:trPr>
          <w:trHeight w:val="300"/>
        </w:trPr>
        <w:tc>
          <w:tcPr>
            <w:tcW w:w="5000" w:type="pct"/>
            <w:gridSpan w:val="5"/>
            <w:tcBorders>
              <w:top w:val="nil"/>
              <w:left w:val="nil"/>
              <w:bottom w:val="single" w:sz="4" w:space="0" w:color="auto"/>
              <w:right w:val="nil"/>
            </w:tcBorders>
            <w:shd w:val="clear" w:color="000000" w:fill="000000"/>
            <w:noWrap/>
            <w:textDirection w:val="lrTb"/>
            <w:vAlign w:val="center"/>
            <w:hideMark/>
          </w:tcPr>
          <w:p w:rsidR="008117A9" w:rsidRPr="00BE6494" w:rsidP="00A97D6F">
            <w:pPr>
              <w:bidi w:val="0"/>
              <w:spacing w:after="0" w:line="240" w:lineRule="auto"/>
              <w:rPr>
                <w:rFonts w:ascii="Times New Roman" w:hAnsi="Times New Roman" w:cs="Times New Roman"/>
                <w:b/>
                <w:bCs/>
                <w:color w:val="FFFFFF"/>
                <w:sz w:val="20"/>
                <w:szCs w:val="20"/>
                <w:lang w:eastAsia="sk-SK"/>
              </w:rPr>
            </w:pPr>
            <w:r w:rsidRPr="00BE6494">
              <w:rPr>
                <w:rFonts w:ascii="Times New Roman" w:hAnsi="Times New Roman" w:cs="Times New Roman"/>
                <w:b/>
                <w:bCs/>
                <w:color w:val="FFFFFF"/>
                <w:sz w:val="20"/>
                <w:szCs w:val="20"/>
                <w:lang w:eastAsia="sk-SK"/>
              </w:rPr>
              <w:t>Podmienené záväzky podľa zložiek verejného sektora (tis. eur)</w:t>
            </w:r>
          </w:p>
        </w:tc>
      </w:tr>
      <w:tr>
        <w:tblPrEx>
          <w:tblW w:w="5000" w:type="pct"/>
          <w:tblCellMar>
            <w:left w:w="70" w:type="dxa"/>
            <w:right w:w="70" w:type="dxa"/>
          </w:tblCellMar>
          <w:tblLook w:val="04A0"/>
        </w:tblPrEx>
        <w:trPr>
          <w:trHeight w:val="300"/>
        </w:trPr>
        <w:tc>
          <w:tcPr>
            <w:tcW w:w="2039" w:type="pct"/>
            <w:tcBorders>
              <w:top w:val="nil"/>
              <w:left w:val="nil"/>
              <w:bottom w:val="nil"/>
              <w:right w:val="nil"/>
            </w:tcBorders>
            <w:shd w:val="clear" w:color="000000" w:fill="BFBFBF"/>
            <w:textDirection w:val="lrTb"/>
            <w:vAlign w:val="bottom"/>
            <w:hideMark/>
          </w:tcPr>
          <w:p w:rsidR="008117A9" w:rsidRPr="00BE6494" w:rsidP="00A97D6F">
            <w:pPr>
              <w:bidi w:val="0"/>
              <w:spacing w:after="0" w:line="240" w:lineRule="auto"/>
              <w:rPr>
                <w:rFonts w:ascii="Times New Roman" w:hAnsi="Times New Roman" w:cs="Times New Roman"/>
                <w:b/>
                <w:bCs/>
                <w:szCs w:val="22"/>
                <w:lang w:eastAsia="sk-SK"/>
              </w:rPr>
            </w:pPr>
            <w:r w:rsidRPr="00BE6494">
              <w:rPr>
                <w:rFonts w:ascii="Times New Roman" w:hAnsi="Times New Roman" w:cs="Times New Roman"/>
                <w:b/>
                <w:bCs/>
                <w:szCs w:val="22"/>
                <w:lang w:eastAsia="sk-SK"/>
              </w:rPr>
              <w:t> </w:t>
            </w:r>
          </w:p>
        </w:tc>
        <w:tc>
          <w:tcPr>
            <w:tcW w:w="846" w:type="pct"/>
            <w:tcBorders>
              <w:top w:val="nil"/>
              <w:left w:val="nil"/>
              <w:bottom w:val="nil"/>
              <w:right w:val="nil"/>
            </w:tcBorders>
            <w:shd w:val="clear" w:color="000000" w:fill="BFBFBF"/>
            <w:textDirection w:val="lrTb"/>
            <w:vAlign w:val="bottom"/>
            <w:hideMark/>
          </w:tcPr>
          <w:p w:rsidR="008117A9" w:rsidRPr="00BE6494" w:rsidP="00A97D6F">
            <w:pPr>
              <w:bidi w:val="0"/>
              <w:spacing w:after="0" w:line="240" w:lineRule="auto"/>
              <w:jc w:val="right"/>
              <w:rPr>
                <w:rFonts w:ascii="Times New Roman" w:hAnsi="Times New Roman" w:cs="Times New Roman"/>
                <w:b/>
                <w:bCs/>
                <w:sz w:val="20"/>
                <w:szCs w:val="20"/>
                <w:lang w:eastAsia="sk-SK"/>
              </w:rPr>
            </w:pPr>
            <w:r w:rsidRPr="00BE6494">
              <w:rPr>
                <w:rFonts w:ascii="Times New Roman" w:hAnsi="Times New Roman" w:cs="Times New Roman"/>
                <w:b/>
                <w:bCs/>
                <w:sz w:val="20"/>
                <w:szCs w:val="20"/>
                <w:lang w:eastAsia="sk-SK"/>
              </w:rPr>
              <w:t>31.12.2013</w:t>
            </w:r>
          </w:p>
        </w:tc>
        <w:tc>
          <w:tcPr>
            <w:tcW w:w="693" w:type="pct"/>
            <w:tcBorders>
              <w:top w:val="nil"/>
              <w:left w:val="nil"/>
              <w:bottom w:val="nil"/>
              <w:right w:val="nil"/>
            </w:tcBorders>
            <w:shd w:val="clear" w:color="000000" w:fill="BFBFBF"/>
            <w:textDirection w:val="lrTb"/>
            <w:vAlign w:val="bottom"/>
            <w:hideMark/>
          </w:tcPr>
          <w:p w:rsidR="008117A9" w:rsidRPr="00BE6494" w:rsidP="00A97D6F">
            <w:pPr>
              <w:bidi w:val="0"/>
              <w:spacing w:after="0" w:line="240" w:lineRule="auto"/>
              <w:jc w:val="right"/>
              <w:rPr>
                <w:rFonts w:ascii="Times New Roman" w:hAnsi="Times New Roman" w:cs="Times New Roman"/>
                <w:b/>
                <w:bCs/>
                <w:sz w:val="20"/>
                <w:szCs w:val="20"/>
                <w:lang w:eastAsia="sk-SK"/>
              </w:rPr>
            </w:pPr>
            <w:r w:rsidRPr="00BE6494">
              <w:rPr>
                <w:rFonts w:ascii="Times New Roman" w:hAnsi="Times New Roman" w:cs="Times New Roman"/>
                <w:b/>
                <w:bCs/>
                <w:sz w:val="20"/>
                <w:szCs w:val="20"/>
                <w:lang w:eastAsia="sk-SK"/>
              </w:rPr>
              <w:t>31.12.2014</w:t>
            </w:r>
          </w:p>
        </w:tc>
        <w:tc>
          <w:tcPr>
            <w:tcW w:w="769" w:type="pct"/>
            <w:tcBorders>
              <w:top w:val="nil"/>
              <w:left w:val="nil"/>
              <w:bottom w:val="nil"/>
              <w:right w:val="nil"/>
            </w:tcBorders>
            <w:shd w:val="clear" w:color="000000" w:fill="BFBFBF"/>
            <w:textDirection w:val="lrTb"/>
            <w:vAlign w:val="bottom"/>
            <w:hideMark/>
          </w:tcPr>
          <w:p w:rsidR="008117A9" w:rsidRPr="00BE6494" w:rsidP="00A97D6F">
            <w:pPr>
              <w:bidi w:val="0"/>
              <w:spacing w:after="0" w:line="240" w:lineRule="auto"/>
              <w:jc w:val="right"/>
              <w:rPr>
                <w:rFonts w:ascii="Times New Roman" w:hAnsi="Times New Roman" w:cs="Times New Roman"/>
                <w:b/>
                <w:bCs/>
                <w:sz w:val="20"/>
                <w:szCs w:val="20"/>
                <w:lang w:eastAsia="sk-SK"/>
              </w:rPr>
            </w:pPr>
            <w:r w:rsidRPr="00BE6494">
              <w:rPr>
                <w:rFonts w:ascii="Times New Roman" w:hAnsi="Times New Roman" w:cs="Times New Roman"/>
                <w:b/>
                <w:bCs/>
                <w:sz w:val="20"/>
                <w:szCs w:val="20"/>
                <w:lang w:eastAsia="sk-SK"/>
              </w:rPr>
              <w:t>31.12.2015</w:t>
            </w:r>
          </w:p>
        </w:tc>
        <w:tc>
          <w:tcPr>
            <w:tcW w:w="653" w:type="pct"/>
            <w:tcBorders>
              <w:top w:val="nil"/>
              <w:left w:val="nil"/>
              <w:bottom w:val="nil"/>
              <w:right w:val="nil"/>
            </w:tcBorders>
            <w:shd w:val="clear" w:color="000000" w:fill="BFBFBF"/>
            <w:textDirection w:val="lrTb"/>
            <w:vAlign w:val="bottom"/>
            <w:hideMark/>
          </w:tcPr>
          <w:p w:rsidR="008117A9" w:rsidRPr="00BE6494" w:rsidP="00A97D6F">
            <w:pPr>
              <w:bidi w:val="0"/>
              <w:spacing w:after="0" w:line="240" w:lineRule="auto"/>
              <w:jc w:val="right"/>
              <w:rPr>
                <w:rFonts w:ascii="Times New Roman" w:hAnsi="Times New Roman" w:cs="Times New Roman"/>
                <w:b/>
                <w:bCs/>
                <w:sz w:val="20"/>
                <w:szCs w:val="20"/>
                <w:lang w:eastAsia="sk-SK"/>
              </w:rPr>
            </w:pPr>
            <w:r w:rsidRPr="00BE6494">
              <w:rPr>
                <w:rFonts w:ascii="Times New Roman" w:hAnsi="Times New Roman" w:cs="Times New Roman"/>
                <w:b/>
                <w:bCs/>
                <w:sz w:val="20"/>
                <w:szCs w:val="20"/>
                <w:lang w:eastAsia="sk-SK"/>
              </w:rPr>
              <w:t>2015-2014</w:t>
            </w:r>
          </w:p>
        </w:tc>
      </w:tr>
      <w:tr>
        <w:tblPrEx>
          <w:tblW w:w="5000" w:type="pct"/>
          <w:tblCellMar>
            <w:left w:w="70" w:type="dxa"/>
            <w:right w:w="70" w:type="dxa"/>
          </w:tblCellMar>
          <w:tblLook w:val="04A0"/>
        </w:tblPrEx>
        <w:trPr>
          <w:trHeight w:val="300"/>
        </w:trPr>
        <w:tc>
          <w:tcPr>
            <w:tcW w:w="2039" w:type="pct"/>
            <w:tcBorders>
              <w:top w:val="single" w:sz="4" w:space="0" w:color="auto"/>
              <w:left w:val="nil"/>
              <w:bottom w:val="nil"/>
              <w:right w:val="nil"/>
            </w:tcBorders>
            <w:textDirection w:val="lrTb"/>
            <w:vAlign w:val="center"/>
            <w:hideMark/>
          </w:tcPr>
          <w:p w:rsidR="008117A9" w:rsidRPr="00BE6494" w:rsidP="00A97D6F">
            <w:pPr>
              <w:bidi w:val="0"/>
              <w:spacing w:after="0" w:line="240" w:lineRule="auto"/>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Ústredná správa a podniky štátnej správy</w:t>
            </w:r>
          </w:p>
        </w:tc>
        <w:tc>
          <w:tcPr>
            <w:tcW w:w="846" w:type="pct"/>
            <w:tcBorders>
              <w:top w:val="single" w:sz="4" w:space="0" w:color="auto"/>
              <w:left w:val="nil"/>
              <w:bottom w:val="nil"/>
              <w:right w:val="nil"/>
            </w:tcBorders>
            <w:noWrap/>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12 034 579</w:t>
            </w:r>
          </w:p>
        </w:tc>
        <w:tc>
          <w:tcPr>
            <w:tcW w:w="693" w:type="pct"/>
            <w:tcBorders>
              <w:top w:val="single" w:sz="4" w:space="0" w:color="auto"/>
              <w:left w:val="nil"/>
              <w:bottom w:val="nil"/>
              <w:right w:val="nil"/>
            </w:tcBorders>
            <w:noWrap/>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13 309 615</w:t>
            </w:r>
          </w:p>
        </w:tc>
        <w:tc>
          <w:tcPr>
            <w:tcW w:w="769" w:type="pct"/>
            <w:tcBorders>
              <w:top w:val="single" w:sz="4" w:space="0" w:color="auto"/>
              <w:left w:val="nil"/>
              <w:bottom w:val="nil"/>
              <w:right w:val="nil"/>
            </w:tcBorders>
            <w:noWrap/>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13 228 220</w:t>
            </w:r>
          </w:p>
        </w:tc>
        <w:tc>
          <w:tcPr>
            <w:tcW w:w="653" w:type="pct"/>
            <w:tcBorders>
              <w:top w:val="single" w:sz="4" w:space="0" w:color="auto"/>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-81 395</w:t>
            </w:r>
          </w:p>
        </w:tc>
      </w:tr>
      <w:tr>
        <w:tblPrEx>
          <w:tblW w:w="5000" w:type="pct"/>
          <w:tblCellMar>
            <w:left w:w="70" w:type="dxa"/>
            <w:right w:w="70" w:type="dxa"/>
          </w:tblCellMar>
          <w:tblLook w:val="04A0"/>
        </w:tblPrEx>
        <w:trPr>
          <w:trHeight w:val="300"/>
        </w:trPr>
        <w:tc>
          <w:tcPr>
            <w:tcW w:w="2039" w:type="pct"/>
            <w:tcBorders>
              <w:top w:val="nil"/>
              <w:left w:val="nil"/>
              <w:bottom w:val="nil"/>
              <w:right w:val="nil"/>
            </w:tcBorders>
            <w:textDirection w:val="lrTb"/>
            <w:vAlign w:val="center"/>
            <w:hideMark/>
          </w:tcPr>
          <w:p w:rsidR="008117A9" w:rsidRPr="00BE6494" w:rsidP="00A97D6F">
            <w:pPr>
              <w:bidi w:val="0"/>
              <w:spacing w:after="0" w:line="240" w:lineRule="auto"/>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Vyššie územné celky a ich účtovné jednotky</w:t>
            </w:r>
          </w:p>
        </w:tc>
        <w:tc>
          <w:tcPr>
            <w:tcW w:w="846"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7 578</w:t>
            </w:r>
          </w:p>
        </w:tc>
        <w:tc>
          <w:tcPr>
            <w:tcW w:w="693"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5 832</w:t>
            </w:r>
          </w:p>
        </w:tc>
        <w:tc>
          <w:tcPr>
            <w:tcW w:w="769"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2 615</w:t>
            </w:r>
          </w:p>
        </w:tc>
        <w:tc>
          <w:tcPr>
            <w:tcW w:w="653"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-3 217</w:t>
            </w:r>
          </w:p>
        </w:tc>
      </w:tr>
      <w:tr>
        <w:tblPrEx>
          <w:tblW w:w="5000" w:type="pct"/>
          <w:tblCellMar>
            <w:left w:w="70" w:type="dxa"/>
            <w:right w:w="70" w:type="dxa"/>
          </w:tblCellMar>
          <w:tblLook w:val="04A0"/>
        </w:tblPrEx>
        <w:trPr>
          <w:trHeight w:val="300"/>
        </w:trPr>
        <w:tc>
          <w:tcPr>
            <w:tcW w:w="2039" w:type="pct"/>
            <w:tcBorders>
              <w:top w:val="nil"/>
              <w:left w:val="nil"/>
              <w:bottom w:val="nil"/>
              <w:right w:val="nil"/>
            </w:tcBorders>
            <w:textDirection w:val="lrTb"/>
            <w:vAlign w:val="center"/>
            <w:hideMark/>
          </w:tcPr>
          <w:p w:rsidR="008117A9" w:rsidRPr="00BE6494" w:rsidP="00A97D6F">
            <w:pPr>
              <w:bidi w:val="0"/>
              <w:spacing w:after="0" w:line="240" w:lineRule="auto"/>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Obce a ich účtovné jednotky</w:t>
            </w:r>
          </w:p>
        </w:tc>
        <w:tc>
          <w:tcPr>
            <w:tcW w:w="846"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21 165</w:t>
            </w:r>
          </w:p>
        </w:tc>
        <w:tc>
          <w:tcPr>
            <w:tcW w:w="693"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85 612</w:t>
            </w:r>
          </w:p>
        </w:tc>
        <w:tc>
          <w:tcPr>
            <w:tcW w:w="769"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40 508</w:t>
            </w:r>
          </w:p>
        </w:tc>
        <w:tc>
          <w:tcPr>
            <w:tcW w:w="653" w:type="pct"/>
            <w:tcBorders>
              <w:top w:val="nil"/>
              <w:left w:val="nil"/>
              <w:bottom w:val="nil"/>
              <w:right w:val="nil"/>
            </w:tcBorders>
            <w:textDirection w:val="lrTb"/>
            <w:vAlign w:val="center"/>
            <w:hideMark/>
          </w:tcPr>
          <w:p w:rsidR="008117A9" w:rsidRPr="00BE6494" w:rsidP="00A97D6F">
            <w:pPr>
              <w:bidi w:val="0"/>
              <w:spacing w:after="0" w:line="240" w:lineRule="auto"/>
              <w:jc w:val="right"/>
              <w:rPr>
                <w:rFonts w:ascii="Times New Roman" w:hAnsi="Times New Roman" w:cs="Times New Roman"/>
                <w:color w:val="000000"/>
                <w:sz w:val="20"/>
                <w:szCs w:val="20"/>
                <w:lang w:eastAsia="sk-SK"/>
              </w:rPr>
            </w:pPr>
            <w:r w:rsidRPr="00BE6494">
              <w:rPr>
                <w:rFonts w:ascii="Times New Roman" w:hAnsi="Times New Roman" w:cs="Times New Roman"/>
                <w:color w:val="000000"/>
                <w:sz w:val="20"/>
                <w:szCs w:val="20"/>
                <w:lang w:eastAsia="sk-SK"/>
              </w:rPr>
              <w:t>-45 104</w:t>
            </w:r>
          </w:p>
        </w:tc>
      </w:tr>
      <w:tr>
        <w:tblPrEx>
          <w:tblW w:w="5000" w:type="pct"/>
          <w:tblCellMar>
            <w:left w:w="70" w:type="dxa"/>
            <w:right w:w="70" w:type="dxa"/>
          </w:tblCellMar>
          <w:tblLook w:val="04A0"/>
        </w:tblPrEx>
        <w:trPr>
          <w:trHeight w:val="300"/>
        </w:trPr>
        <w:tc>
          <w:tcPr>
            <w:tcW w:w="2039" w:type="pct"/>
            <w:tcBorders>
              <w:top w:val="single" w:sz="4" w:space="0" w:color="auto"/>
              <w:left w:val="nil"/>
              <w:bottom w:val="single" w:sz="4" w:space="0" w:color="auto"/>
              <w:right w:val="nil"/>
            </w:tcBorders>
            <w:shd w:val="clear" w:color="000000" w:fill="BFBFBF"/>
            <w:noWrap/>
            <w:textDirection w:val="lrTb"/>
            <w:vAlign w:val="center"/>
            <w:hideMark/>
          </w:tcPr>
          <w:p w:rsidR="008117A9" w:rsidRPr="00BE6494" w:rsidP="00A97D6F">
            <w:pPr>
              <w:bidi w:val="0"/>
              <w:spacing w:after="0" w:line="240" w:lineRule="auto"/>
              <w:rPr>
                <w:rFonts w:ascii="Times New Roman" w:hAnsi="Times New Roman" w:cs="Times New Roman"/>
                <w:b/>
                <w:bCs/>
                <w:color w:val="000000"/>
                <w:sz w:val="20"/>
                <w:szCs w:val="20"/>
                <w:lang w:eastAsia="sk-SK"/>
              </w:rPr>
            </w:pPr>
            <w:r w:rsidRPr="00BE6494">
              <w:rPr>
                <w:rFonts w:ascii="Times New Roman" w:hAnsi="Times New Roman" w:cs="Times New Roman"/>
                <w:b/>
                <w:bCs/>
                <w:color w:val="000000"/>
                <w:sz w:val="20"/>
                <w:szCs w:val="20"/>
                <w:lang w:eastAsia="sk-SK"/>
              </w:rPr>
              <w:t xml:space="preserve">Spolu  </w:t>
            </w:r>
          </w:p>
        </w:tc>
        <w:tc>
          <w:tcPr>
            <w:tcW w:w="846" w:type="pct"/>
            <w:tcBorders>
              <w:top w:val="single" w:sz="4" w:space="0" w:color="auto"/>
              <w:left w:val="nil"/>
              <w:bottom w:val="single" w:sz="4" w:space="0" w:color="auto"/>
              <w:right w:val="nil"/>
            </w:tcBorders>
            <w:shd w:val="clear" w:color="000000" w:fill="BFBFBF"/>
            <w:noWrap/>
            <w:textDirection w:val="lrTb"/>
            <w:vAlign w:val="center"/>
            <w:hideMark/>
          </w:tcPr>
          <w:p w:rsidR="008117A9" w:rsidRPr="00BE6494" w:rsidP="00A97D6F">
            <w:pPr>
              <w:bidi w:val="0"/>
              <w:spacing w:after="0" w:line="240" w:lineRule="auto"/>
              <w:jc w:val="right"/>
              <w:rPr>
                <w:rFonts w:ascii="Times New Roman" w:hAnsi="Times New Roman" w:cs="Times New Roman"/>
                <w:b/>
                <w:bCs/>
                <w:color w:val="000000"/>
                <w:sz w:val="20"/>
                <w:szCs w:val="20"/>
                <w:lang w:eastAsia="sk-SK"/>
              </w:rPr>
            </w:pPr>
            <w:r w:rsidRPr="00BE6494">
              <w:rPr>
                <w:rFonts w:ascii="Times New Roman" w:hAnsi="Times New Roman" w:cs="Times New Roman"/>
                <w:b/>
                <w:bCs/>
                <w:color w:val="000000"/>
                <w:sz w:val="20"/>
                <w:szCs w:val="20"/>
                <w:lang w:eastAsia="sk-SK"/>
              </w:rPr>
              <w:t>12 063 322</w:t>
            </w:r>
          </w:p>
        </w:tc>
        <w:tc>
          <w:tcPr>
            <w:tcW w:w="693" w:type="pct"/>
            <w:tcBorders>
              <w:top w:val="single" w:sz="4" w:space="0" w:color="auto"/>
              <w:left w:val="nil"/>
              <w:bottom w:val="single" w:sz="4" w:space="0" w:color="auto"/>
              <w:right w:val="nil"/>
            </w:tcBorders>
            <w:shd w:val="clear" w:color="000000" w:fill="BFBFBF"/>
            <w:noWrap/>
            <w:textDirection w:val="lrTb"/>
            <w:vAlign w:val="center"/>
            <w:hideMark/>
          </w:tcPr>
          <w:p w:rsidR="008117A9" w:rsidRPr="00BE6494" w:rsidP="00A97D6F">
            <w:pPr>
              <w:bidi w:val="0"/>
              <w:spacing w:after="0" w:line="240" w:lineRule="auto"/>
              <w:jc w:val="right"/>
              <w:rPr>
                <w:rFonts w:ascii="Times New Roman" w:hAnsi="Times New Roman" w:cs="Times New Roman"/>
                <w:b/>
                <w:bCs/>
                <w:color w:val="000000"/>
                <w:sz w:val="20"/>
                <w:szCs w:val="20"/>
                <w:lang w:eastAsia="sk-SK"/>
              </w:rPr>
            </w:pPr>
            <w:r w:rsidRPr="00BE6494">
              <w:rPr>
                <w:rFonts w:ascii="Times New Roman" w:hAnsi="Times New Roman" w:cs="Times New Roman"/>
                <w:b/>
                <w:bCs/>
                <w:color w:val="000000"/>
                <w:sz w:val="20"/>
                <w:szCs w:val="20"/>
                <w:lang w:eastAsia="sk-SK"/>
              </w:rPr>
              <w:t>13 401 059</w:t>
            </w:r>
          </w:p>
        </w:tc>
        <w:tc>
          <w:tcPr>
            <w:tcW w:w="769" w:type="pct"/>
            <w:tcBorders>
              <w:top w:val="single" w:sz="4" w:space="0" w:color="auto"/>
              <w:left w:val="nil"/>
              <w:bottom w:val="single" w:sz="4" w:space="0" w:color="auto"/>
              <w:right w:val="nil"/>
            </w:tcBorders>
            <w:shd w:val="clear" w:color="000000" w:fill="BFBFBF"/>
            <w:noWrap/>
            <w:textDirection w:val="lrTb"/>
            <w:vAlign w:val="center"/>
            <w:hideMark/>
          </w:tcPr>
          <w:p w:rsidR="008117A9" w:rsidRPr="00BE6494" w:rsidP="00A97D6F">
            <w:pPr>
              <w:bidi w:val="0"/>
              <w:spacing w:after="0" w:line="240" w:lineRule="auto"/>
              <w:jc w:val="right"/>
              <w:rPr>
                <w:rFonts w:ascii="Times New Roman" w:hAnsi="Times New Roman" w:cs="Times New Roman"/>
                <w:b/>
                <w:bCs/>
                <w:color w:val="000000"/>
                <w:sz w:val="20"/>
                <w:szCs w:val="20"/>
                <w:lang w:eastAsia="sk-SK"/>
              </w:rPr>
            </w:pPr>
            <w:r w:rsidRPr="00BE6494">
              <w:rPr>
                <w:rFonts w:ascii="Times New Roman" w:hAnsi="Times New Roman" w:cs="Times New Roman"/>
                <w:b/>
                <w:bCs/>
                <w:color w:val="000000"/>
                <w:sz w:val="20"/>
                <w:szCs w:val="20"/>
                <w:lang w:eastAsia="sk-SK"/>
              </w:rPr>
              <w:t>13 271 343</w:t>
            </w:r>
          </w:p>
        </w:tc>
        <w:tc>
          <w:tcPr>
            <w:tcW w:w="653" w:type="pct"/>
            <w:tcBorders>
              <w:top w:val="single" w:sz="4" w:space="0" w:color="auto"/>
              <w:left w:val="nil"/>
              <w:bottom w:val="single" w:sz="4" w:space="0" w:color="auto"/>
              <w:right w:val="nil"/>
            </w:tcBorders>
            <w:shd w:val="clear" w:color="000000" w:fill="BFBFBF"/>
            <w:noWrap/>
            <w:textDirection w:val="lrTb"/>
            <w:vAlign w:val="center"/>
            <w:hideMark/>
          </w:tcPr>
          <w:p w:rsidR="008117A9" w:rsidRPr="00BE6494" w:rsidP="00A97D6F">
            <w:pPr>
              <w:bidi w:val="0"/>
              <w:spacing w:after="0" w:line="240" w:lineRule="auto"/>
              <w:jc w:val="right"/>
              <w:rPr>
                <w:rFonts w:ascii="Times New Roman" w:hAnsi="Times New Roman" w:cs="Times New Roman"/>
                <w:b/>
                <w:bCs/>
                <w:color w:val="000000"/>
                <w:sz w:val="20"/>
                <w:szCs w:val="20"/>
                <w:lang w:eastAsia="sk-SK"/>
              </w:rPr>
            </w:pPr>
            <w:r w:rsidRPr="00BE6494">
              <w:rPr>
                <w:rFonts w:ascii="Times New Roman" w:hAnsi="Times New Roman" w:cs="Times New Roman"/>
                <w:b/>
                <w:bCs/>
                <w:color w:val="000000"/>
                <w:sz w:val="20"/>
                <w:szCs w:val="20"/>
                <w:lang w:eastAsia="sk-SK"/>
              </w:rPr>
              <w:t>-129 716</w:t>
            </w:r>
          </w:p>
        </w:tc>
      </w:tr>
    </w:tbl>
    <w:p w:rsidR="008117A9" w:rsidRPr="006A03D2" w:rsidP="008117A9">
      <w:pPr>
        <w:bidi w:val="0"/>
        <w:spacing w:before="240" w:after="120" w:line="336" w:lineRule="auto"/>
        <w:jc w:val="both"/>
        <w:rPr>
          <w:rFonts w:ascii="Times New Roman" w:hAnsi="Times New Roman" w:cs="Times New Roman"/>
          <w:szCs w:val="22"/>
        </w:rPr>
      </w:pPr>
      <w:r w:rsidRPr="006A03D2">
        <w:rPr>
          <w:rFonts w:ascii="Times New Roman" w:hAnsi="Times New Roman" w:cs="Times New Roman"/>
          <w:szCs w:val="22"/>
        </w:rPr>
        <w:t xml:space="preserve">Prvú skupinu tvoria </w:t>
      </w:r>
      <w:r w:rsidRPr="007D3349">
        <w:rPr>
          <w:rFonts w:ascii="Times New Roman" w:hAnsi="Times New Roman" w:cs="Times New Roman"/>
          <w:b/>
          <w:szCs w:val="22"/>
        </w:rPr>
        <w:t>podmienené záväzky vyplývajúce z kapitálu splatného na požiadanie a záruk</w:t>
      </w:r>
      <w:r w:rsidRPr="006A03D2">
        <w:rPr>
          <w:rFonts w:ascii="Times New Roman" w:hAnsi="Times New Roman" w:cs="Times New Roman"/>
          <w:szCs w:val="22"/>
        </w:rPr>
        <w:t xml:space="preserve"> v medzinárodných finančných inštitúciách. Najväčší podmienený záväzok je vykázaný pri Európskom stabilizačnom mechanizme (ESM) vo výške 5 108 800 tis. eur. Tento finančný mechanizmus je určený na poskytovanie pomoci členským štátom eurozóny vo vážnych finančných problémoch s cieľom zabezpečiť stabilitu eurozóny. Základné imanie ESM v sume 700 000 000 tis. eur tvorí 80 000</w:t>
      </w:r>
      <w:r>
        <w:rPr>
          <w:rFonts w:ascii="Times New Roman" w:hAnsi="Times New Roman" w:cs="Times New Roman"/>
          <w:szCs w:val="22"/>
        </w:rPr>
        <w:t> </w:t>
      </w:r>
      <w:r w:rsidRPr="006A03D2">
        <w:rPr>
          <w:rFonts w:ascii="Times New Roman" w:hAnsi="Times New Roman" w:cs="Times New Roman"/>
          <w:szCs w:val="22"/>
        </w:rPr>
        <w:t>000</w:t>
      </w:r>
      <w:r>
        <w:rPr>
          <w:rFonts w:ascii="Times New Roman" w:hAnsi="Times New Roman" w:cs="Times New Roman"/>
          <w:szCs w:val="22"/>
        </w:rPr>
        <w:t> </w:t>
      </w:r>
      <w:r w:rsidRPr="006A03D2">
        <w:rPr>
          <w:rFonts w:ascii="Times New Roman" w:hAnsi="Times New Roman" w:cs="Times New Roman"/>
          <w:szCs w:val="22"/>
        </w:rPr>
        <w:t>tis.</w:t>
      </w:r>
      <w:r>
        <w:rPr>
          <w:rFonts w:ascii="Times New Roman" w:hAnsi="Times New Roman" w:cs="Times New Roman"/>
          <w:szCs w:val="22"/>
        </w:rPr>
        <w:t> </w:t>
      </w:r>
      <w:r w:rsidRPr="006A03D2">
        <w:rPr>
          <w:rFonts w:ascii="Times New Roman" w:hAnsi="Times New Roman" w:cs="Times New Roman"/>
          <w:szCs w:val="22"/>
        </w:rPr>
        <w:t>eur vo forme splatených akcií (z toho podiel SR: 659 200 tis. eur) a 620 000 000 tis.</w:t>
      </w:r>
      <w:r>
        <w:rPr>
          <w:rFonts w:ascii="Times New Roman" w:hAnsi="Times New Roman" w:cs="Times New Roman"/>
          <w:szCs w:val="22"/>
        </w:rPr>
        <w:t> </w:t>
      </w:r>
      <w:r w:rsidRPr="006A03D2">
        <w:rPr>
          <w:rFonts w:ascii="Times New Roman" w:hAnsi="Times New Roman" w:cs="Times New Roman"/>
          <w:szCs w:val="22"/>
        </w:rPr>
        <w:t>eur vo forme akcií splatných na vyzvanie (z toho podiel SR: 5 108 800 tis. eur). Slovenská republika sa ratifikáciou zmluvy, ktorou sa zriaďuje ESM zaviazala, že v prípade, ak úroveň splateného imania klesne pod schválených 80 000 000 tis. eur absorbovaním strát ESM, Správna rada ESM vyzve akcionárov na jeho splatenie jednoduchou väčšinou.</w:t>
      </w:r>
    </w:p>
    <w:p w:rsidR="008117A9" w:rsidRPr="00F673A0" w:rsidP="008117A9">
      <w:pPr>
        <w:bidi w:val="0"/>
        <w:spacing w:after="120" w:line="336" w:lineRule="auto"/>
        <w:jc w:val="both"/>
        <w:rPr>
          <w:rFonts w:ascii="Times New Roman" w:hAnsi="Times New Roman" w:cs="Times New Roman"/>
          <w:szCs w:val="22"/>
          <w:highlight w:val="yellow"/>
        </w:rPr>
      </w:pPr>
      <w:r w:rsidRPr="007F1F00">
        <w:rPr>
          <w:rFonts w:ascii="Times New Roman" w:hAnsi="Times New Roman" w:cs="Times New Roman"/>
          <w:szCs w:val="22"/>
        </w:rPr>
        <w:t xml:space="preserve">Európsky nástroj finančnej </w:t>
      </w:r>
      <w:r w:rsidRPr="007D3349">
        <w:rPr>
          <w:rFonts w:ascii="Times New Roman" w:hAnsi="Times New Roman" w:cs="Times New Roman"/>
          <w:szCs w:val="22"/>
        </w:rPr>
        <w:t>stability (EFSF) je predchodca</w:t>
      </w:r>
      <w:r w:rsidRPr="007F1F00">
        <w:rPr>
          <w:rFonts w:ascii="Times New Roman" w:hAnsi="Times New Roman" w:cs="Times New Roman"/>
          <w:szCs w:val="22"/>
        </w:rPr>
        <w:t xml:space="preserve"> ESM (tzv. euroval 1). Slovenská republika sa ako členský štát EFSF zaviazala poskytovať záruky za dlhové finančné inštrumenty vydávané EFSF v prípade žiadosti členského štátu eurozóny o finančnú stabilizačnú pomoc. V zmysle zákona o špecifických štátnych zárukách sa Slovensko musí podieľať na celkovej výške záruk do sumy, ktorá nepresiahne 7 727 570 tis. eur. Zároveň sa musí podieľať na ďalších záručných mechanizmoch potrebných na získanie AAA ratingu pre EFSF, napríklad poskytnutím dodatočných záruk EFSF do výšky 165 % svojho podielu na zárukách pre každú emisiu. Stav záruk vystavených Slovenskou republikou bol k 31.12.2015 vo výške 2 183 149 tis. eur a v priebehu roka 2015 sa znížil o 135 180 tis.</w:t>
      </w:r>
      <w:r>
        <w:rPr>
          <w:rFonts w:ascii="Times New Roman" w:hAnsi="Times New Roman" w:cs="Times New Roman"/>
          <w:szCs w:val="22"/>
        </w:rPr>
        <w:t> </w:t>
      </w:r>
      <w:r w:rsidRPr="007F1F00">
        <w:rPr>
          <w:rFonts w:ascii="Times New Roman" w:hAnsi="Times New Roman" w:cs="Times New Roman"/>
          <w:szCs w:val="22"/>
        </w:rPr>
        <w:t>eur</w:t>
      </w:r>
      <w:r>
        <w:rPr>
          <w:rStyle w:val="FootnoteReference"/>
          <w:rFonts w:ascii="Times New Roman" w:hAnsi="Times New Roman"/>
          <w:szCs w:val="22"/>
          <w:rtl w:val="0"/>
        </w:rPr>
        <w:footnoteReference w:id="8"/>
      </w:r>
      <w:r w:rsidRPr="007F1F00">
        <w:rPr>
          <w:rFonts w:ascii="Times New Roman" w:hAnsi="Times New Roman" w:cs="Times New Roman"/>
          <w:szCs w:val="22"/>
        </w:rPr>
        <w:t xml:space="preserve"> z dôvodu zrušenia EFSF dlhopisov v celkovej  výške 10 900 000 tis. eur, ktoré boli </w:t>
      </w:r>
      <w:r>
        <w:rPr>
          <w:rFonts w:ascii="Times New Roman" w:hAnsi="Times New Roman" w:cs="Times New Roman"/>
          <w:szCs w:val="22"/>
        </w:rPr>
        <w:t xml:space="preserve">určené pre Grécko </w:t>
      </w:r>
      <w:r w:rsidRPr="007F1F00">
        <w:rPr>
          <w:rFonts w:ascii="Times New Roman" w:hAnsi="Times New Roman" w:cs="Times New Roman"/>
          <w:szCs w:val="22"/>
        </w:rPr>
        <w:t>na</w:t>
      </w:r>
      <w:r>
        <w:rPr>
          <w:rFonts w:ascii="Times New Roman" w:hAnsi="Times New Roman" w:cs="Times New Roman"/>
          <w:szCs w:val="22"/>
        </w:rPr>
        <w:t xml:space="preserve"> rekapitalizáciu bánk</w:t>
      </w:r>
      <w:r w:rsidRPr="007F1F00">
        <w:rPr>
          <w:rFonts w:ascii="Times New Roman" w:hAnsi="Times New Roman" w:cs="Times New Roman"/>
          <w:szCs w:val="22"/>
        </w:rPr>
        <w:t xml:space="preserve">. Grécky program finančnej pomoci z EFSF bolo možné čerpať </w:t>
      </w:r>
      <w:r>
        <w:rPr>
          <w:rFonts w:ascii="Times New Roman" w:hAnsi="Times New Roman" w:cs="Times New Roman"/>
          <w:szCs w:val="22"/>
        </w:rPr>
        <w:t>najneskôr do 30.6.2015.</w:t>
      </w:r>
      <w:r w:rsidRPr="007F1F00">
        <w:rPr>
          <w:rFonts w:ascii="Times New Roman" w:hAnsi="Times New Roman" w:cs="Times New Roman"/>
          <w:szCs w:val="22"/>
        </w:rPr>
        <w:t xml:space="preserve"> </w:t>
      </w:r>
      <w:r>
        <w:rPr>
          <w:rFonts w:ascii="Times New Roman" w:hAnsi="Times New Roman" w:cs="Times New Roman"/>
          <w:szCs w:val="22"/>
        </w:rPr>
        <w:t>K</w:t>
      </w:r>
      <w:r w:rsidRPr="007F1F00">
        <w:rPr>
          <w:rFonts w:ascii="Times New Roman" w:hAnsi="Times New Roman" w:cs="Times New Roman"/>
          <w:szCs w:val="22"/>
        </w:rPr>
        <w:t>eďže do tejto doby sa predmetné dlhopisy nepoužili</w:t>
      </w:r>
      <w:r>
        <w:rPr>
          <w:rFonts w:ascii="Times New Roman" w:hAnsi="Times New Roman" w:cs="Times New Roman"/>
          <w:szCs w:val="22"/>
        </w:rPr>
        <w:t xml:space="preserve">, došlo k ich zrušeniu. </w:t>
      </w:r>
      <w:r w:rsidRPr="007F1F00">
        <w:rPr>
          <w:rFonts w:ascii="Times New Roman" w:hAnsi="Times New Roman" w:cs="Times New Roman"/>
          <w:szCs w:val="22"/>
        </w:rPr>
        <w:t>Po zrušení</w:t>
      </w:r>
      <w:r>
        <w:rPr>
          <w:rFonts w:ascii="Times New Roman" w:hAnsi="Times New Roman" w:cs="Times New Roman"/>
          <w:szCs w:val="22"/>
        </w:rPr>
        <w:t xml:space="preserve"> dlhopisov</w:t>
      </w:r>
      <w:r w:rsidRPr="007F1F00">
        <w:rPr>
          <w:rFonts w:ascii="Times New Roman" w:hAnsi="Times New Roman" w:cs="Times New Roman"/>
          <w:szCs w:val="22"/>
        </w:rPr>
        <w:t xml:space="preserve"> došlo zároveň k zrušeniu záruk na nich viazaných.</w:t>
      </w:r>
      <w:r>
        <w:rPr>
          <w:rFonts w:ascii="Times New Roman" w:hAnsi="Times New Roman" w:cs="Times New Roman"/>
          <w:szCs w:val="22"/>
        </w:rPr>
        <w:t xml:space="preserve"> K</w:t>
      </w:r>
      <w:r w:rsidRPr="007F1F00">
        <w:rPr>
          <w:rFonts w:ascii="Times New Roman" w:hAnsi="Times New Roman" w:cs="Times New Roman"/>
          <w:szCs w:val="22"/>
        </w:rPr>
        <w:t xml:space="preserve"> poklesu vystavených záruk </w:t>
      </w:r>
      <w:r>
        <w:rPr>
          <w:rFonts w:ascii="Times New Roman" w:hAnsi="Times New Roman" w:cs="Times New Roman"/>
          <w:szCs w:val="22"/>
        </w:rPr>
        <w:t xml:space="preserve">tiež čiastočne prispela </w:t>
      </w:r>
      <w:r w:rsidRPr="007F1F00">
        <w:rPr>
          <w:rFonts w:ascii="Times New Roman" w:hAnsi="Times New Roman" w:cs="Times New Roman"/>
          <w:szCs w:val="22"/>
        </w:rPr>
        <w:t xml:space="preserve">splatnosť EFSF </w:t>
      </w:r>
      <w:r>
        <w:rPr>
          <w:rFonts w:ascii="Times New Roman" w:hAnsi="Times New Roman" w:cs="Times New Roman"/>
          <w:szCs w:val="22"/>
        </w:rPr>
        <w:t>dlhopisov v polovici júla 2015.</w:t>
      </w:r>
      <w:r w:rsidRPr="00F673A0">
        <w:rPr>
          <w:rFonts w:ascii="Times New Roman" w:hAnsi="Times New Roman" w:cs="Times New Roman"/>
          <w:szCs w:val="22"/>
          <w:highlight w:val="yellow"/>
        </w:rPr>
        <w:t xml:space="preserve"> </w:t>
      </w:r>
    </w:p>
    <w:p w:rsidR="008117A9" w:rsidP="008117A9">
      <w:pPr>
        <w:bidi w:val="0"/>
        <w:spacing w:after="120" w:line="336" w:lineRule="auto"/>
        <w:jc w:val="both"/>
        <w:rPr>
          <w:rFonts w:ascii="Times New Roman" w:hAnsi="Times New Roman" w:cs="Times New Roman"/>
        </w:rPr>
      </w:pPr>
      <w:r w:rsidRPr="00A01C7E">
        <w:rPr>
          <w:rFonts w:ascii="Times New Roman" w:hAnsi="Times New Roman" w:cs="Times New Roman"/>
        </w:rPr>
        <w:t>Ostatné medziročné zmeny v kategórii kapitálu splatného na požiadanie spôsobili úpravy členského podielu v cudzej mene (precenenie), ktoré má Slovensko ako akcionár v medzinárodných finančných inštitúciách.</w:t>
      </w:r>
    </w:p>
    <w:tbl>
      <w:tblPr>
        <w:tblStyle w:val="TableNormal"/>
        <w:tblW w:w="5000" w:type="pct"/>
        <w:tblCellMar>
          <w:left w:w="70" w:type="dxa"/>
          <w:right w:w="70" w:type="dxa"/>
        </w:tblCellMar>
        <w:tblLook w:val="04A0"/>
      </w:tblPr>
      <w:tblGrid>
        <w:gridCol w:w="5008"/>
        <w:gridCol w:w="1035"/>
        <w:gridCol w:w="1035"/>
        <w:gridCol w:w="1035"/>
        <w:gridCol w:w="1098"/>
      </w:tblGrid>
      <w:tr>
        <w:tblPrEx>
          <w:tblW w:w="5000" w:type="pct"/>
          <w:tblCellMar>
            <w:left w:w="70" w:type="dxa"/>
            <w:right w:w="70" w:type="dxa"/>
          </w:tblCellMar>
          <w:tblLook w:val="04A0"/>
        </w:tblPrEx>
        <w:trPr>
          <w:trHeight w:val="300"/>
        </w:trPr>
        <w:tc>
          <w:tcPr>
            <w:tcW w:w="2718" w:type="pct"/>
            <w:tcBorders>
              <w:top w:val="nil"/>
              <w:left w:val="nil"/>
              <w:bottom w:val="nil"/>
              <w:right w:val="nil"/>
            </w:tcBorders>
            <w:shd w:val="clear" w:color="000000" w:fill="000000"/>
            <w:noWrap/>
            <w:textDirection w:val="lrTb"/>
            <w:vAlign w:val="center"/>
            <w:hideMark/>
          </w:tcPr>
          <w:p w:rsidR="008117A9" w:rsidRPr="00A01C7E" w:rsidP="00A97D6F">
            <w:pPr>
              <w:bidi w:val="0"/>
              <w:spacing w:after="0" w:line="240" w:lineRule="auto"/>
              <w:rPr>
                <w:rFonts w:ascii="Times New Roman" w:hAnsi="Times New Roman" w:cs="Times New Roman"/>
                <w:b/>
                <w:bCs/>
                <w:color w:val="FFFFFF"/>
                <w:sz w:val="20"/>
                <w:szCs w:val="20"/>
                <w:lang w:eastAsia="sk-SK"/>
              </w:rPr>
            </w:pPr>
            <w:r w:rsidRPr="00A01C7E">
              <w:rPr>
                <w:rFonts w:ascii="Times New Roman" w:hAnsi="Times New Roman" w:cs="Times New Roman"/>
                <w:b/>
                <w:bCs/>
                <w:color w:val="FFFFFF"/>
                <w:sz w:val="20"/>
                <w:szCs w:val="20"/>
                <w:lang w:eastAsia="sk-SK"/>
              </w:rPr>
              <w:t>Prehľad najväčších podmienených záväzkov (tis. eur)</w:t>
            </w:r>
          </w:p>
        </w:tc>
        <w:tc>
          <w:tcPr>
            <w:tcW w:w="562" w:type="pct"/>
            <w:tcBorders>
              <w:top w:val="nil"/>
              <w:left w:val="nil"/>
              <w:bottom w:val="nil"/>
              <w:right w:val="nil"/>
            </w:tcBorders>
            <w:shd w:val="clear" w:color="000000" w:fill="000000"/>
            <w:noWrap/>
            <w:textDirection w:val="lrTb"/>
            <w:vAlign w:val="center"/>
            <w:hideMark/>
          </w:tcPr>
          <w:p w:rsidR="008117A9" w:rsidRPr="00A01C7E" w:rsidP="00A97D6F">
            <w:pPr>
              <w:bidi w:val="0"/>
              <w:spacing w:after="0" w:line="240" w:lineRule="auto"/>
              <w:rPr>
                <w:rFonts w:ascii="Times New Roman" w:hAnsi="Times New Roman" w:cs="Times New Roman"/>
                <w:b/>
                <w:bCs/>
                <w:color w:val="FFFFFF"/>
                <w:sz w:val="20"/>
                <w:szCs w:val="20"/>
                <w:lang w:eastAsia="sk-SK"/>
              </w:rPr>
            </w:pPr>
            <w:r w:rsidRPr="00A01C7E">
              <w:rPr>
                <w:rFonts w:ascii="Times New Roman" w:hAnsi="Times New Roman" w:cs="Times New Roman"/>
                <w:b/>
                <w:bCs/>
                <w:color w:val="FFFFFF"/>
                <w:sz w:val="20"/>
                <w:szCs w:val="20"/>
                <w:lang w:eastAsia="sk-SK"/>
              </w:rPr>
              <w:t> </w:t>
            </w:r>
          </w:p>
        </w:tc>
        <w:tc>
          <w:tcPr>
            <w:tcW w:w="562" w:type="pct"/>
            <w:tcBorders>
              <w:top w:val="nil"/>
              <w:left w:val="nil"/>
              <w:bottom w:val="nil"/>
              <w:right w:val="nil"/>
            </w:tcBorders>
            <w:shd w:val="clear" w:color="000000" w:fill="000000"/>
            <w:noWrap/>
            <w:textDirection w:val="lrTb"/>
            <w:vAlign w:val="center"/>
            <w:hideMark/>
          </w:tcPr>
          <w:p w:rsidR="008117A9" w:rsidRPr="00A01C7E" w:rsidP="00A97D6F">
            <w:pPr>
              <w:bidi w:val="0"/>
              <w:spacing w:after="0" w:line="240" w:lineRule="auto"/>
              <w:rPr>
                <w:rFonts w:ascii="Times New Roman" w:hAnsi="Times New Roman" w:cs="Times New Roman"/>
                <w:b/>
                <w:bCs/>
                <w:color w:val="FFFFFF"/>
                <w:sz w:val="20"/>
                <w:szCs w:val="20"/>
                <w:lang w:eastAsia="sk-SK"/>
              </w:rPr>
            </w:pPr>
            <w:r w:rsidRPr="00A01C7E">
              <w:rPr>
                <w:rFonts w:ascii="Times New Roman" w:hAnsi="Times New Roman" w:cs="Times New Roman"/>
                <w:b/>
                <w:bCs/>
                <w:color w:val="FFFFFF"/>
                <w:sz w:val="20"/>
                <w:szCs w:val="20"/>
                <w:lang w:eastAsia="sk-SK"/>
              </w:rPr>
              <w:t> </w:t>
            </w:r>
          </w:p>
        </w:tc>
        <w:tc>
          <w:tcPr>
            <w:tcW w:w="562" w:type="pct"/>
            <w:tcBorders>
              <w:top w:val="nil"/>
              <w:left w:val="nil"/>
              <w:bottom w:val="nil"/>
              <w:right w:val="nil"/>
            </w:tcBorders>
            <w:shd w:val="clear" w:color="000000" w:fill="000000"/>
            <w:noWrap/>
            <w:textDirection w:val="lrTb"/>
            <w:vAlign w:val="center"/>
            <w:hideMark/>
          </w:tcPr>
          <w:p w:rsidR="008117A9" w:rsidRPr="00A01C7E" w:rsidP="00A97D6F">
            <w:pPr>
              <w:bidi w:val="0"/>
              <w:spacing w:after="0" w:line="240" w:lineRule="auto"/>
              <w:rPr>
                <w:rFonts w:ascii="Times New Roman" w:hAnsi="Times New Roman" w:cs="Times New Roman"/>
                <w:b/>
                <w:bCs/>
                <w:color w:val="FFFFFF"/>
                <w:sz w:val="20"/>
                <w:szCs w:val="20"/>
                <w:lang w:eastAsia="sk-SK"/>
              </w:rPr>
            </w:pPr>
            <w:r w:rsidRPr="00A01C7E">
              <w:rPr>
                <w:rFonts w:ascii="Times New Roman" w:hAnsi="Times New Roman" w:cs="Times New Roman"/>
                <w:b/>
                <w:bCs/>
                <w:color w:val="FFFFFF"/>
                <w:sz w:val="20"/>
                <w:szCs w:val="20"/>
                <w:lang w:eastAsia="sk-SK"/>
              </w:rPr>
              <w:t> </w:t>
            </w:r>
          </w:p>
        </w:tc>
        <w:tc>
          <w:tcPr>
            <w:tcW w:w="597" w:type="pct"/>
            <w:tcBorders>
              <w:top w:val="nil"/>
              <w:left w:val="nil"/>
              <w:bottom w:val="nil"/>
              <w:right w:val="nil"/>
            </w:tcBorders>
            <w:shd w:val="clear" w:color="000000" w:fill="000000"/>
            <w:noWrap/>
            <w:textDirection w:val="lrTb"/>
            <w:vAlign w:val="center"/>
            <w:hideMark/>
          </w:tcPr>
          <w:p w:rsidR="008117A9" w:rsidRPr="00A01C7E" w:rsidP="00A97D6F">
            <w:pPr>
              <w:bidi w:val="0"/>
              <w:spacing w:after="0" w:line="240" w:lineRule="auto"/>
              <w:rPr>
                <w:rFonts w:ascii="Times New Roman" w:hAnsi="Times New Roman" w:cs="Times New Roman"/>
                <w:b/>
                <w:bCs/>
                <w:color w:val="FFFFFF"/>
                <w:sz w:val="20"/>
                <w:szCs w:val="20"/>
                <w:lang w:eastAsia="sk-SK"/>
              </w:rPr>
            </w:pPr>
            <w:r w:rsidRPr="00A01C7E">
              <w:rPr>
                <w:rFonts w:ascii="Times New Roman" w:hAnsi="Times New Roman" w:cs="Times New Roman"/>
                <w:b/>
                <w:bCs/>
                <w:color w:val="FFFFFF"/>
                <w:sz w:val="20"/>
                <w:szCs w:val="20"/>
                <w:lang w:eastAsia="sk-SK"/>
              </w:rPr>
              <w:t> </w:t>
            </w:r>
          </w:p>
        </w:tc>
      </w:tr>
      <w:tr>
        <w:tblPrEx>
          <w:tblW w:w="5000" w:type="pct"/>
          <w:tblCellMar>
            <w:left w:w="70" w:type="dxa"/>
            <w:right w:w="70" w:type="dxa"/>
          </w:tblCellMar>
          <w:tblLook w:val="04A0"/>
        </w:tblPrEx>
        <w:trPr>
          <w:trHeight w:val="300"/>
        </w:trPr>
        <w:tc>
          <w:tcPr>
            <w:tcW w:w="2718" w:type="pct"/>
            <w:tcBorders>
              <w:top w:val="single" w:sz="4" w:space="0" w:color="auto"/>
              <w:left w:val="nil"/>
              <w:bottom w:val="single" w:sz="4" w:space="0" w:color="auto"/>
              <w:right w:val="nil"/>
            </w:tcBorders>
            <w:shd w:val="clear" w:color="000000" w:fill="BFBFBF"/>
            <w:textDirection w:val="lrTb"/>
            <w:vAlign w:val="center"/>
            <w:hideMark/>
          </w:tcPr>
          <w:p w:rsidR="008117A9" w:rsidRPr="00A01C7E" w:rsidP="00A97D6F">
            <w:pPr>
              <w:bidi w:val="0"/>
              <w:spacing w:after="0" w:line="240" w:lineRule="auto"/>
              <w:rPr>
                <w:rFonts w:ascii="Times New Roman" w:hAnsi="Times New Roman" w:cs="Times New Roman"/>
                <w:color w:val="000000"/>
                <w:sz w:val="18"/>
                <w:szCs w:val="18"/>
                <w:lang w:eastAsia="sk-SK"/>
              </w:rPr>
            </w:pPr>
            <w:r w:rsidRPr="00A01C7E">
              <w:rPr>
                <w:rFonts w:ascii="Times New Roman" w:hAnsi="Times New Roman" w:cs="Times New Roman"/>
                <w:color w:val="000000"/>
                <w:sz w:val="18"/>
                <w:szCs w:val="18"/>
                <w:lang w:eastAsia="sk-SK"/>
              </w:rPr>
              <w:t> </w:t>
            </w:r>
          </w:p>
        </w:tc>
        <w:tc>
          <w:tcPr>
            <w:tcW w:w="562" w:type="pct"/>
            <w:tcBorders>
              <w:top w:val="single" w:sz="4" w:space="0" w:color="auto"/>
              <w:left w:val="nil"/>
              <w:bottom w:val="single" w:sz="4" w:space="0" w:color="auto"/>
              <w:right w:val="nil"/>
            </w:tcBorders>
            <w:shd w:val="clear" w:color="000000" w:fill="BFBFBF"/>
            <w:textDirection w:val="lrTb"/>
            <w:vAlign w:val="bottom"/>
            <w:hideMark/>
          </w:tcPr>
          <w:p w:rsidR="008117A9" w:rsidRPr="00A01C7E" w:rsidP="00A97D6F">
            <w:pPr>
              <w:bidi w:val="0"/>
              <w:spacing w:after="0" w:line="240" w:lineRule="auto"/>
              <w:jc w:val="right"/>
              <w:rPr>
                <w:rFonts w:ascii="Times New Roman" w:hAnsi="Times New Roman" w:cs="Times New Roman"/>
                <w:b/>
                <w:bCs/>
                <w:sz w:val="18"/>
                <w:szCs w:val="18"/>
                <w:lang w:eastAsia="sk-SK"/>
              </w:rPr>
            </w:pPr>
            <w:r w:rsidRPr="00A01C7E">
              <w:rPr>
                <w:rFonts w:ascii="Times New Roman" w:hAnsi="Times New Roman" w:cs="Times New Roman"/>
                <w:b/>
                <w:bCs/>
                <w:sz w:val="18"/>
                <w:szCs w:val="18"/>
                <w:lang w:eastAsia="sk-SK"/>
              </w:rPr>
              <w:t>31.12.2013</w:t>
            </w:r>
          </w:p>
        </w:tc>
        <w:tc>
          <w:tcPr>
            <w:tcW w:w="562" w:type="pct"/>
            <w:tcBorders>
              <w:top w:val="single" w:sz="4" w:space="0" w:color="auto"/>
              <w:left w:val="nil"/>
              <w:bottom w:val="single" w:sz="4" w:space="0" w:color="auto"/>
              <w:right w:val="nil"/>
            </w:tcBorders>
            <w:shd w:val="clear" w:color="000000" w:fill="BFBFBF"/>
            <w:textDirection w:val="lrTb"/>
            <w:vAlign w:val="bottom"/>
            <w:hideMark/>
          </w:tcPr>
          <w:p w:rsidR="008117A9" w:rsidRPr="00A01C7E" w:rsidP="00A97D6F">
            <w:pPr>
              <w:bidi w:val="0"/>
              <w:spacing w:after="0" w:line="240" w:lineRule="auto"/>
              <w:jc w:val="right"/>
              <w:rPr>
                <w:rFonts w:ascii="Times New Roman" w:hAnsi="Times New Roman" w:cs="Times New Roman"/>
                <w:b/>
                <w:bCs/>
                <w:sz w:val="18"/>
                <w:szCs w:val="18"/>
                <w:lang w:eastAsia="sk-SK"/>
              </w:rPr>
            </w:pPr>
            <w:r w:rsidRPr="00A01C7E">
              <w:rPr>
                <w:rFonts w:ascii="Times New Roman" w:hAnsi="Times New Roman" w:cs="Times New Roman"/>
                <w:b/>
                <w:bCs/>
                <w:sz w:val="18"/>
                <w:szCs w:val="18"/>
                <w:lang w:eastAsia="sk-SK"/>
              </w:rPr>
              <w:t>31.12.2014</w:t>
            </w:r>
          </w:p>
        </w:tc>
        <w:tc>
          <w:tcPr>
            <w:tcW w:w="562" w:type="pct"/>
            <w:tcBorders>
              <w:top w:val="single" w:sz="4" w:space="0" w:color="auto"/>
              <w:left w:val="nil"/>
              <w:bottom w:val="single" w:sz="4" w:space="0" w:color="auto"/>
              <w:right w:val="nil"/>
            </w:tcBorders>
            <w:shd w:val="clear" w:color="000000" w:fill="BFBFBF"/>
            <w:textDirection w:val="lrTb"/>
            <w:vAlign w:val="bottom"/>
            <w:hideMark/>
          </w:tcPr>
          <w:p w:rsidR="008117A9" w:rsidRPr="00A01C7E" w:rsidP="00A97D6F">
            <w:pPr>
              <w:bidi w:val="0"/>
              <w:spacing w:after="0" w:line="240" w:lineRule="auto"/>
              <w:jc w:val="right"/>
              <w:rPr>
                <w:rFonts w:ascii="Times New Roman" w:hAnsi="Times New Roman" w:cs="Times New Roman"/>
                <w:b/>
                <w:bCs/>
                <w:sz w:val="18"/>
                <w:szCs w:val="18"/>
                <w:lang w:eastAsia="sk-SK"/>
              </w:rPr>
            </w:pPr>
            <w:r w:rsidRPr="00A01C7E">
              <w:rPr>
                <w:rFonts w:ascii="Times New Roman" w:hAnsi="Times New Roman" w:cs="Times New Roman"/>
                <w:b/>
                <w:bCs/>
                <w:sz w:val="18"/>
                <w:szCs w:val="18"/>
                <w:lang w:eastAsia="sk-SK"/>
              </w:rPr>
              <w:t>31.12.2015</w:t>
            </w:r>
          </w:p>
        </w:tc>
        <w:tc>
          <w:tcPr>
            <w:tcW w:w="597" w:type="pct"/>
            <w:tcBorders>
              <w:top w:val="single" w:sz="4" w:space="0" w:color="auto"/>
              <w:left w:val="nil"/>
              <w:bottom w:val="single" w:sz="4" w:space="0" w:color="auto"/>
              <w:right w:val="nil"/>
            </w:tcBorders>
            <w:shd w:val="clear" w:color="000000" w:fill="BFBFBF"/>
            <w:textDirection w:val="lrTb"/>
            <w:vAlign w:val="bottom"/>
            <w:hideMark/>
          </w:tcPr>
          <w:p w:rsidR="008117A9" w:rsidRPr="00A01C7E" w:rsidP="00A97D6F">
            <w:pPr>
              <w:bidi w:val="0"/>
              <w:spacing w:after="0" w:line="240" w:lineRule="auto"/>
              <w:jc w:val="right"/>
              <w:rPr>
                <w:rFonts w:ascii="Times New Roman" w:hAnsi="Times New Roman" w:cs="Times New Roman"/>
                <w:b/>
                <w:bCs/>
                <w:sz w:val="18"/>
                <w:szCs w:val="18"/>
                <w:lang w:eastAsia="sk-SK"/>
              </w:rPr>
            </w:pPr>
            <w:r w:rsidRPr="00A01C7E">
              <w:rPr>
                <w:rFonts w:ascii="Times New Roman" w:hAnsi="Times New Roman" w:cs="Times New Roman"/>
                <w:b/>
                <w:bCs/>
                <w:sz w:val="18"/>
                <w:szCs w:val="18"/>
                <w:lang w:eastAsia="sk-SK"/>
              </w:rPr>
              <w:t>2015-2014</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noWrap/>
            <w:textDirection w:val="lrTb"/>
            <w:vAlign w:val="bottom"/>
            <w:hideMark/>
          </w:tcPr>
          <w:p w:rsidR="008117A9" w:rsidRPr="00A01C7E" w:rsidP="00A97D6F">
            <w:pPr>
              <w:bidi w:val="0"/>
              <w:spacing w:after="0" w:line="240" w:lineRule="auto"/>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 xml:space="preserve">Kapitál na požiadanie a záruky v medz. </w:t>
            </w:r>
            <w:r>
              <w:rPr>
                <w:rFonts w:ascii="Times New Roman" w:hAnsi="Times New Roman" w:cs="Times New Roman"/>
                <w:b/>
                <w:bCs/>
                <w:color w:val="000000"/>
                <w:sz w:val="20"/>
                <w:szCs w:val="20"/>
                <w:lang w:eastAsia="sk-SK"/>
              </w:rPr>
              <w:t>f</w:t>
            </w:r>
            <w:r w:rsidRPr="00A01C7E">
              <w:rPr>
                <w:rFonts w:ascii="Times New Roman" w:hAnsi="Times New Roman" w:cs="Times New Roman"/>
                <w:b/>
                <w:bCs/>
                <w:color w:val="000000"/>
                <w:sz w:val="20"/>
                <w:szCs w:val="20"/>
                <w:lang w:eastAsia="sk-SK"/>
              </w:rPr>
              <w:t>in</w:t>
            </w:r>
            <w:r>
              <w:rPr>
                <w:rFonts w:ascii="Times New Roman" w:hAnsi="Times New Roman" w:cs="Times New Roman"/>
                <w:b/>
                <w:bCs/>
                <w:color w:val="000000"/>
                <w:sz w:val="20"/>
                <w:szCs w:val="20"/>
                <w:lang w:eastAsia="sk-SK"/>
              </w:rPr>
              <w:t>.</w:t>
            </w:r>
            <w:r w:rsidRPr="00A01C7E">
              <w:rPr>
                <w:rFonts w:ascii="Times New Roman" w:hAnsi="Times New Roman" w:cs="Times New Roman"/>
                <w:b/>
                <w:bCs/>
                <w:color w:val="000000"/>
                <w:sz w:val="20"/>
                <w:szCs w:val="20"/>
                <w:lang w:eastAsia="sk-SK"/>
              </w:rPr>
              <w:t xml:space="preserve"> inštitúciách</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8 390 704</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8 573 444</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8 464 557</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-108 887</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Európsky stabilizačný mechanizmus (ESM)</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5 109 000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5 108 800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5 108 800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Európsky nástroj finančnej stability (EFSF)</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2 188 070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2 318 329</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2 183 149</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-135 180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noWrap/>
            <w:textDirection w:val="lrTb"/>
            <w:vAlign w:val="bottom"/>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 xml:space="preserve">Európska investičná banka </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573 996</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580 496</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573 996</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-6 500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 xml:space="preserve">Medzinárodná banka pre obnovu a rozvoj </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339 803</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385 983</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424 731</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38 748</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Európska banka pre obnovu a rozvoj</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101 359</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101 359</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101 359</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Rozvojová banka rady Európy</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16 853</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16 854</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16 854</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Medzinárodná banka pre hospodársku spoluprácu</w:t>
            </w:r>
          </w:p>
        </w:tc>
        <w:tc>
          <w:tcPr>
            <w:tcW w:w="562" w:type="pct"/>
            <w:tcBorders>
              <w:top w:val="nil"/>
              <w:left w:val="nil"/>
              <w:bottom w:val="nil"/>
              <w:right w:val="nil"/>
            </w:tcBorders>
            <w:noWrap/>
            <w:textDirection w:val="lrTb"/>
            <w:vAlign w:val="bottom"/>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11 526</w:t>
            </w:r>
          </w:p>
        </w:tc>
        <w:tc>
          <w:tcPr>
            <w:tcW w:w="562" w:type="pct"/>
            <w:tcBorders>
              <w:top w:val="nil"/>
              <w:left w:val="nil"/>
              <w:bottom w:val="nil"/>
              <w:right w:val="nil"/>
            </w:tcBorders>
            <w:noWrap/>
            <w:textDirection w:val="lrTb"/>
            <w:vAlign w:val="bottom"/>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11 526</w:t>
            </w:r>
          </w:p>
        </w:tc>
        <w:tc>
          <w:tcPr>
            <w:tcW w:w="562" w:type="pct"/>
            <w:tcBorders>
              <w:top w:val="nil"/>
              <w:left w:val="nil"/>
              <w:bottom w:val="nil"/>
              <w:right w:val="nil"/>
            </w:tcBorders>
            <w:noWrap/>
            <w:textDirection w:val="lrTb"/>
            <w:vAlign w:val="bottom"/>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11 526</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noWrap/>
            <w:textDirection w:val="lrTb"/>
            <w:vAlign w:val="bottom"/>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 xml:space="preserve">Mnohostranná agentúra pre investičné záruky </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2 485</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2 485</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2 823</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338</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noWrap/>
            <w:textDirection w:val="lrTb"/>
            <w:vAlign w:val="bottom"/>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 xml:space="preserve">Medzinárodná investičná banka </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47 612</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47 612</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41 319</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-6 293</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Medzinárodné investičné arbitráže</w:t>
            </w:r>
          </w:p>
        </w:tc>
        <w:tc>
          <w:tcPr>
            <w:tcW w:w="562" w:type="pct"/>
            <w:tcBorders>
              <w:top w:val="nil"/>
              <w:left w:val="nil"/>
              <w:bottom w:val="nil"/>
              <w:right w:val="nil"/>
            </w:tcBorders>
            <w:noWrap/>
            <w:textDirection w:val="lrTb"/>
            <w:vAlign w:val="bottom"/>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414 839</w:t>
            </w:r>
          </w:p>
        </w:tc>
        <w:tc>
          <w:tcPr>
            <w:tcW w:w="562" w:type="pct"/>
            <w:tcBorders>
              <w:top w:val="nil"/>
              <w:left w:val="nil"/>
              <w:bottom w:val="nil"/>
              <w:right w:val="nil"/>
            </w:tcBorders>
            <w:noWrap/>
            <w:textDirection w:val="lrTb"/>
            <w:vAlign w:val="bottom"/>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254 394</w:t>
            </w:r>
          </w:p>
        </w:tc>
        <w:tc>
          <w:tcPr>
            <w:tcW w:w="562" w:type="pct"/>
            <w:tcBorders>
              <w:top w:val="nil"/>
              <w:left w:val="nil"/>
              <w:bottom w:val="nil"/>
              <w:right w:val="nil"/>
            </w:tcBorders>
            <w:noWrap/>
            <w:textDirection w:val="lrTb"/>
            <w:vAlign w:val="bottom"/>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263 500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9 106</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 xml:space="preserve">Zdravotná poisťovňa Union, a.s. </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26 000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27 394</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29 500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2 106</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 xml:space="preserve">Bývalá zdravotná poisťovňa Apollo, a.s. </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131 400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U.S. Steel Košice, a.s.</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257 439</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Eurogas Inc. a Belmont Resources Inc.</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227 000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234 000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7 000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Ostatné súdne spory</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1 872 876</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1 750 985</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2 203 937</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452 952</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Ministerstvo financií SR</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823 467</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555 878</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553 361</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-2 517</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Ministerstvo vnútra SR</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128 906</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81 129</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-47 777</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Kancelária národnej rady SR</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724 735</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728 073</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596 323</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-131 750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Fond národného majetku</w:t>
            </w:r>
            <w:r>
              <w:rPr>
                <w:rFonts w:ascii="Times New Roman" w:hAnsi="Times New Roman" w:cs="Times New Roman"/>
                <w:color w:val="000000"/>
                <w:sz w:val="20"/>
                <w:szCs w:val="20"/>
                <w:lang w:eastAsia="sk-SK"/>
              </w:rPr>
              <w:t xml:space="preserve"> SR</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208 543</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221 286</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858 053</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636 767</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Slovenský pozemkový fond</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116 131</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116 842</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115 071</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-1 771</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Iné (FNM, podniky, MFSR)</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1 114 460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2 595 998</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2 012 118</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20"/>
                <w:szCs w:val="20"/>
                <w:lang w:eastAsia="sk-SK"/>
              </w:rPr>
            </w:pPr>
            <w:r w:rsidRPr="00A01C7E">
              <w:rPr>
                <w:rFonts w:ascii="Times New Roman" w:hAnsi="Times New Roman" w:cs="Times New Roman"/>
                <w:b/>
                <w:bCs/>
                <w:color w:val="000000"/>
                <w:sz w:val="20"/>
                <w:szCs w:val="20"/>
                <w:lang w:eastAsia="sk-SK"/>
              </w:rPr>
              <w:t>-583 880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FNM - Privatizačné zmluvy</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1 114 433</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1 013 876</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1 010 197</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-3 679</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FNM - Nevyrovnané reštitučné nároky</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27</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27</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27</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Slovenský plynárenský priemysel, a.s.</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1 111 581</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284 125</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-827 456</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Slovenská záručná a rozvojová banka, a.s.</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146 880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146 880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Exportno-importná banka Slovenska</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198 396</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169 172</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-29 224</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 xml:space="preserve">Slovenská elektrizačná </w:t>
            </w:r>
            <w:r>
              <w:rPr>
                <w:rFonts w:ascii="Times New Roman" w:hAnsi="Times New Roman" w:cs="Times New Roman"/>
                <w:color w:val="000000"/>
                <w:sz w:val="20"/>
                <w:szCs w:val="20"/>
                <w:lang w:eastAsia="sk-SK"/>
              </w:rPr>
              <w:t xml:space="preserve">a </w:t>
            </w:r>
            <w:r w:rsidRPr="00A01C7E">
              <w:rPr>
                <w:rFonts w:ascii="Times New Roman" w:hAnsi="Times New Roman" w:cs="Times New Roman"/>
                <w:color w:val="000000"/>
                <w:sz w:val="20"/>
                <w:szCs w:val="20"/>
                <w:lang w:eastAsia="sk-SK"/>
              </w:rPr>
              <w:t>prenosová sústava, a.s.</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115 050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47 142</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-67 908</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Záruky MF SR</w:t>
            </w:r>
            <w:r w:rsidR="00C92A18">
              <w:rPr>
                <w:rFonts w:ascii="Times New Roman" w:hAnsi="Times New Roman" w:cs="Times New Roman"/>
                <w:color w:val="000000"/>
                <w:sz w:val="20"/>
                <w:szCs w:val="20"/>
                <w:lang w:eastAsia="sk-SK"/>
              </w:rPr>
              <w:t xml:space="preserve"> </w:t>
            </w:r>
            <w:r w:rsidRPr="00A01C7E">
              <w:rPr>
                <w:rFonts w:ascii="Times New Roman" w:hAnsi="Times New Roman" w:cs="Times New Roman"/>
                <w:color w:val="000000"/>
                <w:sz w:val="20"/>
                <w:szCs w:val="20"/>
                <w:lang w:eastAsia="sk-SK"/>
              </w:rPr>
              <w:t>voči SZRB, a.s.</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10 188</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12 575</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2 387</w:t>
            </w:r>
          </w:p>
        </w:tc>
      </w:tr>
      <w:tr>
        <w:tblPrEx>
          <w:tblW w:w="5000" w:type="pct"/>
          <w:tblCellMar>
            <w:left w:w="70" w:type="dxa"/>
            <w:right w:w="70" w:type="dxa"/>
          </w:tblCellMar>
          <w:tblLook w:val="04A0"/>
        </w:tblPrEx>
        <w:trPr>
          <w:trHeight w:val="300"/>
        </w:trPr>
        <w:tc>
          <w:tcPr>
            <w:tcW w:w="2718" w:type="pct"/>
            <w:tcBorders>
              <w:top w:val="nil"/>
              <w:left w:val="nil"/>
              <w:bottom w:val="nil"/>
              <w:right w:val="nil"/>
            </w:tcBorders>
            <w:textDirection w:val="lrTb"/>
            <w:vAlign w:val="center"/>
            <w:hideMark/>
          </w:tcPr>
          <w:p w:rsidR="008117A9" w:rsidRPr="00A01C7E" w:rsidP="00A97D6F">
            <w:pPr>
              <w:bidi w:val="0"/>
              <w:spacing w:after="0" w:line="240" w:lineRule="auto"/>
              <w:ind w:firstLine="600" w:firstLineChars="300"/>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MH Invest, s.r.o</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0</w:t>
            </w:r>
          </w:p>
        </w:tc>
        <w:tc>
          <w:tcPr>
            <w:tcW w:w="562"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342 000</w:t>
            </w:r>
          </w:p>
        </w:tc>
        <w:tc>
          <w:tcPr>
            <w:tcW w:w="597" w:type="pct"/>
            <w:tcBorders>
              <w:top w:val="nil"/>
              <w:left w:val="nil"/>
              <w:bottom w:val="nil"/>
              <w:right w:val="nil"/>
            </w:tcBorders>
            <w:textDirection w:val="lrTb"/>
            <w:vAlign w:val="center"/>
            <w:hideMark/>
          </w:tcPr>
          <w:p w:rsidR="008117A9" w:rsidRPr="00A01C7E" w:rsidP="00A97D6F">
            <w:pPr>
              <w:bidi w:val="0"/>
              <w:spacing w:after="0" w:line="240" w:lineRule="auto"/>
              <w:jc w:val="right"/>
              <w:rPr>
                <w:rFonts w:ascii="Times New Roman" w:hAnsi="Times New Roman" w:cs="Times New Roman"/>
                <w:color w:val="000000"/>
                <w:sz w:val="20"/>
                <w:szCs w:val="20"/>
                <w:lang w:eastAsia="sk-SK"/>
              </w:rPr>
            </w:pPr>
            <w:r w:rsidRPr="00A01C7E">
              <w:rPr>
                <w:rFonts w:ascii="Times New Roman" w:hAnsi="Times New Roman" w:cs="Times New Roman"/>
                <w:color w:val="000000"/>
                <w:sz w:val="20"/>
                <w:szCs w:val="20"/>
                <w:lang w:eastAsia="sk-SK"/>
              </w:rPr>
              <w:t>342 000</w:t>
            </w:r>
          </w:p>
        </w:tc>
      </w:tr>
      <w:tr>
        <w:tblPrEx>
          <w:tblW w:w="5000" w:type="pct"/>
          <w:tblCellMar>
            <w:left w:w="70" w:type="dxa"/>
            <w:right w:w="70" w:type="dxa"/>
          </w:tblCellMar>
          <w:tblLook w:val="04A0"/>
        </w:tblPrEx>
        <w:trPr>
          <w:trHeight w:val="300"/>
        </w:trPr>
        <w:tc>
          <w:tcPr>
            <w:tcW w:w="2718" w:type="pct"/>
            <w:tcBorders>
              <w:top w:val="single" w:sz="4" w:space="0" w:color="auto"/>
              <w:left w:val="nil"/>
              <w:bottom w:val="single" w:sz="4" w:space="0" w:color="auto"/>
              <w:right w:val="nil"/>
            </w:tcBorders>
            <w:shd w:val="clear" w:color="000000" w:fill="BFBFBF"/>
            <w:noWrap/>
            <w:textDirection w:val="lrTb"/>
            <w:vAlign w:val="center"/>
            <w:hideMark/>
          </w:tcPr>
          <w:p w:rsidR="008117A9" w:rsidRPr="00A01C7E" w:rsidP="00A97D6F">
            <w:pPr>
              <w:bidi w:val="0"/>
              <w:spacing w:after="0" w:line="240" w:lineRule="auto"/>
              <w:rPr>
                <w:rFonts w:ascii="Times New Roman" w:hAnsi="Times New Roman" w:cs="Times New Roman"/>
                <w:b/>
                <w:bCs/>
                <w:color w:val="000000"/>
                <w:sz w:val="18"/>
                <w:szCs w:val="18"/>
                <w:lang w:eastAsia="sk-SK"/>
              </w:rPr>
            </w:pPr>
            <w:r w:rsidRPr="00A01C7E">
              <w:rPr>
                <w:rFonts w:ascii="Times New Roman" w:hAnsi="Times New Roman" w:cs="Times New Roman"/>
                <w:b/>
                <w:bCs/>
                <w:color w:val="000000"/>
                <w:sz w:val="18"/>
                <w:szCs w:val="18"/>
                <w:lang w:eastAsia="sk-SK"/>
              </w:rPr>
              <w:t xml:space="preserve">Spolu  </w:t>
            </w:r>
          </w:p>
        </w:tc>
        <w:tc>
          <w:tcPr>
            <w:tcW w:w="562" w:type="pct"/>
            <w:tcBorders>
              <w:top w:val="single" w:sz="4" w:space="0" w:color="auto"/>
              <w:left w:val="nil"/>
              <w:bottom w:val="single" w:sz="4" w:space="0" w:color="auto"/>
              <w:right w:val="nil"/>
            </w:tcBorders>
            <w:shd w:val="clear" w:color="000000" w:fill="BFBFBF"/>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18"/>
                <w:szCs w:val="18"/>
                <w:lang w:eastAsia="sk-SK"/>
              </w:rPr>
            </w:pPr>
            <w:r w:rsidRPr="00A01C7E">
              <w:rPr>
                <w:rFonts w:ascii="Times New Roman" w:hAnsi="Times New Roman" w:cs="Times New Roman"/>
                <w:b/>
                <w:bCs/>
                <w:color w:val="000000"/>
                <w:sz w:val="18"/>
                <w:szCs w:val="18"/>
                <w:lang w:eastAsia="sk-SK"/>
              </w:rPr>
              <w:t>11 792 879</w:t>
            </w:r>
          </w:p>
        </w:tc>
        <w:tc>
          <w:tcPr>
            <w:tcW w:w="562" w:type="pct"/>
            <w:tcBorders>
              <w:top w:val="single" w:sz="4" w:space="0" w:color="auto"/>
              <w:left w:val="nil"/>
              <w:bottom w:val="single" w:sz="4" w:space="0" w:color="auto"/>
              <w:right w:val="nil"/>
            </w:tcBorders>
            <w:shd w:val="clear" w:color="000000" w:fill="BFBFBF"/>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18"/>
                <w:szCs w:val="18"/>
                <w:lang w:eastAsia="sk-SK"/>
              </w:rPr>
            </w:pPr>
            <w:r w:rsidRPr="00A01C7E">
              <w:rPr>
                <w:rFonts w:ascii="Times New Roman" w:hAnsi="Times New Roman" w:cs="Times New Roman"/>
                <w:b/>
                <w:bCs/>
                <w:color w:val="000000"/>
                <w:sz w:val="18"/>
                <w:szCs w:val="18"/>
                <w:lang w:eastAsia="sk-SK"/>
              </w:rPr>
              <w:t>13 174 821</w:t>
            </w:r>
          </w:p>
        </w:tc>
        <w:tc>
          <w:tcPr>
            <w:tcW w:w="562" w:type="pct"/>
            <w:tcBorders>
              <w:top w:val="single" w:sz="4" w:space="0" w:color="auto"/>
              <w:left w:val="nil"/>
              <w:bottom w:val="single" w:sz="4" w:space="0" w:color="auto"/>
              <w:right w:val="nil"/>
            </w:tcBorders>
            <w:shd w:val="clear" w:color="000000" w:fill="BFBFBF"/>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18"/>
                <w:szCs w:val="18"/>
                <w:lang w:eastAsia="sk-SK"/>
              </w:rPr>
            </w:pPr>
            <w:r w:rsidRPr="00A01C7E">
              <w:rPr>
                <w:rFonts w:ascii="Times New Roman" w:hAnsi="Times New Roman" w:cs="Times New Roman"/>
                <w:b/>
                <w:bCs/>
                <w:color w:val="000000"/>
                <w:sz w:val="18"/>
                <w:szCs w:val="18"/>
                <w:lang w:eastAsia="sk-SK"/>
              </w:rPr>
              <w:t>12 944 112</w:t>
            </w:r>
          </w:p>
        </w:tc>
        <w:tc>
          <w:tcPr>
            <w:tcW w:w="597" w:type="pct"/>
            <w:tcBorders>
              <w:top w:val="single" w:sz="4" w:space="0" w:color="auto"/>
              <w:left w:val="nil"/>
              <w:bottom w:val="single" w:sz="4" w:space="0" w:color="auto"/>
              <w:right w:val="nil"/>
            </w:tcBorders>
            <w:shd w:val="clear" w:color="000000" w:fill="BFBFBF"/>
            <w:textDirection w:val="lrTb"/>
            <w:vAlign w:val="center"/>
            <w:hideMark/>
          </w:tcPr>
          <w:p w:rsidR="008117A9" w:rsidRPr="00A01C7E" w:rsidP="00A97D6F">
            <w:pPr>
              <w:bidi w:val="0"/>
              <w:spacing w:after="0" w:line="240" w:lineRule="auto"/>
              <w:jc w:val="right"/>
              <w:rPr>
                <w:rFonts w:ascii="Times New Roman" w:hAnsi="Times New Roman" w:cs="Times New Roman"/>
                <w:b/>
                <w:bCs/>
                <w:color w:val="000000"/>
                <w:sz w:val="18"/>
                <w:szCs w:val="18"/>
                <w:lang w:eastAsia="sk-SK"/>
              </w:rPr>
            </w:pPr>
            <w:r w:rsidRPr="00A01C7E">
              <w:rPr>
                <w:rFonts w:ascii="Times New Roman" w:hAnsi="Times New Roman" w:cs="Times New Roman"/>
                <w:b/>
                <w:bCs/>
                <w:color w:val="000000"/>
                <w:sz w:val="18"/>
                <w:szCs w:val="18"/>
                <w:lang w:eastAsia="sk-SK"/>
              </w:rPr>
              <w:t>-230 709</w:t>
            </w:r>
          </w:p>
        </w:tc>
      </w:tr>
    </w:tbl>
    <w:p w:rsidR="008117A9" w:rsidP="008117A9">
      <w:pPr>
        <w:bidi w:val="0"/>
        <w:spacing w:after="120" w:line="336" w:lineRule="auto"/>
        <w:jc w:val="both"/>
        <w:rPr>
          <w:rFonts w:ascii="Times New Roman" w:hAnsi="Times New Roman" w:cs="Times New Roman"/>
          <w:b/>
          <w:szCs w:val="22"/>
        </w:rPr>
      </w:pPr>
    </w:p>
    <w:p w:rsidR="008117A9" w:rsidRPr="00CC78BF" w:rsidP="008117A9">
      <w:pPr>
        <w:bidi w:val="0"/>
        <w:spacing w:after="120" w:line="336" w:lineRule="auto"/>
        <w:jc w:val="both"/>
        <w:rPr>
          <w:rFonts w:ascii="Times New Roman" w:hAnsi="Times New Roman" w:cs="Times New Roman"/>
          <w:szCs w:val="22"/>
        </w:rPr>
      </w:pPr>
      <w:r w:rsidRPr="007D3349">
        <w:rPr>
          <w:rFonts w:ascii="Times New Roman" w:hAnsi="Times New Roman" w:cs="Times New Roman"/>
          <w:b/>
          <w:szCs w:val="22"/>
        </w:rPr>
        <w:t>Medzinárodné investičné arbitráže</w:t>
      </w:r>
      <w:r w:rsidRPr="007D3349">
        <w:rPr>
          <w:rFonts w:ascii="Times New Roman" w:hAnsi="Times New Roman" w:cs="Times New Roman"/>
          <w:szCs w:val="22"/>
        </w:rPr>
        <w:t xml:space="preserve"> vznikajú domnelým porušením bilaterálnych investičných dohôd uzatváraných medzi suverénnymi štátmi na podporu a ochranu investícií. Predmetom sporov je </w:t>
      </w:r>
      <w:r w:rsidRPr="00CC78BF">
        <w:rPr>
          <w:rFonts w:ascii="Times New Roman" w:hAnsi="Times New Roman" w:cs="Times New Roman"/>
          <w:szCs w:val="22"/>
        </w:rPr>
        <w:t>náhrada škody za porušenie dohôd o podpore a ochrane investícií.</w:t>
      </w:r>
    </w:p>
    <w:p w:rsidR="008117A9" w:rsidP="008117A9">
      <w:pPr>
        <w:bidi w:val="0"/>
        <w:spacing w:after="120" w:line="336" w:lineRule="auto"/>
        <w:jc w:val="both"/>
        <w:rPr>
          <w:rFonts w:ascii="Times New Roman" w:hAnsi="Times New Roman" w:cs="Times New Roman"/>
          <w:szCs w:val="22"/>
          <w:highlight w:val="yellow"/>
        </w:rPr>
      </w:pPr>
      <w:r w:rsidRPr="00CC78BF">
        <w:rPr>
          <w:rFonts w:ascii="Times New Roman" w:hAnsi="Times New Roman" w:cs="Times New Roman"/>
          <w:szCs w:val="22"/>
        </w:rPr>
        <w:t>V roku 2014 začalo arbitrážne konanie s EuroGas Inc. a Belmont Resources Inc.. Spor o náhradu škody vedú uvedené spoločnosti voči SR z dôvodu údajného protiprávneho odobratia povolenia na ťažbu mastenca. Arbitráž je vedená podľa bilaterálnej investičnej dohody medzi SR a USA a bilaterálnej investičnej dohody medzi SR a Kanadou. V septembri</w:t>
      </w:r>
      <w:r w:rsidRPr="002D4F2F">
        <w:rPr>
          <w:rFonts w:ascii="Times New Roman" w:hAnsi="Times New Roman" w:cs="Times New Roman"/>
          <w:szCs w:val="22"/>
        </w:rPr>
        <w:t xml:space="preserve"> 2015 žalobcovia predložili výpočet škody v rámci arbitrážneho konania. Suma, ku ktorej dospel znalec John MH Ellison</w:t>
      </w:r>
      <w:r>
        <w:rPr>
          <w:rFonts w:ascii="Times New Roman" w:hAnsi="Times New Roman" w:cs="Times New Roman"/>
          <w:szCs w:val="22"/>
        </w:rPr>
        <w:t>,</w:t>
      </w:r>
      <w:r w:rsidRPr="002D4F2F">
        <w:rPr>
          <w:rFonts w:ascii="Times New Roman" w:hAnsi="Times New Roman" w:cs="Times New Roman"/>
          <w:szCs w:val="22"/>
        </w:rPr>
        <w:t xml:space="preserve"> sa </w:t>
      </w:r>
      <w:r>
        <w:rPr>
          <w:rFonts w:ascii="Times New Roman" w:hAnsi="Times New Roman" w:cs="Times New Roman"/>
          <w:szCs w:val="22"/>
        </w:rPr>
        <w:t>zvýšila o 7 000 tis. eur</w:t>
      </w:r>
      <w:r w:rsidRPr="002D4F2F">
        <w:rPr>
          <w:rFonts w:ascii="Times New Roman" w:hAnsi="Times New Roman" w:cs="Times New Roman"/>
          <w:szCs w:val="22"/>
        </w:rPr>
        <w:t xml:space="preserve"> od </w:t>
      </w:r>
      <w:r>
        <w:rPr>
          <w:rFonts w:ascii="Times New Roman" w:hAnsi="Times New Roman" w:cs="Times New Roman"/>
          <w:szCs w:val="22"/>
        </w:rPr>
        <w:t>prvotného odhadu</w:t>
      </w:r>
      <w:r w:rsidRPr="002D4F2F">
        <w:rPr>
          <w:rFonts w:ascii="Times New Roman" w:hAnsi="Times New Roman" w:cs="Times New Roman"/>
          <w:szCs w:val="22"/>
        </w:rPr>
        <w:t xml:space="preserve">, ktorý </w:t>
      </w:r>
      <w:r>
        <w:rPr>
          <w:rFonts w:ascii="Times New Roman" w:hAnsi="Times New Roman" w:cs="Times New Roman"/>
          <w:szCs w:val="22"/>
        </w:rPr>
        <w:t xml:space="preserve">žalobcovia </w:t>
      </w:r>
      <w:r w:rsidRPr="002D4F2F">
        <w:rPr>
          <w:rFonts w:ascii="Times New Roman" w:hAnsi="Times New Roman" w:cs="Times New Roman"/>
          <w:szCs w:val="22"/>
        </w:rPr>
        <w:t xml:space="preserve">predložili </w:t>
      </w:r>
      <w:r>
        <w:rPr>
          <w:rFonts w:ascii="Times New Roman" w:hAnsi="Times New Roman" w:cs="Times New Roman"/>
          <w:szCs w:val="22"/>
        </w:rPr>
        <w:t>na začiatku zmierovacieho konania</w:t>
      </w:r>
      <w:r w:rsidRPr="002D4F2F">
        <w:rPr>
          <w:rFonts w:ascii="Times New Roman" w:hAnsi="Times New Roman" w:cs="Times New Roman"/>
          <w:szCs w:val="22"/>
        </w:rPr>
        <w:t xml:space="preserve"> v roku 2014.</w:t>
      </w:r>
    </w:p>
    <w:p w:rsidR="008117A9" w:rsidRPr="00FD37A2" w:rsidP="00372C7B">
      <w:pPr>
        <w:bidi w:val="0"/>
        <w:spacing w:after="120" w:line="336" w:lineRule="auto"/>
        <w:jc w:val="both"/>
        <w:rPr>
          <w:rFonts w:ascii="Times New Roman" w:hAnsi="Times New Roman"/>
          <w:highlight w:val="yellow"/>
        </w:rPr>
      </w:pPr>
      <w:r w:rsidRPr="007958B3">
        <w:rPr>
          <w:rFonts w:ascii="Times New Roman" w:hAnsi="Times New Roman" w:cs="Times New Roman"/>
          <w:szCs w:val="22"/>
        </w:rPr>
        <w:t xml:space="preserve">Pri medzinárodnej arbitráži so Zdravotnou poisťovňou Union, a.s. ide o spor Achmea vs. </w:t>
      </w:r>
      <w:r>
        <w:rPr>
          <w:rFonts w:ascii="Times New Roman" w:hAnsi="Times New Roman" w:cs="Times New Roman"/>
          <w:szCs w:val="22"/>
        </w:rPr>
        <w:t xml:space="preserve">Slovenská republika, ktorý sa vedie </w:t>
      </w:r>
      <w:r w:rsidRPr="007958B3">
        <w:rPr>
          <w:rFonts w:ascii="Times New Roman" w:hAnsi="Times New Roman" w:cs="Times New Roman"/>
          <w:szCs w:val="22"/>
        </w:rPr>
        <w:t xml:space="preserve">z dôvodu zákazu zisku zdravotných poisťovní v roku 2007. V tejto arbitráži, vedenej podľa bilaterálnej investičnej dohody medzi SR a Holandským kráľovstvom, bol v decembri </w:t>
      </w:r>
      <w:r w:rsidRPr="00FD37A2">
        <w:rPr>
          <w:rFonts w:ascii="Times New Roman" w:hAnsi="Times New Roman" w:cs="Times New Roman"/>
          <w:szCs w:val="22"/>
        </w:rPr>
        <w:t xml:space="preserve">2012 vydaný rozsudok, ktorým arbitrážny tribunál nariadil SR zaplatiť žalobcovi, holandskej spoločnosti Achmea B.V., odškodnenie vo výške cca 25,2 mil. eur plus úroky vo výške cca 2,7 mil. eur. </w:t>
      </w:r>
      <w:r w:rsidRPr="00FD37A2" w:rsidR="00372C7B">
        <w:rPr>
          <w:rFonts w:ascii="Times New Roman" w:hAnsi="Times New Roman"/>
        </w:rPr>
        <w:t xml:space="preserve">SR napadla tento rozsudok ako aj jurisdikčné rozhodnutie tribunálu pred nemeckými súdmi. V súčasnosti prebieha konanie pred Súdnym dvorom EÚ, ktorý rozhoduje o otázke aplikovateľnosti bilaterálnej investičnej dohody medzi SR a Holandským kráľovstvom, ktorú ako predbežnú otázku predložil Súdnemu dvoru EÚ Nemecký spolkový súd v máji 2016. </w:t>
      </w:r>
      <w:r w:rsidRPr="00FD37A2">
        <w:rPr>
          <w:rFonts w:ascii="Times New Roman" w:hAnsi="Times New Roman" w:cs="Times New Roman"/>
          <w:szCs w:val="22"/>
        </w:rPr>
        <w:t xml:space="preserve">Achmea taktiež </w:t>
      </w:r>
      <w:r w:rsidRPr="00FD37A2" w:rsidR="00FD37A2">
        <w:rPr>
          <w:rFonts w:ascii="Times New Roman" w:hAnsi="Times New Roman" w:cs="Times New Roman"/>
          <w:szCs w:val="22"/>
        </w:rPr>
        <w:t xml:space="preserve">paralelne </w:t>
      </w:r>
      <w:r w:rsidRPr="00FD37A2">
        <w:rPr>
          <w:rFonts w:ascii="Times New Roman" w:hAnsi="Times New Roman" w:cs="Times New Roman"/>
          <w:szCs w:val="22"/>
        </w:rPr>
        <w:t>požiadala Luxemburský súd o výkon rozhodnutia arbitrážneho tribunálu z decembra 2012 a zablokovanie majetku SR. Súd spoločnosti Achmea vyhovel a nariadil zablokovanie slovenského majetku v hodnote 29</w:t>
      </w:r>
      <w:r w:rsidR="0072197E">
        <w:rPr>
          <w:rFonts w:ascii="Times New Roman" w:hAnsi="Times New Roman" w:cs="Times New Roman"/>
          <w:szCs w:val="22"/>
        </w:rPr>
        <w:t xml:space="preserve"> </w:t>
      </w:r>
      <w:r w:rsidRPr="00FD37A2">
        <w:rPr>
          <w:rFonts w:ascii="Times New Roman" w:hAnsi="Times New Roman" w:cs="Times New Roman"/>
          <w:szCs w:val="22"/>
        </w:rPr>
        <w:t>5</w:t>
      </w:r>
      <w:r w:rsidR="0072197E">
        <w:rPr>
          <w:rFonts w:ascii="Times New Roman" w:hAnsi="Times New Roman" w:cs="Times New Roman"/>
          <w:szCs w:val="22"/>
        </w:rPr>
        <w:t>00 000 tis</w:t>
      </w:r>
      <w:r w:rsidRPr="00FD37A2">
        <w:rPr>
          <w:rFonts w:ascii="Times New Roman" w:hAnsi="Times New Roman" w:cs="Times New Roman"/>
          <w:szCs w:val="22"/>
        </w:rPr>
        <w:t>. eur, voči čomu sa SR odvolala a toto konanie stále prebieha.</w:t>
      </w:r>
    </w:p>
    <w:p w:rsidR="008117A9" w:rsidP="008117A9">
      <w:pPr>
        <w:bidi w:val="0"/>
        <w:spacing w:after="120" w:line="336" w:lineRule="auto"/>
        <w:jc w:val="both"/>
        <w:rPr>
          <w:rFonts w:ascii="Times New Roman" w:hAnsi="Times New Roman" w:cs="Times New Roman"/>
          <w:szCs w:val="22"/>
        </w:rPr>
      </w:pPr>
      <w:r w:rsidRPr="00D16E20">
        <w:rPr>
          <w:rFonts w:ascii="Times New Roman" w:hAnsi="Times New Roman" w:cs="Times New Roman"/>
          <w:szCs w:val="22"/>
        </w:rPr>
        <w:t>Najväčší nárast v kategórii</w:t>
      </w:r>
      <w:r w:rsidRPr="00474378">
        <w:rPr>
          <w:rFonts w:ascii="Times New Roman" w:hAnsi="Times New Roman" w:cs="Times New Roman"/>
          <w:b/>
          <w:szCs w:val="22"/>
        </w:rPr>
        <w:t xml:space="preserve"> ostatných </w:t>
      </w:r>
      <w:r w:rsidRPr="009261A1">
        <w:rPr>
          <w:rFonts w:ascii="Times New Roman" w:hAnsi="Times New Roman" w:cs="Times New Roman"/>
          <w:b/>
          <w:szCs w:val="22"/>
        </w:rPr>
        <w:t>súdnych sporov</w:t>
      </w:r>
      <w:r w:rsidRPr="009261A1">
        <w:rPr>
          <w:rFonts w:ascii="Times New Roman" w:hAnsi="Times New Roman" w:cs="Times New Roman"/>
          <w:szCs w:val="22"/>
        </w:rPr>
        <w:t xml:space="preserve"> zaznamenal Fond Národného majetku SR, ktorý eviduje súdne spory </w:t>
      </w:r>
      <w:r>
        <w:rPr>
          <w:rFonts w:ascii="Times New Roman" w:hAnsi="Times New Roman" w:cs="Times New Roman"/>
          <w:szCs w:val="22"/>
        </w:rPr>
        <w:t xml:space="preserve">v súvislosti </w:t>
      </w:r>
      <w:r w:rsidRPr="009261A1">
        <w:rPr>
          <w:rFonts w:ascii="Times New Roman" w:hAnsi="Times New Roman" w:cs="Times New Roman"/>
          <w:szCs w:val="22"/>
        </w:rPr>
        <w:t>s privatizovaným majetkom (žaloba o náhradu škody, exekučné konanie, náhrada škody z odstúpenia od zmluvy a iné). V júni roku 2015 podali Slovenské elektrárne, a.s. žalobu proti Fondu národného majetku SR a proti</w:t>
      </w:r>
      <w:r w:rsidRPr="00D16E20">
        <w:rPr>
          <w:rFonts w:ascii="Times New Roman" w:hAnsi="Times New Roman" w:cs="Times New Roman"/>
          <w:szCs w:val="22"/>
        </w:rPr>
        <w:t xml:space="preserve"> Slovenskej republike zastúpenej Ministerstvom hospodárstva SR pred Medzinárodné rozhodcovské centrum vo Viedni na základe Zmluvy o odškodnení. V tomto prípade nejde o medzinárodnú investičnú, ale o</w:t>
      </w:r>
      <w:r>
        <w:rPr>
          <w:rFonts w:ascii="Times New Roman" w:hAnsi="Times New Roman" w:cs="Times New Roman"/>
          <w:szCs w:val="22"/>
        </w:rPr>
        <w:t xml:space="preserve"> medzinárodnú komerčnú arbitráž.</w:t>
      </w:r>
      <w:r w:rsidRPr="00D16E20">
        <w:rPr>
          <w:rFonts w:ascii="Times New Roman" w:hAnsi="Times New Roman" w:cs="Times New Roman"/>
          <w:szCs w:val="22"/>
        </w:rPr>
        <w:t xml:space="preserve"> Výška žalovanej sumy je 588 217 tis. eur plus úroky 9,05</w:t>
      </w:r>
      <w:r>
        <w:rPr>
          <w:rFonts w:ascii="Times New Roman" w:hAnsi="Times New Roman" w:cs="Times New Roman"/>
          <w:szCs w:val="22"/>
        </w:rPr>
        <w:t> </w:t>
      </w:r>
      <w:r w:rsidRPr="00D16E20">
        <w:rPr>
          <w:rFonts w:ascii="Times New Roman" w:hAnsi="Times New Roman" w:cs="Times New Roman"/>
          <w:szCs w:val="22"/>
        </w:rPr>
        <w:t>% p.a.</w:t>
      </w:r>
      <w:r>
        <w:rPr>
          <w:rFonts w:ascii="Times New Roman" w:hAnsi="Times New Roman" w:cs="Times New Roman"/>
          <w:szCs w:val="22"/>
        </w:rPr>
        <w:t xml:space="preserve"> K nárastu evidovaných súdnych sporov prispelo aj ich komplexné prehodnotenie v súvislosti so zrušením FNM SR ku koncu roka 2015.</w:t>
      </w:r>
    </w:p>
    <w:p w:rsidR="008117A9" w:rsidP="008117A9">
      <w:pPr>
        <w:bidi w:val="0"/>
        <w:spacing w:after="120" w:line="336" w:lineRule="auto"/>
        <w:jc w:val="both"/>
        <w:rPr>
          <w:rFonts w:ascii="Times New Roman" w:hAnsi="Times New Roman" w:cs="Times New Roman"/>
          <w:szCs w:val="22"/>
        </w:rPr>
      </w:pPr>
      <w:r w:rsidRPr="00474378">
        <w:rPr>
          <w:rFonts w:ascii="Times New Roman" w:hAnsi="Times New Roman" w:cs="Times New Roman"/>
          <w:szCs w:val="22"/>
        </w:rPr>
        <w:t>Kancelária národnej rady SR eviduje súdne spory najmä zo žalôb o náhradu škody spôsobenú legislatívnou činnosťou NR SR a antidiskriminačné</w:t>
      </w:r>
      <w:r>
        <w:rPr>
          <w:rFonts w:ascii="Times New Roman" w:hAnsi="Times New Roman" w:cs="Times New Roman"/>
          <w:szCs w:val="22"/>
        </w:rPr>
        <w:t xml:space="preserve"> žaloby</w:t>
      </w:r>
      <w:r w:rsidRPr="00474378">
        <w:rPr>
          <w:rFonts w:ascii="Times New Roman" w:hAnsi="Times New Roman" w:cs="Times New Roman"/>
          <w:szCs w:val="22"/>
        </w:rPr>
        <w:t xml:space="preserve"> sudcov</w:t>
      </w:r>
      <w:r>
        <w:rPr>
          <w:rFonts w:ascii="Times New Roman" w:hAnsi="Times New Roman" w:cs="Times New Roman"/>
          <w:szCs w:val="22"/>
        </w:rPr>
        <w:t>.</w:t>
      </w:r>
      <w:r w:rsidRPr="00474378">
        <w:rPr>
          <w:rFonts w:ascii="Times New Roman" w:hAnsi="Times New Roman" w:cs="Times New Roman"/>
          <w:szCs w:val="22"/>
        </w:rPr>
        <w:t xml:space="preserve"> </w:t>
      </w:r>
      <w:r>
        <w:rPr>
          <w:rFonts w:ascii="Times New Roman" w:hAnsi="Times New Roman" w:cs="Times New Roman"/>
          <w:szCs w:val="22"/>
        </w:rPr>
        <w:t>Najväčšou sumou o 131 400 </w:t>
      </w:r>
      <w:r w:rsidRPr="00474378">
        <w:rPr>
          <w:rFonts w:ascii="Times New Roman" w:hAnsi="Times New Roman" w:cs="Times New Roman"/>
          <w:szCs w:val="22"/>
        </w:rPr>
        <w:t>tis.</w:t>
      </w:r>
      <w:r>
        <w:rPr>
          <w:rFonts w:ascii="Times New Roman" w:hAnsi="Times New Roman" w:cs="Times New Roman"/>
          <w:szCs w:val="22"/>
        </w:rPr>
        <w:t> </w:t>
      </w:r>
      <w:r w:rsidRPr="00474378">
        <w:rPr>
          <w:rFonts w:ascii="Times New Roman" w:hAnsi="Times New Roman" w:cs="Times New Roman"/>
          <w:szCs w:val="22"/>
        </w:rPr>
        <w:t xml:space="preserve">eur sa znížili </w:t>
      </w:r>
      <w:r>
        <w:rPr>
          <w:rFonts w:ascii="Times New Roman" w:hAnsi="Times New Roman" w:cs="Times New Roman"/>
          <w:szCs w:val="22"/>
        </w:rPr>
        <w:t>súdne spory</w:t>
      </w:r>
      <w:r w:rsidRPr="00474378">
        <w:rPr>
          <w:rFonts w:ascii="Times New Roman" w:hAnsi="Times New Roman" w:cs="Times New Roman"/>
          <w:szCs w:val="22"/>
        </w:rPr>
        <w:t xml:space="preserve"> z dôvodu, že navrhovateľ European American Investment Bank AG vzal svoju žalobu v priebehu roka 2015 späť.</w:t>
      </w:r>
    </w:p>
    <w:p w:rsidR="008117A9" w:rsidP="008117A9">
      <w:pPr>
        <w:bidi w:val="0"/>
        <w:spacing w:after="120" w:line="336" w:lineRule="auto"/>
        <w:jc w:val="both"/>
        <w:rPr>
          <w:rFonts w:ascii="Times New Roman" w:hAnsi="Times New Roman" w:cs="Times New Roman"/>
          <w:szCs w:val="22"/>
          <w:highlight w:val="yellow"/>
        </w:rPr>
      </w:pPr>
      <w:r>
        <w:rPr>
          <w:rFonts w:ascii="Times New Roman" w:hAnsi="Times New Roman" w:cs="Times New Roman"/>
          <w:szCs w:val="22"/>
        </w:rPr>
        <w:t>Súdne spory Ministerstva vnútra Slovenskej republiky poklesli o 47 777 tis. eur z dôvodu ich prehodnotenia a vykázania v súvahe vo forme vytvorených rezerv. Tento pokles mal neutrálny vplyv na čisté bohatstvo, pretože pokles podmienených záväzkov bol kompenzovaný znížením vlastného imania z dôvodu vytvorenia rezerv.</w:t>
      </w:r>
    </w:p>
    <w:p w:rsidR="008117A9" w:rsidP="008117A9">
      <w:pPr>
        <w:bidi w:val="0"/>
        <w:spacing w:after="120" w:line="336" w:lineRule="auto"/>
        <w:jc w:val="both"/>
        <w:rPr>
          <w:rFonts w:ascii="Times New Roman" w:hAnsi="Times New Roman" w:cs="Times New Roman"/>
          <w:szCs w:val="22"/>
        </w:rPr>
      </w:pPr>
      <w:r w:rsidRPr="00115C3E">
        <w:rPr>
          <w:rFonts w:ascii="Times New Roman" w:hAnsi="Times New Roman" w:cs="Times New Roman"/>
        </w:rPr>
        <w:t>Z</w:t>
      </w:r>
      <w:r w:rsidRPr="00115C3E">
        <w:rPr>
          <w:rFonts w:ascii="Times New Roman" w:hAnsi="Times New Roman" w:cs="Times New Roman"/>
          <w:szCs w:val="22"/>
        </w:rPr>
        <w:t xml:space="preserve"> </w:t>
      </w:r>
      <w:r w:rsidRPr="00143EBE">
        <w:rPr>
          <w:rFonts w:ascii="Times New Roman" w:hAnsi="Times New Roman" w:cs="Times New Roman"/>
          <w:b/>
          <w:szCs w:val="22"/>
        </w:rPr>
        <w:t>ostatných podmienených záväzkov</w:t>
      </w:r>
      <w:r w:rsidRPr="00115C3E">
        <w:rPr>
          <w:rFonts w:ascii="Times New Roman" w:hAnsi="Times New Roman" w:cs="Times New Roman"/>
          <w:szCs w:val="22"/>
        </w:rPr>
        <w:t xml:space="preserve"> zaznamenal najväčšiu zmenu Slovenský plynárenský priemysel, a.s., ktorý vykazuje podmienené záväzky súvisiace najmä s finančnými derivátmi slúžiacimi na zaistenie obchodov na nákup plynu. Pokles o 827 456 tis. eur spôsobil medziročný pokles devízových obchodov. </w:t>
      </w:r>
    </w:p>
    <w:p w:rsidR="008117A9"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Nárast podmienených záväzkov MH Invest, s.r.o. o 342 000 tis. eur súvisel s budovaním investičného parku pre Jaguar Land Rover. </w:t>
      </w:r>
      <w:r w:rsidRPr="00DD3CC9">
        <w:rPr>
          <w:rFonts w:ascii="Times New Roman" w:hAnsi="Times New Roman" w:cs="Times New Roman"/>
          <w:szCs w:val="22"/>
        </w:rPr>
        <w:t>MH Invest, s.r.o.</w:t>
      </w:r>
      <w:r>
        <w:rPr>
          <w:rFonts w:ascii="Times New Roman" w:hAnsi="Times New Roman" w:cs="Times New Roman"/>
          <w:szCs w:val="22"/>
        </w:rPr>
        <w:t>,</w:t>
      </w:r>
      <w:r w:rsidRPr="00DD3CC9">
        <w:rPr>
          <w:rFonts w:ascii="Times New Roman" w:hAnsi="Times New Roman" w:cs="Times New Roman"/>
          <w:szCs w:val="22"/>
        </w:rPr>
        <w:t xml:space="preserve"> ako účelová spoločnosť</w:t>
      </w:r>
      <w:r>
        <w:rPr>
          <w:rFonts w:ascii="Times New Roman" w:hAnsi="Times New Roman" w:cs="Times New Roman"/>
          <w:szCs w:val="22"/>
        </w:rPr>
        <w:t>,</w:t>
      </w:r>
      <w:r w:rsidRPr="00DD3CC9">
        <w:rPr>
          <w:rFonts w:ascii="Times New Roman" w:hAnsi="Times New Roman" w:cs="Times New Roman"/>
          <w:szCs w:val="22"/>
        </w:rPr>
        <w:t xml:space="preserve"> bude zabezpečovať záväzky Slovenskej republiky vyplývajúce z inves</w:t>
      </w:r>
      <w:r>
        <w:rPr>
          <w:rFonts w:ascii="Times New Roman" w:hAnsi="Times New Roman" w:cs="Times New Roman"/>
          <w:szCs w:val="22"/>
        </w:rPr>
        <w:t xml:space="preserve">tičnej zmluvy medzi </w:t>
      </w:r>
      <w:r w:rsidRPr="00DD3CC9">
        <w:rPr>
          <w:rFonts w:ascii="Times New Roman" w:hAnsi="Times New Roman" w:cs="Times New Roman"/>
          <w:szCs w:val="22"/>
        </w:rPr>
        <w:t>Jaguar Land Rover Limited, Jaguar Land Rover Slovakia, s.r.o.</w:t>
      </w:r>
      <w:r>
        <w:rPr>
          <w:rFonts w:ascii="Times New Roman" w:hAnsi="Times New Roman" w:cs="Times New Roman"/>
          <w:szCs w:val="22"/>
        </w:rPr>
        <w:t>,</w:t>
      </w:r>
      <w:r w:rsidRPr="00DD3CC9">
        <w:rPr>
          <w:rFonts w:ascii="Times New Roman" w:hAnsi="Times New Roman" w:cs="Times New Roman"/>
          <w:szCs w:val="22"/>
        </w:rPr>
        <w:t xml:space="preserve"> Slovenskou republikou a mestom Nitra</w:t>
      </w:r>
      <w:r>
        <w:rPr>
          <w:rFonts w:ascii="Times New Roman" w:hAnsi="Times New Roman" w:cs="Times New Roman"/>
          <w:szCs w:val="22"/>
        </w:rPr>
        <w:t>. Vecne pôjde najmä o výkup pozemkov a prípravu areálu investície.</w:t>
      </w:r>
    </w:p>
    <w:p w:rsidR="008117A9" w:rsidRPr="00115C3E" w:rsidP="008117A9">
      <w:pPr>
        <w:bidi w:val="0"/>
        <w:spacing w:after="120" w:line="336" w:lineRule="auto"/>
        <w:jc w:val="both"/>
        <w:rPr>
          <w:rFonts w:ascii="Times New Roman" w:hAnsi="Times New Roman" w:cs="Times New Roman"/>
          <w:szCs w:val="22"/>
        </w:rPr>
      </w:pPr>
      <w:r>
        <w:rPr>
          <w:rFonts w:ascii="Times New Roman" w:hAnsi="Times New Roman" w:cs="Times New Roman"/>
          <w:szCs w:val="22"/>
        </w:rPr>
        <w:t xml:space="preserve">Podmienené záväzky Slovenskej elektrizačnej a prenosovej sústavy, a.s. klesli o 67 908 tis. eur z dôvodu zmeny </w:t>
      </w:r>
      <w:r w:rsidRPr="00C82C75">
        <w:rPr>
          <w:rFonts w:ascii="Times New Roman" w:hAnsi="Times New Roman" w:cs="Times New Roman"/>
          <w:szCs w:val="22"/>
        </w:rPr>
        <w:t>v zmluvných záväzkoch na nákup dlhodobého majetku. Ako sa majetok postupne obstaráva a reálne platí, znižuje sa podmienený záväzok z budúcich investičných výdavkov.</w:t>
      </w:r>
    </w:p>
    <w:p w:rsidR="008117A9" w:rsidRPr="00F673A0" w:rsidP="008117A9">
      <w:pPr>
        <w:bidi w:val="0"/>
        <w:spacing w:after="120" w:line="336" w:lineRule="auto"/>
        <w:jc w:val="both"/>
        <w:rPr>
          <w:rFonts w:ascii="Times New Roman" w:hAnsi="Times New Roman" w:cs="Times New Roman"/>
          <w:szCs w:val="22"/>
          <w:highlight w:val="yellow"/>
        </w:rPr>
      </w:pPr>
      <w:r w:rsidRPr="00143EBE">
        <w:rPr>
          <w:rFonts w:ascii="Times New Roman" w:hAnsi="Times New Roman" w:cs="Times New Roman"/>
          <w:szCs w:val="22"/>
        </w:rPr>
        <w:t>Štátne banky EXIM a SZRB, a.s. vykazujú bankové záruky a úverové prísľuby. Záruky Ministerstva financií SR voči Slovenskej záručnej a rozvojovej banke, a.s. predstavujú podmienené záväzky súvisiace s podpísanou zmluvou medzi MF SR a SZRB dňa 20.12.2013. SZRB na základe zmluvy poskytuje odvodový úver na podporu udržania zamestnanosti zamestnávateľovi, ktorý je malým alebo stredným podnikom, s možnosťou získania finančnej pomoci MF SR vo forme záruky za úver a/alebo úhrady časti úrokov z úveru.</w:t>
      </w:r>
    </w:p>
    <w:p w:rsidR="008117A9" w:rsidRPr="00C079B5" w:rsidP="002A4EBB">
      <w:pPr>
        <w:pStyle w:val="Heading3"/>
        <w:numPr>
          <w:numId w:val="45"/>
        </w:numPr>
        <w:bidi w:val="0"/>
        <w:ind w:left="1080"/>
        <w:rPr>
          <w:rFonts w:hint="default"/>
        </w:rPr>
      </w:pPr>
      <w:bookmarkStart w:id="122" w:name="_Toc465258497"/>
      <w:r w:rsidRPr="00C079B5">
        <w:rPr>
          <w:rFonts w:hint="default"/>
        </w:rPr>
        <w:t>Ostatné</w:t>
      </w:r>
      <w:r w:rsidRPr="00C079B5">
        <w:rPr>
          <w:rFonts w:hint="default"/>
        </w:rPr>
        <w:t xml:space="preserve"> zlož</w:t>
      </w:r>
      <w:r w:rsidRPr="00C079B5">
        <w:rPr>
          <w:rFonts w:hint="default"/>
        </w:rPr>
        <w:t>ky č</w:t>
      </w:r>
      <w:r w:rsidRPr="00C079B5">
        <w:rPr>
          <w:rFonts w:hint="default"/>
        </w:rPr>
        <w:t>isté</w:t>
      </w:r>
      <w:r w:rsidRPr="00C079B5">
        <w:rPr>
          <w:rFonts w:hint="default"/>
        </w:rPr>
        <w:t>ho bohatstva</w:t>
      </w:r>
      <w:bookmarkEnd w:id="122"/>
    </w:p>
    <w:p w:rsidR="008117A9" w:rsidRPr="00C079B5" w:rsidP="008117A9">
      <w:pPr>
        <w:bidi w:val="0"/>
        <w:spacing w:line="336" w:lineRule="auto"/>
        <w:jc w:val="both"/>
        <w:rPr>
          <w:rFonts w:ascii="Times New Roman" w:hAnsi="Times New Roman" w:cs="Times New Roman"/>
          <w:szCs w:val="22"/>
        </w:rPr>
      </w:pPr>
      <w:r w:rsidRPr="00C079B5">
        <w:rPr>
          <w:rFonts w:ascii="Times New Roman" w:hAnsi="Times New Roman" w:cs="Times New Roman"/>
          <w:szCs w:val="22"/>
        </w:rPr>
        <w:t xml:space="preserve">Pod ostatnými zložkami čistého bohatstva sa k 31.12.2015 vykazovali najmä aktívne súdne spory v kategórii iné aktíva v súhrnnej výške 1 392 204 tis. eur. </w:t>
      </w:r>
    </w:p>
    <w:tbl>
      <w:tblPr>
        <w:tblStyle w:val="TableNormal"/>
        <w:tblW w:w="5000" w:type="pct"/>
        <w:tblCellMar>
          <w:left w:w="70" w:type="dxa"/>
          <w:right w:w="70" w:type="dxa"/>
        </w:tblCellMar>
        <w:tblLook w:val="04A0"/>
      </w:tblPr>
      <w:tblGrid>
        <w:gridCol w:w="3898"/>
        <w:gridCol w:w="1559"/>
        <w:gridCol w:w="1417"/>
        <w:gridCol w:w="1278"/>
        <w:gridCol w:w="1059"/>
      </w:tblGrid>
      <w:tr>
        <w:tblPrEx>
          <w:tblW w:w="5000" w:type="pct"/>
          <w:tblCellMar>
            <w:left w:w="70" w:type="dxa"/>
            <w:right w:w="70" w:type="dxa"/>
          </w:tblCellMar>
          <w:tblLook w:val="04A0"/>
        </w:tblPrEx>
        <w:trPr>
          <w:trHeight w:val="300"/>
        </w:trPr>
        <w:tc>
          <w:tcPr>
            <w:tcW w:w="5000" w:type="pct"/>
            <w:gridSpan w:val="5"/>
            <w:tcBorders>
              <w:top w:val="nil"/>
              <w:left w:val="nil"/>
              <w:bottom w:val="single" w:sz="4" w:space="0" w:color="auto"/>
              <w:right w:val="nil"/>
            </w:tcBorders>
            <w:shd w:val="clear" w:color="000000" w:fill="000000"/>
            <w:noWrap/>
            <w:textDirection w:val="lrTb"/>
            <w:vAlign w:val="center"/>
            <w:hideMark/>
          </w:tcPr>
          <w:p w:rsidR="008117A9" w:rsidRPr="004E38E1" w:rsidP="00A97D6F">
            <w:pPr>
              <w:bidi w:val="0"/>
              <w:spacing w:after="0" w:line="240" w:lineRule="auto"/>
              <w:rPr>
                <w:rFonts w:ascii="Times New Roman" w:hAnsi="Times New Roman" w:cs="Times New Roman"/>
                <w:b/>
                <w:bCs/>
                <w:color w:val="FFFFFF"/>
                <w:sz w:val="20"/>
                <w:szCs w:val="20"/>
                <w:lang w:eastAsia="sk-SK"/>
              </w:rPr>
            </w:pPr>
            <w:r w:rsidRPr="004E38E1">
              <w:rPr>
                <w:rFonts w:ascii="Times New Roman" w:hAnsi="Times New Roman" w:cs="Times New Roman"/>
                <w:b/>
                <w:bCs/>
                <w:color w:val="FFFFFF"/>
                <w:sz w:val="20"/>
                <w:szCs w:val="20"/>
                <w:lang w:eastAsia="sk-SK"/>
              </w:rPr>
              <w:t>Podmienené aktíva podľa zložiek verejného sektora k 31.12.2015 (tis. eur)</w:t>
            </w:r>
          </w:p>
        </w:tc>
      </w:tr>
      <w:tr>
        <w:tblPrEx>
          <w:tblW w:w="5000" w:type="pct"/>
          <w:tblCellMar>
            <w:left w:w="70" w:type="dxa"/>
            <w:right w:w="70" w:type="dxa"/>
          </w:tblCellMar>
          <w:tblLook w:val="04A0"/>
        </w:tblPrEx>
        <w:trPr>
          <w:trHeight w:val="300"/>
        </w:trPr>
        <w:tc>
          <w:tcPr>
            <w:tcW w:w="2116" w:type="pct"/>
            <w:tcBorders>
              <w:top w:val="nil"/>
              <w:left w:val="nil"/>
              <w:bottom w:val="nil"/>
              <w:right w:val="nil"/>
            </w:tcBorders>
            <w:shd w:val="clear" w:color="000000" w:fill="BFBFBF"/>
            <w:textDirection w:val="lrTb"/>
            <w:vAlign w:val="bottom"/>
            <w:hideMark/>
          </w:tcPr>
          <w:p w:rsidR="008117A9" w:rsidRPr="004E38E1" w:rsidP="00A97D6F">
            <w:pPr>
              <w:bidi w:val="0"/>
              <w:spacing w:after="0" w:line="240" w:lineRule="auto"/>
              <w:rPr>
                <w:rFonts w:ascii="Times New Roman" w:hAnsi="Times New Roman" w:cs="Times New Roman"/>
                <w:b/>
                <w:bCs/>
                <w:sz w:val="20"/>
                <w:szCs w:val="20"/>
                <w:lang w:eastAsia="sk-SK"/>
              </w:rPr>
            </w:pPr>
            <w:r w:rsidRPr="004E38E1">
              <w:rPr>
                <w:rFonts w:ascii="Times New Roman" w:hAnsi="Times New Roman" w:cs="Times New Roman"/>
                <w:b/>
                <w:bCs/>
                <w:sz w:val="20"/>
                <w:szCs w:val="20"/>
                <w:lang w:eastAsia="sk-SK"/>
              </w:rPr>
              <w:t> </w:t>
            </w:r>
          </w:p>
        </w:tc>
        <w:tc>
          <w:tcPr>
            <w:tcW w:w="846" w:type="pct"/>
            <w:tcBorders>
              <w:top w:val="nil"/>
              <w:left w:val="nil"/>
              <w:bottom w:val="nil"/>
              <w:right w:val="nil"/>
            </w:tcBorders>
            <w:shd w:val="clear" w:color="000000" w:fill="BFBFBF"/>
            <w:textDirection w:val="lrTb"/>
            <w:vAlign w:val="bottom"/>
            <w:hideMark/>
          </w:tcPr>
          <w:p w:rsidR="008117A9" w:rsidRPr="004E38E1" w:rsidP="00A97D6F">
            <w:pPr>
              <w:bidi w:val="0"/>
              <w:spacing w:after="0" w:line="240" w:lineRule="auto"/>
              <w:jc w:val="right"/>
              <w:rPr>
                <w:rFonts w:ascii="Times New Roman" w:hAnsi="Times New Roman" w:cs="Times New Roman"/>
                <w:b/>
                <w:bCs/>
                <w:sz w:val="20"/>
                <w:szCs w:val="20"/>
                <w:lang w:eastAsia="sk-SK"/>
              </w:rPr>
            </w:pPr>
            <w:r w:rsidRPr="004E38E1">
              <w:rPr>
                <w:rFonts w:ascii="Times New Roman" w:hAnsi="Times New Roman" w:cs="Times New Roman"/>
                <w:b/>
                <w:bCs/>
                <w:sz w:val="20"/>
                <w:szCs w:val="20"/>
                <w:lang w:eastAsia="sk-SK"/>
              </w:rPr>
              <w:t>31.12.2013</w:t>
            </w:r>
          </w:p>
        </w:tc>
        <w:tc>
          <w:tcPr>
            <w:tcW w:w="769" w:type="pct"/>
            <w:tcBorders>
              <w:top w:val="nil"/>
              <w:left w:val="nil"/>
              <w:bottom w:val="nil"/>
              <w:right w:val="nil"/>
            </w:tcBorders>
            <w:shd w:val="clear" w:color="000000" w:fill="BFBFBF"/>
            <w:textDirection w:val="lrTb"/>
            <w:vAlign w:val="bottom"/>
            <w:hideMark/>
          </w:tcPr>
          <w:p w:rsidR="008117A9" w:rsidRPr="004E38E1" w:rsidP="00A97D6F">
            <w:pPr>
              <w:bidi w:val="0"/>
              <w:spacing w:after="0" w:line="240" w:lineRule="auto"/>
              <w:jc w:val="right"/>
              <w:rPr>
                <w:rFonts w:ascii="Times New Roman" w:hAnsi="Times New Roman" w:cs="Times New Roman"/>
                <w:b/>
                <w:bCs/>
                <w:sz w:val="20"/>
                <w:szCs w:val="20"/>
                <w:lang w:eastAsia="sk-SK"/>
              </w:rPr>
            </w:pPr>
            <w:r w:rsidRPr="004E38E1">
              <w:rPr>
                <w:rFonts w:ascii="Times New Roman" w:hAnsi="Times New Roman" w:cs="Times New Roman"/>
                <w:b/>
                <w:bCs/>
                <w:sz w:val="20"/>
                <w:szCs w:val="20"/>
                <w:lang w:eastAsia="sk-SK"/>
              </w:rPr>
              <w:t>31.12.2014</w:t>
            </w:r>
          </w:p>
        </w:tc>
        <w:tc>
          <w:tcPr>
            <w:tcW w:w="694" w:type="pct"/>
            <w:tcBorders>
              <w:top w:val="nil"/>
              <w:left w:val="nil"/>
              <w:bottom w:val="single" w:sz="4" w:space="0" w:color="auto"/>
              <w:right w:val="nil"/>
            </w:tcBorders>
            <w:shd w:val="clear" w:color="000000" w:fill="BFBFBF"/>
            <w:textDirection w:val="lrTb"/>
            <w:vAlign w:val="bottom"/>
            <w:hideMark/>
          </w:tcPr>
          <w:p w:rsidR="008117A9" w:rsidRPr="004E38E1" w:rsidP="00A97D6F">
            <w:pPr>
              <w:bidi w:val="0"/>
              <w:spacing w:after="0" w:line="240" w:lineRule="auto"/>
              <w:jc w:val="right"/>
              <w:rPr>
                <w:rFonts w:ascii="Times New Roman" w:hAnsi="Times New Roman" w:cs="Times New Roman"/>
                <w:b/>
                <w:bCs/>
                <w:sz w:val="20"/>
                <w:szCs w:val="20"/>
                <w:lang w:eastAsia="sk-SK"/>
              </w:rPr>
            </w:pPr>
            <w:r w:rsidRPr="004E38E1">
              <w:rPr>
                <w:rFonts w:ascii="Times New Roman" w:hAnsi="Times New Roman" w:cs="Times New Roman"/>
                <w:b/>
                <w:bCs/>
                <w:sz w:val="20"/>
                <w:szCs w:val="20"/>
                <w:lang w:eastAsia="sk-SK"/>
              </w:rPr>
              <w:t>31.12.2015</w:t>
            </w:r>
          </w:p>
        </w:tc>
        <w:tc>
          <w:tcPr>
            <w:tcW w:w="575" w:type="pct"/>
            <w:tcBorders>
              <w:top w:val="nil"/>
              <w:left w:val="nil"/>
              <w:bottom w:val="nil"/>
              <w:right w:val="nil"/>
            </w:tcBorders>
            <w:shd w:val="clear" w:color="000000" w:fill="BFBFBF"/>
            <w:textDirection w:val="lrTb"/>
            <w:vAlign w:val="bottom"/>
            <w:hideMark/>
          </w:tcPr>
          <w:p w:rsidR="008117A9" w:rsidRPr="004E38E1" w:rsidP="00A97D6F">
            <w:pPr>
              <w:bidi w:val="0"/>
              <w:spacing w:after="0" w:line="240" w:lineRule="auto"/>
              <w:jc w:val="right"/>
              <w:rPr>
                <w:rFonts w:ascii="Times New Roman" w:hAnsi="Times New Roman" w:cs="Times New Roman"/>
                <w:b/>
                <w:bCs/>
                <w:sz w:val="20"/>
                <w:szCs w:val="20"/>
                <w:lang w:eastAsia="sk-SK"/>
              </w:rPr>
            </w:pPr>
            <w:r w:rsidRPr="004E38E1">
              <w:rPr>
                <w:rFonts w:ascii="Times New Roman" w:hAnsi="Times New Roman" w:cs="Times New Roman"/>
                <w:b/>
                <w:bCs/>
                <w:sz w:val="20"/>
                <w:szCs w:val="20"/>
                <w:lang w:eastAsia="sk-SK"/>
              </w:rPr>
              <w:t>2015-2014</w:t>
            </w:r>
          </w:p>
        </w:tc>
      </w:tr>
      <w:tr>
        <w:tblPrEx>
          <w:tblW w:w="5000" w:type="pct"/>
          <w:tblCellMar>
            <w:left w:w="70" w:type="dxa"/>
            <w:right w:w="70" w:type="dxa"/>
          </w:tblCellMar>
          <w:tblLook w:val="04A0"/>
        </w:tblPrEx>
        <w:trPr>
          <w:trHeight w:val="300"/>
        </w:trPr>
        <w:tc>
          <w:tcPr>
            <w:tcW w:w="2116" w:type="pct"/>
            <w:tcBorders>
              <w:top w:val="single" w:sz="4" w:space="0" w:color="auto"/>
              <w:left w:val="nil"/>
              <w:bottom w:val="nil"/>
              <w:right w:val="nil"/>
            </w:tcBorders>
            <w:textDirection w:val="lrTb"/>
            <w:vAlign w:val="center"/>
            <w:hideMark/>
          </w:tcPr>
          <w:p w:rsidR="008117A9" w:rsidRPr="004E38E1" w:rsidP="00A97D6F">
            <w:pPr>
              <w:bidi w:val="0"/>
              <w:spacing w:after="0" w:line="240" w:lineRule="auto"/>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Ústredná správa a podniky štátnej správy</w:t>
            </w:r>
          </w:p>
        </w:tc>
        <w:tc>
          <w:tcPr>
            <w:tcW w:w="846" w:type="pct"/>
            <w:tcBorders>
              <w:top w:val="single" w:sz="4" w:space="0" w:color="auto"/>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631 685</w:t>
            </w:r>
          </w:p>
        </w:tc>
        <w:tc>
          <w:tcPr>
            <w:tcW w:w="769" w:type="pct"/>
            <w:tcBorders>
              <w:top w:val="single" w:sz="4" w:space="0" w:color="auto"/>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1 218 382</w:t>
            </w:r>
          </w:p>
        </w:tc>
        <w:tc>
          <w:tcPr>
            <w:tcW w:w="694"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1 336 074</w:t>
            </w:r>
          </w:p>
        </w:tc>
        <w:tc>
          <w:tcPr>
            <w:tcW w:w="575" w:type="pct"/>
            <w:tcBorders>
              <w:top w:val="single" w:sz="4" w:space="0" w:color="auto"/>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117 692</w:t>
            </w:r>
          </w:p>
        </w:tc>
      </w:tr>
      <w:tr>
        <w:tblPrEx>
          <w:tblW w:w="5000" w:type="pct"/>
          <w:tblCellMar>
            <w:left w:w="70" w:type="dxa"/>
            <w:right w:w="70" w:type="dxa"/>
          </w:tblCellMar>
          <w:tblLook w:val="04A0"/>
        </w:tblPrEx>
        <w:trPr>
          <w:trHeight w:val="300"/>
        </w:trPr>
        <w:tc>
          <w:tcPr>
            <w:tcW w:w="2116" w:type="pct"/>
            <w:tcBorders>
              <w:top w:val="nil"/>
              <w:left w:val="nil"/>
              <w:bottom w:val="nil"/>
              <w:right w:val="nil"/>
            </w:tcBorders>
            <w:textDirection w:val="lrTb"/>
            <w:vAlign w:val="center"/>
            <w:hideMark/>
          </w:tcPr>
          <w:p w:rsidR="008117A9" w:rsidRPr="004E38E1" w:rsidP="00A97D6F">
            <w:pPr>
              <w:bidi w:val="0"/>
              <w:spacing w:after="0" w:line="240" w:lineRule="auto"/>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Vyššie územné celky a ich účtovné jednotky</w:t>
            </w:r>
          </w:p>
        </w:tc>
        <w:tc>
          <w:tcPr>
            <w:tcW w:w="846"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10 107</w:t>
            </w:r>
          </w:p>
        </w:tc>
        <w:tc>
          <w:tcPr>
            <w:tcW w:w="769"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9 236</w:t>
            </w:r>
          </w:p>
        </w:tc>
        <w:tc>
          <w:tcPr>
            <w:tcW w:w="694"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13 434</w:t>
            </w:r>
          </w:p>
        </w:tc>
        <w:tc>
          <w:tcPr>
            <w:tcW w:w="575"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4 198</w:t>
            </w:r>
          </w:p>
        </w:tc>
      </w:tr>
      <w:tr>
        <w:tblPrEx>
          <w:tblW w:w="5000" w:type="pct"/>
          <w:tblCellMar>
            <w:left w:w="70" w:type="dxa"/>
            <w:right w:w="70" w:type="dxa"/>
          </w:tblCellMar>
          <w:tblLook w:val="04A0"/>
        </w:tblPrEx>
        <w:trPr>
          <w:trHeight w:val="255"/>
        </w:trPr>
        <w:tc>
          <w:tcPr>
            <w:tcW w:w="2116" w:type="pct"/>
            <w:tcBorders>
              <w:top w:val="nil"/>
              <w:left w:val="nil"/>
              <w:bottom w:val="nil"/>
              <w:right w:val="nil"/>
            </w:tcBorders>
            <w:textDirection w:val="lrTb"/>
            <w:vAlign w:val="center"/>
            <w:hideMark/>
          </w:tcPr>
          <w:p w:rsidR="008117A9" w:rsidRPr="004E38E1" w:rsidP="00A97D6F">
            <w:pPr>
              <w:bidi w:val="0"/>
              <w:spacing w:after="0" w:line="240" w:lineRule="auto"/>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Obce a ich účtovné jednotky</w:t>
            </w:r>
          </w:p>
        </w:tc>
        <w:tc>
          <w:tcPr>
            <w:tcW w:w="846"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46 853</w:t>
            </w:r>
          </w:p>
        </w:tc>
        <w:tc>
          <w:tcPr>
            <w:tcW w:w="769"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30 622</w:t>
            </w:r>
          </w:p>
        </w:tc>
        <w:tc>
          <w:tcPr>
            <w:tcW w:w="694"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42 696</w:t>
            </w:r>
          </w:p>
        </w:tc>
        <w:tc>
          <w:tcPr>
            <w:tcW w:w="575" w:type="pct"/>
            <w:tcBorders>
              <w:top w:val="nil"/>
              <w:left w:val="nil"/>
              <w:bottom w:val="nil"/>
              <w:right w:val="nil"/>
            </w:tcBorders>
            <w:textDirection w:val="lrTb"/>
            <w:vAlign w:val="center"/>
            <w:hideMark/>
          </w:tcPr>
          <w:p w:rsidR="008117A9" w:rsidRPr="004E38E1" w:rsidP="00A97D6F">
            <w:pPr>
              <w:bidi w:val="0"/>
              <w:spacing w:after="0" w:line="240" w:lineRule="auto"/>
              <w:jc w:val="right"/>
              <w:rPr>
                <w:rFonts w:ascii="Times New Roman" w:hAnsi="Times New Roman" w:cs="Times New Roman"/>
                <w:color w:val="000000"/>
                <w:sz w:val="20"/>
                <w:szCs w:val="20"/>
                <w:lang w:eastAsia="sk-SK"/>
              </w:rPr>
            </w:pPr>
            <w:r w:rsidRPr="004E38E1">
              <w:rPr>
                <w:rFonts w:ascii="Times New Roman" w:hAnsi="Times New Roman" w:cs="Times New Roman"/>
                <w:color w:val="000000"/>
                <w:sz w:val="20"/>
                <w:szCs w:val="20"/>
                <w:lang w:eastAsia="sk-SK"/>
              </w:rPr>
              <w:t>12 074</w:t>
            </w:r>
          </w:p>
        </w:tc>
      </w:tr>
      <w:tr>
        <w:tblPrEx>
          <w:tblW w:w="5000" w:type="pct"/>
          <w:tblCellMar>
            <w:left w:w="70" w:type="dxa"/>
            <w:right w:w="70" w:type="dxa"/>
          </w:tblCellMar>
          <w:tblLook w:val="04A0"/>
        </w:tblPrEx>
        <w:trPr>
          <w:trHeight w:val="255"/>
        </w:trPr>
        <w:tc>
          <w:tcPr>
            <w:tcW w:w="2116" w:type="pct"/>
            <w:tcBorders>
              <w:top w:val="single" w:sz="4" w:space="0" w:color="auto"/>
              <w:left w:val="nil"/>
              <w:bottom w:val="single" w:sz="4" w:space="0" w:color="auto"/>
              <w:right w:val="nil"/>
            </w:tcBorders>
            <w:shd w:val="clear" w:color="000000" w:fill="BFBFBF"/>
            <w:noWrap/>
            <w:textDirection w:val="lrTb"/>
            <w:vAlign w:val="center"/>
            <w:hideMark/>
          </w:tcPr>
          <w:p w:rsidR="008117A9" w:rsidRPr="004E38E1" w:rsidP="00A97D6F">
            <w:pPr>
              <w:bidi w:val="0"/>
              <w:spacing w:after="0" w:line="240" w:lineRule="auto"/>
              <w:rPr>
                <w:rFonts w:ascii="Times New Roman" w:hAnsi="Times New Roman" w:cs="Times New Roman"/>
                <w:b/>
                <w:bCs/>
                <w:color w:val="000000"/>
                <w:sz w:val="20"/>
                <w:szCs w:val="20"/>
                <w:lang w:eastAsia="sk-SK"/>
              </w:rPr>
            </w:pPr>
            <w:r w:rsidRPr="004E38E1">
              <w:rPr>
                <w:rFonts w:ascii="Times New Roman" w:hAnsi="Times New Roman" w:cs="Times New Roman"/>
                <w:b/>
                <w:bCs/>
                <w:color w:val="000000"/>
                <w:sz w:val="20"/>
                <w:szCs w:val="20"/>
                <w:lang w:eastAsia="sk-SK"/>
              </w:rPr>
              <w:t xml:space="preserve">Spolu  </w:t>
            </w:r>
          </w:p>
        </w:tc>
        <w:tc>
          <w:tcPr>
            <w:tcW w:w="846" w:type="pct"/>
            <w:tcBorders>
              <w:top w:val="single" w:sz="4" w:space="0" w:color="auto"/>
              <w:left w:val="nil"/>
              <w:bottom w:val="single" w:sz="4" w:space="0" w:color="auto"/>
              <w:right w:val="nil"/>
            </w:tcBorders>
            <w:shd w:val="clear" w:color="000000" w:fill="BFBFBF"/>
            <w:noWrap/>
            <w:textDirection w:val="lrTb"/>
            <w:vAlign w:val="center"/>
            <w:hideMark/>
          </w:tcPr>
          <w:p w:rsidR="008117A9" w:rsidRPr="004E38E1" w:rsidP="00A97D6F">
            <w:pPr>
              <w:bidi w:val="0"/>
              <w:spacing w:after="0" w:line="240" w:lineRule="auto"/>
              <w:jc w:val="right"/>
              <w:rPr>
                <w:rFonts w:ascii="Times New Roman" w:hAnsi="Times New Roman" w:cs="Times New Roman"/>
                <w:b/>
                <w:bCs/>
                <w:color w:val="000000"/>
                <w:sz w:val="20"/>
                <w:szCs w:val="20"/>
                <w:lang w:eastAsia="sk-SK"/>
              </w:rPr>
            </w:pPr>
            <w:r w:rsidRPr="004E38E1">
              <w:rPr>
                <w:rFonts w:ascii="Times New Roman" w:hAnsi="Times New Roman" w:cs="Times New Roman"/>
                <w:b/>
                <w:bCs/>
                <w:color w:val="000000"/>
                <w:sz w:val="20"/>
                <w:szCs w:val="20"/>
                <w:lang w:eastAsia="sk-SK"/>
              </w:rPr>
              <w:t>688 645</w:t>
            </w:r>
          </w:p>
        </w:tc>
        <w:tc>
          <w:tcPr>
            <w:tcW w:w="769" w:type="pct"/>
            <w:tcBorders>
              <w:top w:val="single" w:sz="4" w:space="0" w:color="auto"/>
              <w:left w:val="nil"/>
              <w:bottom w:val="single" w:sz="4" w:space="0" w:color="auto"/>
              <w:right w:val="nil"/>
            </w:tcBorders>
            <w:shd w:val="clear" w:color="000000" w:fill="BFBFBF"/>
            <w:noWrap/>
            <w:textDirection w:val="lrTb"/>
            <w:vAlign w:val="center"/>
            <w:hideMark/>
          </w:tcPr>
          <w:p w:rsidR="008117A9" w:rsidRPr="004E38E1" w:rsidP="00A97D6F">
            <w:pPr>
              <w:bidi w:val="0"/>
              <w:spacing w:after="0" w:line="240" w:lineRule="auto"/>
              <w:jc w:val="right"/>
              <w:rPr>
                <w:rFonts w:ascii="Times New Roman" w:hAnsi="Times New Roman" w:cs="Times New Roman"/>
                <w:b/>
                <w:bCs/>
                <w:color w:val="000000"/>
                <w:sz w:val="20"/>
                <w:szCs w:val="20"/>
                <w:lang w:eastAsia="sk-SK"/>
              </w:rPr>
            </w:pPr>
            <w:r w:rsidRPr="004E38E1">
              <w:rPr>
                <w:rFonts w:ascii="Times New Roman" w:hAnsi="Times New Roman" w:cs="Times New Roman"/>
                <w:b/>
                <w:bCs/>
                <w:color w:val="000000"/>
                <w:sz w:val="20"/>
                <w:szCs w:val="20"/>
                <w:lang w:eastAsia="sk-SK"/>
              </w:rPr>
              <w:t>1 258 240</w:t>
            </w:r>
          </w:p>
        </w:tc>
        <w:tc>
          <w:tcPr>
            <w:tcW w:w="694" w:type="pct"/>
            <w:tcBorders>
              <w:top w:val="single" w:sz="4" w:space="0" w:color="auto"/>
              <w:left w:val="nil"/>
              <w:bottom w:val="single" w:sz="4" w:space="0" w:color="auto"/>
              <w:right w:val="nil"/>
            </w:tcBorders>
            <w:shd w:val="clear" w:color="000000" w:fill="BFBFBF"/>
            <w:noWrap/>
            <w:textDirection w:val="lrTb"/>
            <w:vAlign w:val="center"/>
            <w:hideMark/>
          </w:tcPr>
          <w:p w:rsidR="008117A9" w:rsidRPr="004E38E1" w:rsidP="00A97D6F">
            <w:pPr>
              <w:bidi w:val="0"/>
              <w:spacing w:after="0" w:line="240" w:lineRule="auto"/>
              <w:jc w:val="right"/>
              <w:rPr>
                <w:rFonts w:ascii="Times New Roman" w:hAnsi="Times New Roman" w:cs="Times New Roman"/>
                <w:b/>
                <w:bCs/>
                <w:color w:val="000000"/>
                <w:sz w:val="20"/>
                <w:szCs w:val="20"/>
                <w:lang w:eastAsia="sk-SK"/>
              </w:rPr>
            </w:pPr>
            <w:r w:rsidRPr="004E38E1">
              <w:rPr>
                <w:rFonts w:ascii="Times New Roman" w:hAnsi="Times New Roman" w:cs="Times New Roman"/>
                <w:b/>
                <w:bCs/>
                <w:color w:val="000000"/>
                <w:sz w:val="20"/>
                <w:szCs w:val="20"/>
                <w:lang w:eastAsia="sk-SK"/>
              </w:rPr>
              <w:t>1 392 204</w:t>
            </w:r>
          </w:p>
        </w:tc>
        <w:tc>
          <w:tcPr>
            <w:tcW w:w="575" w:type="pct"/>
            <w:tcBorders>
              <w:top w:val="single" w:sz="4" w:space="0" w:color="auto"/>
              <w:left w:val="nil"/>
              <w:bottom w:val="single" w:sz="4" w:space="0" w:color="auto"/>
              <w:right w:val="nil"/>
            </w:tcBorders>
            <w:shd w:val="clear" w:color="000000" w:fill="BFBFBF"/>
            <w:noWrap/>
            <w:textDirection w:val="lrTb"/>
            <w:vAlign w:val="center"/>
            <w:hideMark/>
          </w:tcPr>
          <w:p w:rsidR="008117A9" w:rsidRPr="004E38E1" w:rsidP="00A97D6F">
            <w:pPr>
              <w:bidi w:val="0"/>
              <w:spacing w:after="0" w:line="240" w:lineRule="auto"/>
              <w:jc w:val="right"/>
              <w:rPr>
                <w:rFonts w:ascii="Times New Roman" w:hAnsi="Times New Roman" w:cs="Times New Roman"/>
                <w:b/>
                <w:bCs/>
                <w:color w:val="000000"/>
                <w:sz w:val="20"/>
                <w:szCs w:val="20"/>
                <w:lang w:eastAsia="sk-SK"/>
              </w:rPr>
            </w:pPr>
            <w:r w:rsidRPr="004E38E1">
              <w:rPr>
                <w:rFonts w:ascii="Times New Roman" w:hAnsi="Times New Roman" w:cs="Times New Roman"/>
                <w:b/>
                <w:bCs/>
                <w:color w:val="000000"/>
                <w:sz w:val="20"/>
                <w:szCs w:val="20"/>
                <w:lang w:eastAsia="sk-SK"/>
              </w:rPr>
              <w:t>133 964</w:t>
            </w:r>
          </w:p>
        </w:tc>
      </w:tr>
    </w:tbl>
    <w:p w:rsidR="008117A9" w:rsidP="008117A9">
      <w:pPr>
        <w:bidi w:val="0"/>
        <w:spacing w:before="240" w:line="336" w:lineRule="auto"/>
        <w:jc w:val="both"/>
        <w:rPr>
          <w:rFonts w:ascii="Times New Roman" w:hAnsi="Times New Roman" w:cs="Times New Roman"/>
          <w:szCs w:val="22"/>
          <w:highlight w:val="yellow"/>
        </w:rPr>
      </w:pPr>
      <w:r w:rsidRPr="00034156">
        <w:rPr>
          <w:rFonts w:ascii="Times New Roman" w:hAnsi="Times New Roman" w:cs="Times New Roman"/>
          <w:szCs w:val="22"/>
        </w:rPr>
        <w:t xml:space="preserve">Najväčší nárast podmienených aktív bol zaznamenaný u Slovenského plynárenského priemyslu, a.s. o 107 120 tis. eur. z titulu nárastu záruk, ktoré vystavili materské spoločnosti zákazníkov. SPP, a.s. si tak v prípade neplnenia </w:t>
      </w:r>
      <w:r>
        <w:rPr>
          <w:rFonts w:ascii="Times New Roman" w:hAnsi="Times New Roman" w:cs="Times New Roman"/>
          <w:szCs w:val="22"/>
        </w:rPr>
        <w:t>povinností zo strany zákazníkov</w:t>
      </w:r>
      <w:r w:rsidRPr="00034156">
        <w:rPr>
          <w:rFonts w:ascii="Times New Roman" w:hAnsi="Times New Roman" w:cs="Times New Roman"/>
          <w:szCs w:val="22"/>
        </w:rPr>
        <w:t xml:space="preserve"> môže uplatňovať plnenie u ich materských spoločností.</w:t>
      </w:r>
    </w:p>
    <w:p w:rsidR="008117A9" w:rsidP="008117A9">
      <w:pPr>
        <w:bidi w:val="0"/>
        <w:spacing w:before="240" w:line="336" w:lineRule="auto"/>
        <w:jc w:val="both"/>
        <w:rPr>
          <w:rFonts w:ascii="Times New Roman" w:hAnsi="Times New Roman" w:cs="Times New Roman"/>
          <w:szCs w:val="22"/>
        </w:rPr>
      </w:pPr>
      <w:r w:rsidRPr="00034156">
        <w:rPr>
          <w:rFonts w:ascii="Times New Roman" w:hAnsi="Times New Roman" w:cs="Times New Roman"/>
          <w:szCs w:val="22"/>
        </w:rPr>
        <w:t xml:space="preserve">Vodohospodárska výstavba, š.p. prehodnotila svoje súdne spory voči </w:t>
      </w:r>
      <w:r>
        <w:rPr>
          <w:rFonts w:ascii="Times New Roman" w:hAnsi="Times New Roman" w:cs="Times New Roman"/>
          <w:szCs w:val="22"/>
        </w:rPr>
        <w:t xml:space="preserve">Slovenským elektrárňam, a.s. o </w:t>
      </w:r>
      <w:r w:rsidRPr="002A13CE">
        <w:rPr>
          <w:rFonts w:ascii="Times New Roman" w:hAnsi="Times New Roman" w:cs="Times New Roman"/>
          <w:szCs w:val="22"/>
        </w:rPr>
        <w:t>bezdôvodné obohatenie, čím zvýšila odhad podmienených aktív o 86 486 tis. eur. Spor sa týka platieb, ktoré platila Vodohospodárska výstavba, š.p. elektrárňam od roku 2006 na základe podľa nich neplatných zmlúv na užívanie Vodnej elektrárne Gabčíkovo. Celkové podmienené aktívum k tomuto sporu k 31.12.2015 dosiahlo výšku 411 020 tis. eur.</w:t>
      </w:r>
    </w:p>
    <w:p w:rsidR="008117A9" w:rsidRPr="002A13CE" w:rsidP="008117A9">
      <w:pPr>
        <w:bidi w:val="0"/>
        <w:spacing w:before="240" w:line="336" w:lineRule="auto"/>
        <w:jc w:val="both"/>
        <w:rPr>
          <w:rFonts w:ascii="Times New Roman" w:hAnsi="Times New Roman" w:cs="Times New Roman"/>
          <w:szCs w:val="22"/>
        </w:rPr>
      </w:pPr>
      <w:r>
        <w:rPr>
          <w:rFonts w:ascii="Times New Roman" w:hAnsi="Times New Roman" w:cs="Times New Roman"/>
          <w:szCs w:val="22"/>
        </w:rPr>
        <w:t xml:space="preserve">Tretiu </w:t>
      </w:r>
      <w:r w:rsidRPr="0043569B">
        <w:rPr>
          <w:rFonts w:ascii="Times New Roman" w:hAnsi="Times New Roman" w:cs="Times New Roman"/>
          <w:szCs w:val="22"/>
        </w:rPr>
        <w:t>najväčšiu zmenu zaznamenala Exportno-importná banka SR, ktorej iné aktíva z titulu prijatých zabezpečení za poskytnuté úvery a záruky klesli o 38 198 tis. eur na úroveň 139 746 tis. eur.</w:t>
      </w:r>
    </w:p>
    <w:p w:rsidR="008117A9" w:rsidRPr="00551C37" w:rsidP="008117A9">
      <w:pPr>
        <w:bidi w:val="0"/>
        <w:spacing w:before="240" w:line="336" w:lineRule="auto"/>
        <w:jc w:val="both"/>
        <w:rPr>
          <w:rFonts w:ascii="Times New Roman" w:hAnsi="Times New Roman" w:cs="Times New Roman"/>
          <w:szCs w:val="22"/>
        </w:rPr>
      </w:pPr>
      <w:r w:rsidRPr="00551C37">
        <w:rPr>
          <w:rFonts w:ascii="Times New Roman" w:hAnsi="Times New Roman" w:cs="Times New Roman"/>
          <w:szCs w:val="22"/>
        </w:rPr>
        <w:t>Medzi najväčšie iné aktíva patrili k 31.12.2015 súdne spory evidované Ministerstvom financií SR vo výške 394 105 tis. eur (konkurzné konania, exekučné rozhodnutia a iné súdne spory). Ministerstvo financií SR ešte viedlo pohľadávku voči Slovenskému záručnému a investičnému fondu, s.r.o. vo výške 85 751 tis. eur, ktorá sa rovná výške obchodného podielu Európskeho investičného fondu v SZIF, s.r.o., ktorý má byť prevedený na právnickú osobu ovládanú Slovenskou republikou. Zmena iných aktív MF SR v roku 2015 bola relatívne nízka v sume 887 tis. eur, o ktorú narástli súdne spory.</w:t>
      </w:r>
    </w:p>
    <w:p w:rsidR="008117A9" w:rsidRPr="00C079B5" w:rsidP="008117A9">
      <w:pPr>
        <w:bidi w:val="0"/>
        <w:spacing w:before="240" w:line="336" w:lineRule="auto"/>
        <w:jc w:val="both"/>
        <w:rPr>
          <w:rFonts w:ascii="Times New Roman" w:hAnsi="Times New Roman" w:cs="Times New Roman"/>
          <w:szCs w:val="22"/>
        </w:rPr>
      </w:pPr>
      <w:r w:rsidRPr="00C079B5">
        <w:rPr>
          <w:rFonts w:ascii="Times New Roman" w:hAnsi="Times New Roman" w:cs="Times New Roman"/>
          <w:szCs w:val="22"/>
        </w:rPr>
        <w:t xml:space="preserve">Skupina Slovenská elektrizačná prenosová sústava, a.s. vykázala k 31.12.2015 v konsolidovanej účtovnej závierke </w:t>
      </w:r>
      <w:r>
        <w:rPr>
          <w:rFonts w:ascii="Times New Roman" w:hAnsi="Times New Roman" w:cs="Times New Roman"/>
          <w:szCs w:val="22"/>
        </w:rPr>
        <w:t>ako podmienené aktíva</w:t>
      </w:r>
      <w:r w:rsidRPr="00C079B5">
        <w:rPr>
          <w:rFonts w:ascii="Times New Roman" w:hAnsi="Times New Roman" w:cs="Times New Roman"/>
          <w:szCs w:val="22"/>
        </w:rPr>
        <w:t xml:space="preserve"> sumu prijatých bankových záruk vo výške 100 550 tis. eur. Bankové záruky sú uzatvárané v prospech skupiny SEPS, a.s. účastníkmi krátkodobého trhu s elektrickou energiou, ktoré chránia skupinu pred ich prípadnou platobnou neschopnosťou.</w:t>
      </w:r>
    </w:p>
    <w:p w:rsidR="008117A9" w:rsidP="008117A9">
      <w:pPr>
        <w:bidi w:val="0"/>
        <w:spacing w:line="336" w:lineRule="auto"/>
        <w:jc w:val="both"/>
        <w:rPr>
          <w:rFonts w:ascii="Times New Roman" w:hAnsi="Times New Roman" w:cs="Times New Roman"/>
          <w:szCs w:val="22"/>
        </w:rPr>
      </w:pPr>
      <w:r w:rsidRPr="00C079B5">
        <w:rPr>
          <w:rFonts w:ascii="Times New Roman" w:hAnsi="Times New Roman" w:cs="Times New Roman"/>
          <w:szCs w:val="22"/>
        </w:rPr>
        <w:t>Pre koncept čistého bohatstva boli celkové podmienené aktíva verejného sektora upravené o nasledovné položky. Časť vyčíslenej spornej sumy, o ktorú sa súdi Vodohospodárska výstavba, š.p. so Slovenskými elektrárňami, a.s., bola od celkových podmienených aktív odpočítaná. Táto časť zodpovedá 34</w:t>
      </w:r>
      <w:r>
        <w:rPr>
          <w:rFonts w:ascii="Times New Roman" w:hAnsi="Times New Roman" w:cs="Times New Roman"/>
          <w:szCs w:val="22"/>
        </w:rPr>
        <w:t> </w:t>
      </w:r>
      <w:r w:rsidRPr="00C079B5">
        <w:rPr>
          <w:rFonts w:ascii="Times New Roman" w:hAnsi="Times New Roman" w:cs="Times New Roman"/>
          <w:szCs w:val="22"/>
        </w:rPr>
        <w:t xml:space="preserve">% vlastníckemu podielu štátu v SE, a.s. Z pohľadu verejného sektora </w:t>
      </w:r>
      <w:r>
        <w:rPr>
          <w:rFonts w:ascii="Times New Roman" w:hAnsi="Times New Roman" w:cs="Times New Roman"/>
          <w:szCs w:val="22"/>
        </w:rPr>
        <w:t>ide</w:t>
      </w:r>
      <w:r w:rsidRPr="00C079B5">
        <w:rPr>
          <w:rFonts w:ascii="Times New Roman" w:hAnsi="Times New Roman" w:cs="Times New Roman"/>
          <w:szCs w:val="22"/>
        </w:rPr>
        <w:t xml:space="preserve"> o konsolidáciu. Odpočítané boli tiež prijaté záruky EXIM banky, SEPS, a.s. a SPP, a.s.. V týchto prípadoch, ak by boli záruky realizované, vlastné imanie a čisté bohatstvo by nevzrástlo, pretože príjmy z realizovaných záruk by len nahradili existujúce bilančné aktíva (úvery u EXIM banky a obchodné pohľadávky u SEPS, a.s. a SPP, a.s.). Tieto podmienené aktíva teda nepredstavujú potenciálny zdroj zvýšenia vlastného imania verejného sektora. </w:t>
      </w:r>
      <w:r w:rsidRPr="00C079B5">
        <w:rPr>
          <w:rFonts w:ascii="Times New Roman" w:hAnsi="Times New Roman" w:cs="Times New Roman"/>
          <w:b/>
          <w:szCs w:val="22"/>
        </w:rPr>
        <w:t>Upravená výška podmienených aktív pre čisté bohatstvo k 31.12.2015 bola 840 164 tis. eur</w:t>
      </w:r>
      <w:r w:rsidRPr="00C079B5">
        <w:rPr>
          <w:rFonts w:ascii="Times New Roman" w:hAnsi="Times New Roman" w:cs="Times New Roman"/>
          <w:szCs w:val="22"/>
        </w:rPr>
        <w:t>.</w:t>
      </w:r>
    </w:p>
    <w:p w:rsidR="008117A9" w:rsidRPr="00C079B5" w:rsidP="002A4EBB">
      <w:pPr>
        <w:pStyle w:val="Heading3"/>
        <w:numPr>
          <w:numId w:val="45"/>
        </w:numPr>
        <w:bidi w:val="0"/>
        <w:ind w:left="1080"/>
      </w:pPr>
      <w:bookmarkStart w:id="123" w:name="_Toc465258498"/>
      <w:r>
        <w:rPr>
          <w:rFonts w:hint="default"/>
        </w:rPr>
        <w:t>Š</w:t>
      </w:r>
      <w:r>
        <w:rPr>
          <w:rFonts w:hint="default"/>
        </w:rPr>
        <w:t>peciá</w:t>
      </w:r>
      <w:r>
        <w:rPr>
          <w:rFonts w:hint="default"/>
        </w:rPr>
        <w:t xml:space="preserve">lna kapitola: </w:t>
      </w:r>
      <w:r>
        <w:rPr>
          <w:rFonts w:hint="default"/>
        </w:rPr>
        <w:t>Podzemné</w:t>
      </w:r>
      <w:r>
        <w:rPr>
          <w:rFonts w:hint="default"/>
        </w:rPr>
        <w:t xml:space="preserve"> vody SR</w:t>
      </w:r>
      <w:bookmarkEnd w:id="123"/>
    </w:p>
    <w:p w:rsidR="008117A9" w:rsidP="008117A9">
      <w:pPr>
        <w:bidi w:val="0"/>
        <w:spacing w:line="336" w:lineRule="auto"/>
        <w:jc w:val="both"/>
        <w:rPr>
          <w:rFonts w:ascii="Times New Roman" w:hAnsi="Times New Roman" w:cs="Times New Roman"/>
          <w:szCs w:val="22"/>
        </w:rPr>
      </w:pPr>
      <w:r>
        <w:rPr>
          <w:rFonts w:ascii="Times New Roman" w:hAnsi="Times New Roman" w:cs="Times New Roman"/>
          <w:szCs w:val="22"/>
        </w:rPr>
        <w:t xml:space="preserve">V predchádzajúcich súhrnných výročných správach bol avizovaný cieľ rozšíriť postupne pohľad aj na položky, </w:t>
      </w:r>
      <w:r>
        <w:rPr>
          <w:rFonts w:ascii="Times New Roman" w:eastAsia="Cambria" w:hAnsi="Times New Roman" w:cs="Times New Roman" w:hint="default"/>
          <w:szCs w:val="22"/>
        </w:rPr>
        <w:t>ktoré</w:t>
      </w:r>
      <w:r>
        <w:rPr>
          <w:rFonts w:ascii="Times New Roman" w:eastAsia="Cambria" w:hAnsi="Times New Roman" w:cs="Times New Roman" w:hint="default"/>
          <w:szCs w:val="22"/>
        </w:rPr>
        <w:t xml:space="preserve"> nie sú</w:t>
      </w:r>
      <w:r>
        <w:rPr>
          <w:rFonts w:ascii="Times New Roman" w:eastAsia="Cambria" w:hAnsi="Times New Roman" w:cs="Times New Roman" w:hint="default"/>
          <w:szCs w:val="22"/>
        </w:rPr>
        <w:t xml:space="preserve"> podľ</w:t>
      </w:r>
      <w:r>
        <w:rPr>
          <w:rFonts w:ascii="Times New Roman" w:eastAsia="Cambria" w:hAnsi="Times New Roman" w:cs="Times New Roman" w:hint="default"/>
          <w:szCs w:val="22"/>
        </w:rPr>
        <w:t>a súč</w:t>
      </w:r>
      <w:r>
        <w:rPr>
          <w:rFonts w:ascii="Times New Roman" w:eastAsia="Cambria" w:hAnsi="Times New Roman" w:cs="Times New Roman" w:hint="default"/>
          <w:szCs w:val="22"/>
        </w:rPr>
        <w:t>asnej metodoló</w:t>
      </w:r>
      <w:r>
        <w:rPr>
          <w:rFonts w:ascii="Times New Roman" w:eastAsia="Cambria" w:hAnsi="Times New Roman" w:cs="Times New Roman" w:hint="default"/>
          <w:szCs w:val="22"/>
        </w:rPr>
        <w:t>gie jednoznač</w:t>
      </w:r>
      <w:r>
        <w:rPr>
          <w:rFonts w:ascii="Times New Roman" w:eastAsia="Cambria" w:hAnsi="Times New Roman" w:cs="Times New Roman" w:hint="default"/>
          <w:szCs w:val="22"/>
        </w:rPr>
        <w:t>ne ocenené, </w:t>
      </w:r>
      <w:r>
        <w:rPr>
          <w:rFonts w:ascii="Times New Roman" w:eastAsia="Cambria" w:hAnsi="Times New Roman" w:cs="Times New Roman" w:hint="default"/>
          <w:szCs w:val="22"/>
        </w:rPr>
        <w:t>tý</w:t>
      </w:r>
      <w:r>
        <w:rPr>
          <w:rFonts w:ascii="Times New Roman" w:eastAsia="Cambria" w:hAnsi="Times New Roman" w:cs="Times New Roman" w:hint="default"/>
          <w:szCs w:val="22"/>
        </w:rPr>
        <w:t>m ani vyká</w:t>
      </w:r>
      <w:r>
        <w:rPr>
          <w:rFonts w:ascii="Times New Roman" w:eastAsia="Cambria" w:hAnsi="Times New Roman" w:cs="Times New Roman" w:hint="default"/>
          <w:szCs w:val="22"/>
        </w:rPr>
        <w:t>zané</w:t>
      </w:r>
      <w:r>
        <w:rPr>
          <w:rFonts w:ascii="Times New Roman" w:eastAsia="Cambria" w:hAnsi="Times New Roman" w:cs="Times New Roman" w:hint="default"/>
          <w:szCs w:val="22"/>
        </w:rPr>
        <w:t xml:space="preserve"> v </w:t>
      </w:r>
      <w:r>
        <w:rPr>
          <w:rFonts w:ascii="Times New Roman" w:eastAsia="Cambria" w:hAnsi="Times New Roman" w:cs="Times New Roman" w:hint="default"/>
          <w:szCs w:val="22"/>
        </w:rPr>
        <w:t>úč</w:t>
      </w:r>
      <w:r>
        <w:rPr>
          <w:rFonts w:ascii="Times New Roman" w:eastAsia="Cambria" w:hAnsi="Times New Roman" w:cs="Times New Roman" w:hint="default"/>
          <w:szCs w:val="22"/>
        </w:rPr>
        <w:t>tovný</w:t>
      </w:r>
      <w:r>
        <w:rPr>
          <w:rFonts w:ascii="Times New Roman" w:eastAsia="Cambria" w:hAnsi="Times New Roman" w:cs="Times New Roman" w:hint="default"/>
          <w:szCs w:val="22"/>
        </w:rPr>
        <w:t>ch zá</w:t>
      </w:r>
      <w:r>
        <w:rPr>
          <w:rFonts w:ascii="Times New Roman" w:eastAsia="Cambria" w:hAnsi="Times New Roman" w:cs="Times New Roman" w:hint="default"/>
          <w:szCs w:val="22"/>
        </w:rPr>
        <w:t>vierkach subjektov verejnej sprá</w:t>
      </w:r>
      <w:r>
        <w:rPr>
          <w:rFonts w:ascii="Times New Roman" w:eastAsia="Cambria" w:hAnsi="Times New Roman" w:cs="Times New Roman" w:hint="default"/>
          <w:szCs w:val="22"/>
        </w:rPr>
        <w:t>vy</w:t>
      </w:r>
      <w:r>
        <w:rPr>
          <w:rFonts w:ascii="Times New Roman" w:hAnsi="Times New Roman" w:cs="Times New Roman"/>
          <w:szCs w:val="22"/>
        </w:rPr>
        <w:t xml:space="preserve"> a preto nevstupujú </w:t>
      </w:r>
      <w:r w:rsidRPr="00EE51C4">
        <w:rPr>
          <w:rFonts w:ascii="Times New Roman" w:hAnsi="Times New Roman" w:cs="Times New Roman"/>
          <w:szCs w:val="22"/>
        </w:rPr>
        <w:t>do výpočtu čistého bohatstva</w:t>
      </w:r>
      <w:r>
        <w:rPr>
          <w:rFonts w:ascii="Times New Roman" w:hAnsi="Times New Roman" w:cs="Times New Roman"/>
          <w:szCs w:val="22"/>
        </w:rPr>
        <w:t>. Za pilotnú analýzu v tejto oblasti sme zvolili podzemné vody ako súčasť prírodného bohatstva SR. Túto kapitolu treba vnímať ako vstupnú analýzu, ktorá prináša najmä prehľad existujúcich informácií a zdrojov na danú tému. Rigoróznejšie spracovanie pre potreby čistého bohatstva si vyžaduje ďalšiu prácu na rozvoji metodiky a informačnej základne.</w:t>
      </w:r>
    </w:p>
    <w:p w:rsidR="008117A9" w:rsidP="008117A9">
      <w:pPr>
        <w:bidi w:val="0"/>
        <w:spacing w:line="336" w:lineRule="auto"/>
        <w:jc w:val="both"/>
        <w:rPr>
          <w:rFonts w:ascii="Times New Roman" w:hAnsi="Times New Roman" w:cs="Times New Roman"/>
          <w:szCs w:val="22"/>
        </w:rPr>
      </w:pPr>
      <w:r w:rsidRPr="00895AC7">
        <w:rPr>
          <w:rFonts w:ascii="Times New Roman" w:hAnsi="Times New Roman" w:cs="Times New Roman"/>
          <w:szCs w:val="22"/>
        </w:rPr>
        <w:t>Voda</w:t>
      </w:r>
      <w:r>
        <w:rPr>
          <w:rFonts w:ascii="Times New Roman" w:hAnsi="Times New Roman" w:cs="Times New Roman"/>
          <w:szCs w:val="22"/>
        </w:rPr>
        <w:t>,</w:t>
      </w:r>
      <w:r w:rsidRPr="00895AC7">
        <w:rPr>
          <w:rFonts w:ascii="Times New Roman" w:hAnsi="Times New Roman" w:cs="Times New Roman"/>
          <w:szCs w:val="22"/>
        </w:rPr>
        <w:t xml:space="preserve"> ako životne dôležitá zložka životného prostredia</w:t>
      </w:r>
      <w:r>
        <w:rPr>
          <w:rFonts w:ascii="Times New Roman" w:hAnsi="Times New Roman" w:cs="Times New Roman"/>
          <w:szCs w:val="22"/>
        </w:rPr>
        <w:t>,</w:t>
      </w:r>
      <w:r w:rsidRPr="00895AC7">
        <w:rPr>
          <w:rFonts w:ascii="Times New Roman" w:hAnsi="Times New Roman" w:cs="Times New Roman"/>
          <w:szCs w:val="22"/>
        </w:rPr>
        <w:t xml:space="preserve"> má strategický význam pre samotnú bezpečnosť štátu, </w:t>
      </w:r>
      <w:r>
        <w:rPr>
          <w:rFonts w:ascii="Times New Roman" w:hAnsi="Times New Roman" w:cs="Times New Roman"/>
          <w:szCs w:val="22"/>
        </w:rPr>
        <w:t>pretože jej</w:t>
      </w:r>
      <w:r w:rsidRPr="00895AC7">
        <w:rPr>
          <w:rFonts w:ascii="Times New Roman" w:hAnsi="Times New Roman" w:cs="Times New Roman"/>
          <w:szCs w:val="22"/>
        </w:rPr>
        <w:t xml:space="preserve"> nedostatok môže spôsobiť ohrozenie života a zdravia obyvateľstva. V podmienkach Slovenskej repu</w:t>
      </w:r>
      <w:r>
        <w:rPr>
          <w:rFonts w:ascii="Times New Roman" w:hAnsi="Times New Roman" w:cs="Times New Roman"/>
          <w:szCs w:val="22"/>
        </w:rPr>
        <w:t xml:space="preserve">bliky jej ochranu a hospodárenie </w:t>
      </w:r>
      <w:r w:rsidRPr="00895AC7">
        <w:rPr>
          <w:rFonts w:ascii="Times New Roman" w:hAnsi="Times New Roman" w:cs="Times New Roman"/>
          <w:szCs w:val="22"/>
        </w:rPr>
        <w:t xml:space="preserve">upravuje </w:t>
      </w:r>
      <w:r>
        <w:rPr>
          <w:rFonts w:ascii="Times New Roman" w:hAnsi="Times New Roman" w:cs="Times New Roman"/>
          <w:szCs w:val="22"/>
        </w:rPr>
        <w:t xml:space="preserve">tzv. </w:t>
      </w:r>
      <w:r w:rsidRPr="00895AC7">
        <w:rPr>
          <w:rFonts w:ascii="Times New Roman" w:hAnsi="Times New Roman" w:cs="Times New Roman"/>
          <w:szCs w:val="22"/>
        </w:rPr>
        <w:t xml:space="preserve">vodný zákon </w:t>
      </w:r>
      <w:r>
        <w:rPr>
          <w:rFonts w:ascii="Times New Roman" w:hAnsi="Times New Roman" w:cs="Times New Roman"/>
          <w:szCs w:val="22"/>
        </w:rPr>
        <w:t>(</w:t>
      </w:r>
      <w:r w:rsidRPr="00895AC7">
        <w:rPr>
          <w:rFonts w:ascii="Times New Roman" w:hAnsi="Times New Roman" w:cs="Times New Roman"/>
          <w:szCs w:val="22"/>
        </w:rPr>
        <w:t>č.</w:t>
      </w:r>
      <w:r>
        <w:rPr>
          <w:rFonts w:ascii="Times New Roman" w:hAnsi="Times New Roman" w:cs="Times New Roman"/>
          <w:szCs w:val="22"/>
        </w:rPr>
        <w:t> </w:t>
      </w:r>
      <w:r w:rsidRPr="00895AC7">
        <w:rPr>
          <w:rFonts w:ascii="Times New Roman" w:hAnsi="Times New Roman" w:cs="Times New Roman"/>
          <w:szCs w:val="22"/>
        </w:rPr>
        <w:t>364/2004</w:t>
      </w:r>
      <w:r>
        <w:rPr>
          <w:rFonts w:ascii="Times New Roman" w:hAnsi="Times New Roman" w:cs="Times New Roman"/>
          <w:szCs w:val="22"/>
        </w:rPr>
        <w:t xml:space="preserve"> Z.z.).</w:t>
      </w:r>
    </w:p>
    <w:p w:rsidR="008117A9" w:rsidP="008117A9">
      <w:pPr>
        <w:bidi w:val="0"/>
        <w:spacing w:line="336" w:lineRule="auto"/>
        <w:jc w:val="both"/>
        <w:rPr>
          <w:rFonts w:ascii="Times New Roman" w:hAnsi="Times New Roman" w:cs="Times New Roman"/>
          <w:szCs w:val="22"/>
        </w:rPr>
      </w:pPr>
      <w:r>
        <w:rPr>
          <w:rFonts w:ascii="Times New Roman" w:hAnsi="Times New Roman" w:cs="Times New Roman"/>
          <w:szCs w:val="22"/>
        </w:rPr>
        <w:t>Podľa vodného zákona sa</w:t>
      </w:r>
      <w:r w:rsidRPr="00895AC7">
        <w:rPr>
          <w:rFonts w:ascii="Times New Roman" w:hAnsi="Times New Roman" w:cs="Times New Roman"/>
          <w:szCs w:val="22"/>
        </w:rPr>
        <w:t xml:space="preserve"> vody SR </w:t>
      </w:r>
      <w:r>
        <w:rPr>
          <w:rFonts w:ascii="Times New Roman" w:hAnsi="Times New Roman" w:cs="Times New Roman"/>
          <w:szCs w:val="22"/>
        </w:rPr>
        <w:t xml:space="preserve">delia </w:t>
      </w:r>
      <w:r w:rsidRPr="00895AC7">
        <w:rPr>
          <w:rFonts w:ascii="Times New Roman" w:hAnsi="Times New Roman" w:cs="Times New Roman"/>
          <w:szCs w:val="22"/>
        </w:rPr>
        <w:t>na povrchové vody a podzemné vody.</w:t>
      </w:r>
      <w:r>
        <w:rPr>
          <w:rFonts w:ascii="Times New Roman" w:hAnsi="Times New Roman" w:cs="Times New Roman"/>
          <w:szCs w:val="22"/>
        </w:rPr>
        <w:t xml:space="preserve"> </w:t>
      </w:r>
      <w:r w:rsidRPr="00895AC7">
        <w:rPr>
          <w:rFonts w:ascii="Times New Roman" w:hAnsi="Times New Roman" w:cs="Times New Roman"/>
          <w:szCs w:val="22"/>
        </w:rPr>
        <w:t>Povrchové vody možno definovať ako vodu</w:t>
      </w:r>
      <w:r>
        <w:rPr>
          <w:rFonts w:ascii="Times New Roman" w:hAnsi="Times New Roman" w:cs="Times New Roman"/>
          <w:szCs w:val="22"/>
        </w:rPr>
        <w:t>, ktorá sa nachádza na zemskom</w:t>
      </w:r>
      <w:r w:rsidRPr="00895AC7">
        <w:rPr>
          <w:rFonts w:ascii="Times New Roman" w:hAnsi="Times New Roman" w:cs="Times New Roman"/>
          <w:szCs w:val="22"/>
        </w:rPr>
        <w:t xml:space="preserve"> povrchu. </w:t>
      </w:r>
      <w:r>
        <w:rPr>
          <w:rFonts w:ascii="Times New Roman" w:hAnsi="Times New Roman" w:cs="Times New Roman"/>
          <w:szCs w:val="22"/>
        </w:rPr>
        <w:t>P</w:t>
      </w:r>
      <w:r w:rsidRPr="00895AC7">
        <w:rPr>
          <w:rFonts w:ascii="Times New Roman" w:hAnsi="Times New Roman" w:cs="Times New Roman"/>
          <w:szCs w:val="22"/>
        </w:rPr>
        <w:t>odzemná voda je obnoviteľný zdroj, jej primárnym zdrojom sú zrážky a vodné toky. Vzniká teda z povrchovej a zrážkovej vody, ktorá preniká cez pôdu, zbavuje sa pritom nečistôt a z pôdy zároveň získava prvky podmieňujúce špecifické vlastnosti podzemnej vody.</w:t>
      </w:r>
    </w:p>
    <w:p w:rsidR="008117A9" w:rsidP="008117A9">
      <w:pPr>
        <w:bidi w:val="0"/>
        <w:spacing w:line="336" w:lineRule="auto"/>
        <w:jc w:val="both"/>
        <w:rPr>
          <w:rFonts w:ascii="Times New Roman" w:hAnsi="Times New Roman" w:cs="Times New Roman"/>
          <w:szCs w:val="22"/>
        </w:rPr>
      </w:pPr>
      <w:r>
        <w:rPr>
          <w:rFonts w:ascii="Times New Roman" w:hAnsi="Times New Roman" w:cs="Times New Roman"/>
          <w:szCs w:val="22"/>
        </w:rPr>
        <w:t xml:space="preserve">Podzemné vody sú omnoho </w:t>
      </w:r>
      <w:r w:rsidRPr="00895AC7">
        <w:rPr>
          <w:rFonts w:ascii="Times New Roman" w:hAnsi="Times New Roman" w:cs="Times New Roman"/>
          <w:szCs w:val="22"/>
        </w:rPr>
        <w:t>kvalitnejším zdrojom</w:t>
      </w:r>
      <w:r>
        <w:rPr>
          <w:rFonts w:ascii="Times New Roman" w:hAnsi="Times New Roman" w:cs="Times New Roman"/>
          <w:szCs w:val="22"/>
        </w:rPr>
        <w:t xml:space="preserve"> ako povrchové vody, pretože nie sú natoľko vystavené</w:t>
      </w:r>
      <w:r w:rsidRPr="00895AC7">
        <w:rPr>
          <w:rFonts w:ascii="Times New Roman" w:hAnsi="Times New Roman" w:cs="Times New Roman"/>
          <w:szCs w:val="22"/>
        </w:rPr>
        <w:t xml:space="preserve"> vplyvom znečistenia a preto </w:t>
      </w:r>
      <w:r>
        <w:rPr>
          <w:rFonts w:ascii="Times New Roman" w:hAnsi="Times New Roman" w:cs="Times New Roman"/>
          <w:szCs w:val="22"/>
        </w:rPr>
        <w:t>sú</w:t>
      </w:r>
      <w:r w:rsidRPr="00895AC7">
        <w:rPr>
          <w:rFonts w:ascii="Times New Roman" w:hAnsi="Times New Roman" w:cs="Times New Roman"/>
          <w:szCs w:val="22"/>
        </w:rPr>
        <w:t xml:space="preserve"> men</w:t>
      </w:r>
      <w:r>
        <w:rPr>
          <w:rFonts w:ascii="Times New Roman" w:hAnsi="Times New Roman" w:cs="Times New Roman"/>
          <w:szCs w:val="22"/>
        </w:rPr>
        <w:t>ej náročné</w:t>
      </w:r>
      <w:r w:rsidRPr="00895AC7">
        <w:rPr>
          <w:rFonts w:ascii="Times New Roman" w:hAnsi="Times New Roman" w:cs="Times New Roman"/>
          <w:szCs w:val="22"/>
        </w:rPr>
        <w:t xml:space="preserve"> </w:t>
      </w:r>
      <w:r>
        <w:rPr>
          <w:rFonts w:ascii="Times New Roman" w:hAnsi="Times New Roman" w:cs="Times New Roman"/>
          <w:szCs w:val="22"/>
        </w:rPr>
        <w:t>na úpravu</w:t>
      </w:r>
      <w:r w:rsidRPr="00895AC7">
        <w:rPr>
          <w:rFonts w:ascii="Times New Roman" w:hAnsi="Times New Roman" w:cs="Times New Roman"/>
          <w:szCs w:val="22"/>
        </w:rPr>
        <w:t xml:space="preserve"> na pitnú vodu. Keďže na Slovensku tvorí podzemná voda </w:t>
      </w:r>
      <w:r>
        <w:rPr>
          <w:rFonts w:ascii="Times New Roman" w:hAnsi="Times New Roman" w:cs="Times New Roman"/>
          <w:szCs w:val="22"/>
        </w:rPr>
        <w:t>približne</w:t>
      </w:r>
      <w:r w:rsidRPr="00895AC7">
        <w:rPr>
          <w:rFonts w:ascii="Times New Roman" w:hAnsi="Times New Roman" w:cs="Times New Roman"/>
          <w:szCs w:val="22"/>
        </w:rPr>
        <w:t xml:space="preserve"> 82 % a povrchová </w:t>
      </w:r>
      <w:r>
        <w:rPr>
          <w:rFonts w:ascii="Times New Roman" w:hAnsi="Times New Roman" w:cs="Times New Roman"/>
          <w:szCs w:val="22"/>
        </w:rPr>
        <w:t xml:space="preserve">18 % celkových </w:t>
      </w:r>
      <w:r w:rsidRPr="00895AC7">
        <w:rPr>
          <w:rFonts w:ascii="Times New Roman" w:hAnsi="Times New Roman" w:cs="Times New Roman"/>
          <w:szCs w:val="22"/>
        </w:rPr>
        <w:t>zdrojov pitnej vody</w:t>
      </w:r>
      <w:r>
        <w:rPr>
          <w:rFonts w:ascii="Times New Roman" w:hAnsi="Times New Roman" w:cs="Times New Roman"/>
          <w:szCs w:val="22"/>
        </w:rPr>
        <w:t>,</w:t>
      </w:r>
      <w:r w:rsidRPr="00895AC7">
        <w:rPr>
          <w:rFonts w:ascii="Times New Roman" w:hAnsi="Times New Roman" w:cs="Times New Roman"/>
          <w:szCs w:val="22"/>
        </w:rPr>
        <w:t xml:space="preserve"> podzemné vody sú podľa vodného zákona prednostne určené na zásobovanie obyvateľstva pitnou vodou. Iné použitie podzemných vôd je možné zo zákona iba pri zachovaní ich prednostného určenia.</w:t>
      </w:r>
      <w:r>
        <w:rPr>
          <w:rFonts w:ascii="Times New Roman" w:hAnsi="Times New Roman" w:cs="Times New Roman"/>
          <w:szCs w:val="22"/>
        </w:rPr>
        <w:t xml:space="preserve"> Podzemné vody ako</w:t>
      </w:r>
      <w:r w:rsidRPr="00895AC7">
        <w:rPr>
          <w:rFonts w:ascii="Times New Roman" w:hAnsi="Times New Roman" w:cs="Times New Roman"/>
          <w:szCs w:val="22"/>
        </w:rPr>
        <w:t xml:space="preserve"> zdroj kvalitných pitných vôd predstavujú </w:t>
      </w:r>
      <w:r>
        <w:rPr>
          <w:rFonts w:ascii="Times New Roman" w:hAnsi="Times New Roman" w:cs="Times New Roman"/>
          <w:szCs w:val="22"/>
        </w:rPr>
        <w:t xml:space="preserve">pravdepodobne </w:t>
      </w:r>
      <w:r w:rsidRPr="00895AC7">
        <w:rPr>
          <w:rFonts w:ascii="Times New Roman" w:hAnsi="Times New Roman" w:cs="Times New Roman"/>
          <w:szCs w:val="22"/>
        </w:rPr>
        <w:t xml:space="preserve">najvýznamnejšie prírodné bohatstvo </w:t>
      </w:r>
      <w:r>
        <w:rPr>
          <w:rFonts w:ascii="Times New Roman" w:hAnsi="Times New Roman" w:cs="Times New Roman"/>
          <w:szCs w:val="22"/>
        </w:rPr>
        <w:t>Slovenska</w:t>
      </w:r>
      <w:r w:rsidRPr="00895AC7">
        <w:rPr>
          <w:rFonts w:ascii="Times New Roman" w:hAnsi="Times New Roman" w:cs="Times New Roman"/>
          <w:szCs w:val="22"/>
        </w:rPr>
        <w:t xml:space="preserve">. </w:t>
      </w:r>
      <w:r>
        <w:rPr>
          <w:rFonts w:ascii="Times New Roman" w:hAnsi="Times New Roman" w:cs="Times New Roman"/>
          <w:szCs w:val="22"/>
        </w:rPr>
        <w:t>Napríklad</w:t>
      </w:r>
      <w:r w:rsidRPr="00895AC7">
        <w:rPr>
          <w:rFonts w:ascii="Times New Roman" w:hAnsi="Times New Roman" w:cs="Times New Roman"/>
          <w:szCs w:val="22"/>
        </w:rPr>
        <w:t xml:space="preserve"> Žitný ostrov, nachádzajúci sa na juhozápade Slovenska, predstavuje najväčšiu prirodzenú zásobáreň podzemnej vody v strednej Európe a dokázal by zásobovať pitnou vodou viac ako 13,5 mil. obyvateľov.</w:t>
      </w:r>
    </w:p>
    <w:p w:rsidR="008117A9" w:rsidP="008117A9">
      <w:pPr>
        <w:bidi w:val="0"/>
        <w:spacing w:line="336" w:lineRule="auto"/>
        <w:jc w:val="both"/>
        <w:rPr>
          <w:rFonts w:ascii="Times New Roman" w:hAnsi="Times New Roman" w:cs="Times New Roman"/>
          <w:szCs w:val="22"/>
        </w:rPr>
      </w:pPr>
      <w:r>
        <w:rPr>
          <w:rFonts w:ascii="Times New Roman" w:hAnsi="Times New Roman" w:cs="Times New Roman"/>
          <w:szCs w:val="22"/>
        </w:rPr>
        <w:t>Slovenský</w:t>
      </w:r>
      <w:r w:rsidRPr="00895AC7">
        <w:rPr>
          <w:rFonts w:ascii="Times New Roman" w:hAnsi="Times New Roman" w:cs="Times New Roman"/>
          <w:szCs w:val="22"/>
        </w:rPr>
        <w:t xml:space="preserve"> hydrometeorologick</w:t>
      </w:r>
      <w:r>
        <w:rPr>
          <w:rFonts w:ascii="Times New Roman" w:hAnsi="Times New Roman" w:cs="Times New Roman"/>
          <w:szCs w:val="22"/>
        </w:rPr>
        <w:t>ý ústav</w:t>
      </w:r>
      <w:r w:rsidRPr="00895AC7">
        <w:rPr>
          <w:rFonts w:ascii="Times New Roman" w:hAnsi="Times New Roman" w:cs="Times New Roman"/>
          <w:szCs w:val="22"/>
        </w:rPr>
        <w:t xml:space="preserve"> zabezpečuje evidenciu</w:t>
      </w:r>
      <w:r>
        <w:rPr>
          <w:rFonts w:ascii="Times New Roman" w:hAnsi="Times New Roman" w:cs="Times New Roman"/>
          <w:szCs w:val="22"/>
        </w:rPr>
        <w:t xml:space="preserve"> podzemných vôd. Základné hydrologické údaje </w:t>
      </w:r>
      <w:r w:rsidRPr="00895AC7">
        <w:rPr>
          <w:rFonts w:ascii="Times New Roman" w:hAnsi="Times New Roman" w:cs="Times New Roman"/>
          <w:szCs w:val="22"/>
        </w:rPr>
        <w:t xml:space="preserve">sú publikované </w:t>
      </w:r>
      <w:r>
        <w:rPr>
          <w:rFonts w:ascii="Times New Roman" w:hAnsi="Times New Roman" w:cs="Times New Roman"/>
          <w:szCs w:val="22"/>
        </w:rPr>
        <w:t xml:space="preserve">každoročne </w:t>
      </w:r>
      <w:r w:rsidRPr="00895AC7">
        <w:rPr>
          <w:rFonts w:ascii="Times New Roman" w:hAnsi="Times New Roman" w:cs="Times New Roman"/>
          <w:szCs w:val="22"/>
        </w:rPr>
        <w:t xml:space="preserve">vo Vodohospodárskej bilancii množstva podzemnej vody vždy v decembri za obdobie </w:t>
      </w:r>
      <w:r>
        <w:rPr>
          <w:rFonts w:ascii="Times New Roman" w:hAnsi="Times New Roman" w:cs="Times New Roman"/>
          <w:szCs w:val="22"/>
        </w:rPr>
        <w:t>predchádzajúceho</w:t>
      </w:r>
      <w:r w:rsidRPr="00895AC7">
        <w:rPr>
          <w:rFonts w:ascii="Times New Roman" w:hAnsi="Times New Roman" w:cs="Times New Roman"/>
          <w:szCs w:val="22"/>
        </w:rPr>
        <w:t xml:space="preserve"> roka</w:t>
      </w:r>
      <w:r>
        <w:rPr>
          <w:rFonts w:ascii="Times New Roman" w:hAnsi="Times New Roman" w:cs="Times New Roman"/>
          <w:szCs w:val="22"/>
        </w:rPr>
        <w:t xml:space="preserve">. </w:t>
      </w:r>
      <w:r w:rsidRPr="00402950">
        <w:rPr>
          <w:rFonts w:ascii="Times New Roman" w:hAnsi="Times New Roman" w:cs="Times New Roman"/>
          <w:szCs w:val="22"/>
        </w:rPr>
        <w:t xml:space="preserve">Podzemné vody sú periodicky obnovované, nie sú však neobmedzené. Zabezpečiť ich relatívnu nevyčerpateľnosť je možné len ekonomickým čerpaním, ktoré predstavuje maximálne množstvo, pri ktorom je voda čerpaná zo zdroja bez úbytku trvalého množstva a kvality zdroja. </w:t>
      </w:r>
      <w:r>
        <w:rPr>
          <w:rFonts w:ascii="Times New Roman" w:hAnsi="Times New Roman" w:cs="Times New Roman"/>
          <w:szCs w:val="22"/>
        </w:rPr>
        <w:t>Podľa vodohospodárskej bilancie bolo v roku 2014 z</w:t>
      </w:r>
      <w:r w:rsidRPr="00402950">
        <w:rPr>
          <w:rFonts w:ascii="Times New Roman" w:hAnsi="Times New Roman" w:cs="Times New Roman"/>
          <w:szCs w:val="22"/>
        </w:rPr>
        <w:t>o 141 hydrogeologických rajónov SR vyhodnotených 129 rajónov ako dobrých a 12 ako uspokojivých. Napätý, kritický ani havarijný stav nebol zaznamenaný.</w:t>
      </w:r>
    </w:p>
    <w:p w:rsidR="008117A9" w:rsidP="008117A9">
      <w:pPr>
        <w:bidi w:val="0"/>
        <w:spacing w:line="336" w:lineRule="auto"/>
        <w:jc w:val="both"/>
        <w:rPr>
          <w:rFonts w:ascii="Times New Roman" w:hAnsi="Times New Roman" w:cs="Times New Roman"/>
          <w:szCs w:val="22"/>
        </w:rPr>
      </w:pPr>
      <w:r>
        <w:rPr>
          <w:rFonts w:ascii="Times New Roman" w:hAnsi="Times New Roman" w:cs="Times New Roman"/>
          <w:szCs w:val="22"/>
        </w:rPr>
        <w:t xml:space="preserve">Meranie zásob podzemných vôd vychádza z podmienky ich ekonomického čerpania, mernou jednotkou je prietokový liter za sekundu (l/s). Celkové zásoby podzemných vôd na Slovensku boli v roku 2014 vyčíslené na </w:t>
      </w:r>
      <w:r w:rsidRPr="00B91279">
        <w:rPr>
          <w:rFonts w:ascii="Times New Roman" w:hAnsi="Times New Roman" w:cs="Times New Roman"/>
          <w:szCs w:val="22"/>
        </w:rPr>
        <w:t>146 700 l/s</w:t>
      </w:r>
      <w:r>
        <w:rPr>
          <w:rFonts w:ascii="Times New Roman" w:hAnsi="Times New Roman" w:cs="Times New Roman"/>
          <w:szCs w:val="22"/>
        </w:rPr>
        <w:t xml:space="preserve">, z toho </w:t>
      </w:r>
      <w:r w:rsidRPr="00B91279">
        <w:rPr>
          <w:rFonts w:ascii="Times New Roman" w:hAnsi="Times New Roman" w:cs="Times New Roman"/>
          <w:szCs w:val="22"/>
        </w:rPr>
        <w:t xml:space="preserve">využiteľné množstvá podzemných vôd </w:t>
      </w:r>
      <w:r>
        <w:rPr>
          <w:rFonts w:ascii="Times New Roman" w:hAnsi="Times New Roman" w:cs="Times New Roman"/>
          <w:szCs w:val="22"/>
        </w:rPr>
        <w:t>predstavovali 80 32</w:t>
      </w:r>
      <w:r w:rsidRPr="00B91279">
        <w:rPr>
          <w:rFonts w:ascii="Times New Roman" w:hAnsi="Times New Roman" w:cs="Times New Roman"/>
          <w:szCs w:val="22"/>
        </w:rPr>
        <w:t>7</w:t>
      </w:r>
      <w:r>
        <w:rPr>
          <w:rFonts w:ascii="Times New Roman" w:hAnsi="Times New Roman" w:cs="Times New Roman"/>
          <w:szCs w:val="22"/>
        </w:rPr>
        <w:t> </w:t>
      </w:r>
      <w:r w:rsidRPr="00B91279">
        <w:rPr>
          <w:rFonts w:ascii="Times New Roman" w:hAnsi="Times New Roman" w:cs="Times New Roman"/>
          <w:szCs w:val="22"/>
        </w:rPr>
        <w:t xml:space="preserve">l/s (54,8 % </w:t>
      </w:r>
      <w:r>
        <w:rPr>
          <w:rFonts w:ascii="Times New Roman" w:hAnsi="Times New Roman" w:cs="Times New Roman"/>
          <w:szCs w:val="22"/>
        </w:rPr>
        <w:t>celkových zásob</w:t>
      </w:r>
      <w:r w:rsidRPr="00B91279">
        <w:rPr>
          <w:rFonts w:ascii="Times New Roman" w:hAnsi="Times New Roman" w:cs="Times New Roman"/>
          <w:szCs w:val="22"/>
        </w:rPr>
        <w:t>).</w:t>
      </w:r>
      <w:r>
        <w:rPr>
          <w:rFonts w:ascii="Times New Roman" w:hAnsi="Times New Roman" w:cs="Times New Roman"/>
          <w:szCs w:val="22"/>
        </w:rPr>
        <w:t xml:space="preserve"> </w:t>
      </w:r>
      <w:r w:rsidRPr="00B91279">
        <w:rPr>
          <w:rFonts w:ascii="Times New Roman" w:hAnsi="Times New Roman" w:cs="Times New Roman"/>
          <w:szCs w:val="22"/>
        </w:rPr>
        <w:t>Využiteľné zdroje podzemných vôd sú definované ako tá časť podzemných vôd, ktorú je možné z horninového prostredia technickými prostriedkami (vrty, záchyty prameňov, drény a iné technické zásahy) zachytávať a dlhodobo využívať.</w:t>
      </w:r>
    </w:p>
    <w:p w:rsidR="008117A9" w:rsidP="008117A9">
      <w:pPr>
        <w:bidi w:val="0"/>
        <w:spacing w:line="336" w:lineRule="auto"/>
        <w:jc w:val="both"/>
        <w:rPr>
          <w:rFonts w:ascii="Times New Roman" w:hAnsi="Times New Roman" w:cs="Times New Roman"/>
          <w:szCs w:val="22"/>
        </w:rPr>
      </w:pPr>
      <w:r w:rsidRPr="00B91279">
        <w:rPr>
          <w:rFonts w:ascii="Times New Roman" w:hAnsi="Times New Roman" w:cs="Times New Roman"/>
          <w:szCs w:val="22"/>
        </w:rPr>
        <w:t>V roku 2014 bolo na Slovensku spotrebiteľmi odobraných 10</w:t>
      </w:r>
      <w:r>
        <w:rPr>
          <w:rFonts w:ascii="Times New Roman" w:hAnsi="Times New Roman" w:cs="Times New Roman"/>
          <w:szCs w:val="22"/>
        </w:rPr>
        <w:t> </w:t>
      </w:r>
      <w:r w:rsidRPr="00B91279">
        <w:rPr>
          <w:rFonts w:ascii="Times New Roman" w:hAnsi="Times New Roman" w:cs="Times New Roman"/>
          <w:szCs w:val="22"/>
        </w:rPr>
        <w:t>187</w:t>
      </w:r>
      <w:r>
        <w:rPr>
          <w:rFonts w:ascii="Times New Roman" w:hAnsi="Times New Roman" w:cs="Times New Roman"/>
          <w:szCs w:val="22"/>
        </w:rPr>
        <w:t> </w:t>
      </w:r>
      <w:r w:rsidRPr="00B91279">
        <w:rPr>
          <w:rFonts w:ascii="Times New Roman" w:hAnsi="Times New Roman" w:cs="Times New Roman"/>
          <w:szCs w:val="22"/>
        </w:rPr>
        <w:t>l/s podzemnej vody</w:t>
      </w:r>
      <w:r>
        <w:rPr>
          <w:rFonts w:ascii="Times New Roman" w:hAnsi="Times New Roman" w:cs="Times New Roman"/>
          <w:szCs w:val="22"/>
        </w:rPr>
        <w:t xml:space="preserve"> (12,7 </w:t>
      </w:r>
      <w:r w:rsidRPr="00B91279">
        <w:rPr>
          <w:rFonts w:ascii="Times New Roman" w:hAnsi="Times New Roman" w:cs="Times New Roman"/>
          <w:szCs w:val="22"/>
        </w:rPr>
        <w:t>%</w:t>
      </w:r>
      <w:r>
        <w:rPr>
          <w:rFonts w:ascii="Times New Roman" w:hAnsi="Times New Roman" w:cs="Times New Roman"/>
          <w:szCs w:val="22"/>
        </w:rPr>
        <w:t xml:space="preserve"> využiteľných vôd)</w:t>
      </w:r>
      <w:r w:rsidRPr="00B91279">
        <w:rPr>
          <w:rFonts w:ascii="Times New Roman" w:hAnsi="Times New Roman" w:cs="Times New Roman"/>
          <w:szCs w:val="22"/>
        </w:rPr>
        <w:t xml:space="preserve">, </w:t>
      </w:r>
      <w:r>
        <w:rPr>
          <w:rFonts w:ascii="Times New Roman" w:hAnsi="Times New Roman" w:cs="Times New Roman"/>
          <w:szCs w:val="22"/>
        </w:rPr>
        <w:t>oproti roku 2013 sa spotreba znížila o 2,4 %. Štruktúru spotreby podľa účelu použitia podzemných vôd za rok 2014 ukazuje nasledujúca tabuľka.</w:t>
      </w:r>
    </w:p>
    <w:p w:rsidR="008117A9" w:rsidP="008117A9">
      <w:pPr>
        <w:bidi w:val="0"/>
        <w:spacing w:line="336" w:lineRule="auto"/>
        <w:jc w:val="both"/>
        <w:rPr>
          <w:rFonts w:ascii="Times New Roman" w:hAnsi="Times New Roman" w:cs="Times New Roman"/>
          <w:szCs w:val="22"/>
        </w:rPr>
      </w:pPr>
    </w:p>
    <w:tbl>
      <w:tblPr>
        <w:tblStyle w:val="TableNormal"/>
        <w:tblW w:w="9127" w:type="dxa"/>
        <w:tblInd w:w="-35" w:type="dxa"/>
        <w:tblCellMar>
          <w:left w:w="70" w:type="dxa"/>
          <w:right w:w="70" w:type="dxa"/>
        </w:tblCellMar>
        <w:tblLook w:val="04A0"/>
      </w:tblPr>
      <w:tblGrid>
        <w:gridCol w:w="1363"/>
        <w:gridCol w:w="6539"/>
        <w:gridCol w:w="1225"/>
      </w:tblGrid>
      <w:tr>
        <w:tblPrEx>
          <w:tblW w:w="9127" w:type="dxa"/>
          <w:tblInd w:w="-35" w:type="dxa"/>
          <w:tblCellMar>
            <w:left w:w="70" w:type="dxa"/>
            <w:right w:w="70" w:type="dxa"/>
          </w:tblCellMar>
          <w:tblLook w:val="04A0"/>
        </w:tblPrEx>
        <w:trPr>
          <w:trHeight w:val="282"/>
        </w:trPr>
        <w:tc>
          <w:tcPr>
            <w:tcW w:w="9127" w:type="dxa"/>
            <w:gridSpan w:val="3"/>
            <w:tcBorders>
              <w:top w:val="single" w:sz="4" w:space="0" w:color="auto"/>
              <w:left w:val="single" w:sz="4" w:space="0" w:color="auto"/>
              <w:bottom w:val="single" w:sz="4" w:space="0" w:color="auto"/>
              <w:right w:val="none" w:sz="0" w:space="0" w:color="auto"/>
            </w:tcBorders>
            <w:shd w:val="clear" w:color="000000" w:fill="000000"/>
            <w:noWrap/>
            <w:textDirection w:val="lrTb"/>
            <w:vAlign w:val="center"/>
            <w:hideMark/>
          </w:tcPr>
          <w:p w:rsidR="008117A9" w:rsidRPr="00CD20F2" w:rsidP="00A97D6F">
            <w:pPr>
              <w:bidi w:val="0"/>
              <w:spacing w:after="0" w:line="240" w:lineRule="auto"/>
              <w:jc w:val="both"/>
              <w:rPr>
                <w:rFonts w:ascii="Times New Roman" w:hAnsi="Times New Roman" w:cs="Times New Roman"/>
                <w:b/>
                <w:bCs/>
                <w:sz w:val="20"/>
                <w:szCs w:val="20"/>
              </w:rPr>
            </w:pPr>
            <w:r w:rsidRPr="00CD20F2">
              <w:rPr>
                <w:rFonts w:ascii="Times New Roman" w:hAnsi="Times New Roman" w:cs="Times New Roman"/>
                <w:b/>
                <w:bCs/>
                <w:sz w:val="20"/>
                <w:szCs w:val="20"/>
              </w:rPr>
              <w:t>Podiel spotrebiteľov na odbere podzemnej vody</w:t>
            </w:r>
            <w:r>
              <w:rPr>
                <w:rFonts w:ascii="Times New Roman" w:hAnsi="Times New Roman" w:cs="Times New Roman"/>
                <w:b/>
                <w:bCs/>
                <w:sz w:val="20"/>
                <w:szCs w:val="20"/>
              </w:rPr>
              <w:t xml:space="preserve"> za rok 2014 (% celkovej spotreby)</w:t>
            </w:r>
          </w:p>
        </w:tc>
      </w:tr>
      <w:tr>
        <w:tblPrEx>
          <w:tblW w:w="9127" w:type="dxa"/>
          <w:tblInd w:w="-35" w:type="dxa"/>
          <w:tblCellMar>
            <w:left w:w="70" w:type="dxa"/>
            <w:right w:w="70" w:type="dxa"/>
          </w:tblCellMar>
          <w:tblLook w:val="04A0"/>
        </w:tblPrEx>
        <w:trPr>
          <w:trHeight w:val="230"/>
        </w:trPr>
        <w:tc>
          <w:tcPr>
            <w:tcW w:w="1363" w:type="dxa"/>
            <w:vMerge w:val="restart"/>
            <w:tcBorders>
              <w:top w:val="single" w:sz="4" w:space="0" w:color="auto"/>
              <w:left w:val="none" w:sz="0" w:space="0" w:color="auto"/>
              <w:bottom w:val="single" w:sz="4" w:space="0" w:color="auto"/>
              <w:right w:val="nil"/>
            </w:tcBorders>
            <w:shd w:val="clear" w:color="000000" w:fill="C0C0C0"/>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Typ spotrebiteľa</w:t>
            </w:r>
          </w:p>
        </w:tc>
        <w:tc>
          <w:tcPr>
            <w:tcW w:w="6539" w:type="dxa"/>
            <w:vMerge w:val="restart"/>
            <w:tcBorders>
              <w:top w:val="single" w:sz="4" w:space="0" w:color="auto"/>
              <w:left w:val="nil"/>
              <w:bottom w:val="single" w:sz="4" w:space="0" w:color="auto"/>
              <w:right w:val="nil"/>
            </w:tcBorders>
            <w:shd w:val="clear" w:color="000000" w:fill="C0C0C0"/>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Použitie</w:t>
            </w:r>
          </w:p>
        </w:tc>
        <w:tc>
          <w:tcPr>
            <w:tcW w:w="1225" w:type="dxa"/>
            <w:vMerge w:val="restart"/>
            <w:tcBorders>
              <w:top w:val="single" w:sz="4" w:space="0" w:color="auto"/>
              <w:left w:val="nil"/>
              <w:bottom w:val="single" w:sz="4" w:space="0" w:color="auto"/>
              <w:right w:val="nil"/>
            </w:tcBorders>
            <w:shd w:val="clear" w:color="000000" w:fill="C0C0C0"/>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 vody</w:t>
            </w:r>
          </w:p>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2014</w:t>
            </w:r>
          </w:p>
        </w:tc>
      </w:tr>
      <w:tr>
        <w:tblPrEx>
          <w:tblW w:w="9127" w:type="dxa"/>
          <w:tblInd w:w="-35" w:type="dxa"/>
          <w:tblCellMar>
            <w:left w:w="70" w:type="dxa"/>
            <w:right w:w="70" w:type="dxa"/>
          </w:tblCellMar>
          <w:tblLook w:val="04A0"/>
        </w:tblPrEx>
        <w:trPr>
          <w:trHeight w:val="230"/>
        </w:trPr>
        <w:tc>
          <w:tcPr>
            <w:tcW w:w="1363" w:type="dxa"/>
            <w:vMerge/>
            <w:tcBorders>
              <w:top w:val="sing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p>
        </w:tc>
        <w:tc>
          <w:tcPr>
            <w:tcW w:w="6539" w:type="dxa"/>
            <w:vMerge/>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p>
        </w:tc>
        <w:tc>
          <w:tcPr>
            <w:tcW w:w="1225" w:type="dxa"/>
            <w:vMerge/>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p>
        </w:tc>
      </w:tr>
      <w:tr>
        <w:tblPrEx>
          <w:tblW w:w="9127" w:type="dxa"/>
          <w:tblInd w:w="-35" w:type="dxa"/>
          <w:tblCellMar>
            <w:left w:w="70" w:type="dxa"/>
            <w:right w:w="70" w:type="dxa"/>
          </w:tblCellMar>
          <w:tblLook w:val="04A0"/>
        </w:tblPrEx>
        <w:trPr>
          <w:trHeight w:val="427"/>
        </w:trPr>
        <w:tc>
          <w:tcPr>
            <w:tcW w:w="1363" w:type="dxa"/>
            <w:tcBorders>
              <w:top w:val="sing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Verejné vodovody</w:t>
            </w:r>
          </w:p>
        </w:tc>
        <w:tc>
          <w:tcPr>
            <w:tcW w:w="6539"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Verejná spotreba, hromadné zásobovanie obyvateľstva a iných odberateľov vodou</w:t>
            </w:r>
            <w:r>
              <w:rPr>
                <w:rFonts w:ascii="Times New Roman" w:hAnsi="Times New Roman" w:cs="Times New Roman"/>
                <w:sz w:val="20"/>
                <w:szCs w:val="20"/>
              </w:rPr>
              <w:t>.</w:t>
            </w:r>
          </w:p>
        </w:tc>
        <w:tc>
          <w:tcPr>
            <w:tcW w:w="1225"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75%</w:t>
            </w:r>
          </w:p>
        </w:tc>
      </w:tr>
      <w:tr>
        <w:tblPrEx>
          <w:tblW w:w="9127" w:type="dxa"/>
          <w:tblInd w:w="-35" w:type="dxa"/>
          <w:tblCellMar>
            <w:left w:w="70" w:type="dxa"/>
            <w:right w:w="70" w:type="dxa"/>
          </w:tblCellMar>
          <w:tblLook w:val="04A0"/>
        </w:tblPrEx>
        <w:trPr>
          <w:trHeight w:val="520"/>
        </w:trPr>
        <w:tc>
          <w:tcPr>
            <w:tcW w:w="1363" w:type="dxa"/>
            <w:tcBorders>
              <w:top w:val="sing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Potravinársky priemysel</w:t>
            </w:r>
          </w:p>
        </w:tc>
        <w:tc>
          <w:tcPr>
            <w:tcW w:w="6539"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Mliekarenský, mäsový, pekárensko–cukrárenský, p</w:t>
            </w:r>
            <w:r>
              <w:rPr>
                <w:rFonts w:ascii="Times New Roman" w:hAnsi="Times New Roman" w:cs="Times New Roman"/>
                <w:sz w:val="20"/>
                <w:szCs w:val="20"/>
              </w:rPr>
              <w:t>ivovarnícko-sladovnícky, nealko</w:t>
            </w:r>
            <w:r w:rsidRPr="00CD20F2">
              <w:rPr>
                <w:rFonts w:ascii="Times New Roman" w:hAnsi="Times New Roman" w:cs="Times New Roman"/>
                <w:sz w:val="20"/>
                <w:szCs w:val="20"/>
              </w:rPr>
              <w:t xml:space="preserve">  a iné.</w:t>
            </w:r>
          </w:p>
        </w:tc>
        <w:tc>
          <w:tcPr>
            <w:tcW w:w="1225"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2%</w:t>
            </w:r>
          </w:p>
        </w:tc>
      </w:tr>
      <w:tr>
        <w:tblPrEx>
          <w:tblW w:w="9127" w:type="dxa"/>
          <w:tblInd w:w="-35" w:type="dxa"/>
          <w:tblCellMar>
            <w:left w:w="70" w:type="dxa"/>
            <w:right w:w="70" w:type="dxa"/>
          </w:tblCellMar>
          <w:tblLook w:val="04A0"/>
        </w:tblPrEx>
        <w:trPr>
          <w:trHeight w:val="486"/>
        </w:trPr>
        <w:tc>
          <w:tcPr>
            <w:tcW w:w="1363" w:type="dxa"/>
            <w:tcBorders>
              <w:top w:val="sing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Ostatný priemysel</w:t>
            </w:r>
          </w:p>
        </w:tc>
        <w:tc>
          <w:tcPr>
            <w:tcW w:w="6539"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Chemický priemysel, energetika, hutníctvo, stavebníctvo, strojárstvo, automobilový priemysel, baníctvo a</w:t>
            </w:r>
            <w:r>
              <w:rPr>
                <w:rFonts w:ascii="Times New Roman" w:hAnsi="Times New Roman" w:cs="Times New Roman"/>
                <w:sz w:val="20"/>
                <w:szCs w:val="20"/>
              </w:rPr>
              <w:t> </w:t>
            </w:r>
            <w:r w:rsidRPr="00CD20F2">
              <w:rPr>
                <w:rFonts w:ascii="Times New Roman" w:hAnsi="Times New Roman" w:cs="Times New Roman"/>
                <w:sz w:val="20"/>
                <w:szCs w:val="20"/>
              </w:rPr>
              <w:t>iné</w:t>
            </w:r>
            <w:r>
              <w:rPr>
                <w:rFonts w:ascii="Times New Roman" w:hAnsi="Times New Roman" w:cs="Times New Roman"/>
                <w:sz w:val="20"/>
                <w:szCs w:val="20"/>
              </w:rPr>
              <w:t>.</w:t>
            </w:r>
          </w:p>
        </w:tc>
        <w:tc>
          <w:tcPr>
            <w:tcW w:w="1225"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7%</w:t>
            </w:r>
          </w:p>
        </w:tc>
      </w:tr>
      <w:tr>
        <w:tblPrEx>
          <w:tblW w:w="9127" w:type="dxa"/>
          <w:tblInd w:w="-35" w:type="dxa"/>
          <w:tblCellMar>
            <w:left w:w="70" w:type="dxa"/>
            <w:right w:w="70" w:type="dxa"/>
          </w:tblCellMar>
          <w:tblLook w:val="04A0"/>
        </w:tblPrEx>
        <w:trPr>
          <w:trHeight w:val="788"/>
        </w:trPr>
        <w:tc>
          <w:tcPr>
            <w:tcW w:w="1363" w:type="dxa"/>
            <w:tcBorders>
              <w:top w:val="sing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Poľnohosp. živočíšna výroba</w:t>
            </w:r>
          </w:p>
        </w:tc>
        <w:tc>
          <w:tcPr>
            <w:tcW w:w="6539"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Pretváranie rastlinnej výroby na živočíšne výrobky (mäso, tuk, mlieko, vajcia, koža a kožušina, perie), zabezpečenie výživy populácie proteínmi živočíšneho pôvodu a poskytuje suroviny  iným priemyslom (hnoj, kože, a pod.)</w:t>
            </w:r>
          </w:p>
        </w:tc>
        <w:tc>
          <w:tcPr>
            <w:tcW w:w="1225"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2%</w:t>
            </w:r>
          </w:p>
        </w:tc>
      </w:tr>
      <w:tr>
        <w:tblPrEx>
          <w:tblW w:w="9127" w:type="dxa"/>
          <w:tblInd w:w="-35" w:type="dxa"/>
          <w:tblCellMar>
            <w:left w:w="70" w:type="dxa"/>
            <w:right w:w="70" w:type="dxa"/>
          </w:tblCellMar>
          <w:tblLook w:val="04A0"/>
        </w:tblPrEx>
        <w:trPr>
          <w:trHeight w:val="902"/>
        </w:trPr>
        <w:tc>
          <w:tcPr>
            <w:tcW w:w="1363" w:type="dxa"/>
            <w:tcBorders>
              <w:top w:val="sing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Poľnohosp. rastlinná výroba</w:t>
            </w:r>
          </w:p>
        </w:tc>
        <w:tc>
          <w:tcPr>
            <w:tcW w:w="6539"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 xml:space="preserve">Pestovanie </w:t>
            </w:r>
            <w:r w:rsidRPr="00CD20F2" w:rsidR="00AB267B">
              <w:rPr>
                <w:rFonts w:ascii="Times New Roman" w:hAnsi="Times New Roman" w:cs="Times New Roman"/>
                <w:sz w:val="20"/>
                <w:szCs w:val="20"/>
              </w:rPr>
              <w:t>kultúrnych</w:t>
            </w:r>
            <w:r w:rsidRPr="00CD20F2">
              <w:rPr>
                <w:rFonts w:ascii="Times New Roman" w:hAnsi="Times New Roman" w:cs="Times New Roman"/>
                <w:sz w:val="20"/>
                <w:szCs w:val="20"/>
              </w:rPr>
              <w:t xml:space="preserve"> plodín (potraviny, krmivá, a suroviny pre spracovateľský priemysel), pestovanie obilnín, strukovín, olejnín, okopanín, technických plodín, ovocinárstvo, chmeliarstvo, zeleninárstvo, vinohradníctvo, lúkarstvo a krmovinárstvo.</w:t>
            </w:r>
          </w:p>
        </w:tc>
        <w:tc>
          <w:tcPr>
            <w:tcW w:w="1225"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1%</w:t>
            </w:r>
          </w:p>
        </w:tc>
      </w:tr>
      <w:tr>
        <w:tblPrEx>
          <w:tblW w:w="9127" w:type="dxa"/>
          <w:tblInd w:w="-35" w:type="dxa"/>
          <w:tblCellMar>
            <w:left w:w="70" w:type="dxa"/>
            <w:right w:w="70" w:type="dxa"/>
          </w:tblCellMar>
          <w:tblLook w:val="04A0"/>
        </w:tblPrEx>
        <w:trPr>
          <w:trHeight w:val="532"/>
        </w:trPr>
        <w:tc>
          <w:tcPr>
            <w:tcW w:w="1363" w:type="dxa"/>
            <w:tcBorders>
              <w:top w:val="sing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Sociálne potreby</w:t>
            </w:r>
          </w:p>
        </w:tc>
        <w:tc>
          <w:tcPr>
            <w:tcW w:w="6539"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Núdzové zásobovanie pitnou vodou, humanitárna pomoc a pomoc v núdzových stavoch</w:t>
            </w:r>
            <w:r>
              <w:rPr>
                <w:rFonts w:ascii="Times New Roman" w:hAnsi="Times New Roman" w:cs="Times New Roman"/>
                <w:sz w:val="20"/>
                <w:szCs w:val="20"/>
              </w:rPr>
              <w:t>.</w:t>
            </w:r>
          </w:p>
        </w:tc>
        <w:tc>
          <w:tcPr>
            <w:tcW w:w="1225" w:type="dxa"/>
            <w:tcBorders>
              <w:top w:val="sing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2%</w:t>
            </w:r>
          </w:p>
        </w:tc>
      </w:tr>
      <w:tr>
        <w:tblPrEx>
          <w:tblW w:w="9127" w:type="dxa"/>
          <w:tblInd w:w="-35" w:type="dxa"/>
          <w:tblCellMar>
            <w:left w:w="70" w:type="dxa"/>
            <w:right w:w="70" w:type="dxa"/>
          </w:tblCellMar>
          <w:tblLook w:val="04A0"/>
        </w:tblPrEx>
        <w:trPr>
          <w:trHeight w:val="345"/>
        </w:trPr>
        <w:tc>
          <w:tcPr>
            <w:tcW w:w="1363" w:type="dxa"/>
            <w:tcBorders>
              <w:top w:val="single" w:sz="4" w:space="0" w:color="auto"/>
              <w:left w:val="none" w:sz="0" w:space="0" w:color="auto"/>
              <w:bottom w:val="doub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Iné využitie</w:t>
            </w:r>
          </w:p>
        </w:tc>
        <w:tc>
          <w:tcPr>
            <w:tcW w:w="6539" w:type="dxa"/>
            <w:tcBorders>
              <w:top w:val="single" w:sz="4" w:space="0" w:color="auto"/>
              <w:left w:val="nil"/>
              <w:bottom w:val="doub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Iné okrem vyššie spomenutých</w:t>
            </w:r>
            <w:r>
              <w:rPr>
                <w:rFonts w:ascii="Times New Roman" w:hAnsi="Times New Roman" w:cs="Times New Roman"/>
                <w:sz w:val="20"/>
                <w:szCs w:val="20"/>
              </w:rPr>
              <w:t>.</w:t>
            </w:r>
          </w:p>
        </w:tc>
        <w:tc>
          <w:tcPr>
            <w:tcW w:w="1225" w:type="dxa"/>
            <w:tcBorders>
              <w:top w:val="single" w:sz="4" w:space="0" w:color="auto"/>
              <w:left w:val="nil"/>
              <w:bottom w:val="double" w:sz="4" w:space="0" w:color="auto"/>
              <w:right w:val="nil"/>
            </w:tcBorders>
            <w:textDirection w:val="lrTb"/>
            <w:vAlign w:val="center"/>
            <w:hideMark/>
          </w:tcPr>
          <w:p w:rsidR="008117A9" w:rsidRPr="00CD20F2" w:rsidP="00A97D6F">
            <w:pPr>
              <w:bidi w:val="0"/>
              <w:spacing w:after="0" w:line="240" w:lineRule="auto"/>
              <w:jc w:val="center"/>
              <w:rPr>
                <w:rFonts w:ascii="Times New Roman" w:hAnsi="Times New Roman" w:cs="Times New Roman"/>
                <w:sz w:val="20"/>
                <w:szCs w:val="20"/>
              </w:rPr>
            </w:pPr>
            <w:r w:rsidRPr="00CD20F2">
              <w:rPr>
                <w:rFonts w:ascii="Times New Roman" w:hAnsi="Times New Roman" w:cs="Times New Roman"/>
                <w:sz w:val="20"/>
                <w:szCs w:val="20"/>
              </w:rPr>
              <w:t>10%</w:t>
            </w:r>
          </w:p>
        </w:tc>
      </w:tr>
      <w:tr>
        <w:tblPrEx>
          <w:tblW w:w="9127" w:type="dxa"/>
          <w:tblInd w:w="-35" w:type="dxa"/>
          <w:tblCellMar>
            <w:left w:w="70" w:type="dxa"/>
            <w:right w:w="70" w:type="dxa"/>
          </w:tblCellMar>
          <w:tblLook w:val="04A0"/>
        </w:tblPrEx>
        <w:trPr>
          <w:trHeight w:val="345"/>
        </w:trPr>
        <w:tc>
          <w:tcPr>
            <w:tcW w:w="1363" w:type="dxa"/>
            <w:tcBorders>
              <w:top w:val="double" w:sz="4" w:space="0" w:color="auto"/>
              <w:left w:val="none" w:sz="0" w:space="0" w:color="auto"/>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Spolu</w:t>
            </w:r>
          </w:p>
        </w:tc>
        <w:tc>
          <w:tcPr>
            <w:tcW w:w="6539" w:type="dxa"/>
            <w:tcBorders>
              <w:top w:val="double" w:sz="4" w:space="0" w:color="auto"/>
              <w:left w:val="nil"/>
              <w:bottom w:val="single" w:sz="4" w:space="0" w:color="auto"/>
              <w:right w:val="nil"/>
            </w:tcBorders>
            <w:noWrap/>
            <w:textDirection w:val="lrTb"/>
            <w:vAlign w:val="bottom"/>
            <w:hideMark/>
          </w:tcPr>
          <w:p w:rsidR="008117A9" w:rsidRPr="00CD20F2" w:rsidP="00A97D6F">
            <w:pPr>
              <w:bidi w:val="0"/>
              <w:spacing w:after="0" w:line="240" w:lineRule="auto"/>
              <w:jc w:val="both"/>
              <w:rPr>
                <w:rFonts w:ascii="Times New Roman" w:hAnsi="Times New Roman" w:cs="Times New Roman"/>
                <w:sz w:val="20"/>
                <w:szCs w:val="20"/>
              </w:rPr>
            </w:pPr>
            <w:r w:rsidRPr="00CD20F2">
              <w:rPr>
                <w:rFonts w:ascii="Times New Roman" w:hAnsi="Times New Roman" w:cs="Times New Roman"/>
                <w:sz w:val="20"/>
                <w:szCs w:val="20"/>
              </w:rPr>
              <w:t> </w:t>
            </w:r>
          </w:p>
        </w:tc>
        <w:tc>
          <w:tcPr>
            <w:tcW w:w="1225" w:type="dxa"/>
            <w:tcBorders>
              <w:top w:val="double" w:sz="4" w:space="0" w:color="auto"/>
              <w:left w:val="nil"/>
              <w:bottom w:val="single" w:sz="4" w:space="0" w:color="auto"/>
              <w:right w:val="nil"/>
            </w:tcBorders>
            <w:textDirection w:val="lrTb"/>
            <w:vAlign w:val="center"/>
            <w:hideMark/>
          </w:tcPr>
          <w:p w:rsidR="008117A9" w:rsidRPr="00CD20F2" w:rsidP="00A97D6F">
            <w:pPr>
              <w:bidi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10 187</w:t>
            </w:r>
            <w:r w:rsidRPr="00CD20F2">
              <w:rPr>
                <w:rFonts w:ascii="Times New Roman" w:hAnsi="Times New Roman" w:cs="Times New Roman"/>
                <w:sz w:val="20"/>
                <w:szCs w:val="20"/>
              </w:rPr>
              <w:t xml:space="preserve"> l/s</w:t>
            </w:r>
          </w:p>
        </w:tc>
      </w:tr>
    </w:tbl>
    <w:p w:rsidR="008117A9" w:rsidRPr="00CD20F2" w:rsidP="008117A9">
      <w:pPr>
        <w:bidi w:val="0"/>
        <w:spacing w:after="120" w:line="336" w:lineRule="auto"/>
        <w:jc w:val="right"/>
        <w:rPr>
          <w:rFonts w:ascii="Times New Roman" w:eastAsia="Calibri" w:hAnsi="Times New Roman" w:cs="Times New Roman"/>
          <w:szCs w:val="22"/>
        </w:rPr>
      </w:pPr>
      <w:r w:rsidRPr="00CD20F2">
        <w:rPr>
          <w:rFonts w:ascii="Times New Roman" w:hAnsi="Times New Roman" w:cs="Times New Roman"/>
          <w:i/>
          <w:iCs/>
          <w:sz w:val="16"/>
          <w:szCs w:val="16"/>
          <w:lang w:eastAsia="sk-SK"/>
        </w:rPr>
        <w:t>Zdroj: Vodohospodárska bilancia SR 2014</w:t>
      </w:r>
    </w:p>
    <w:p w:rsidR="008117A9" w:rsidP="008117A9">
      <w:pPr>
        <w:bidi w:val="0"/>
        <w:spacing w:after="0" w:line="336" w:lineRule="auto"/>
        <w:jc w:val="both"/>
        <w:rPr>
          <w:rFonts w:ascii="Times New Roman" w:hAnsi="Times New Roman" w:cs="Times New Roman"/>
          <w:szCs w:val="22"/>
        </w:rPr>
      </w:pPr>
      <w:r>
        <w:rPr>
          <w:rFonts w:ascii="Times New Roman" w:hAnsi="Times New Roman" w:cs="Times New Roman"/>
          <w:szCs w:val="22"/>
        </w:rPr>
        <w:t>Celkové využiteľné množstvo podzemných vôd je vo vodohospodárskej bilancii členené do kategórií podľa stupňa spoľahlivosti a presnosti overenia zásob vody. Takéto členenie nie je vhodné pre náš typ analýzy a preto sme navrhli inú klasifikáciu. Na základe vodného zákona (č. 364/2004) a geologického zákona (č. 569/2007) možno podzemné vody rozčleniť nasledovne:</w:t>
      </w:r>
    </w:p>
    <w:p w:rsidR="008117A9" w:rsidRPr="005432D5" w:rsidP="008117A9">
      <w:pPr>
        <w:pStyle w:val="ListParagraph"/>
        <w:numPr>
          <w:numId w:val="44"/>
        </w:numPr>
        <w:bidi w:val="0"/>
        <w:spacing w:line="336" w:lineRule="auto"/>
        <w:jc w:val="both"/>
        <w:rPr>
          <w:rFonts w:ascii="Times New Roman" w:hAnsi="Times New Roman" w:cs="Times New Roman"/>
        </w:rPr>
      </w:pPr>
      <w:r w:rsidRPr="005432D5">
        <w:rPr>
          <w:rFonts w:ascii="Times New Roman" w:hAnsi="Times New Roman" w:cs="Times New Roman"/>
        </w:rPr>
        <w:t>Podzemné (klasické) vody sú podzemné vody ktoré nespĺňajú minerálne a termálne podmienky</w:t>
      </w:r>
      <w:r>
        <w:rPr>
          <w:rFonts w:ascii="Times New Roman" w:hAnsi="Times New Roman" w:cs="Times New Roman"/>
        </w:rPr>
        <w:t>.</w:t>
      </w:r>
      <w:r w:rsidRPr="005432D5">
        <w:rPr>
          <w:rFonts w:ascii="Times New Roman" w:hAnsi="Times New Roman" w:cs="Times New Roman"/>
        </w:rPr>
        <w:t xml:space="preserve"> </w:t>
      </w:r>
    </w:p>
    <w:p w:rsidR="008117A9" w:rsidRPr="005432D5" w:rsidP="008117A9">
      <w:pPr>
        <w:pStyle w:val="ListParagraph"/>
        <w:numPr>
          <w:numId w:val="44"/>
        </w:numPr>
        <w:bidi w:val="0"/>
        <w:spacing w:line="336" w:lineRule="auto"/>
        <w:jc w:val="both"/>
        <w:rPr>
          <w:rFonts w:ascii="Times New Roman" w:hAnsi="Times New Roman" w:cs="Times New Roman"/>
        </w:rPr>
      </w:pPr>
      <w:r w:rsidRPr="005432D5">
        <w:rPr>
          <w:rFonts w:ascii="Times New Roman" w:hAnsi="Times New Roman" w:cs="Times New Roman"/>
        </w:rPr>
        <w:t>Minerálne vody sa členia na prírodné minerálne vody (mikrobiologicky bezchybná podzemná voda) a  prírodné liečivé vody (uznané pre svoje zloženie ako vhodné na liečenie</w:t>
      </w:r>
      <w:r>
        <w:rPr>
          <w:rFonts w:ascii="Times New Roman" w:hAnsi="Times New Roman" w:cs="Times New Roman"/>
        </w:rPr>
        <w:t>).</w:t>
      </w:r>
    </w:p>
    <w:p w:rsidR="008117A9" w:rsidRPr="00CA5610" w:rsidP="008117A9">
      <w:pPr>
        <w:pStyle w:val="ListParagraph"/>
        <w:numPr>
          <w:numId w:val="44"/>
        </w:numPr>
        <w:bidi w:val="0"/>
        <w:spacing w:after="240" w:line="336" w:lineRule="auto"/>
        <w:jc w:val="both"/>
        <w:rPr>
          <w:rFonts w:ascii="Times New Roman" w:hAnsi="Times New Roman" w:cs="Times New Roman"/>
        </w:rPr>
      </w:pPr>
      <w:r>
        <w:rPr>
          <w:rFonts w:ascii="Times New Roman" w:hAnsi="Times New Roman" w:cs="Times New Roman"/>
        </w:rPr>
        <w:t>Geotermálne a t</w:t>
      </w:r>
      <w:r w:rsidRPr="005432D5">
        <w:rPr>
          <w:rFonts w:ascii="Times New Roman" w:hAnsi="Times New Roman" w:cs="Times New Roman"/>
        </w:rPr>
        <w:t>ermálne vody</w:t>
      </w:r>
      <w:r>
        <w:rPr>
          <w:rFonts w:ascii="Times New Roman" w:hAnsi="Times New Roman" w:cs="Times New Roman"/>
        </w:rPr>
        <w:t>. Geotermálne vody možno pre ich</w:t>
      </w:r>
      <w:r w:rsidRPr="005432D5">
        <w:rPr>
          <w:rFonts w:ascii="Times New Roman" w:hAnsi="Times New Roman" w:cs="Times New Roman"/>
        </w:rPr>
        <w:t xml:space="preserve"> tepelný obsah využívať na energetické ciele (</w:t>
      </w:r>
      <w:r>
        <w:rPr>
          <w:rFonts w:ascii="Times New Roman" w:hAnsi="Times New Roman" w:cs="Times New Roman"/>
        </w:rPr>
        <w:t>napríklad</w:t>
      </w:r>
      <w:r w:rsidRPr="005432D5">
        <w:rPr>
          <w:rFonts w:ascii="Times New Roman" w:hAnsi="Times New Roman" w:cs="Times New Roman"/>
        </w:rPr>
        <w:t xml:space="preserve"> vykurovanie)</w:t>
      </w:r>
      <w:r>
        <w:rPr>
          <w:rFonts w:ascii="Times New Roman" w:hAnsi="Times New Roman" w:cs="Times New Roman"/>
        </w:rPr>
        <w:t>. T</w:t>
      </w:r>
      <w:r w:rsidRPr="00CA5610">
        <w:rPr>
          <w:rFonts w:ascii="Times New Roman" w:hAnsi="Times New Roman" w:cs="Times New Roman"/>
        </w:rPr>
        <w:t>ermálne vody</w:t>
      </w:r>
      <w:r>
        <w:rPr>
          <w:rFonts w:ascii="Times New Roman" w:hAnsi="Times New Roman" w:cs="Times New Roman"/>
        </w:rPr>
        <w:t xml:space="preserve"> sú vody</w:t>
      </w:r>
      <w:r w:rsidRPr="00CA5610">
        <w:rPr>
          <w:rFonts w:ascii="Times New Roman" w:hAnsi="Times New Roman" w:cs="Times New Roman"/>
        </w:rPr>
        <w:t xml:space="preserve"> bez vlastností minerálnych vôd s teplotou nad 20 °C</w:t>
      </w:r>
      <w:r>
        <w:rPr>
          <w:rFonts w:ascii="Times New Roman" w:hAnsi="Times New Roman" w:cs="Times New Roman"/>
        </w:rPr>
        <w:t>.</w:t>
      </w:r>
      <w:r w:rsidRPr="00CA5610">
        <w:rPr>
          <w:rFonts w:ascii="Times New Roman" w:hAnsi="Times New Roman" w:cs="Times New Roman"/>
        </w:rPr>
        <w:t xml:space="preserve"> </w:t>
      </w:r>
    </w:p>
    <w:p w:rsidR="008117A9" w:rsidRPr="00CA5610" w:rsidP="008117A9">
      <w:pPr>
        <w:bidi w:val="0"/>
        <w:spacing w:line="336" w:lineRule="auto"/>
        <w:jc w:val="both"/>
        <w:rPr>
          <w:rFonts w:ascii="Times New Roman" w:hAnsi="Times New Roman" w:cs="Times New Roman"/>
        </w:rPr>
      </w:pPr>
      <w:r>
        <w:rPr>
          <w:rFonts w:ascii="Times New Roman" w:hAnsi="Times New Roman" w:cs="Times New Roman"/>
        </w:rPr>
        <w:t xml:space="preserve">Bližšie informácie so stanovením sadzieb za odobrané množstvo, z ktorého plynie príjem pre štátny rozpočet, sa podarilo identifikovať u minerálnych vôd. </w:t>
      </w:r>
      <w:r w:rsidRPr="007E009C">
        <w:rPr>
          <w:rFonts w:ascii="Times New Roman" w:hAnsi="Times New Roman" w:cs="Times New Roman"/>
        </w:rPr>
        <w:t xml:space="preserve">Na Slovensku je podľa Inšpektorátu kúpeľov a žriediel uznaných 80 zdrojov prírodných liečivých </w:t>
      </w:r>
      <w:r>
        <w:rPr>
          <w:rFonts w:ascii="Times New Roman" w:hAnsi="Times New Roman" w:cs="Times New Roman"/>
        </w:rPr>
        <w:t xml:space="preserve">vôd </w:t>
      </w:r>
      <w:r w:rsidRPr="007E009C">
        <w:rPr>
          <w:rFonts w:ascii="Times New Roman" w:hAnsi="Times New Roman" w:cs="Times New Roman"/>
        </w:rPr>
        <w:t>a 42 zdrojov prírodných minerálnych</w:t>
      </w:r>
      <w:r>
        <w:rPr>
          <w:rFonts w:ascii="Times New Roman" w:hAnsi="Times New Roman" w:cs="Times New Roman"/>
        </w:rPr>
        <w:t xml:space="preserve"> vôd,</w:t>
      </w:r>
      <w:r w:rsidRPr="007E009C">
        <w:rPr>
          <w:rFonts w:ascii="Times New Roman" w:hAnsi="Times New Roman" w:cs="Times New Roman"/>
        </w:rPr>
        <w:t xml:space="preserve"> z toho 2 sú súčasne uznané za prírodný liečivý </w:t>
      </w:r>
      <w:r>
        <w:rPr>
          <w:rFonts w:ascii="Times New Roman" w:hAnsi="Times New Roman" w:cs="Times New Roman"/>
        </w:rPr>
        <w:t>i</w:t>
      </w:r>
      <w:r w:rsidRPr="007E009C">
        <w:rPr>
          <w:rFonts w:ascii="Times New Roman" w:hAnsi="Times New Roman" w:cs="Times New Roman"/>
        </w:rPr>
        <w:t> prírodný minerálny zdroj.</w:t>
      </w:r>
    </w:p>
    <w:p w:rsidR="00C92A18" w:rsidP="004B28B7">
      <w:pPr>
        <w:bidi w:val="0"/>
        <w:spacing w:line="336" w:lineRule="auto"/>
        <w:jc w:val="both"/>
        <w:rPr>
          <w:rFonts w:ascii="Times New Roman" w:hAnsi="Times New Roman" w:cs="Times New Roman"/>
          <w:szCs w:val="22"/>
        </w:rPr>
      </w:pPr>
      <w:r w:rsidR="008117A9">
        <w:rPr>
          <w:rFonts w:ascii="Times New Roman" w:hAnsi="Times New Roman" w:cs="Times New Roman"/>
          <w:szCs w:val="22"/>
        </w:rPr>
        <w:t>Prírodná minerálna voda</w:t>
      </w:r>
      <w:r w:rsidRPr="00F808E5" w:rsidR="008117A9">
        <w:rPr>
          <w:rFonts w:ascii="Times New Roman" w:hAnsi="Times New Roman" w:cs="Times New Roman"/>
          <w:szCs w:val="22"/>
        </w:rPr>
        <w:t xml:space="preserve"> je </w:t>
      </w:r>
      <w:r w:rsidR="008117A9">
        <w:rPr>
          <w:rFonts w:ascii="Times New Roman" w:hAnsi="Times New Roman" w:cs="Times New Roman"/>
          <w:szCs w:val="22"/>
        </w:rPr>
        <w:t xml:space="preserve">potravina a používa sa </w:t>
      </w:r>
      <w:r w:rsidRPr="00F808E5" w:rsidR="008117A9">
        <w:rPr>
          <w:rFonts w:ascii="Times New Roman" w:hAnsi="Times New Roman" w:cs="Times New Roman"/>
          <w:szCs w:val="22"/>
        </w:rPr>
        <w:t xml:space="preserve">na výrobu balených </w:t>
      </w:r>
      <w:r w:rsidR="008117A9">
        <w:rPr>
          <w:rFonts w:ascii="Times New Roman" w:hAnsi="Times New Roman" w:cs="Times New Roman"/>
          <w:szCs w:val="22"/>
        </w:rPr>
        <w:t>minerálnych vôd</w:t>
      </w:r>
      <w:r w:rsidRPr="00F808E5" w:rsidR="008117A9">
        <w:rPr>
          <w:rFonts w:ascii="Times New Roman" w:hAnsi="Times New Roman" w:cs="Times New Roman"/>
          <w:szCs w:val="22"/>
        </w:rPr>
        <w:t xml:space="preserve">. Od klasickej pitnej vody sa odlišuje charakteristickým pôvodným obsahom minerálov, stopových prvkov alebo ich častí, ako aj fyziologickým účinkom. Na ťažbu, úpravu a fľaškovanie prírodnej minerálnej vody </w:t>
      </w:r>
      <w:r w:rsidR="008117A9">
        <w:rPr>
          <w:rFonts w:ascii="Times New Roman" w:hAnsi="Times New Roman" w:cs="Times New Roman"/>
          <w:szCs w:val="22"/>
        </w:rPr>
        <w:t>vydáva</w:t>
      </w:r>
      <w:r w:rsidRPr="00F808E5" w:rsidR="008117A9">
        <w:rPr>
          <w:rFonts w:ascii="Times New Roman" w:hAnsi="Times New Roman" w:cs="Times New Roman"/>
          <w:szCs w:val="22"/>
        </w:rPr>
        <w:t xml:space="preserve"> povolenie </w:t>
      </w:r>
      <w:r w:rsidR="008117A9">
        <w:rPr>
          <w:rFonts w:ascii="Times New Roman" w:hAnsi="Times New Roman" w:cs="Times New Roman"/>
          <w:szCs w:val="22"/>
        </w:rPr>
        <w:t xml:space="preserve">Ministerstvo zdravotníctva SR (MZ SR), </w:t>
      </w:r>
      <w:r w:rsidRPr="00F808E5" w:rsidR="008117A9">
        <w:rPr>
          <w:rFonts w:ascii="Times New Roman" w:hAnsi="Times New Roman" w:cs="Times New Roman"/>
          <w:szCs w:val="22"/>
        </w:rPr>
        <w:t xml:space="preserve">ktoré </w:t>
      </w:r>
      <w:r w:rsidR="008117A9">
        <w:rPr>
          <w:rFonts w:ascii="Times New Roman" w:hAnsi="Times New Roman" w:cs="Times New Roman"/>
          <w:szCs w:val="22"/>
        </w:rPr>
        <w:t>aj vedie e</w:t>
      </w:r>
      <w:r w:rsidRPr="00F808E5" w:rsidR="008117A9">
        <w:rPr>
          <w:rFonts w:ascii="Times New Roman" w:hAnsi="Times New Roman" w:cs="Times New Roman"/>
          <w:szCs w:val="22"/>
        </w:rPr>
        <w:t>videnciu schváleného a skutočného čerpania minerálnych vôd súkromnými subjektmi</w:t>
      </w:r>
      <w:r w:rsidR="008117A9">
        <w:rPr>
          <w:rFonts w:ascii="Times New Roman" w:hAnsi="Times New Roman" w:cs="Times New Roman"/>
          <w:szCs w:val="22"/>
        </w:rPr>
        <w:t>. MZ SR stanovuje sadzby za vyčerpané množstvo minerálnych vôd, ktoré ukazuje nasledujúca tabuľka.</w:t>
      </w:r>
      <w:r>
        <w:rPr>
          <w:rFonts w:ascii="Times New Roman" w:hAnsi="Times New Roman" w:cs="Times New Roman"/>
          <w:szCs w:val="22"/>
        </w:rPr>
        <w:br w:type="page"/>
      </w:r>
    </w:p>
    <w:tbl>
      <w:tblPr>
        <w:tblStyle w:val="TableNormal"/>
        <w:tblW w:w="5000" w:type="pct"/>
        <w:tblCellMar>
          <w:left w:w="70" w:type="dxa"/>
          <w:right w:w="70" w:type="dxa"/>
        </w:tblCellMar>
      </w:tblPr>
      <w:tblGrid>
        <w:gridCol w:w="2109"/>
        <w:gridCol w:w="5237"/>
        <w:gridCol w:w="717"/>
        <w:gridCol w:w="1148"/>
      </w:tblGrid>
      <w:tr>
        <w:tblPrEx>
          <w:tblW w:w="5000" w:type="pct"/>
          <w:tblCellMar>
            <w:left w:w="70" w:type="dxa"/>
            <w:right w:w="70" w:type="dxa"/>
          </w:tblCellMar>
        </w:tblPrEx>
        <w:trPr>
          <w:trHeight w:val="290"/>
        </w:trPr>
        <w:tc>
          <w:tcPr>
            <w:tcW w:w="3988" w:type="pct"/>
            <w:gridSpan w:val="2"/>
            <w:tcBorders>
              <w:top w:val="nil"/>
              <w:left w:val="nil"/>
              <w:bottom w:val="nil"/>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b/>
                <w:bCs/>
                <w:color w:val="FFFFFF"/>
                <w:sz w:val="20"/>
                <w:szCs w:val="20"/>
              </w:rPr>
            </w:pPr>
            <w:r>
              <w:rPr>
                <w:rFonts w:ascii="Times New Roman" w:hAnsi="Times New Roman" w:cs="Times New Roman"/>
                <w:b/>
                <w:bCs/>
                <w:color w:val="FFFFFF"/>
                <w:sz w:val="20"/>
                <w:szCs w:val="20"/>
              </w:rPr>
              <w:t>Sadzby za jednotku vyčerpaných minerálnych vôd (eur/</w:t>
            </w:r>
            <w:r w:rsidRPr="0089539C">
              <w:rPr>
                <w:rFonts w:ascii="Times New Roman" w:hAnsi="Times New Roman" w:cs="Times New Roman"/>
                <w:b/>
                <w:bCs/>
                <w:color w:val="FFFFFF"/>
                <w:sz w:val="20"/>
                <w:szCs w:val="20"/>
              </w:rPr>
              <w:t xml:space="preserve"> m³</w:t>
            </w:r>
            <w:r>
              <w:rPr>
                <w:rFonts w:ascii="Times New Roman" w:hAnsi="Times New Roman" w:cs="Times New Roman"/>
                <w:b/>
                <w:bCs/>
                <w:color w:val="FFFFFF"/>
                <w:sz w:val="20"/>
                <w:szCs w:val="20"/>
              </w:rPr>
              <w:t>)</w:t>
            </w:r>
            <w:r w:rsidRPr="0089539C">
              <w:rPr>
                <w:rFonts w:ascii="Times New Roman" w:hAnsi="Times New Roman" w:cs="Times New Roman"/>
                <w:b/>
                <w:bCs/>
                <w:color w:val="FFFFFF"/>
                <w:sz w:val="20"/>
                <w:szCs w:val="20"/>
              </w:rPr>
              <w:t xml:space="preserve"> </w:t>
            </w:r>
          </w:p>
        </w:tc>
        <w:tc>
          <w:tcPr>
            <w:tcW w:w="389" w:type="pct"/>
            <w:tcBorders>
              <w:top w:val="nil"/>
              <w:left w:val="nil"/>
              <w:bottom w:val="nil"/>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b/>
                <w:bCs/>
                <w:color w:val="FFFFFF"/>
                <w:sz w:val="20"/>
                <w:szCs w:val="20"/>
              </w:rPr>
            </w:pPr>
          </w:p>
        </w:tc>
        <w:tc>
          <w:tcPr>
            <w:tcW w:w="623" w:type="pct"/>
            <w:tcBorders>
              <w:top w:val="nil"/>
              <w:left w:val="nil"/>
              <w:bottom w:val="nil"/>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b/>
                <w:bCs/>
                <w:color w:val="FFFFFF"/>
                <w:sz w:val="20"/>
                <w:szCs w:val="20"/>
              </w:rPr>
            </w:pPr>
          </w:p>
        </w:tc>
      </w:tr>
      <w:tr>
        <w:tblPrEx>
          <w:tblW w:w="5000" w:type="pct"/>
          <w:tblCellMar>
            <w:left w:w="70" w:type="dxa"/>
            <w:right w:w="70" w:type="dxa"/>
          </w:tblCellMar>
        </w:tblPrEx>
        <w:trPr>
          <w:trHeight w:val="290"/>
        </w:trPr>
        <w:tc>
          <w:tcPr>
            <w:tcW w:w="1145" w:type="pct"/>
            <w:tcBorders>
              <w:top w:val="nil"/>
              <w:left w:val="nil"/>
              <w:bottom w:val="single" w:sz="6"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Typ</w:t>
            </w:r>
            <w:r>
              <w:rPr>
                <w:rFonts w:ascii="Times New Roman" w:hAnsi="Times New Roman" w:cs="Times New Roman"/>
                <w:color w:val="000000"/>
                <w:sz w:val="20"/>
                <w:szCs w:val="20"/>
              </w:rPr>
              <w:t xml:space="preserve"> minerálnej</w:t>
            </w:r>
            <w:r w:rsidRPr="0089539C">
              <w:rPr>
                <w:rFonts w:ascii="Times New Roman" w:hAnsi="Times New Roman" w:cs="Times New Roman"/>
                <w:color w:val="000000"/>
                <w:sz w:val="20"/>
                <w:szCs w:val="20"/>
              </w:rPr>
              <w:t xml:space="preserve"> vody</w:t>
            </w:r>
          </w:p>
        </w:tc>
        <w:tc>
          <w:tcPr>
            <w:tcW w:w="2843" w:type="pct"/>
            <w:tcBorders>
              <w:top w:val="nil"/>
              <w:left w:val="nil"/>
              <w:bottom w:val="single" w:sz="6" w:space="0" w:color="auto"/>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color w:val="000000"/>
                <w:sz w:val="20"/>
                <w:szCs w:val="20"/>
              </w:rPr>
            </w:pPr>
            <w:r w:rsidRPr="0089539C">
              <w:rPr>
                <w:rFonts w:ascii="Times New Roman" w:hAnsi="Times New Roman" w:cs="Times New Roman"/>
                <w:color w:val="000000"/>
                <w:sz w:val="20"/>
                <w:szCs w:val="20"/>
              </w:rPr>
              <w:t>Použitie</w:t>
            </w:r>
          </w:p>
        </w:tc>
        <w:tc>
          <w:tcPr>
            <w:tcW w:w="389" w:type="pct"/>
            <w:tcBorders>
              <w:top w:val="nil"/>
              <w:left w:val="nil"/>
              <w:bottom w:val="single" w:sz="6"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 xml:space="preserve">Eur/m³ </w:t>
            </w:r>
          </w:p>
        </w:tc>
        <w:tc>
          <w:tcPr>
            <w:tcW w:w="623" w:type="pct"/>
            <w:tcBorders>
              <w:top w:val="nil"/>
              <w:left w:val="nil"/>
              <w:bottom w:val="single" w:sz="6"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Eur/l (dm³)</w:t>
            </w:r>
          </w:p>
        </w:tc>
      </w:tr>
      <w:tr>
        <w:tblPrEx>
          <w:tblW w:w="5000" w:type="pct"/>
          <w:tblCellMar>
            <w:left w:w="70" w:type="dxa"/>
            <w:right w:w="70" w:type="dxa"/>
          </w:tblCellMar>
        </w:tblPrEx>
        <w:trPr>
          <w:trHeight w:val="492"/>
        </w:trPr>
        <w:tc>
          <w:tcPr>
            <w:tcW w:w="1145" w:type="pct"/>
            <w:tcBorders>
              <w:top w:val="single" w:sz="6" w:space="0" w:color="auto"/>
              <w:left w:val="nil"/>
              <w:bottom w:val="nil"/>
              <w:right w:val="single" w:sz="4" w:space="0" w:color="auto"/>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b/>
                <w:bCs/>
                <w:color w:val="000000"/>
                <w:sz w:val="20"/>
                <w:szCs w:val="20"/>
              </w:rPr>
            </w:pPr>
          </w:p>
        </w:tc>
        <w:tc>
          <w:tcPr>
            <w:tcW w:w="2843" w:type="pct"/>
            <w:tcBorders>
              <w:top w:val="single" w:sz="6" w:space="0" w:color="auto"/>
              <w:left w:val="single" w:sz="4" w:space="0" w:color="auto"/>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color w:val="000000"/>
                <w:sz w:val="20"/>
                <w:szCs w:val="20"/>
              </w:rPr>
            </w:pPr>
            <w:r w:rsidRPr="0089539C">
              <w:rPr>
                <w:rFonts w:ascii="Times New Roman" w:hAnsi="Times New Roman" w:cs="Times New Roman"/>
                <w:color w:val="000000"/>
                <w:sz w:val="20"/>
                <w:szCs w:val="20"/>
              </w:rPr>
              <w:t>Liečebné účely na vonkajšie použitie, energetické účely pre tepelné čerpadlá</w:t>
            </w:r>
          </w:p>
        </w:tc>
        <w:tc>
          <w:tcPr>
            <w:tcW w:w="389" w:type="pct"/>
            <w:tcBorders>
              <w:top w:val="single" w:sz="6"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p>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0,12</w:t>
            </w:r>
          </w:p>
        </w:tc>
        <w:tc>
          <w:tcPr>
            <w:tcW w:w="623" w:type="pct"/>
            <w:tcBorders>
              <w:top w:val="single" w:sz="6"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p>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0,00012</w:t>
            </w:r>
          </w:p>
        </w:tc>
      </w:tr>
      <w:tr>
        <w:tblPrEx>
          <w:tblW w:w="5000" w:type="pct"/>
          <w:tblCellMar>
            <w:left w:w="70" w:type="dxa"/>
            <w:right w:w="70" w:type="dxa"/>
          </w:tblCellMar>
        </w:tblPrEx>
        <w:trPr>
          <w:trHeight w:val="290"/>
        </w:trPr>
        <w:tc>
          <w:tcPr>
            <w:tcW w:w="1145" w:type="pct"/>
            <w:tcBorders>
              <w:top w:val="nil"/>
              <w:left w:val="nil"/>
              <w:bottom w:val="nil"/>
              <w:right w:val="single" w:sz="4" w:space="0" w:color="auto"/>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b/>
                <w:bCs/>
                <w:color w:val="000000"/>
                <w:sz w:val="20"/>
                <w:szCs w:val="20"/>
              </w:rPr>
            </w:pPr>
          </w:p>
        </w:tc>
        <w:tc>
          <w:tcPr>
            <w:tcW w:w="2843" w:type="pct"/>
            <w:tcBorders>
              <w:top w:val="single" w:sz="4" w:space="0" w:color="auto"/>
              <w:left w:val="single" w:sz="4" w:space="0" w:color="auto"/>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color w:val="000000"/>
                <w:sz w:val="20"/>
                <w:szCs w:val="20"/>
              </w:rPr>
            </w:pPr>
            <w:r w:rsidRPr="0089539C">
              <w:rPr>
                <w:rFonts w:ascii="Times New Roman" w:hAnsi="Times New Roman" w:cs="Times New Roman"/>
                <w:color w:val="000000"/>
                <w:sz w:val="20"/>
                <w:szCs w:val="20"/>
              </w:rPr>
              <w:t>Liečebné účely na vnútorné použitie (pitie, inhalácia)</w:t>
            </w:r>
          </w:p>
        </w:tc>
        <w:tc>
          <w:tcPr>
            <w:tcW w:w="389" w:type="pct"/>
            <w:tcBorders>
              <w:top w:val="single" w:sz="4"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0,20</w:t>
            </w:r>
          </w:p>
        </w:tc>
        <w:tc>
          <w:tcPr>
            <w:tcW w:w="623" w:type="pct"/>
            <w:tcBorders>
              <w:top w:val="single" w:sz="4"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0,00020</w:t>
            </w:r>
          </w:p>
        </w:tc>
      </w:tr>
      <w:tr>
        <w:tblPrEx>
          <w:tblW w:w="5000" w:type="pct"/>
          <w:tblCellMar>
            <w:left w:w="70" w:type="dxa"/>
            <w:right w:w="70" w:type="dxa"/>
          </w:tblCellMar>
        </w:tblPrEx>
        <w:trPr>
          <w:trHeight w:val="290"/>
        </w:trPr>
        <w:tc>
          <w:tcPr>
            <w:tcW w:w="1145" w:type="pct"/>
            <w:tcBorders>
              <w:top w:val="nil"/>
              <w:left w:val="nil"/>
              <w:bottom w:val="nil"/>
              <w:right w:val="single" w:sz="4" w:space="0" w:color="auto"/>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b/>
                <w:bCs/>
                <w:color w:val="000000"/>
                <w:sz w:val="20"/>
                <w:szCs w:val="20"/>
              </w:rPr>
            </w:pPr>
            <w:r w:rsidRPr="0089539C">
              <w:rPr>
                <w:rFonts w:ascii="Times New Roman" w:hAnsi="Times New Roman" w:cs="Times New Roman"/>
                <w:b/>
                <w:bCs/>
                <w:color w:val="000000"/>
                <w:sz w:val="20"/>
                <w:szCs w:val="20"/>
              </w:rPr>
              <w:t xml:space="preserve">Prírodné liečivé </w:t>
            </w:r>
          </w:p>
        </w:tc>
        <w:tc>
          <w:tcPr>
            <w:tcW w:w="2843" w:type="pct"/>
            <w:tcBorders>
              <w:top w:val="single" w:sz="4" w:space="0" w:color="auto"/>
              <w:left w:val="single" w:sz="4" w:space="0" w:color="auto"/>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color w:val="000000"/>
                <w:sz w:val="20"/>
                <w:szCs w:val="20"/>
              </w:rPr>
            </w:pPr>
            <w:r w:rsidRPr="0089539C">
              <w:rPr>
                <w:rFonts w:ascii="Times New Roman" w:hAnsi="Times New Roman" w:cs="Times New Roman"/>
                <w:color w:val="000000"/>
                <w:sz w:val="20"/>
                <w:szCs w:val="20"/>
              </w:rPr>
              <w:t>Rekreačné účely</w:t>
            </w:r>
          </w:p>
        </w:tc>
        <w:tc>
          <w:tcPr>
            <w:tcW w:w="389" w:type="pct"/>
            <w:tcBorders>
              <w:top w:val="single" w:sz="4"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0,33</w:t>
            </w:r>
          </w:p>
        </w:tc>
        <w:tc>
          <w:tcPr>
            <w:tcW w:w="623" w:type="pct"/>
            <w:tcBorders>
              <w:top w:val="single" w:sz="4"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0,00033</w:t>
            </w:r>
          </w:p>
        </w:tc>
      </w:tr>
      <w:tr>
        <w:tblPrEx>
          <w:tblW w:w="5000" w:type="pct"/>
          <w:tblCellMar>
            <w:left w:w="70" w:type="dxa"/>
            <w:right w:w="70" w:type="dxa"/>
          </w:tblCellMar>
        </w:tblPrEx>
        <w:trPr>
          <w:trHeight w:val="290"/>
        </w:trPr>
        <w:tc>
          <w:tcPr>
            <w:tcW w:w="1145" w:type="pct"/>
            <w:tcBorders>
              <w:top w:val="nil"/>
              <w:left w:val="nil"/>
              <w:bottom w:val="nil"/>
              <w:right w:val="single" w:sz="4" w:space="0" w:color="auto"/>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b/>
                <w:bCs/>
                <w:color w:val="000000"/>
                <w:sz w:val="20"/>
                <w:szCs w:val="20"/>
              </w:rPr>
            </w:pPr>
          </w:p>
        </w:tc>
        <w:tc>
          <w:tcPr>
            <w:tcW w:w="2843" w:type="pct"/>
            <w:tcBorders>
              <w:top w:val="single" w:sz="4" w:space="0" w:color="auto"/>
              <w:left w:val="single" w:sz="4" w:space="0" w:color="auto"/>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color w:val="000000"/>
                <w:sz w:val="20"/>
                <w:szCs w:val="20"/>
              </w:rPr>
            </w:pPr>
            <w:r w:rsidRPr="0089539C">
              <w:rPr>
                <w:rFonts w:ascii="Times New Roman" w:hAnsi="Times New Roman" w:cs="Times New Roman"/>
                <w:color w:val="000000"/>
                <w:sz w:val="20"/>
                <w:szCs w:val="20"/>
              </w:rPr>
              <w:t>Energetické účely pri ochladení liečivej vody o 10 °C až 20 °C</w:t>
            </w:r>
          </w:p>
        </w:tc>
        <w:tc>
          <w:tcPr>
            <w:tcW w:w="389" w:type="pct"/>
            <w:tcBorders>
              <w:top w:val="single" w:sz="4"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0,50</w:t>
            </w:r>
          </w:p>
        </w:tc>
        <w:tc>
          <w:tcPr>
            <w:tcW w:w="623" w:type="pct"/>
            <w:tcBorders>
              <w:top w:val="single" w:sz="4"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0,00050</w:t>
            </w:r>
          </w:p>
        </w:tc>
      </w:tr>
      <w:tr>
        <w:tblPrEx>
          <w:tblW w:w="5000" w:type="pct"/>
          <w:tblCellMar>
            <w:left w:w="70" w:type="dxa"/>
            <w:right w:w="70" w:type="dxa"/>
          </w:tblCellMar>
        </w:tblPrEx>
        <w:trPr>
          <w:trHeight w:val="290"/>
        </w:trPr>
        <w:tc>
          <w:tcPr>
            <w:tcW w:w="1145" w:type="pct"/>
            <w:tcBorders>
              <w:top w:val="nil"/>
              <w:left w:val="nil"/>
              <w:bottom w:val="single" w:sz="6" w:space="0" w:color="auto"/>
              <w:right w:val="single" w:sz="4" w:space="0" w:color="auto"/>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b/>
                <w:bCs/>
                <w:color w:val="000000"/>
                <w:sz w:val="20"/>
                <w:szCs w:val="20"/>
              </w:rPr>
            </w:pPr>
          </w:p>
        </w:tc>
        <w:tc>
          <w:tcPr>
            <w:tcW w:w="2843" w:type="pct"/>
            <w:tcBorders>
              <w:top w:val="single" w:sz="4" w:space="0" w:color="auto"/>
              <w:left w:val="single" w:sz="4" w:space="0" w:color="auto"/>
              <w:bottom w:val="single" w:sz="6" w:space="0" w:color="auto"/>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color w:val="000000"/>
                <w:sz w:val="20"/>
                <w:szCs w:val="20"/>
              </w:rPr>
            </w:pPr>
            <w:r w:rsidRPr="0089539C">
              <w:rPr>
                <w:rFonts w:ascii="Times New Roman" w:hAnsi="Times New Roman" w:cs="Times New Roman"/>
                <w:color w:val="000000"/>
                <w:sz w:val="20"/>
                <w:szCs w:val="20"/>
              </w:rPr>
              <w:t>Energetické účely pri ochladení liečivej vody o 20 °C až 30 °C</w:t>
            </w:r>
          </w:p>
        </w:tc>
        <w:tc>
          <w:tcPr>
            <w:tcW w:w="389" w:type="pct"/>
            <w:tcBorders>
              <w:top w:val="single" w:sz="4" w:space="0" w:color="auto"/>
              <w:left w:val="nil"/>
              <w:bottom w:val="single" w:sz="6"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0,83</w:t>
            </w:r>
          </w:p>
        </w:tc>
        <w:tc>
          <w:tcPr>
            <w:tcW w:w="623" w:type="pct"/>
            <w:tcBorders>
              <w:top w:val="single" w:sz="4" w:space="0" w:color="auto"/>
              <w:left w:val="nil"/>
              <w:bottom w:val="single" w:sz="6"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0,00083</w:t>
            </w:r>
          </w:p>
        </w:tc>
      </w:tr>
      <w:tr>
        <w:tblPrEx>
          <w:tblW w:w="5000" w:type="pct"/>
          <w:tblCellMar>
            <w:left w:w="70" w:type="dxa"/>
            <w:right w:w="70" w:type="dxa"/>
          </w:tblCellMar>
        </w:tblPrEx>
        <w:trPr>
          <w:trHeight w:val="290"/>
        </w:trPr>
        <w:tc>
          <w:tcPr>
            <w:tcW w:w="1145" w:type="pct"/>
            <w:tcBorders>
              <w:top w:val="single" w:sz="6" w:space="0" w:color="auto"/>
              <w:left w:val="nil"/>
              <w:bottom w:val="single" w:sz="4" w:space="0" w:color="auto"/>
              <w:right w:val="single" w:sz="4" w:space="0" w:color="auto"/>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b/>
                <w:bCs/>
                <w:color w:val="000000"/>
                <w:sz w:val="20"/>
                <w:szCs w:val="20"/>
              </w:rPr>
            </w:pPr>
            <w:r w:rsidRPr="0089539C">
              <w:rPr>
                <w:rFonts w:ascii="Times New Roman" w:hAnsi="Times New Roman" w:cs="Times New Roman"/>
                <w:b/>
                <w:bCs/>
                <w:color w:val="000000"/>
                <w:sz w:val="20"/>
                <w:szCs w:val="20"/>
              </w:rPr>
              <w:t xml:space="preserve">Prírodné minerálne </w:t>
            </w:r>
          </w:p>
        </w:tc>
        <w:tc>
          <w:tcPr>
            <w:tcW w:w="2843" w:type="pct"/>
            <w:tcBorders>
              <w:top w:val="single" w:sz="6" w:space="0" w:color="auto"/>
              <w:left w:val="single" w:sz="4" w:space="0" w:color="auto"/>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rPr>
                <w:rFonts w:ascii="Times New Roman" w:hAnsi="Times New Roman" w:cs="Times New Roman"/>
                <w:color w:val="000000"/>
                <w:sz w:val="20"/>
                <w:szCs w:val="20"/>
              </w:rPr>
            </w:pPr>
            <w:r w:rsidRPr="0089539C">
              <w:rPr>
                <w:rFonts w:ascii="Times New Roman" w:hAnsi="Times New Roman" w:cs="Times New Roman"/>
                <w:color w:val="000000"/>
                <w:sz w:val="20"/>
                <w:szCs w:val="20"/>
              </w:rPr>
              <w:t>Balené minerálne vody</w:t>
            </w:r>
          </w:p>
        </w:tc>
        <w:tc>
          <w:tcPr>
            <w:tcW w:w="389" w:type="pct"/>
            <w:tcBorders>
              <w:top w:val="single" w:sz="6"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0,66</w:t>
            </w:r>
          </w:p>
        </w:tc>
        <w:tc>
          <w:tcPr>
            <w:tcW w:w="623" w:type="pct"/>
            <w:tcBorders>
              <w:top w:val="single" w:sz="6" w:space="0" w:color="auto"/>
              <w:left w:val="nil"/>
              <w:bottom w:val="single" w:sz="4" w:space="0" w:color="auto"/>
              <w:right w:val="nil"/>
            </w:tcBorders>
            <w:textDirection w:val="lrTb"/>
            <w:vAlign w:val="top"/>
          </w:tcPr>
          <w:p w:rsidR="008117A9" w:rsidRPr="0089539C" w:rsidP="00A97D6F">
            <w:pPr>
              <w:autoSpaceDE w:val="0"/>
              <w:autoSpaceDN w:val="0"/>
              <w:bidi w:val="0"/>
              <w:adjustRightInd w:val="0"/>
              <w:spacing w:after="0" w:line="240" w:lineRule="auto"/>
              <w:jc w:val="center"/>
              <w:rPr>
                <w:rFonts w:ascii="Times New Roman" w:hAnsi="Times New Roman" w:cs="Times New Roman"/>
                <w:color w:val="000000"/>
                <w:sz w:val="20"/>
                <w:szCs w:val="20"/>
              </w:rPr>
            </w:pPr>
            <w:r w:rsidRPr="0089539C">
              <w:rPr>
                <w:rFonts w:ascii="Times New Roman" w:hAnsi="Times New Roman" w:cs="Times New Roman"/>
                <w:color w:val="000000"/>
                <w:sz w:val="20"/>
                <w:szCs w:val="20"/>
              </w:rPr>
              <w:t>0,00066</w:t>
            </w:r>
          </w:p>
        </w:tc>
      </w:tr>
    </w:tbl>
    <w:p w:rsidR="008117A9" w:rsidRPr="0089539C" w:rsidP="008117A9">
      <w:pPr>
        <w:bidi w:val="0"/>
        <w:spacing w:after="120" w:line="336" w:lineRule="auto"/>
        <w:jc w:val="right"/>
        <w:rPr>
          <w:rFonts w:ascii="Times New Roman" w:eastAsia="Calibri" w:hAnsi="Times New Roman" w:cs="Times New Roman"/>
          <w:szCs w:val="22"/>
        </w:rPr>
      </w:pPr>
      <w:r w:rsidRPr="0089539C">
        <w:rPr>
          <w:rFonts w:ascii="Times New Roman" w:hAnsi="Times New Roman" w:cs="Times New Roman"/>
          <w:i/>
          <w:iCs/>
          <w:sz w:val="16"/>
          <w:szCs w:val="16"/>
          <w:lang w:eastAsia="sk-SK"/>
        </w:rPr>
        <w:t xml:space="preserve">Zdroj: Vyhláška </w:t>
      </w:r>
      <w:r>
        <w:rPr>
          <w:rFonts w:ascii="Times New Roman" w:hAnsi="Times New Roman" w:cs="Times New Roman"/>
          <w:i/>
          <w:iCs/>
          <w:sz w:val="16"/>
          <w:szCs w:val="16"/>
          <w:lang w:eastAsia="sk-SK"/>
        </w:rPr>
        <w:t>MZ SR</w:t>
      </w:r>
      <w:r w:rsidRPr="0089539C">
        <w:rPr>
          <w:rFonts w:ascii="Times New Roman" w:hAnsi="Times New Roman" w:cs="Times New Roman"/>
          <w:i/>
          <w:iCs/>
          <w:sz w:val="16"/>
          <w:szCs w:val="16"/>
          <w:lang w:eastAsia="sk-SK"/>
        </w:rPr>
        <w:t>27/2006</w:t>
      </w:r>
    </w:p>
    <w:p w:rsidR="00DD3C4F" w:rsidRPr="00DD3C4F" w:rsidP="00DD3C4F">
      <w:pPr>
        <w:bidi w:val="0"/>
        <w:jc w:val="both"/>
        <w:rPr>
          <w:rFonts w:ascii="Times New Roman" w:hAnsi="Times New Roman" w:cs="Times New Roman"/>
        </w:rPr>
      </w:pPr>
      <w:r w:rsidRPr="00DD3C4F" w:rsidR="008117A9">
        <w:rPr>
          <w:rFonts w:ascii="Times New Roman" w:hAnsi="Times New Roman" w:cs="Times New Roman"/>
          <w:szCs w:val="22"/>
        </w:rPr>
        <w:t>Podľa kúpeľného zákona (č. 538/2005 Z.z.) platí využívateľ zdroja za vyťažený objem mesačne úhradu MZ SR, ktorá je príjmom štátneho rozpočtu. V roku 2015 bolo na predmet výroby a plnenia do spotrebiteľských obalov využitých 188 730 m</w:t>
      </w:r>
      <w:r w:rsidRPr="00DD3C4F" w:rsidR="008117A9">
        <w:rPr>
          <w:rFonts w:ascii="Times New Roman" w:hAnsi="Times New Roman" w:cs="Times New Roman"/>
          <w:szCs w:val="22"/>
          <w:vertAlign w:val="superscript"/>
        </w:rPr>
        <w:t>3</w:t>
      </w:r>
      <w:r w:rsidRPr="00DD3C4F" w:rsidR="008117A9">
        <w:rPr>
          <w:rFonts w:ascii="Times New Roman" w:hAnsi="Times New Roman" w:cs="Times New Roman"/>
          <w:szCs w:val="22"/>
        </w:rPr>
        <w:t xml:space="preserve"> prírodných minerálnych vôd, čo pri stanovenej sadzbe 0,66 €/m</w:t>
      </w:r>
      <w:r w:rsidRPr="00DD3C4F" w:rsidR="008117A9">
        <w:rPr>
          <w:rFonts w:ascii="Times New Roman" w:hAnsi="Times New Roman" w:cs="Times New Roman"/>
          <w:szCs w:val="22"/>
        </w:rPr>
        <w:t>³ znamenalo príjem do štátneho rozpo</w:t>
      </w:r>
      <w:r w:rsidRPr="00DD3C4F" w:rsidR="008117A9">
        <w:rPr>
          <w:rFonts w:ascii="Times New Roman" w:hAnsi="Times New Roman" w:cs="Times New Roman"/>
          <w:szCs w:val="22"/>
        </w:rPr>
        <w:t>čtu vo výške 124,6 tis. eur.</w:t>
      </w:r>
      <w:r w:rsidRPr="00DD3C4F">
        <w:rPr>
          <w:rFonts w:ascii="Times New Roman" w:hAnsi="Times New Roman" w:cs="Times New Roman"/>
          <w:szCs w:val="22"/>
        </w:rPr>
        <w:t xml:space="preserve"> </w:t>
      </w:r>
      <w:r w:rsidRPr="00DD3C4F">
        <w:rPr>
          <w:rFonts w:ascii="Times New Roman" w:hAnsi="Times New Roman" w:cs="Times New Roman"/>
        </w:rPr>
        <w:t>Celkový príjem z úhrad za využívanie prírodných liečivých zdrojov a prírodných zdrojov minerálnych vôd bol 474,6 tis. eur.</w:t>
      </w:r>
    </w:p>
    <w:p w:rsidR="008117A9" w:rsidRPr="00DD3C4F" w:rsidP="00DD3C4F">
      <w:pPr>
        <w:bidi w:val="0"/>
        <w:jc w:val="both"/>
        <w:rPr>
          <w:rFonts w:ascii="Times New Roman" w:hAnsi="Times New Roman" w:cs="Times New Roman"/>
          <w:szCs w:val="22"/>
        </w:rPr>
      </w:pPr>
      <w:r w:rsidRPr="00DD3C4F" w:rsidR="00DD3C4F">
        <w:rPr>
          <w:rFonts w:ascii="Times New Roman" w:hAnsi="Times New Roman" w:cs="Times New Roman"/>
        </w:rPr>
        <w:t> </w:t>
      </w:r>
      <w:r w:rsidRPr="00DD3C4F">
        <w:rPr>
          <w:rFonts w:ascii="Times New Roman" w:hAnsi="Times New Roman" w:cs="Times New Roman"/>
          <w:szCs w:val="22"/>
        </w:rPr>
        <w:t>Z pohľadu čistého bohatstva je zaujímavý potenciálny príjem štátneho rozpočtu pri maximálnom využití dostupných zdrojov. Na rok 2015 bolo Inšpektorátom kúpeľov a žriediel uznaných a vymedzených na čerpanie za účelom plnenia do spotrebiteľských balení 2 447 824 m</w:t>
      </w:r>
      <w:r w:rsidRPr="00DD3C4F">
        <w:rPr>
          <w:rFonts w:ascii="Times New Roman" w:hAnsi="Times New Roman" w:cs="Times New Roman"/>
          <w:szCs w:val="22"/>
          <w:vertAlign w:val="superscript"/>
        </w:rPr>
        <w:t xml:space="preserve">3 </w:t>
      </w:r>
      <w:r w:rsidRPr="00DD3C4F">
        <w:rPr>
          <w:rFonts w:ascii="Times New Roman" w:hAnsi="Times New Roman" w:cs="Times New Roman"/>
          <w:szCs w:val="22"/>
        </w:rPr>
        <w:t>prírodnej minerálnej vody, skutočne využitých za týmto účelom bolo 7,7 %. Potenciálny príjem pre štátny rozpočet teda predstavoval sumu 1 616 tis. eur.</w:t>
      </w:r>
    </w:p>
    <w:p w:rsidR="00DE2961">
      <w:pPr>
        <w:bidi w:val="0"/>
      </w:pPr>
    </w:p>
    <w:p w:rsidR="001D3593">
      <w:pPr>
        <w:bidi w:val="0"/>
        <w:rPr>
          <w:rFonts w:ascii="Times New Roman" w:hAnsi="Times New Roman" w:cs="Times New Roman"/>
          <w:szCs w:val="22"/>
        </w:rPr>
      </w:pPr>
      <w:bookmarkEnd w:id="112"/>
      <w:bookmarkEnd w:id="113"/>
      <w:bookmarkEnd w:id="114"/>
      <w:bookmarkEnd w:id="115"/>
      <w:bookmarkEnd w:id="116"/>
      <w:bookmarkEnd w:id="117"/>
      <w:r>
        <w:rPr>
          <w:rFonts w:ascii="Times New Roman" w:hAnsi="Times New Roman" w:cs="Times New Roman"/>
          <w:szCs w:val="22"/>
        </w:rPr>
        <w:br w:type="page"/>
      </w:r>
    </w:p>
    <w:p w:rsidR="007A3FF8">
      <w:pPr>
        <w:bidi w:val="0"/>
        <w:rPr>
          <w:rFonts w:ascii="Times New Roman" w:hAnsi="Times New Roman" w:cs="Times New Roman"/>
          <w:szCs w:val="22"/>
        </w:rPr>
        <w:sectPr w:rsidSect="00651A0E">
          <w:footerReference w:type="default" r:id="rId13"/>
          <w:pgSz w:w="11906" w:h="16838" w:code="9"/>
          <w:pgMar w:top="1418" w:right="1134" w:bottom="1418" w:left="1134" w:header="709" w:footer="709" w:gutter="567"/>
          <w:lnNumType w:distance="0"/>
          <w:pgNumType w:start="1"/>
          <w:cols w:space="708"/>
          <w:noEndnote w:val="0"/>
          <w:bidi w:val="0"/>
          <w:docGrid w:linePitch="360"/>
        </w:sectPr>
      </w:pPr>
      <w:bookmarkStart w:id="124" w:name="_Toc370908644"/>
      <w:bookmarkStart w:id="125" w:name="_Toc401920038"/>
    </w:p>
    <w:p w:rsidR="00352012" w:rsidRPr="00352012" w:rsidP="0009732B">
      <w:pPr>
        <w:pStyle w:val="Heading1"/>
        <w:numPr>
          <w:numId w:val="0"/>
        </w:numPr>
        <w:bidi w:val="0"/>
        <w:ind w:left="714" w:hanging="714"/>
        <w:rPr>
          <w:rFonts w:eastAsiaTheme="minorHAnsi"/>
          <w:sz w:val="22"/>
          <w:szCs w:val="22"/>
        </w:rPr>
      </w:pPr>
      <w:bookmarkStart w:id="126" w:name="_Toc465255058"/>
      <w:bookmarkStart w:id="127" w:name="_Toc465258499"/>
      <w:r w:rsidRPr="00352012">
        <w:t>Zoznam skratiek</w:t>
      </w:r>
      <w:bookmarkEnd w:id="126"/>
      <w:bookmarkEnd w:id="127"/>
      <w:r w:rsidRPr="00352012">
        <w:t xml:space="preserve"> </w:t>
      </w:r>
      <w:bookmarkEnd w:id="124"/>
      <w:bookmarkEnd w:id="125"/>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CKS</w:t>
      </w:r>
      <w:r w:rsidRPr="00352012">
        <w:rPr>
          <w:rFonts w:ascii="Times New Roman" w:hAnsi="Times New Roman"/>
          <w:szCs w:val="22"/>
        </w:rPr>
        <w:t xml:space="preserve"> – Centrálny konsolidačný systém </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DPH</w:t>
      </w:r>
      <w:r w:rsidRPr="00352012">
        <w:rPr>
          <w:rFonts w:ascii="Times New Roman" w:hAnsi="Times New Roman"/>
          <w:szCs w:val="22"/>
        </w:rPr>
        <w:t xml:space="preserve"> – daň z pridanej hodnoty</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EFSF</w:t>
      </w:r>
      <w:r w:rsidRPr="00352012">
        <w:rPr>
          <w:rFonts w:ascii="Times New Roman" w:hAnsi="Times New Roman"/>
          <w:szCs w:val="22"/>
        </w:rPr>
        <w:t xml:space="preserve"> – Európsky nástroj finančnej stability </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ESM</w:t>
      </w:r>
      <w:r w:rsidRPr="00352012">
        <w:rPr>
          <w:rFonts w:ascii="Times New Roman" w:hAnsi="Times New Roman"/>
          <w:szCs w:val="22"/>
        </w:rPr>
        <w:t xml:space="preserve"> – Európsky mechanizmus pre stabilitu</w:t>
      </w:r>
      <w:r w:rsidRPr="00352012">
        <w:rPr>
          <w:rFonts w:ascii="Times New Roman" w:hAnsi="Times New Roman"/>
          <w:b/>
          <w:szCs w:val="22"/>
        </w:rPr>
        <w:t xml:space="preserve"> </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ESA 95, ESA 2010</w:t>
      </w:r>
      <w:r w:rsidRPr="00352012">
        <w:rPr>
          <w:rFonts w:ascii="Times New Roman" w:hAnsi="Times New Roman"/>
          <w:szCs w:val="22"/>
        </w:rPr>
        <w:t xml:space="preserve"> - Európsky systém národných a regionálnych účtov 1995, resp. 2010</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EUROSTAT</w:t>
      </w:r>
      <w:r w:rsidRPr="00352012">
        <w:rPr>
          <w:rFonts w:ascii="Times New Roman" w:hAnsi="Times New Roman"/>
          <w:szCs w:val="22"/>
        </w:rPr>
        <w:t xml:space="preserve"> – Štatistický úrad Európskeho spoločenstva </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FNM SR</w:t>
      </w:r>
      <w:r w:rsidRPr="00352012">
        <w:rPr>
          <w:rFonts w:ascii="Times New Roman" w:hAnsi="Times New Roman"/>
          <w:szCs w:val="22"/>
        </w:rPr>
        <w:t xml:space="preserve"> – Fond národného majetku Slovenskej republiky</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GNI</w:t>
      </w:r>
      <w:r w:rsidRPr="00352012">
        <w:rPr>
          <w:rFonts w:ascii="Times New Roman" w:hAnsi="Times New Roman"/>
          <w:szCs w:val="22"/>
        </w:rPr>
        <w:t xml:space="preserve"> – Hrubý národný príjem</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HDP</w:t>
      </w:r>
      <w:r w:rsidRPr="00352012">
        <w:rPr>
          <w:rFonts w:ascii="Times New Roman" w:hAnsi="Times New Roman"/>
          <w:szCs w:val="22"/>
        </w:rPr>
        <w:t xml:space="preserve"> – hrubý domáci produkt</w:t>
      </w:r>
    </w:p>
    <w:p w:rsidR="00352012" w:rsidRPr="00352012" w:rsidP="00352012">
      <w:pPr>
        <w:bidi w:val="0"/>
        <w:spacing w:after="120" w:line="312" w:lineRule="auto"/>
        <w:rPr>
          <w:rFonts w:ascii="Times New Roman" w:hAnsi="Times New Roman"/>
          <w:szCs w:val="22"/>
        </w:rPr>
      </w:pPr>
      <w:r w:rsidRPr="00352012">
        <w:rPr>
          <w:rFonts w:ascii="Times New Roman" w:hAnsi="Times New Roman"/>
          <w:b/>
          <w:szCs w:val="22"/>
        </w:rPr>
        <w:t>IPSAS</w:t>
      </w:r>
      <w:r w:rsidRPr="00352012">
        <w:rPr>
          <w:rFonts w:ascii="Times New Roman" w:hAnsi="Times New Roman"/>
          <w:szCs w:val="22"/>
        </w:rPr>
        <w:t xml:space="preserve"> - Medzinárodné účtovné štandardy pre verejný sektor</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KÚZ</w:t>
      </w:r>
      <w:r w:rsidRPr="00352012">
        <w:rPr>
          <w:rFonts w:ascii="Times New Roman" w:hAnsi="Times New Roman"/>
          <w:szCs w:val="22"/>
        </w:rPr>
        <w:t xml:space="preserve"> – konsolidovaná účtovná závierka</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MF</w:t>
      </w:r>
      <w:r w:rsidRPr="00352012">
        <w:rPr>
          <w:rFonts w:ascii="Times New Roman" w:hAnsi="Times New Roman"/>
          <w:szCs w:val="22"/>
        </w:rPr>
        <w:t> </w:t>
      </w:r>
      <w:r w:rsidRPr="00352012">
        <w:rPr>
          <w:rFonts w:ascii="Times New Roman" w:hAnsi="Times New Roman"/>
          <w:b/>
          <w:szCs w:val="22"/>
        </w:rPr>
        <w:t>SR</w:t>
      </w:r>
      <w:r w:rsidRPr="00352012">
        <w:rPr>
          <w:rFonts w:ascii="Times New Roman" w:hAnsi="Times New Roman"/>
          <w:szCs w:val="22"/>
        </w:rPr>
        <w:t xml:space="preserve"> – Ministerstvo financií Slovenskej republiky</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MMF</w:t>
      </w:r>
      <w:r w:rsidRPr="00352012">
        <w:rPr>
          <w:rFonts w:ascii="Times New Roman" w:hAnsi="Times New Roman"/>
          <w:szCs w:val="22"/>
        </w:rPr>
        <w:t xml:space="preserve"> – Medzinárodný menový fond</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OECD</w:t>
      </w:r>
      <w:r w:rsidRPr="00352012">
        <w:rPr>
          <w:rFonts w:ascii="Times New Roman" w:hAnsi="Times New Roman"/>
          <w:szCs w:val="22"/>
        </w:rPr>
        <w:t xml:space="preserve"> – Organizácia pre hospodársku spoluprácu a rozvoj</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OS</w:t>
      </w:r>
      <w:r w:rsidRPr="00352012">
        <w:rPr>
          <w:rFonts w:ascii="Times New Roman" w:hAnsi="Times New Roman"/>
          <w:szCs w:val="22"/>
        </w:rPr>
        <w:t xml:space="preserve"> – obchodné spoločnosti</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OSN</w:t>
      </w:r>
      <w:r w:rsidRPr="00352012">
        <w:rPr>
          <w:rFonts w:ascii="Times New Roman" w:hAnsi="Times New Roman"/>
          <w:szCs w:val="22"/>
        </w:rPr>
        <w:t xml:space="preserve"> – Organizácia spojených národov</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 xml:space="preserve">PPP </w:t>
      </w:r>
      <w:r w:rsidRPr="00352012">
        <w:rPr>
          <w:rFonts w:ascii="Times New Roman" w:hAnsi="Times New Roman"/>
          <w:szCs w:val="22"/>
        </w:rPr>
        <w:t>– projekt verejno-súkromného partnerstva</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PO</w:t>
      </w:r>
      <w:r w:rsidRPr="00352012">
        <w:rPr>
          <w:rFonts w:ascii="Times New Roman" w:hAnsi="Times New Roman"/>
          <w:szCs w:val="22"/>
        </w:rPr>
        <w:t xml:space="preserve"> – príspevkové organizácie</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RO</w:t>
      </w:r>
      <w:r w:rsidRPr="00352012">
        <w:rPr>
          <w:rFonts w:ascii="Times New Roman" w:hAnsi="Times New Roman"/>
          <w:szCs w:val="22"/>
        </w:rPr>
        <w:t xml:space="preserve"> – rozpočtové organizácie</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SVS</w:t>
      </w:r>
      <w:r w:rsidRPr="00352012">
        <w:rPr>
          <w:rFonts w:ascii="Times New Roman" w:hAnsi="Times New Roman"/>
          <w:szCs w:val="22"/>
        </w:rPr>
        <w:t xml:space="preserve"> – Súhrnná výročná správa SR</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SZČO</w:t>
      </w:r>
      <w:r w:rsidRPr="00352012">
        <w:rPr>
          <w:rFonts w:ascii="Times New Roman" w:hAnsi="Times New Roman"/>
          <w:szCs w:val="22"/>
        </w:rPr>
        <w:t xml:space="preserve"> – samostatne zárobkovo činná osoba</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ŠÚ</w:t>
      </w:r>
      <w:r w:rsidRPr="00352012">
        <w:rPr>
          <w:rFonts w:ascii="Times New Roman" w:hAnsi="Times New Roman"/>
          <w:szCs w:val="22"/>
        </w:rPr>
        <w:t> </w:t>
      </w:r>
      <w:r w:rsidRPr="00352012">
        <w:rPr>
          <w:rFonts w:ascii="Times New Roman" w:hAnsi="Times New Roman"/>
          <w:b/>
          <w:szCs w:val="22"/>
        </w:rPr>
        <w:t>SR</w:t>
      </w:r>
      <w:r w:rsidRPr="00352012">
        <w:rPr>
          <w:rFonts w:ascii="Times New Roman" w:hAnsi="Times New Roman"/>
          <w:szCs w:val="22"/>
        </w:rPr>
        <w:t xml:space="preserve"> – Štatistický úrad Slovenskej republiky</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 xml:space="preserve">ŠZÚ </w:t>
      </w:r>
      <w:r w:rsidRPr="00352012">
        <w:rPr>
          <w:rFonts w:ascii="Times New Roman" w:hAnsi="Times New Roman"/>
          <w:szCs w:val="22"/>
        </w:rPr>
        <w:t>– Štátny záverečný účet SR</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 xml:space="preserve">ÚJ </w:t>
      </w:r>
      <w:r w:rsidRPr="00352012">
        <w:rPr>
          <w:rFonts w:ascii="Times New Roman" w:hAnsi="Times New Roman"/>
          <w:szCs w:val="22"/>
        </w:rPr>
        <w:t>– účtovná jednotka</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VÚC</w:t>
      </w:r>
      <w:r w:rsidRPr="00352012">
        <w:rPr>
          <w:rFonts w:ascii="Times New Roman" w:hAnsi="Times New Roman"/>
          <w:szCs w:val="22"/>
        </w:rPr>
        <w:t xml:space="preserve"> – vyššie územné celky</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ústavný zákon o rozpočtovej zodpovednosti</w:t>
      </w:r>
      <w:r w:rsidRPr="00352012">
        <w:rPr>
          <w:rFonts w:ascii="Times New Roman" w:hAnsi="Times New Roman"/>
          <w:szCs w:val="22"/>
        </w:rPr>
        <w:t xml:space="preserve"> - ústavný zákon č. 493/2011 Z. z. o rozpočtovej zodpovednosti</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zákon o rozpočtových pravidlách verejnej správy (rozpočtové pravidlá</w:t>
      </w:r>
      <w:r w:rsidRPr="00352012">
        <w:rPr>
          <w:rFonts w:ascii="Times New Roman" w:hAnsi="Times New Roman"/>
          <w:szCs w:val="22"/>
        </w:rPr>
        <w:t>) - zákon č. 523/2004 Z. z. o rozpočtových pravidlách verejnej správy a o zmene a doplnení niektorých zákonov v znení neskorších predpisov</w:t>
      </w:r>
    </w:p>
    <w:p w:rsidR="00352012" w:rsidRPr="00352012" w:rsidP="00352012">
      <w:pPr>
        <w:bidi w:val="0"/>
        <w:spacing w:after="120" w:line="312" w:lineRule="auto"/>
        <w:jc w:val="both"/>
        <w:rPr>
          <w:rFonts w:ascii="Times New Roman" w:hAnsi="Times New Roman"/>
          <w:szCs w:val="22"/>
        </w:rPr>
      </w:pPr>
      <w:r w:rsidRPr="00352012">
        <w:rPr>
          <w:rFonts w:ascii="Times New Roman" w:hAnsi="Times New Roman"/>
          <w:b/>
          <w:szCs w:val="22"/>
        </w:rPr>
        <w:t>zákon o účtovníctve</w:t>
      </w:r>
      <w:r w:rsidRPr="00352012">
        <w:rPr>
          <w:rFonts w:ascii="Times New Roman" w:hAnsi="Times New Roman"/>
          <w:szCs w:val="22"/>
        </w:rPr>
        <w:t xml:space="preserve"> - Zákon č. 431/2002 Z. z. o účtovníctve v znení neskorších predpisov</w:t>
      </w:r>
    </w:p>
    <w:p w:rsidR="00352012" w:rsidRPr="00352012" w:rsidP="00352012">
      <w:pPr>
        <w:bidi w:val="0"/>
        <w:spacing w:after="120" w:line="312" w:lineRule="auto"/>
        <w:jc w:val="both"/>
        <w:rPr>
          <w:rFonts w:ascii="Times New Roman" w:hAnsi="Times New Roman"/>
          <w:bCs/>
          <w:szCs w:val="22"/>
        </w:rPr>
      </w:pPr>
      <w:r w:rsidRPr="00352012">
        <w:rPr>
          <w:rFonts w:ascii="Times New Roman" w:hAnsi="Times New Roman"/>
          <w:b/>
          <w:szCs w:val="22"/>
        </w:rPr>
        <w:t xml:space="preserve">zákon </w:t>
      </w:r>
      <w:r w:rsidRPr="00352012">
        <w:rPr>
          <w:rFonts w:ascii="Times New Roman" w:hAnsi="Times New Roman"/>
          <w:b/>
          <w:bCs/>
          <w:szCs w:val="22"/>
        </w:rPr>
        <w:t>o organizácii vlády a ústrednej štátnej správy</w:t>
      </w:r>
      <w:r w:rsidRPr="00352012">
        <w:rPr>
          <w:rFonts w:ascii="Times New Roman" w:hAnsi="Times New Roman"/>
          <w:bCs/>
          <w:szCs w:val="22"/>
        </w:rPr>
        <w:t xml:space="preserve"> - </w:t>
      </w:r>
      <w:r w:rsidRPr="00352012">
        <w:rPr>
          <w:rFonts w:ascii="Times New Roman" w:hAnsi="Times New Roman"/>
          <w:szCs w:val="22"/>
        </w:rPr>
        <w:t xml:space="preserve">zákon č. </w:t>
      </w:r>
      <w:r w:rsidRPr="00352012">
        <w:rPr>
          <w:rFonts w:ascii="Times New Roman" w:hAnsi="Times New Roman"/>
          <w:bCs/>
          <w:szCs w:val="22"/>
        </w:rPr>
        <w:t>575/2001 Z. z. o organizácii činnosti vlády a organizácii ústrednej štátnej správy v znení neskorších predpisov</w:t>
      </w:r>
    </w:p>
    <w:p w:rsidR="00352012" w:rsidRPr="00352012" w:rsidP="00352012">
      <w:pPr>
        <w:bidi w:val="0"/>
        <w:spacing w:after="120" w:line="312" w:lineRule="auto"/>
        <w:jc w:val="both"/>
        <w:rPr>
          <w:rFonts w:ascii="Times New Roman" w:hAnsi="Times New Roman"/>
          <w:bCs/>
          <w:szCs w:val="22"/>
        </w:rPr>
      </w:pPr>
      <w:r w:rsidRPr="00352012">
        <w:rPr>
          <w:rFonts w:ascii="Times New Roman" w:hAnsi="Times New Roman"/>
          <w:b/>
          <w:szCs w:val="22"/>
        </w:rPr>
        <w:t xml:space="preserve">zákon </w:t>
      </w:r>
      <w:r w:rsidRPr="00352012">
        <w:rPr>
          <w:rFonts w:ascii="Times New Roman" w:hAnsi="Times New Roman"/>
          <w:b/>
          <w:bCs/>
          <w:szCs w:val="22"/>
        </w:rPr>
        <w:t>o obecnom zriadení</w:t>
      </w:r>
      <w:r w:rsidRPr="00352012">
        <w:rPr>
          <w:rFonts w:ascii="Times New Roman" w:hAnsi="Times New Roman"/>
          <w:bCs/>
          <w:szCs w:val="22"/>
        </w:rPr>
        <w:t xml:space="preserve"> - </w:t>
      </w:r>
      <w:r w:rsidRPr="00352012">
        <w:rPr>
          <w:rFonts w:ascii="Times New Roman" w:hAnsi="Times New Roman"/>
          <w:szCs w:val="22"/>
        </w:rPr>
        <w:t xml:space="preserve">zákon </w:t>
      </w:r>
      <w:r w:rsidRPr="00352012">
        <w:rPr>
          <w:rFonts w:ascii="Times New Roman" w:hAnsi="Times New Roman"/>
          <w:bCs/>
          <w:szCs w:val="22"/>
        </w:rPr>
        <w:t>Slovenskej národnej rady č. 369/</w:t>
      </w:r>
      <w:r w:rsidRPr="00352012">
        <w:rPr>
          <w:rFonts w:ascii="Times New Roman" w:hAnsi="Times New Roman"/>
          <w:szCs w:val="22"/>
        </w:rPr>
        <w:t xml:space="preserve">1990 Zb. </w:t>
      </w:r>
      <w:r w:rsidRPr="00352012">
        <w:rPr>
          <w:rFonts w:ascii="Times New Roman" w:hAnsi="Times New Roman"/>
          <w:bCs/>
          <w:szCs w:val="22"/>
        </w:rPr>
        <w:t>o obecnom zriadení v znení neskorších predpisov</w:t>
      </w:r>
    </w:p>
    <w:p w:rsidR="00352012" w:rsidRPr="00352012" w:rsidP="00352012">
      <w:pPr>
        <w:bidi w:val="0"/>
        <w:spacing w:after="120" w:line="312" w:lineRule="auto"/>
        <w:jc w:val="both"/>
        <w:rPr>
          <w:rFonts w:ascii="Times New Roman" w:hAnsi="Times New Roman"/>
          <w:bCs/>
          <w:szCs w:val="22"/>
        </w:rPr>
      </w:pPr>
      <w:r w:rsidRPr="00352012">
        <w:rPr>
          <w:rFonts w:ascii="Times New Roman" w:hAnsi="Times New Roman"/>
          <w:b/>
          <w:bCs/>
          <w:szCs w:val="22"/>
        </w:rPr>
        <w:t>zákon o samosprávnych krajoch</w:t>
      </w:r>
      <w:r w:rsidRPr="00352012">
        <w:rPr>
          <w:rFonts w:ascii="Times New Roman" w:hAnsi="Times New Roman"/>
          <w:bCs/>
          <w:szCs w:val="22"/>
        </w:rPr>
        <w:t xml:space="preserve"> - zákon č. 302/2001 Z. z. o samospráve vyšších územných celkov v znení neskorších predpisov</w:t>
      </w:r>
    </w:p>
    <w:p w:rsidR="00352012" w:rsidRPr="00352012" w:rsidP="00352012">
      <w:pPr>
        <w:bidi w:val="0"/>
        <w:spacing w:after="120" w:line="312" w:lineRule="auto"/>
        <w:jc w:val="both"/>
        <w:rPr>
          <w:rFonts w:ascii="Times New Roman" w:hAnsi="Times New Roman"/>
          <w:bCs/>
          <w:szCs w:val="22"/>
        </w:rPr>
      </w:pPr>
      <w:r w:rsidRPr="00352012">
        <w:rPr>
          <w:rFonts w:ascii="Times New Roman" w:hAnsi="Times New Roman"/>
          <w:b/>
          <w:szCs w:val="22"/>
        </w:rPr>
        <w:t>zákon o Sociálnej poisťovni</w:t>
      </w:r>
      <w:r w:rsidRPr="00352012">
        <w:rPr>
          <w:rFonts w:ascii="Times New Roman" w:hAnsi="Times New Roman"/>
          <w:szCs w:val="22"/>
        </w:rPr>
        <w:t xml:space="preserve"> </w:t>
      </w:r>
      <w:r w:rsidRPr="00352012">
        <w:rPr>
          <w:rFonts w:ascii="Times New Roman" w:hAnsi="Times New Roman"/>
          <w:bCs/>
          <w:szCs w:val="22"/>
        </w:rPr>
        <w:t xml:space="preserve">– </w:t>
      </w:r>
      <w:r w:rsidRPr="00352012">
        <w:rPr>
          <w:rFonts w:ascii="Times New Roman" w:hAnsi="Times New Roman"/>
          <w:szCs w:val="22"/>
        </w:rPr>
        <w:t xml:space="preserve">zákon č. 274/1994 Z. z. o Sociálnej poisťovni </w:t>
      </w:r>
      <w:r w:rsidRPr="00352012">
        <w:rPr>
          <w:rFonts w:ascii="Times New Roman" w:hAnsi="Times New Roman"/>
          <w:bCs/>
          <w:szCs w:val="22"/>
        </w:rPr>
        <w:t>v znení neskorších predpisov</w:t>
      </w:r>
    </w:p>
    <w:p w:rsidR="00352012" w:rsidRPr="00352012" w:rsidP="00352012">
      <w:pPr>
        <w:bidi w:val="0"/>
        <w:spacing w:after="120" w:line="312" w:lineRule="auto"/>
        <w:jc w:val="both"/>
        <w:rPr>
          <w:rFonts w:ascii="Times New Roman" w:hAnsi="Times New Roman"/>
          <w:bCs/>
          <w:szCs w:val="22"/>
        </w:rPr>
      </w:pPr>
      <w:r w:rsidRPr="00352012">
        <w:rPr>
          <w:rFonts w:ascii="Times New Roman" w:hAnsi="Times New Roman"/>
          <w:b/>
          <w:szCs w:val="22"/>
        </w:rPr>
        <w:t xml:space="preserve">zákon </w:t>
      </w:r>
      <w:r w:rsidRPr="00352012">
        <w:rPr>
          <w:rFonts w:ascii="Times New Roman" w:hAnsi="Times New Roman"/>
          <w:b/>
          <w:bCs/>
          <w:szCs w:val="22"/>
        </w:rPr>
        <w:t>o zdravotných poisťovniach</w:t>
      </w:r>
      <w:r w:rsidRPr="00352012">
        <w:rPr>
          <w:rFonts w:ascii="Times New Roman" w:hAnsi="Times New Roman"/>
          <w:bCs/>
          <w:szCs w:val="22"/>
        </w:rPr>
        <w:t xml:space="preserve"> - </w:t>
      </w:r>
      <w:r w:rsidRPr="00352012">
        <w:rPr>
          <w:rFonts w:ascii="Times New Roman" w:hAnsi="Times New Roman"/>
          <w:szCs w:val="22"/>
        </w:rPr>
        <w:t xml:space="preserve">zákon č. </w:t>
      </w:r>
      <w:r w:rsidRPr="00352012">
        <w:rPr>
          <w:rFonts w:ascii="Times New Roman" w:hAnsi="Times New Roman"/>
          <w:bCs/>
          <w:szCs w:val="22"/>
        </w:rPr>
        <w:t>581/</w:t>
      </w:r>
      <w:r w:rsidRPr="00352012">
        <w:rPr>
          <w:rFonts w:ascii="Times New Roman" w:hAnsi="Times New Roman"/>
          <w:szCs w:val="22"/>
        </w:rPr>
        <w:t xml:space="preserve">2004 Z. z. </w:t>
      </w:r>
      <w:r w:rsidRPr="00352012">
        <w:rPr>
          <w:rFonts w:ascii="Times New Roman" w:hAnsi="Times New Roman"/>
          <w:bCs/>
          <w:szCs w:val="22"/>
        </w:rPr>
        <w:t>o zdravotných poisťovniach, dohľade nad zdravotnou starostlivosťou a o zmene a doplnení niektorých zákonov v znení neskorších predpisov</w:t>
      </w:r>
    </w:p>
    <w:p w:rsidR="00352012" w:rsidRPr="00352012" w:rsidP="00352012">
      <w:pPr>
        <w:bidi w:val="0"/>
        <w:spacing w:after="120" w:line="312" w:lineRule="auto"/>
        <w:jc w:val="both"/>
        <w:rPr>
          <w:rFonts w:ascii="Times New Roman" w:hAnsi="Times New Roman"/>
          <w:bCs/>
          <w:szCs w:val="22"/>
        </w:rPr>
      </w:pPr>
      <w:r w:rsidRPr="00352012">
        <w:rPr>
          <w:rFonts w:ascii="Times New Roman" w:hAnsi="Times New Roman"/>
          <w:b/>
          <w:bCs/>
          <w:szCs w:val="22"/>
        </w:rPr>
        <w:t>zákon o audítoroch</w:t>
      </w:r>
      <w:r w:rsidRPr="00352012">
        <w:rPr>
          <w:rFonts w:ascii="Times New Roman" w:hAnsi="Times New Roman"/>
          <w:bCs/>
          <w:szCs w:val="22"/>
        </w:rPr>
        <w:t xml:space="preserve"> - </w:t>
      </w:r>
      <w:r w:rsidRPr="00352012">
        <w:rPr>
          <w:rFonts w:ascii="Times New Roman" w:hAnsi="Times New Roman"/>
          <w:szCs w:val="22"/>
        </w:rPr>
        <w:t xml:space="preserve">zákon č. 540/2007 Z. z. </w:t>
      </w:r>
      <w:r w:rsidRPr="00352012">
        <w:rPr>
          <w:rFonts w:ascii="Times New Roman" w:hAnsi="Times New Roman"/>
          <w:bCs/>
          <w:szCs w:val="22"/>
        </w:rPr>
        <w:t>o audítoroch, audite a dohľade nad výkonom auditu a o zmene a doplnení zákona č.431/2002 Z. z. o účtovníctve v znení neskorších predpisov</w:t>
      </w:r>
    </w:p>
    <w:p w:rsidR="007A3FF8">
      <w:pPr>
        <w:bidi w:val="0"/>
        <w:rPr>
          <w:szCs w:val="22"/>
        </w:rPr>
      </w:pPr>
      <w:r>
        <w:rPr>
          <w:szCs w:val="22"/>
        </w:rPr>
        <w:br w:type="page"/>
      </w:r>
    </w:p>
    <w:p w:rsidR="007A3FF8" w:rsidP="007A3FF8">
      <w:pPr>
        <w:bidi w:val="0"/>
        <w:rPr>
          <w:rFonts w:ascii="Times New Roman" w:hAnsi="Times New Roman" w:eastAsiaTheme="majorEastAsia" w:cs="Times New Roman"/>
          <w:b/>
          <w:bCs/>
          <w:sz w:val="26"/>
          <w:szCs w:val="22"/>
        </w:rPr>
        <w:sectPr w:rsidSect="00651A0E">
          <w:pgSz w:w="11906" w:h="16838" w:code="9"/>
          <w:pgMar w:top="1418" w:right="1134" w:bottom="1418" w:left="1134" w:header="709" w:footer="709" w:gutter="567"/>
          <w:lnNumType w:distance="0"/>
          <w:cols w:num="2" w:space="708"/>
          <w:noEndnote w:val="0"/>
          <w:bidi w:val="0"/>
          <w:docGrid w:linePitch="360"/>
        </w:sectPr>
      </w:pPr>
    </w:p>
    <w:p w:rsidR="007A3FF8" w:rsidP="007A3FF8">
      <w:pPr>
        <w:pStyle w:val="Heading1"/>
        <w:numPr>
          <w:numId w:val="0"/>
        </w:numPr>
        <w:bidi w:val="0"/>
        <w:ind w:firstLine="0"/>
      </w:pPr>
      <w:bookmarkStart w:id="128" w:name="_Toc370908645"/>
      <w:bookmarkStart w:id="129" w:name="_Toc401920039"/>
      <w:bookmarkStart w:id="130" w:name="_Toc465255059"/>
      <w:bookmarkStart w:id="131" w:name="_Toc465258500"/>
      <w:r>
        <w:rPr>
          <w:rFonts w:hint="default"/>
        </w:rPr>
        <w:t>Slovní</w:t>
      </w:r>
      <w:r>
        <w:rPr>
          <w:rFonts w:hint="default"/>
        </w:rPr>
        <w:t>k odborný</w:t>
      </w:r>
      <w:r>
        <w:rPr>
          <w:rFonts w:hint="default"/>
        </w:rPr>
        <w:t xml:space="preserve">ch </w:t>
      </w:r>
      <w:r w:rsidRPr="00F42474">
        <w:t>pojmov</w:t>
      </w:r>
      <w:bookmarkEnd w:id="128"/>
      <w:bookmarkEnd w:id="129"/>
      <w:bookmarkEnd w:id="130"/>
      <w:bookmarkEnd w:id="131"/>
    </w:p>
    <w:p w:rsidR="007A3FF8" w:rsidRPr="009058FC" w:rsidP="002A4EBB">
      <w:pPr>
        <w:pStyle w:val="Heading1"/>
        <w:numPr>
          <w:numId w:val="45"/>
        </w:numPr>
        <w:bidi w:val="0"/>
        <w:sectPr w:rsidSect="00651A0E">
          <w:pgSz w:w="11906" w:h="16838" w:code="9"/>
          <w:pgMar w:top="1418" w:right="1134" w:bottom="1418" w:left="1134" w:header="709" w:footer="709" w:gutter="567"/>
          <w:lnNumType w:distance="0"/>
          <w:cols w:num="2" w:space="708"/>
          <w:noEndnote w:val="0"/>
          <w:bidi w:val="0"/>
          <w:docGrid w:linePitch="360"/>
        </w:sectPr>
      </w:pPr>
    </w:p>
    <w:tbl>
      <w:tblPr>
        <w:tblStyle w:val="TableNormal"/>
        <w:tblW w:w="0" w:type="auto"/>
        <w:tblInd w:w="0" w:type="dxa"/>
        <w:tblCellMar>
          <w:top w:w="0" w:type="dxa"/>
          <w:left w:w="108" w:type="dxa"/>
          <w:bottom w:w="0" w:type="dxa"/>
          <w:right w:w="108" w:type="dxa"/>
        </w:tblCellMar>
        <w:tblLook w:val="04A0"/>
      </w:tblPr>
      <w:tblGrid>
        <w:gridCol w:w="9212"/>
      </w:tblGrid>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center"/>
          </w:tcPr>
          <w:p w:rsidR="007A3FF8" w:rsidRPr="009058FC" w:rsidP="004B7DC7">
            <w:pPr>
              <w:bidi w:val="0"/>
              <w:spacing w:after="0" w:line="312" w:lineRule="auto"/>
              <w:rPr>
                <w:rFonts w:ascii="Times New Roman" w:hAnsi="Times New Roman" w:cs="Times New Roman"/>
                <w:b/>
                <w:szCs w:val="22"/>
                <w:lang w:eastAsia="sk-SK"/>
              </w:rPr>
            </w:pPr>
            <w:r w:rsidRPr="009058FC">
              <w:rPr>
                <w:rFonts w:ascii="Times New Roman" w:hAnsi="Times New Roman" w:cs="Times New Roman"/>
                <w:b/>
                <w:szCs w:val="22"/>
                <w:lang w:eastAsia="sk-SK"/>
              </w:rPr>
              <w:t xml:space="preserve">1. kapitola: Hospodárenie verejnej správy v metodike ESA </w:t>
            </w:r>
            <w:r>
              <w:rPr>
                <w:rFonts w:ascii="Times New Roman" w:hAnsi="Times New Roman" w:cs="Times New Roman"/>
                <w:b/>
                <w:szCs w:val="22"/>
                <w:lang w:eastAsia="sk-SK"/>
              </w:rPr>
              <w:t>2010</w:t>
            </w:r>
            <w:r w:rsidRPr="009058FC">
              <w:rPr>
                <w:rFonts w:ascii="Times New Roman" w:hAnsi="Times New Roman" w:cs="Times New Roman"/>
                <w:b/>
                <w:szCs w:val="22"/>
                <w:lang w:eastAsia="sk-SK"/>
              </w:rPr>
              <w:t xml:space="preserve"> </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center"/>
          </w:tcPr>
          <w:p w:rsidR="007A3FF8" w:rsidRPr="009058FC" w:rsidP="004B7DC7">
            <w:pPr>
              <w:autoSpaceDE w:val="0"/>
              <w:autoSpaceDN w:val="0"/>
              <w:bidi w:val="0"/>
              <w:adjustRightInd w:val="0"/>
              <w:spacing w:before="240"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Súhrnná výročná správa SR</w:t>
            </w:r>
            <w:r w:rsidRPr="009058FC">
              <w:rPr>
                <w:rFonts w:ascii="Times New Roman" w:hAnsi="Times New Roman" w:cs="Times New Roman"/>
                <w:szCs w:val="22"/>
                <w:lang w:eastAsia="sk-SK"/>
              </w:rPr>
              <w:t xml:space="preserve"> - súhrnný dokument, ktorý obsahuje údaje o príjmoch, výdavkoch a výsledku rozpočtového hospodárenia subjektov verejnej správy a o stave dlhu verejnej správy k 31. decembru rozpočtového roka v jednotnej metodike platnej pre Európsku úniu vykázané Európskej komisii do 1. októbra bežného roka, súhrnnú účtovnú závierku verejnej správy Slovenskej republiky, údaje ustanovené osobitným predpisom, ktorým je ústavný zákon o rozpočtovej zodpovednosti a ďalšie údaje o hospodárení Slovenskej republiky. (§ 29a zákona o rozpočtových pravidlách verejnej správy)</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center"/>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Štátny záverečný účet SR</w:t>
            </w:r>
            <w:r w:rsidRPr="009058FC">
              <w:rPr>
                <w:rFonts w:ascii="Times New Roman" w:hAnsi="Times New Roman" w:cs="Times New Roman"/>
                <w:szCs w:val="22"/>
                <w:lang w:eastAsia="sk-SK"/>
              </w:rPr>
              <w:t xml:space="preserve"> - správa o rozpočtovom hospodárení Slovenskej republiky, ktorá obsahuje výsledky rozpočtového hospodárenia subjektov verejnej správy za príslušný rozpočtový rok v jednotnej metodike platnej pre Európsku úniu vykázané Európskej komisii do 1. apríla bežného roka, vyhodnotenie zamerania a opatrení rozpočtovej politiky, údaje o príjmoch, výdavkoch a výsledku rozpočtového hospodárenia štátneho rozpočtu a ďalšie údaje o plnení rozpočtu verejnej správy. (§ 29 zákona o rozpočtových pravidlách verejnej správy)</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ESA 2010 - </w:t>
            </w:r>
            <w:r w:rsidRPr="009058FC">
              <w:rPr>
                <w:rFonts w:ascii="Times New Roman" w:hAnsi="Times New Roman" w:cs="Times New Roman"/>
                <w:szCs w:val="22"/>
                <w:lang w:eastAsia="sk-SK"/>
              </w:rPr>
              <w:t xml:space="preserve">Európsky systém národných a regionálnych účtov 2010 je medzinárodne kompatibilný rámec pre systematické a podrobné opísanie národnej ekonomiky, jeho súčastí a jeho vzťahov s ostatnými národnými ekonomikami. Je založený na Systéme národných účtov </w:t>
            </w:r>
            <w:r>
              <w:rPr>
                <w:rFonts w:ascii="Times New Roman" w:hAnsi="Times New Roman" w:cs="Times New Roman"/>
                <w:szCs w:val="22"/>
                <w:lang w:eastAsia="sk-SK"/>
              </w:rPr>
              <w:t>2008 (SNÚ 2008</w:t>
            </w:r>
            <w:r w:rsidRPr="009058FC">
              <w:rPr>
                <w:rFonts w:ascii="Times New Roman" w:hAnsi="Times New Roman" w:cs="Times New Roman"/>
                <w:szCs w:val="22"/>
                <w:lang w:eastAsia="sk-SK"/>
              </w:rPr>
              <w:t>). SNÚ bol vypracovaný v súčinnosti štatistických orgánov OSN, EÚ, OECD, MMF a Svetovej banky a predstavuje celosvetový štandard v oblasti uplatňovania národných účtov.</w:t>
            </w:r>
            <w:r>
              <w:rPr>
                <w:rFonts w:ascii="Times New Roman" w:hAnsi="Times New Roman" w:cs="Times New Roman"/>
                <w:szCs w:val="22"/>
                <w:lang w:eastAsia="sk-SK"/>
              </w:rPr>
              <w:t xml:space="preserve"> </w:t>
            </w:r>
            <w:r w:rsidRPr="009058FC">
              <w:rPr>
                <w:rFonts w:ascii="Times New Roman" w:hAnsi="Times New Roman" w:cs="Times New Roman"/>
                <w:szCs w:val="22"/>
                <w:lang w:eastAsia="sk-SK"/>
              </w:rPr>
              <w:t xml:space="preserve">ESA 2010 </w:t>
            </w:r>
            <w:r>
              <w:rPr>
                <w:rFonts w:ascii="Times New Roman" w:hAnsi="Times New Roman" w:cs="Times New Roman"/>
                <w:szCs w:val="22"/>
                <w:lang w:eastAsia="sk-SK"/>
              </w:rPr>
              <w:t>sa</w:t>
            </w:r>
            <w:r w:rsidRPr="009058FC">
              <w:rPr>
                <w:rFonts w:ascii="Times New Roman" w:hAnsi="Times New Roman" w:cs="Times New Roman"/>
                <w:szCs w:val="22"/>
                <w:lang w:eastAsia="sk-SK"/>
              </w:rPr>
              <w:t xml:space="preserve"> zaviedla Nariadením Rady (ES) 549/2013 z 21. mája 2013 o Európskom systéme národných a regionálnych účtov v</w:t>
            </w:r>
            <w:r>
              <w:rPr>
                <w:rFonts w:ascii="Times New Roman" w:hAnsi="Times New Roman" w:cs="Times New Roman"/>
                <w:szCs w:val="22"/>
                <w:lang w:eastAsia="sk-SK"/>
              </w:rPr>
              <w:t> </w:t>
            </w:r>
            <w:r w:rsidRPr="009058FC">
              <w:rPr>
                <w:rFonts w:ascii="Times New Roman" w:hAnsi="Times New Roman" w:cs="Times New Roman"/>
                <w:szCs w:val="22"/>
                <w:lang w:eastAsia="sk-SK"/>
              </w:rPr>
              <w:t>spoločenstve</w:t>
            </w:r>
            <w:r>
              <w:rPr>
                <w:rFonts w:ascii="Times New Roman" w:hAnsi="Times New Roman" w:cs="Times New Roman"/>
                <w:szCs w:val="22"/>
                <w:lang w:eastAsia="sk-SK"/>
              </w:rPr>
              <w:t xml:space="preserve"> a reálne sa začala uplatňovať od septembra 2014. ESA 2010 </w:t>
            </w:r>
            <w:r w:rsidRPr="009058FC">
              <w:rPr>
                <w:rFonts w:ascii="Times New Roman" w:hAnsi="Times New Roman" w:cs="Times New Roman"/>
                <w:szCs w:val="22"/>
                <w:lang w:eastAsia="sk-SK"/>
              </w:rPr>
              <w:t xml:space="preserve">je revíziou ESA 95. Nové štandardy </w:t>
            </w:r>
            <w:r>
              <w:rPr>
                <w:rFonts w:ascii="Times New Roman" w:hAnsi="Times New Roman" w:cs="Times New Roman"/>
                <w:szCs w:val="22"/>
                <w:lang w:eastAsia="sk-SK"/>
              </w:rPr>
              <w:t>priniesli</w:t>
            </w:r>
            <w:r w:rsidRPr="009058FC">
              <w:rPr>
                <w:rFonts w:ascii="Times New Roman" w:hAnsi="Times New Roman" w:cs="Times New Roman"/>
                <w:szCs w:val="22"/>
                <w:lang w:eastAsia="sk-SK"/>
              </w:rPr>
              <w:t xml:space="preserve"> v oblasti verejných financií zmeny dôležité pre vykazovanie salda a dlhu verejnej správy. </w:t>
            </w:r>
            <w:r>
              <w:rPr>
                <w:rFonts w:ascii="Times New Roman" w:hAnsi="Times New Roman" w:cs="Times New Roman"/>
                <w:szCs w:val="22"/>
                <w:lang w:eastAsia="sk-SK"/>
              </w:rPr>
              <w:t>Popis implementácie metodiky ESA 2010 a najvýznamnejších metodologických zmien je uvedený v kapitole 1.5. v Súhrnnej výročnej správe SR za rok 2013.</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Aprílová notifikácia</w:t>
            </w:r>
            <w:r w:rsidRPr="009058FC">
              <w:rPr>
                <w:rFonts w:ascii="Times New Roman" w:hAnsi="Times New Roman" w:cs="Times New Roman"/>
                <w:szCs w:val="22"/>
                <w:lang w:eastAsia="sk-SK"/>
              </w:rPr>
              <w:t xml:space="preserve"> – Podľa nariadenia Komisie 479/2009 členské štáty vykazujú Komisii (Eurostatu) plánované a aktuálne schodky a dlh sektora verejnej správy dvakrát ročne, prvý krát do 1. apríla bežného roka (roka n) a druhý krát do 1. októbra roka n. Zároveň členské štáty oznámia Eurostatu, ktoré vnútroštátne orgány sú zodpovedné za vykazovanie postupu pri nadmernom schodku. Do 1. apríla roka n členské štáty oznámia Eurostatu plánovaný schodok verejnej správy za rok n a aktualizovaný odhad ich skutočného schodku verejných financií za rok n – 1 a ich skutočné schodky verejných financií za roky n – 2, n – 3 a n – 4.</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Októbrová notifikácia – </w:t>
            </w:r>
            <w:r w:rsidRPr="009058FC">
              <w:rPr>
                <w:rFonts w:ascii="Times New Roman" w:hAnsi="Times New Roman" w:cs="Times New Roman"/>
                <w:szCs w:val="22"/>
                <w:lang w:eastAsia="sk-SK"/>
              </w:rPr>
              <w:t>aktualizácia aprílovej notifikácie, ktorá je nutná vzhľadom na to, že viacero údajov za verejnú správu je dostupných až po termíne aprílovej notifikácie (tie sú nahradené odhadmi). Ani októbrovú notifikáciu však nemožno považovať za zdroj definitívnych údajov za verejnú správu, pretože akruálne výnosy niektorých daňových príjmov (DPPO a DPFO) sú známe za rok n – 1 až na začiatku n + 1. Aj po tomto termíne sú v prípade údajov za verejnú správu (a národné účty vo všeobecnosti) pomerne časté revízie údajov za minulé roky. Revízie sa robia jednak kvôli úpravám či spresneným interpretáciám samotnej metodiky ESA a tiež kvôli tomu, že samotné krajiny (národné štatistické úrady) môžu v minulých údajoch odhaliť nezrovnalosti, ktoré v rámci revízií napravia.</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Verejná správa </w:t>
            </w:r>
            <w:r w:rsidRPr="009058FC">
              <w:rPr>
                <w:rFonts w:ascii="Times New Roman" w:hAnsi="Times New Roman" w:cs="Times New Roman"/>
                <w:szCs w:val="22"/>
                <w:lang w:eastAsia="sk-SK"/>
              </w:rPr>
              <w:t>- koncept, ktorý definujú národné účty (ESA </w:t>
            </w:r>
            <w:r>
              <w:rPr>
                <w:rFonts w:ascii="Times New Roman" w:hAnsi="Times New Roman" w:cs="Times New Roman"/>
                <w:szCs w:val="22"/>
                <w:lang w:eastAsia="sk-SK"/>
              </w:rPr>
              <w:t>2010</w:t>
            </w:r>
            <w:r w:rsidRPr="009058FC">
              <w:rPr>
                <w:rFonts w:ascii="Times New Roman" w:hAnsi="Times New Roman" w:cs="Times New Roman"/>
                <w:szCs w:val="22"/>
                <w:lang w:eastAsia="sk-SK"/>
              </w:rPr>
              <w:t>). Národné účty členia národné hospodárstvo (S.1) na päť inštitucionálnych sektorov: nefinančné korporácie (S.11), finančné korporácie (S.12), verejná správa (S.13), domácnosti (S.14) a neziskové inštitúcie slúžiace domácnostiam (S.15). Inštitucionálny sektor tvorí zoskupenie inštitucionálnych jednotiek, ktoré majú podobný charakter a ekonomické správanie (odvetvie produkčnej činnosti). Inštitucionálna jednotka je ekonomická jednotka oprávnená vlastniť výrobky a aktíva, prijímajúca záväzky a zaoberajúca sa ekonomickou činnosťou a transakciami s inými jednotkami vo vlastnom mene. Sektor verejnej správy tvoria inštitucionálne jednotky (subjekty) patriace do verejnej správy.</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Verejné financie –</w:t>
            </w:r>
            <w:r w:rsidRPr="009058FC">
              <w:rPr>
                <w:rFonts w:ascii="Times New Roman" w:hAnsi="Times New Roman" w:cs="Times New Roman"/>
                <w:szCs w:val="22"/>
                <w:lang w:eastAsia="sk-SK"/>
              </w:rPr>
              <w:t xml:space="preserve"> alebo financie verejného sektora, je všeobecne zaužívaný výraz v ekonómii označujúci súhrn rozpočtov subjektov pod verejnou kontrolou alebo patriacich do verejného sektora. Verejný sektor môže byť definovaný rôzne v závislosti od cieľov analýzy a kritérií zaradenia subjektov do verejného sektora. Ak nie je uvedené inak, verejné financie sa v krajinách EÚ najčastejšie hodnotia na základe údajov národných účtov v metodike ESA </w:t>
            </w:r>
            <w:r>
              <w:rPr>
                <w:rFonts w:ascii="Times New Roman" w:hAnsi="Times New Roman" w:cs="Times New Roman"/>
                <w:szCs w:val="22"/>
                <w:lang w:eastAsia="sk-SK"/>
              </w:rPr>
              <w:t>2010</w:t>
            </w:r>
            <w:r w:rsidRPr="009058FC">
              <w:rPr>
                <w:rFonts w:ascii="Times New Roman" w:hAnsi="Times New Roman" w:cs="Times New Roman"/>
                <w:szCs w:val="22"/>
                <w:lang w:eastAsia="sk-SK"/>
              </w:rPr>
              <w:t>, ktorá definuje subjekt verejnej správy. V tejto publikácii sú použité tri koncepty hodnotenia verejných financií, ktoré sa od seba líšia rôznym pokrytím subjektov: verejná správa (ESA </w:t>
            </w:r>
            <w:r>
              <w:rPr>
                <w:rFonts w:ascii="Times New Roman" w:hAnsi="Times New Roman" w:cs="Times New Roman"/>
                <w:szCs w:val="22"/>
                <w:lang w:eastAsia="sk-SK"/>
              </w:rPr>
              <w:t>2010</w:t>
            </w:r>
            <w:r w:rsidRPr="009058FC">
              <w:rPr>
                <w:rFonts w:ascii="Times New Roman" w:hAnsi="Times New Roman" w:cs="Times New Roman"/>
                <w:szCs w:val="22"/>
                <w:lang w:eastAsia="sk-SK"/>
              </w:rPr>
              <w:t>), súhrnný celok verejnej správy a verejný sektor.</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autoSpaceDE w:val="0"/>
              <w:autoSpaceDN w:val="0"/>
              <w:bidi w:val="0"/>
              <w:adjustRightInd w:val="0"/>
              <w:spacing w:after="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Subjekty verejnej správy SR</w:t>
            </w:r>
            <w:r w:rsidRPr="009058FC">
              <w:rPr>
                <w:rFonts w:ascii="Times New Roman" w:hAnsi="Times New Roman" w:cs="Times New Roman"/>
                <w:szCs w:val="22"/>
                <w:lang w:eastAsia="sk-SK"/>
              </w:rPr>
              <w:t xml:space="preserve"> - právnické osoby zapísané v registri organizácií vedenom Štatistickým úradom Slovenskej republiky, ktoré sú zaradené v súlade s metodikou ESA v ústrednej správe, územnej samospráve a vo fondoch sociálneho a zdravotného poistenia. (§ 3 ods. 1 zákona o rozpočtových pravidlách verejnej správy)</w:t>
            </w:r>
          </w:p>
          <w:p w:rsidR="007A3FF8" w:rsidRPr="009058FC" w:rsidP="004B7DC7">
            <w:pPr>
              <w:numPr>
                <w:numId w:val="23"/>
              </w:numPr>
              <w:autoSpaceDE w:val="0"/>
              <w:autoSpaceDN w:val="0"/>
              <w:bidi w:val="0"/>
              <w:adjustRightInd w:val="0"/>
              <w:spacing w:after="0" w:line="312" w:lineRule="auto"/>
              <w:jc w:val="both"/>
              <w:rPr>
                <w:rFonts w:ascii="Times New Roman" w:hAnsi="Times New Roman" w:cs="Times New Roman"/>
                <w:szCs w:val="22"/>
                <w:lang w:eastAsia="sk-SK"/>
              </w:rPr>
            </w:pPr>
            <w:r w:rsidRPr="009058FC">
              <w:rPr>
                <w:rFonts w:ascii="Times New Roman" w:hAnsi="Times New Roman" w:cs="Times New Roman"/>
                <w:szCs w:val="22"/>
                <w:lang w:eastAsia="sk-SK"/>
              </w:rPr>
              <w:t xml:space="preserve">Ústrednú správu tvoria ministerstvá a ostatné ústredné orgány štátnej správy. Ich počet, organizáciu a pôsobnosť ustanovuje zákon </w:t>
            </w:r>
            <w:r w:rsidRPr="009058FC">
              <w:rPr>
                <w:rFonts w:ascii="Times New Roman" w:hAnsi="Times New Roman" w:cs="Times New Roman"/>
                <w:bCs/>
                <w:szCs w:val="22"/>
                <w:lang w:eastAsia="sk-SK"/>
              </w:rPr>
              <w:t>o organizácii vlády a ústrednej štátnej správy. V ústrednej správe sú zaradené aj ďalšie subjekty (</w:t>
            </w:r>
            <w:r w:rsidRPr="009058FC">
              <w:rPr>
                <w:rFonts w:ascii="Times New Roman" w:hAnsi="Times New Roman" w:cs="Times New Roman"/>
                <w:szCs w:val="22"/>
                <w:lang w:eastAsia="sk-SK"/>
              </w:rPr>
              <w:t>vysoké školy, Rozhlas a televízia Slovenska, Fond národného majetku Slovenskej republiky, Slovenský pozemkový fond, štátne fondy, Slovenská konsolidačná, a.s., Úra</w:t>
            </w:r>
            <w:r>
              <w:rPr>
                <w:rFonts w:ascii="Times New Roman" w:hAnsi="Times New Roman" w:cs="Times New Roman"/>
                <w:szCs w:val="22"/>
                <w:lang w:eastAsia="sk-SK"/>
              </w:rPr>
              <w:t>d pre dohľad nad výkonom auditu</w:t>
            </w:r>
            <w:r w:rsidRPr="009058FC">
              <w:rPr>
                <w:rFonts w:ascii="Times New Roman" w:hAnsi="Times New Roman" w:cs="Times New Roman"/>
                <w:szCs w:val="22"/>
                <w:lang w:eastAsia="sk-SK"/>
              </w:rPr>
              <w:t>, Slovenské národné stredisko pre ľudské práva, Ústav pamäti národa</w:t>
            </w:r>
            <w:r>
              <w:rPr>
                <w:rFonts w:ascii="Times New Roman" w:hAnsi="Times New Roman" w:cs="Times New Roman"/>
                <w:szCs w:val="22"/>
                <w:lang w:eastAsia="sk-SK"/>
              </w:rPr>
              <w:t>, Úrad pre dohľad nad zdravotnou starostlivosťou, Kancelária rady pre rozpočtovú zodpovednosť, Tlačová agentúra SR, Audiovizuálny fond</w:t>
            </w:r>
            <w:r w:rsidRPr="009058FC">
              <w:rPr>
                <w:rFonts w:ascii="Times New Roman" w:hAnsi="Times New Roman" w:cs="Times New Roman"/>
                <w:szCs w:val="22"/>
                <w:lang w:eastAsia="sk-SK"/>
              </w:rPr>
              <w:t>), ktoré hospodária s väčším či menším objemom verejných prostriedkov a ktorých pôsobnosť upravujú osobitné právne predpisy.</w:t>
            </w:r>
          </w:p>
          <w:p w:rsidR="007A3FF8" w:rsidRPr="009058FC" w:rsidP="004B7DC7">
            <w:pPr>
              <w:numPr>
                <w:numId w:val="23"/>
              </w:numPr>
              <w:autoSpaceDE w:val="0"/>
              <w:autoSpaceDN w:val="0"/>
              <w:bidi w:val="0"/>
              <w:adjustRightInd w:val="0"/>
              <w:spacing w:after="0" w:line="312" w:lineRule="auto"/>
              <w:jc w:val="both"/>
              <w:rPr>
                <w:rFonts w:ascii="Times New Roman" w:hAnsi="Times New Roman" w:cs="Times New Roman"/>
                <w:szCs w:val="22"/>
                <w:lang w:eastAsia="sk-SK"/>
              </w:rPr>
            </w:pPr>
            <w:r w:rsidRPr="009058FC">
              <w:rPr>
                <w:rFonts w:ascii="Times New Roman" w:hAnsi="Times New Roman" w:cs="Times New Roman"/>
                <w:bCs/>
                <w:szCs w:val="22"/>
                <w:lang w:eastAsia="sk-SK"/>
              </w:rPr>
              <w:t>Územnú samosprávu predstavujú obce a vyššie územné celky – samosprávne kraje. Obec</w:t>
            </w:r>
            <w:r w:rsidRPr="009058FC">
              <w:rPr>
                <w:rFonts w:ascii="Times New Roman" w:hAnsi="Times New Roman" w:cs="Times New Roman"/>
                <w:i/>
                <w:szCs w:val="22"/>
                <w:lang w:eastAsia="sk-SK"/>
              </w:rPr>
              <w:t xml:space="preserve"> </w:t>
            </w:r>
            <w:r w:rsidRPr="009058FC">
              <w:rPr>
                <w:rFonts w:ascii="Times New Roman" w:hAnsi="Times New Roman" w:cs="Times New Roman"/>
                <w:szCs w:val="22"/>
                <w:lang w:eastAsia="sk-SK"/>
              </w:rPr>
              <w:t xml:space="preserve">je samostatným územným samosprávnym a správnym celkom Slovenskej republiky, združuje osoby, ktoré majú na jej území trvalý pobyt, samostatne hospodári s vlastným majetkom a s vlastnými príjmami a jej základnou úlohou pri výkone samosprávy je starostlivosť o všestranný rozvoj jej územia a o potreby jej obyvateľov. V Slovenskej republike je zriadených osem samosprávnych krajov, ktoré sú právnickými osobami samostatne hospodáriacimi s vlastným majetkom a s vlastnými príjmami; zabezpečujú a chránia práva a záujmy svojich obyvateľov. Základnou legislatívou, ktorá upravuje pôsobnosť samospráv je zákon </w:t>
            </w:r>
            <w:r w:rsidRPr="009058FC">
              <w:rPr>
                <w:rFonts w:ascii="Times New Roman" w:hAnsi="Times New Roman" w:cs="Times New Roman"/>
                <w:bCs/>
                <w:szCs w:val="22"/>
                <w:lang w:eastAsia="sk-SK"/>
              </w:rPr>
              <w:t>o obecnom zriadení a zákon o samosprávnych krajoch.</w:t>
            </w:r>
          </w:p>
          <w:p w:rsidR="007A3FF8" w:rsidRPr="009058FC" w:rsidP="004B7DC7">
            <w:pPr>
              <w:numPr>
                <w:numId w:val="23"/>
              </w:numPr>
              <w:autoSpaceDE w:val="0"/>
              <w:autoSpaceDN w:val="0"/>
              <w:bidi w:val="0"/>
              <w:adjustRightInd w:val="0"/>
              <w:spacing w:after="120" w:line="312" w:lineRule="auto"/>
              <w:ind w:left="714" w:hanging="357"/>
              <w:jc w:val="both"/>
              <w:rPr>
                <w:rFonts w:ascii="Times New Roman" w:hAnsi="Times New Roman" w:cs="Times New Roman"/>
                <w:szCs w:val="22"/>
                <w:lang w:eastAsia="sk-SK"/>
              </w:rPr>
            </w:pPr>
            <w:r w:rsidRPr="009058FC">
              <w:rPr>
                <w:rFonts w:ascii="Times New Roman" w:hAnsi="Times New Roman" w:cs="Times New Roman"/>
                <w:szCs w:val="22"/>
                <w:lang w:eastAsia="sk-SK"/>
              </w:rPr>
              <w:t xml:space="preserve">Fondy sociálneho a zdravotného poistenia tvoria Sociálna poisťovňa zriadená zákonom o Sociálnej poisťovni a zdravotné poisťovne (v súčasnosti tri, z toho jedna štátna a dve súkromné), ktorých pôsobnosť ustanovuje zákon </w:t>
            </w:r>
            <w:r w:rsidRPr="009058FC">
              <w:rPr>
                <w:rFonts w:ascii="Times New Roman" w:hAnsi="Times New Roman" w:cs="Times New Roman"/>
                <w:bCs/>
                <w:szCs w:val="22"/>
                <w:lang w:eastAsia="sk-SK"/>
              </w:rPr>
              <w:t>o zdravotných poisťovniach.</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Rozpočet verejnej správy</w:t>
            </w:r>
            <w:r w:rsidRPr="009058FC">
              <w:rPr>
                <w:rFonts w:ascii="Times New Roman" w:hAnsi="Times New Roman" w:cs="Times New Roman"/>
                <w:szCs w:val="22"/>
                <w:lang w:eastAsia="sk-SK"/>
              </w:rPr>
              <w:t xml:space="preserve"> - strednodobý ekonomický nástroj finančnej politiky štátu. Zostavuje sa každoročne na tri rozpočtové roky. Rozpočtový rok je zhodný s kalendárnym rokom. Rozpočet verejnej správy tvoria štátny rozpočet na príslušný rozpočtový rok a nasledujúce dva roky a súhrn rozpočtov ostatných subjektov verejnej správy vrátane príjmov a výdavkov súvisiacich s vykonávaním verejného zdravotného poistenia v súlade s jednotnou metodikou platnou pre Európsku úniu na príslušný rozpočtový rok a nasledujúce dva roky (§ </w:t>
            </w:r>
            <w:r>
              <w:rPr>
                <w:rFonts w:ascii="Times New Roman" w:hAnsi="Times New Roman" w:cs="Times New Roman"/>
                <w:szCs w:val="22"/>
                <w:lang w:eastAsia="sk-SK"/>
              </w:rPr>
              <w:t>4</w:t>
            </w:r>
            <w:r w:rsidRPr="009058FC">
              <w:rPr>
                <w:rFonts w:ascii="Times New Roman" w:hAnsi="Times New Roman" w:cs="Times New Roman"/>
                <w:szCs w:val="22"/>
                <w:lang w:eastAsia="sk-SK"/>
              </w:rPr>
              <w:t xml:space="preserve"> ods. 1 zákona o rozpočtových pravidlách verejnej správy).</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Štátny rozpočet</w:t>
            </w:r>
            <w:r w:rsidRPr="009058FC">
              <w:rPr>
                <w:rFonts w:ascii="Times New Roman" w:hAnsi="Times New Roman" w:cs="Times New Roman"/>
                <w:szCs w:val="22"/>
                <w:lang w:eastAsia="sk-SK"/>
              </w:rPr>
              <w:t xml:space="preserve"> - základná súčasť rozpočtu verejnej správy, ktorou sa zabezpečuje financovanie hlavných funkcií štátu v príslušnom rozpočtovom roku. Štátny rozpočet na príslušný rozpočtový rok obsahuje rozpočtované príjmy, rozpočtované výdavky a finančné operácie so štátnymi finančnými aktívami a iné operácie, ktoré ovplyvňujú stav štátnych finančných aktív alebo štátnych finančných pasív (§ 6 ods. 1 zákona</w:t>
            </w:r>
            <w:r>
              <w:rPr>
                <w:rFonts w:ascii="Times New Roman" w:hAnsi="Times New Roman" w:cs="Times New Roman"/>
                <w:sz w:val="20"/>
                <w:szCs w:val="22"/>
                <w:lang w:eastAsia="sk-SK"/>
              </w:rPr>
              <w:t xml:space="preserve"> </w:t>
            </w:r>
            <w:r w:rsidRPr="009058FC">
              <w:rPr>
                <w:rFonts w:ascii="Times New Roman" w:hAnsi="Times New Roman" w:cs="Times New Roman"/>
                <w:szCs w:val="22"/>
                <w:lang w:eastAsia="sk-SK"/>
              </w:rPr>
              <w:t>o rozpočtových pravidlách verejnej správy).</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center"/>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eastAsiaTheme="minorHAnsi" w:cs="Times New Roman"/>
                <w:szCs w:val="22"/>
              </w:rPr>
              <w:br w:type="page"/>
            </w:r>
            <w:r w:rsidRPr="009058FC">
              <w:rPr>
                <w:rFonts w:ascii="Times New Roman" w:hAnsi="Times New Roman" w:cs="Times New Roman"/>
                <w:b/>
                <w:szCs w:val="22"/>
                <w:lang w:eastAsia="sk-SK"/>
              </w:rPr>
              <w:t xml:space="preserve">Superdividenda </w:t>
            </w:r>
            <w:r w:rsidRPr="009058FC">
              <w:rPr>
                <w:rFonts w:ascii="Times New Roman" w:hAnsi="Times New Roman" w:cs="Times New Roman"/>
                <w:szCs w:val="22"/>
                <w:lang w:eastAsia="sk-SK"/>
              </w:rPr>
              <w:t>– metodika ESA, na rozdiel od podnikového účtovníctva, rozoznáva dividendy a superdividendy. Superdividendy sú dividendy, ktoré sú vysoké z pohľadu poslednej (nedávnej) výšky úrovne dividend a ziskov. Logika členenia je tá, že pokiaľ dividendy rozdeľujú príjem z majetku, superdividendy rozdeľujú čisté bohatstvo podniku, keď znižujú vlastné zdroje podniku (vlastné imanie), predstavujú teda výber kapitálu (capital withdrawal). Inak povedané, dividendy prináležia bežnému zisku (operating profit), ktorý pochádza zo štandardných hlavných činností podniku (core business operations) a superdividendy prináležia iným (špeciálnym) výnosom. Na určenie výšky superdividend sa používa tzv. superdividendový test.</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center"/>
          </w:tcPr>
          <w:p w:rsidR="007A3FF8" w:rsidRPr="009058FC" w:rsidP="004B7DC7">
            <w:pPr>
              <w:bidi w:val="0"/>
              <w:spacing w:after="0" w:line="312" w:lineRule="auto"/>
              <w:ind w:left="1134" w:hanging="1134"/>
              <w:rPr>
                <w:rFonts w:ascii="Times New Roman" w:hAnsi="Times New Roman" w:cs="Times New Roman"/>
                <w:b/>
                <w:szCs w:val="22"/>
                <w:lang w:eastAsia="sk-SK"/>
              </w:rPr>
            </w:pPr>
            <w:r w:rsidRPr="009058FC">
              <w:rPr>
                <w:rFonts w:ascii="Times New Roman" w:hAnsi="Times New Roman" w:cs="Times New Roman"/>
                <w:b/>
                <w:szCs w:val="22"/>
                <w:lang w:eastAsia="sk-SK"/>
              </w:rPr>
              <w:t xml:space="preserve">2. kapitola: Hospodárenie verejnej správy - požiadavky ústavného zákona o rozpočtovej zodpovednosti </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Bilancia rozpočtu verejnej správy </w:t>
            </w:r>
            <w:r w:rsidRPr="009058FC">
              <w:rPr>
                <w:rFonts w:ascii="Times New Roman" w:hAnsi="Times New Roman" w:cs="Times New Roman"/>
                <w:szCs w:val="22"/>
                <w:lang w:eastAsia="sk-SK"/>
              </w:rPr>
              <w:t>– alebo bilancia príjmov a výdavkov rozpočtu verejnej správy poskytuje analytický pohľad na vývoj hlavných príjmových a výdavkových položiek verejnej správy ako celku za daný rok. Bilancia je konsolidovaná, teda sú vylúčené transakcie medzi jednotlivými subjektmi verejnej správy. Štruktúra prezentovanej bilancie v tomto dokumente pozostáva z kombinácie klasifikácie kódov ESA </w:t>
            </w:r>
            <w:r>
              <w:rPr>
                <w:rFonts w:ascii="Times New Roman" w:hAnsi="Times New Roman" w:cs="Times New Roman"/>
                <w:szCs w:val="22"/>
                <w:lang w:eastAsia="sk-SK"/>
              </w:rPr>
              <w:t>2010</w:t>
            </w:r>
            <w:r w:rsidRPr="009058FC">
              <w:rPr>
                <w:rFonts w:ascii="Times New Roman" w:hAnsi="Times New Roman" w:cs="Times New Roman"/>
                <w:szCs w:val="22"/>
                <w:lang w:eastAsia="sk-SK"/>
              </w:rPr>
              <w:t xml:space="preserve"> a rozpočtovej klasifikácie.</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Saldo rozpočtu verejnej správy</w:t>
            </w:r>
            <w:r w:rsidRPr="009058FC">
              <w:rPr>
                <w:rFonts w:ascii="Times New Roman" w:hAnsi="Times New Roman" w:cs="Times New Roman"/>
                <w:szCs w:val="22"/>
                <w:lang w:eastAsia="sk-SK"/>
              </w:rPr>
              <w:t xml:space="preserve"> – môže mať charakter schodku alebo prebytku. Schodok je záporný rozdiel medzi celkovými príjmami a celkovými výdavkami verejnej správy. Prebytok je kladný rozdiel medzi celkovými príjmami a celkovými výdavkami verejnej správy. V metodike národných účtov sa saldo verejnej správy nazýva „čisté pôžičky poskytnuté/prijaté“. Ich výška predstavuje sumu, ktorú verejná správa môže poskytnúť alebo prijať ako pôžičku na financovanie svojich nefinančných operácií.</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Štrukturálne saldo</w:t>
            </w:r>
            <w:r w:rsidRPr="009058FC">
              <w:rPr>
                <w:rFonts w:ascii="Times New Roman" w:hAnsi="Times New Roman" w:cs="Times New Roman"/>
                <w:szCs w:val="22"/>
                <w:lang w:eastAsia="sk-SK"/>
              </w:rPr>
              <w:t xml:space="preserve"> - saldo rozpočtu verejnej správy upravené o vplyv hospodárskeho cyklu a jednorazové a dočasné vplyvy. Referenčná hodnota medziročnej zmeny štrukturálneho salda sa používa na hodnotenie charakteru fiškálnej politiky, či je expanzívna (medziročné zvyšovanie / znižovanie štrukturálneho schodku / prebytku) alebo reštriktívna (medziročné znižovanie / zvyšovanie štrukturálneho schodku / prebytku).</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Jednorazové vplyvy</w:t>
            </w:r>
            <w:r w:rsidRPr="009058FC">
              <w:rPr>
                <w:rFonts w:ascii="Times New Roman" w:hAnsi="Times New Roman" w:cs="Times New Roman"/>
                <w:szCs w:val="22"/>
                <w:lang w:eastAsia="sk-SK"/>
              </w:rPr>
              <w:t xml:space="preserve"> - všeobecne definované ako príjem alebo výdavok, ktorý nemá trvalý alebo opakujúci sa charakter a má časovo obmedzený vplyv na saldo verejnej správy. Úprava salda verejnej správy o takéto vplyvy umožňuje analyticky vhodnejšie posúdenie jeho vývoja v čase.</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Dlh verejnej správy hrubý </w:t>
            </w:r>
            <w:r w:rsidRPr="009058FC">
              <w:rPr>
                <w:rFonts w:ascii="Times New Roman" w:hAnsi="Times New Roman" w:cs="Times New Roman"/>
                <w:szCs w:val="22"/>
                <w:lang w:eastAsia="sk-SK"/>
              </w:rPr>
              <w:t>– alebo hrubý maastrichtský dlh verejnej správy, predstavuje konsolidovaný súčet všetkých záväzkov sektora verejnej správy v nominálnej (menovitej) hodnote, ktoré vznikli na základe prijatých vkladov, emitovaných cenných papierov (bez akcií) a prijatých pôžičiek (bez záväzkov z nesplatených úrokov). Súčasťou prijatých pôžičiek sú aj imputované pôžičky, ktoré sa rovnajú hodnote majetku nadobudnutého prostredníctvom finančného lízingu. Dlh je konsolidovaný, teda sú vylúčené všetky záväzky a recipročné pohľadávky jednotiek patriacich do sektora VS. (Príručka vládneho deficitu a dlhu, vydanie 2013)</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Dlh verejnej správy čistý </w:t>
            </w:r>
            <w:r w:rsidRPr="009058FC">
              <w:rPr>
                <w:rFonts w:ascii="Times New Roman" w:hAnsi="Times New Roman" w:cs="Times New Roman"/>
                <w:szCs w:val="22"/>
                <w:lang w:eastAsia="sk-SK"/>
              </w:rPr>
              <w:t>- alebo čistý maastrichtský dlh verejnej správy, predstavuje rozdiel medzi hrubým maastrichtským dlhom a súčtom zlata a SDR, hotovosti, cenných papierov v trhovej hodnote (okrem akcií) a kótovaných akcií v trhovej hodnote. Čistý dlh vyjadruje schopnosť verejnej správy splatiť svoj maastrichtský dlh na základe speňaženia svojich najlikvidnejších finančných aktív. (Code of Conduct - Specifications on the implementation of the Stability and Growth Pact and Guidelines on the format and content of Stability and Convergence Programmes)</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Európske fiškálne pravidlá – </w:t>
            </w:r>
            <w:r w:rsidRPr="009058FC">
              <w:rPr>
                <w:rFonts w:ascii="Times New Roman" w:hAnsi="Times New Roman" w:cs="Times New Roman"/>
                <w:szCs w:val="22"/>
                <w:lang w:eastAsia="sk-SK"/>
              </w:rPr>
              <w:t>vznikli z potreby dodržiavania fiškálnej disciplíny v rámci Hospodárskej a menovej únie (eurozóny) kvôli zachovaniu stability spoločnej meny euro. Predstavujú súbor pravidiel numerických, procesných ale aj pravidiel transparentnosti o zverejňovaní údajov o hospodárení štátu. Pravidlá sú zakotvené v právnych predpisoch EÚ (Zmluva o fungovaní Európskej únie, nariadenia, smernica) ale ich súčasťou je aj medzinárodná zmluva. Predchodcom fiškálnych pravidiel EÚ boli tzv. maastrichtské kritériá, ktoré stanovili podmienky pre členstvo v eurozóne v podobe referenčnej hodnoty pre deficit (3 % HDP) a dlh verejnej správy (60 % HDP). Kvôli potrebe udržiavať fiškálnu disciplínu aj po vstupe do eurozóny bol v roku 1997 schválený Pakt stability a rastu (Stability and Growth Pact – SGP), ktorý obsahuje aj sankcie, ak deficit krajiny prekročí 3% HDP. V dôsledku ekonomickej a finančnej krízy bol SGP v roku 2011 druhý krát revidovaný (prvý krát v roku 2005) a boli prijaté ďalšie štyri nariadenia s cieľom sprísnenia pravidiel fiškálneho dohľadu a rozšírenia dohľadu aj na makroekonomickú oblasť. Tzv. Six-pack priniesol predovšetkým sprísnenie sankcií, keď krajina môže byť penalizovaná za nedodržiavanie fiškálnych pravidiel až do výšky 0,5 % HDP, väčšiu orientáciu na pravidlo verejného dlhu (jeho nedodržiavanie bolo dovtedy prakticky ignorované) a povinnosť konsolidovať verejný rozpočet aj po znížení deficitu pod 3 % HDP tempom znižovania štrukturálneho salda minimálne o 0,5% HDP až po dosiahnutie strednodobého cieľa (medium-term objective – MTO). Medzinárodná zmluva, ktorá bola podpísaná 25 členskými krajinami Európskej únii (všetky s výnimkou Česka a Veľkej Británie) v roku 2012, stanovila povinnosť zaviesť pravidlo o vyrovnanom štrukturálnom salde verejnej správy do národnej legislatívy (tzv. Fiscal compact). Naposledy v roku 2013 boli schválené dve nariadenia, ktoré ďalej sprísňujú a prehlbujú fiškálny dohľad v krajinách eurozóny (tzv. Two-pack). Podľa nich musia krajiny eurozóny napríklad každoročne do 15. októbra predkladať Európskej komisii na posúdenie návrh rozpočtového plánu na nasledujúci rok.</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Stratégia riadenia štátneho dlhu – </w:t>
            </w:r>
            <w:r w:rsidRPr="009058FC">
              <w:rPr>
                <w:rFonts w:ascii="Times New Roman" w:hAnsi="Times New Roman" w:cs="Times New Roman"/>
                <w:szCs w:val="22"/>
                <w:lang w:eastAsia="sk-SK"/>
              </w:rPr>
              <w:t>ďalej len stratégia, je strategický dokument, ktorý stanovuje základné rámce a smerovanie politiky riadenia štátneho dlhu. Stratégia formuluje vrcholové kvantitatívne ukazovatele a parametre štátneho dlhu a stanovuje tiež ciele, ktoré by mali prispieť ku kvalitatívnemu zlepšeniu riadenia dlhu. Dokument ďalej popisuje vývoj a štruktúru štátneho dlhu SR, makroekonomické a fiškálne východiská a riziká dlhového portfólia. Od stratégie sú odvodené jednotlivé predpisy upravujúce pravidlá pre riadenie rizík štátneho dlhu, limity pozícií štátu a systém kontroly. Stratégia sa zostavuje na štvorročné obdobie a každý rok sa aktualizuje. Aktualizácie zabezpečujú prepojenie stratégie s vývojom v konkrétnom rozpočtovom roku a poskytujú flexibilnosť reakcie na vývoj trhu. Podľa Ústavného zákona o rozpočtovej zodpovednosti je stratégia súčasťou Rozpočtu verejnej správy SR a vyhodnotenie plnenia cieľov stratégie je súčasťou Súhrnnej výročnej správy SR.</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center"/>
          </w:tcPr>
          <w:p w:rsidR="007A3FF8" w:rsidRPr="009058FC" w:rsidP="004B7DC7">
            <w:pPr>
              <w:bidi w:val="0"/>
              <w:spacing w:after="0" w:line="312" w:lineRule="auto"/>
              <w:jc w:val="both"/>
              <w:rPr>
                <w:rFonts w:ascii="Times New Roman" w:hAnsi="Times New Roman" w:cs="Times New Roman"/>
                <w:b/>
                <w:szCs w:val="22"/>
                <w:lang w:eastAsia="sk-SK"/>
              </w:rPr>
            </w:pPr>
            <w:r w:rsidRPr="009058FC">
              <w:rPr>
                <w:rFonts w:ascii="Times New Roman" w:hAnsi="Times New Roman" w:cs="Times New Roman"/>
                <w:b/>
                <w:szCs w:val="22"/>
                <w:lang w:eastAsia="sk-SK"/>
              </w:rPr>
              <w:t xml:space="preserve">3. kapitola: Čisté bohatstvo </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Čisté bohatstvo </w:t>
            </w:r>
            <w:r w:rsidRPr="009058FC">
              <w:rPr>
                <w:rFonts w:ascii="Times New Roman" w:hAnsi="Times New Roman" w:cs="Times New Roman"/>
                <w:szCs w:val="22"/>
                <w:lang w:eastAsia="sk-SK"/>
              </w:rPr>
              <w:t>- súčet vlastného imania subjektov verejnej správy, vlastného imania Národnej banky Slovenska, vlastného imania podnikov štátnej správy a podnikov územnej samosprávy, upravený o implicitné záväzky a podmienené záväzky, iné aktíva a iné pasíva. (Čl. 2e ústavného zákona o rozpočtovej zodpovednosti)</w:t>
            </w:r>
          </w:p>
          <w:p w:rsidR="007A3FF8" w:rsidRPr="009058FC" w:rsidP="004B7DC7">
            <w:pPr>
              <w:bidi w:val="0"/>
              <w:spacing w:after="120" w:line="312" w:lineRule="auto"/>
              <w:jc w:val="both"/>
              <w:rPr>
                <w:rFonts w:ascii="Times New Roman" w:hAnsi="Times New Roman" w:cs="Times New Roman"/>
                <w:szCs w:val="22"/>
                <w:lang w:eastAsia="sk-SK"/>
              </w:rPr>
            </w:pPr>
            <w:r w:rsidRPr="00610209">
              <w:rPr>
                <w:rFonts w:ascii="Times New Roman" w:hAnsi="Times New Roman" w:cs="Times New Roman"/>
                <w:b/>
                <w:szCs w:val="22"/>
                <w:lang w:eastAsia="sk-SK"/>
              </w:rPr>
              <w:t>Vlastné imanie</w:t>
            </w:r>
            <w:r>
              <w:rPr>
                <w:rFonts w:ascii="Times New Roman" w:hAnsi="Times New Roman" w:cs="Times New Roman"/>
                <w:szCs w:val="22"/>
                <w:lang w:eastAsia="sk-SK"/>
              </w:rPr>
              <w:t xml:space="preserve"> – vlastný zdroj krytia majetku, v</w:t>
            </w:r>
            <w:r w:rsidRPr="00261FD8">
              <w:rPr>
                <w:rFonts w:ascii="Times New Roman" w:hAnsi="Times New Roman" w:cs="Times New Roman"/>
                <w:szCs w:val="22"/>
                <w:lang w:eastAsia="sk-SK"/>
              </w:rPr>
              <w:t>yjadruje nárok na majetok podniku po odpočítaní všetkých jeho účtovných dlhov.</w:t>
            </w:r>
            <w:r>
              <w:rPr>
                <w:rFonts w:ascii="Times New Roman" w:hAnsi="Times New Roman" w:cs="Times New Roman"/>
                <w:szCs w:val="22"/>
                <w:lang w:eastAsia="sk-SK"/>
              </w:rPr>
              <w:t xml:space="preserve"> Vlastné imanie predstavuje v</w:t>
            </w:r>
            <w:r w:rsidRPr="007D0B10">
              <w:rPr>
                <w:rFonts w:ascii="Times New Roman" w:hAnsi="Times New Roman" w:cs="Times New Roman"/>
                <w:szCs w:val="22"/>
                <w:lang w:eastAsia="sk-SK"/>
              </w:rPr>
              <w:t xml:space="preserve"> súvahe rozdiel medzi hodnotou </w:t>
            </w:r>
            <w:r>
              <w:rPr>
                <w:rFonts w:ascii="Times New Roman" w:hAnsi="Times New Roman" w:cs="Times New Roman"/>
                <w:szCs w:val="22"/>
                <w:lang w:eastAsia="sk-SK"/>
              </w:rPr>
              <w:t>majetku</w:t>
            </w:r>
            <w:r w:rsidRPr="007D0B10">
              <w:rPr>
                <w:rFonts w:ascii="Times New Roman" w:hAnsi="Times New Roman" w:cs="Times New Roman"/>
                <w:szCs w:val="22"/>
                <w:lang w:eastAsia="sk-SK"/>
              </w:rPr>
              <w:t xml:space="preserve"> </w:t>
            </w:r>
            <w:r>
              <w:rPr>
                <w:rFonts w:ascii="Times New Roman" w:hAnsi="Times New Roman" w:cs="Times New Roman"/>
                <w:szCs w:val="22"/>
                <w:lang w:eastAsia="sk-SK"/>
              </w:rPr>
              <w:t>(</w:t>
            </w:r>
            <w:r w:rsidRPr="007D0B10">
              <w:rPr>
                <w:rFonts w:ascii="Times New Roman" w:hAnsi="Times New Roman" w:cs="Times New Roman"/>
                <w:szCs w:val="22"/>
                <w:lang w:eastAsia="sk-SK"/>
              </w:rPr>
              <w:t>aktív</w:t>
            </w:r>
            <w:r>
              <w:rPr>
                <w:rFonts w:ascii="Times New Roman" w:hAnsi="Times New Roman" w:cs="Times New Roman"/>
                <w:szCs w:val="22"/>
                <w:lang w:eastAsia="sk-SK"/>
              </w:rPr>
              <w:t>)</w:t>
            </w:r>
            <w:r w:rsidRPr="007D0B10">
              <w:rPr>
                <w:rFonts w:ascii="Times New Roman" w:hAnsi="Times New Roman" w:cs="Times New Roman"/>
                <w:szCs w:val="22"/>
                <w:lang w:eastAsia="sk-SK"/>
              </w:rPr>
              <w:t xml:space="preserve"> a hodnotou záväzkov v širšom zmysle</w:t>
            </w:r>
            <w:r>
              <w:rPr>
                <w:rFonts w:ascii="Times New Roman" w:hAnsi="Times New Roman" w:cs="Times New Roman"/>
                <w:szCs w:val="22"/>
                <w:lang w:eastAsia="sk-SK"/>
              </w:rPr>
              <w:t xml:space="preserve">. Podľa slovenskej právnej úpravy </w:t>
            </w:r>
            <w:r w:rsidRPr="00610209">
              <w:rPr>
                <w:rFonts w:ascii="Times New Roman" w:hAnsi="Times New Roman" w:cs="Times New Roman"/>
                <w:szCs w:val="22"/>
                <w:lang w:eastAsia="sk-SK"/>
              </w:rPr>
              <w:t>pre podnikateľov účtujúcich v sústave podvojného účtovníctva</w:t>
            </w:r>
            <w:r>
              <w:rPr>
                <w:rFonts w:ascii="Times New Roman" w:hAnsi="Times New Roman" w:cs="Times New Roman"/>
                <w:szCs w:val="22"/>
                <w:lang w:eastAsia="sk-SK"/>
              </w:rPr>
              <w:t xml:space="preserve"> v</w:t>
            </w:r>
            <w:r w:rsidRPr="00610209">
              <w:rPr>
                <w:rFonts w:ascii="Times New Roman" w:hAnsi="Times New Roman" w:cs="Times New Roman"/>
                <w:szCs w:val="22"/>
                <w:lang w:eastAsia="sk-SK"/>
              </w:rPr>
              <w:t xml:space="preserve">lastné imanie tvorí: základné imanie, kapitálové fondy, fondy zo zisku, </w:t>
            </w:r>
            <w:r>
              <w:rPr>
                <w:rFonts w:ascii="Times New Roman" w:hAnsi="Times New Roman" w:cs="Times New Roman"/>
                <w:szCs w:val="22"/>
                <w:lang w:eastAsia="sk-SK"/>
              </w:rPr>
              <w:t xml:space="preserve">oceňovacie rozdiely z precenenia, </w:t>
            </w:r>
            <w:r w:rsidRPr="00610209">
              <w:rPr>
                <w:rFonts w:ascii="Times New Roman" w:hAnsi="Times New Roman" w:cs="Times New Roman"/>
                <w:szCs w:val="22"/>
                <w:lang w:eastAsia="sk-SK"/>
              </w:rPr>
              <w:t xml:space="preserve">výsledok hospodárenia minulých </w:t>
            </w:r>
            <w:r>
              <w:rPr>
                <w:rFonts w:ascii="Times New Roman" w:hAnsi="Times New Roman" w:cs="Times New Roman"/>
                <w:szCs w:val="22"/>
                <w:lang w:eastAsia="sk-SK"/>
              </w:rPr>
              <w:t>rokov</w:t>
            </w:r>
            <w:r w:rsidRPr="00610209">
              <w:rPr>
                <w:rFonts w:ascii="Times New Roman" w:hAnsi="Times New Roman" w:cs="Times New Roman"/>
                <w:szCs w:val="22"/>
                <w:lang w:eastAsia="sk-SK"/>
              </w:rPr>
              <w:t xml:space="preserve"> </w:t>
            </w:r>
            <w:r>
              <w:rPr>
                <w:rFonts w:ascii="Times New Roman" w:hAnsi="Times New Roman" w:cs="Times New Roman"/>
                <w:szCs w:val="22"/>
                <w:lang w:eastAsia="sk-SK"/>
              </w:rPr>
              <w:t xml:space="preserve">a </w:t>
            </w:r>
            <w:r w:rsidRPr="00610209">
              <w:rPr>
                <w:rFonts w:ascii="Times New Roman" w:hAnsi="Times New Roman" w:cs="Times New Roman"/>
                <w:szCs w:val="22"/>
                <w:lang w:eastAsia="sk-SK"/>
              </w:rPr>
              <w:t xml:space="preserve">výsledok hospodárenia </w:t>
            </w:r>
            <w:r>
              <w:rPr>
                <w:rFonts w:ascii="Times New Roman" w:hAnsi="Times New Roman" w:cs="Times New Roman"/>
                <w:szCs w:val="22"/>
                <w:lang w:eastAsia="sk-SK"/>
              </w:rPr>
              <w:t>za účtovné obdobie po zdanení.</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Verejný sektor –</w:t>
            </w:r>
            <w:r w:rsidRPr="009058FC">
              <w:rPr>
                <w:rFonts w:ascii="Times New Roman" w:hAnsi="Times New Roman" w:cs="Times New Roman"/>
                <w:szCs w:val="22"/>
                <w:lang w:eastAsia="sk-SK"/>
              </w:rPr>
              <w:t xml:space="preserve"> pre potreby súhrnnej správy definovaný ako sektor, za ktorý sa vyčísľuje čisté bohatstvo. Okrem verejnej správy podľa metodiky ESA </w:t>
            </w:r>
            <w:r>
              <w:rPr>
                <w:rFonts w:ascii="Times New Roman" w:hAnsi="Times New Roman" w:cs="Times New Roman"/>
                <w:szCs w:val="22"/>
                <w:lang w:eastAsia="sk-SK"/>
              </w:rPr>
              <w:t>2010</w:t>
            </w:r>
            <w:r w:rsidRPr="009058FC">
              <w:rPr>
                <w:rFonts w:ascii="Times New Roman" w:hAnsi="Times New Roman" w:cs="Times New Roman"/>
                <w:szCs w:val="22"/>
                <w:lang w:eastAsia="sk-SK"/>
              </w:rPr>
              <w:t xml:space="preserve"> zahŕňa podniky štátnej správy, podniky územnej samosprávy a NBS.</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Podniky verejnej správy</w:t>
            </w:r>
            <w:r w:rsidRPr="009058FC">
              <w:rPr>
                <w:rFonts w:ascii="Times New Roman" w:hAnsi="Times New Roman" w:cs="Times New Roman"/>
                <w:szCs w:val="22"/>
                <w:lang w:eastAsia="sk-SK"/>
              </w:rPr>
              <w:t xml:space="preserve"> – súhrnné pomenovanie používané v tomto dokumente pre podniky štátnej správy a podniky územnej samosprávy, ktoré sú definované legislatívou. Keďže podniky štátnej správy a samosprávy sú definované pre potreby výpočtu čistého bohatstva, do ktorého vchádzajú len podniky s majetkovou účasťou štátu v minimálnej výške 20 %, tento pojem môže byť použitý aj širšie, teda na všetky podniky bez obmedzenia majetkovej účasti štátu.</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Podnik štátnej správy</w:t>
            </w:r>
            <w:r w:rsidRPr="009058FC">
              <w:rPr>
                <w:rFonts w:ascii="Times New Roman" w:hAnsi="Times New Roman" w:cs="Times New Roman"/>
                <w:szCs w:val="22"/>
                <w:lang w:eastAsia="sk-SK"/>
              </w:rPr>
              <w:t xml:space="preserve"> - štátny podnik, obchodná spoločnosť s majetkovou účasťou štátu v minimálnej výške 20 % jej základného imania a právnická osoba zriadená zákonom, v ktorej má štát kvalifikovanú účasť; kvalifikovanou účasťou sa na účely tohto zákona rozumie priamy alebo nepriamy podiel predstavujúci aspoň 20 %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r>
              <w:rPr>
                <w:rFonts w:ascii="Times New Roman" w:hAnsi="Times New Roman" w:cs="Times New Roman"/>
                <w:szCs w:val="22"/>
                <w:lang w:eastAsia="sk-SK"/>
              </w:rPr>
              <w:t xml:space="preserve"> </w:t>
            </w:r>
            <w:r w:rsidRPr="009058FC">
              <w:rPr>
                <w:rFonts w:ascii="Times New Roman" w:hAnsi="Times New Roman" w:cs="Times New Roman"/>
                <w:szCs w:val="22"/>
                <w:lang w:eastAsia="sk-SK"/>
              </w:rPr>
              <w:t>(Čl. 2f ústavného zákona o rozpočtovej zodpovednosti).</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Podnik územnej samosprávy</w:t>
            </w:r>
            <w:r w:rsidRPr="009058FC">
              <w:rPr>
                <w:rFonts w:ascii="Times New Roman" w:hAnsi="Times New Roman" w:cs="Times New Roman"/>
                <w:szCs w:val="22"/>
                <w:lang w:eastAsia="sk-SK"/>
              </w:rPr>
              <w:t xml:space="preserve"> - obchodná spoločnosť s majetkovou účasťou územnej samosprávy v minimálnej výške 20 % jej základného imania (Čl. 2g ústavného zákona o rozpočtovej zodpovednosti)</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Implicitné záväzky</w:t>
            </w:r>
            <w:r w:rsidRPr="009058FC">
              <w:rPr>
                <w:rFonts w:ascii="Times New Roman" w:hAnsi="Times New Roman" w:cs="Times New Roman"/>
                <w:szCs w:val="22"/>
                <w:lang w:eastAsia="sk-SK"/>
              </w:rPr>
              <w:t xml:space="preserve"> - rozdiel medzi očakávanými budúcimi výdavkami subjektov verejnej správy a očakávanými budúcimi príjmami subjektov verejnej správy, ktoré vyplývajú z finančných dôsledkov spôsobených budúcim uplatňovaním práv a povinností ustanovených právnym poriadkom Slovenskej republiky, ak tieto nie sú súčasťou dlhu verejnej správy (Čl. 2h ústavného zákona o rozpočtovej zodpovednosti). Najznámejším príkladom sú starobné dôchodky z priebežného piliera dôchodkového systému.</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Podmienené záväzky - </w:t>
            </w:r>
            <w:r w:rsidRPr="009058FC">
              <w:rPr>
                <w:rFonts w:ascii="Times New Roman" w:hAnsi="Times New Roman" w:cs="Times New Roman"/>
                <w:szCs w:val="22"/>
                <w:lang w:eastAsia="sk-SK"/>
              </w:rPr>
              <w:t xml:space="preserve">iné pasíva účtovnej jednotky, ktorá ich vykazuje v poznámkach ako súčasti individuálnej účtovnej závierky (zákon o účtovníctve). Nejde teda o záväzok, ktorý je vykázaný na súvahových položkách pasív, pretože nie je splnená podmienka na ich zaúčtovanie - výška záväzku sa nedá spoľahlivo oceniť, obdobie, ku ktorému sa povinnosť viaže nie je určené, úbytok ekonomických úžitkov v budúcnosti nie je istý. Ako iné pasíva sa vykazuje: </w:t>
            </w:r>
          </w:p>
          <w:p w:rsidR="007A3FF8" w:rsidRPr="009058FC" w:rsidP="004B7DC7">
            <w:pPr>
              <w:pStyle w:val="ListParagraph"/>
              <w:numPr>
                <w:numId w:val="24"/>
              </w:numPr>
              <w:bidi w:val="0"/>
              <w:spacing w:line="312" w:lineRule="auto"/>
              <w:jc w:val="both"/>
              <w:rPr>
                <w:rFonts w:ascii="Times New Roman" w:hAnsi="Times New Roman" w:cs="Times New Roman"/>
              </w:rPr>
            </w:pPr>
            <w:r w:rsidRPr="009058FC">
              <w:rPr>
                <w:rFonts w:ascii="Times New Roman" w:hAnsi="Times New Roman" w:cs="Times New Roman"/>
              </w:rPr>
              <w:t>možná povinnosť, ktorá vznikla ako dôsledok minulej udalosti a ktorej existencia závisí od toho, či nastane alebo nenastane jedna alebo viac neistých udalostí v budúcnosti, ktorých vznik nezávisí od účtovnej jednotky, alebo</w:t>
            </w:r>
          </w:p>
          <w:p w:rsidR="007A3FF8" w:rsidRPr="009058FC" w:rsidP="004B7DC7">
            <w:pPr>
              <w:pStyle w:val="ListParagraph"/>
              <w:numPr>
                <w:numId w:val="24"/>
              </w:numPr>
              <w:bidi w:val="0"/>
              <w:spacing w:after="120" w:line="312" w:lineRule="auto"/>
              <w:ind w:left="714" w:hanging="357"/>
              <w:jc w:val="both"/>
              <w:rPr>
                <w:rFonts w:ascii="Times New Roman" w:hAnsi="Times New Roman" w:cs="Times New Roman"/>
              </w:rPr>
            </w:pPr>
            <w:r w:rsidRPr="009058FC">
              <w:rPr>
                <w:rFonts w:ascii="Times New Roman" w:hAnsi="Times New Roman" w:cs="Times New Roman"/>
              </w:rPr>
              <w:t>povinnosť, ktorá vznikla ako dôsledok minulej udalosti, ale ktorá sa nevykazuje v súvahe, pretože nie je pravdepodobné, že na splnenie tejto povinnosti bude potrebný úbytok ekonomických úžitkov, alebo výška tejto povinnosti sa nedá spoľahlivo oceniť.</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center"/>
          </w:tcPr>
          <w:p w:rsidR="007A3FF8" w:rsidRPr="009058FC" w:rsidP="004B7DC7">
            <w:pPr>
              <w:bidi w:val="0"/>
              <w:spacing w:after="120" w:line="312" w:lineRule="auto"/>
              <w:jc w:val="both"/>
              <w:rPr>
                <w:rFonts w:ascii="Times New Roman" w:hAnsi="Times New Roman" w:cs="Times New Roman"/>
                <w:szCs w:val="22"/>
                <w:lang w:eastAsia="sk-SK"/>
              </w:rPr>
            </w:pPr>
            <w:r w:rsidRPr="009058FC">
              <w:rPr>
                <w:rFonts w:ascii="Times New Roman" w:hAnsi="Times New Roman" w:cs="Times New Roman"/>
                <w:b/>
                <w:szCs w:val="22"/>
                <w:lang w:eastAsia="sk-SK"/>
              </w:rPr>
              <w:t xml:space="preserve">PPP projekt - </w:t>
            </w:r>
            <w:r w:rsidRPr="009058FC">
              <w:rPr>
                <w:rFonts w:ascii="Times New Roman" w:hAnsi="Times New Roman" w:cs="Times New Roman"/>
                <w:szCs w:val="22"/>
                <w:lang w:eastAsia="sk-SK"/>
              </w:rPr>
              <w:t>forma spolupráce medzi verejným a súkromným sektorom s cieľom financovania výstavby, rekonštrukcie, prevádzky a údržby infraštruktúry a poskytovania verejných služieb prostredníctvom tejto infraštruktúry. V rámci PPP projektov sú subjekty verejného sektora partnerom a zákazníkom súkromného sektora, od ktorého nakupujú služby. Súkromný partner v zásade financuje výstavbu a prevádzkuje dielo a ako protihodnota je mu umožnené poskytovať služby spojené s týmto dielom za platby od jeho používateľov alebo od verejného partnera. Dôležitou charakteristikou PPP je rozdelenie rizík spojených s výstavbou a prevádzkou diela medzi súkromným a verejným partnerom a dlhodobosť zmluvných vzťahov medzi súkromným a verejným partnerom.</w:t>
            </w:r>
          </w:p>
          <w:p w:rsidR="007A3FF8" w:rsidRPr="009058FC" w:rsidP="004B7DC7">
            <w:pPr>
              <w:bidi w:val="0"/>
              <w:spacing w:after="120" w:line="312" w:lineRule="auto"/>
              <w:jc w:val="both"/>
              <w:rPr>
                <w:rFonts w:ascii="Times New Roman" w:hAnsi="Times New Roman" w:cs="Times New Roman"/>
                <w:b/>
                <w:szCs w:val="22"/>
                <w:lang w:eastAsia="sk-SK"/>
              </w:rPr>
            </w:pPr>
            <w:r w:rsidRPr="009058FC">
              <w:rPr>
                <w:rFonts w:ascii="Times New Roman" w:hAnsi="Times New Roman" w:cs="Times New Roman"/>
                <w:b/>
                <w:szCs w:val="22"/>
                <w:lang w:eastAsia="sk-SK"/>
              </w:rPr>
              <w:t xml:space="preserve">Centrálny konsolidačný systém – </w:t>
            </w:r>
            <w:r w:rsidRPr="009058FC">
              <w:rPr>
                <w:rFonts w:ascii="Times New Roman" w:hAnsi="Times New Roman" w:cs="Times New Roman"/>
                <w:szCs w:val="22"/>
                <w:lang w:eastAsia="sk-SK"/>
              </w:rPr>
              <w:t>systém zberu, spracovania, analyzovania, konsolidovania a prezentovania údajov z účtovníctva od účtovných jednotiek súhrnného celku. Súčasťou Centrálneho konsolidačného systému je aj informačný systém Ministerstva financií SR, prostredníctvom, ktorého sa zabezpečuje spracovanie údajov z finančných výkazov a konsolidačného balíka.</w:t>
            </w: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bidi w:val="0"/>
              <w:spacing w:after="120" w:line="312" w:lineRule="auto"/>
              <w:jc w:val="both"/>
              <w:rPr>
                <w:rFonts w:ascii="Times New Roman" w:hAnsi="Times New Roman" w:cs="Times New Roman"/>
                <w:szCs w:val="22"/>
                <w:lang w:eastAsia="sk-SK"/>
              </w:rPr>
            </w:pPr>
          </w:p>
        </w:tc>
      </w:tr>
      <w:tr>
        <w:tblPrEx>
          <w:tblW w:w="0" w:type="auto"/>
          <w:tblInd w:w="0" w:type="dxa"/>
          <w:tblCellMar>
            <w:top w:w="0" w:type="dxa"/>
            <w:left w:w="108" w:type="dxa"/>
            <w:bottom w:w="0" w:type="dxa"/>
            <w:right w:w="108" w:type="dxa"/>
          </w:tblCellMar>
          <w:tblLook w:val="04A0"/>
        </w:tblPrEx>
        <w:trPr>
          <w:trHeight w:val="157"/>
        </w:trPr>
        <w:tc>
          <w:tcPr>
            <w:tcW w:w="9212" w:type="dxa"/>
            <w:tcBorders>
              <w:top w:val="none" w:sz="0" w:space="0" w:color="auto"/>
              <w:left w:val="none" w:sz="0" w:space="0" w:color="auto"/>
              <w:bottom w:val="none" w:sz="0" w:space="0" w:color="auto"/>
              <w:right w:val="none" w:sz="0" w:space="0" w:color="auto"/>
            </w:tcBorders>
            <w:textDirection w:val="lrTb"/>
            <w:vAlign w:val="top"/>
          </w:tcPr>
          <w:p w:rsidR="007A3FF8" w:rsidRPr="009058FC" w:rsidP="004B7DC7">
            <w:pPr>
              <w:autoSpaceDE w:val="0"/>
              <w:autoSpaceDN w:val="0"/>
              <w:bidi w:val="0"/>
              <w:adjustRightInd w:val="0"/>
              <w:spacing w:after="120" w:line="312" w:lineRule="auto"/>
              <w:jc w:val="both"/>
              <w:rPr>
                <w:rFonts w:ascii="Times New Roman" w:hAnsi="Times New Roman" w:cs="Times New Roman"/>
                <w:szCs w:val="22"/>
                <w:lang w:eastAsia="sk-SK"/>
              </w:rPr>
            </w:pPr>
          </w:p>
        </w:tc>
      </w:tr>
    </w:tbl>
    <w:p w:rsidR="007A3FF8" w:rsidP="007A3FF8">
      <w:pPr>
        <w:bidi w:val="0"/>
        <w:rPr>
          <w:rFonts w:ascii="Times New Roman" w:hAnsi="Times New Roman"/>
          <w:color w:val="000000"/>
          <w:szCs w:val="22"/>
        </w:rPr>
      </w:pPr>
    </w:p>
    <w:p w:rsidR="007324B7" w:rsidRPr="007A3FF8" w:rsidP="007A3FF8">
      <w:pPr>
        <w:bidi w:val="0"/>
        <w:rPr>
          <w:rFonts w:ascii="Times New Roman" w:hAnsi="Times New Roman" w:eastAsiaTheme="majorEastAsia" w:cs="Times New Roman"/>
          <w:b/>
          <w:bCs/>
          <w:sz w:val="26"/>
          <w:szCs w:val="22"/>
        </w:rPr>
      </w:pPr>
    </w:p>
    <w:sectPr w:rsidSect="00651A0E">
      <w:footerReference w:type="default" r:id="rId14"/>
      <w:type w:val="continuous"/>
      <w:pgSz w:w="11906" w:h="16838" w:code="9"/>
      <w:pgMar w:top="1418" w:right="1134" w:bottom="1418" w:left="1134" w:header="709" w:footer="709" w:gutter="567"/>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Dutch801 SWC">
    <w:altName w:val="Times New Roman"/>
    <w:panose1 w:val="00000000000000000000"/>
    <w:charset w:val="00"/>
    <w:family w:val="roman"/>
    <w:pitch w:val="variable"/>
    <w:sig w:usb0="00000000" w:usb1="00000000" w:usb2="00000000" w:usb3="00000000" w:csb0="00000001" w:csb1="00000000"/>
  </w:font>
  <w:font w:name="AT* Times New Roman">
    <w:altName w:val="Courier New"/>
    <w:charset w:val="00"/>
    <w:family w:val="roman"/>
    <w:pitch w:val="variable"/>
    <w:sig w:usb0="00000000" w:usb1="00000000" w:usb2="00000000" w:usb3="00000000" w:csb0="00000001" w:csb1="00000000"/>
  </w:font>
  <w:font w:name="Franklin Got Itc TCE">
    <w:altName w:val="Franklin Got Itc TCE"/>
    <w:panose1 w:val="00000000000000000000"/>
    <w:charset w:val="EE"/>
    <w:family w:val="swiss"/>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D0B" w:rsidRPr="00763DCA">
    <w:pPr>
      <w:pStyle w:val="Footer"/>
      <w:bidi w:val="0"/>
      <w:jc w:val="center"/>
      <w:rPr>
        <w:rFonts w:ascii="Times New Roman" w:hAnsi="Times New Roman" w:cs="Times New Roman"/>
        <w:sz w:val="20"/>
        <w:szCs w:val="20"/>
      </w:rPr>
    </w:pPr>
  </w:p>
  <w:p w:rsidR="003F6D0B">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D0B" w:rsidRPr="00763DCA">
    <w:pPr>
      <w:pStyle w:val="Footer"/>
      <w:bidi w:val="0"/>
      <w:jc w:val="center"/>
      <w:rPr>
        <w:rFonts w:ascii="Times New Roman" w:hAnsi="Times New Roman" w:cs="Times New Roman"/>
        <w:sz w:val="20"/>
        <w:szCs w:val="20"/>
      </w:rPr>
    </w:pPr>
  </w:p>
  <w:p w:rsidR="003F6D0B">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D0B" w:rsidRPr="007A3FF8">
    <w:pPr>
      <w:pStyle w:val="Footer"/>
      <w:bidi w:val="0"/>
      <w:jc w:val="center"/>
      <w:rPr>
        <w:rFonts w:ascii="Times New Roman" w:hAnsi="Times New Roman" w:cs="Times New Roman"/>
      </w:rPr>
    </w:pPr>
    <w:r w:rsidRPr="007A3FF8">
      <w:rPr>
        <w:rFonts w:ascii="Times New Roman" w:hAnsi="Times New Roman" w:cs="Times New Roman"/>
      </w:rPr>
      <w:fldChar w:fldCharType="begin"/>
    </w:r>
    <w:r w:rsidRPr="007A3FF8">
      <w:rPr>
        <w:rFonts w:ascii="Times New Roman" w:hAnsi="Times New Roman" w:cs="Times New Roman"/>
      </w:rPr>
      <w:instrText>PAGE   \* MERGEFORMAT</w:instrText>
    </w:r>
    <w:r w:rsidRPr="007A3FF8">
      <w:rPr>
        <w:rFonts w:ascii="Times New Roman" w:hAnsi="Times New Roman" w:cs="Times New Roman"/>
      </w:rPr>
      <w:fldChar w:fldCharType="separate"/>
    </w:r>
    <w:r w:rsidR="000E25E4">
      <w:rPr>
        <w:rFonts w:ascii="Times New Roman" w:hAnsi="Times New Roman" w:cs="Times New Roman"/>
        <w:noProof/>
      </w:rPr>
      <w:t>43</w:t>
    </w:r>
    <w:r w:rsidRPr="007A3FF8">
      <w:rPr>
        <w:rFonts w:ascii="Times New Roman" w:hAnsi="Times New Roman" w:cs="Times New Roman"/>
      </w:rPr>
      <w:fldChar w:fldCharType="end"/>
    </w:r>
  </w:p>
  <w:p w:rsidR="003F6D0B">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D0B" w:rsidRPr="007251D7">
    <w:pPr>
      <w:pStyle w:val="Footer"/>
      <w:bidi w:val="0"/>
      <w:jc w:val="center"/>
      <w:rPr>
        <w:rFonts w:ascii="Times New Roman" w:hAnsi="Times New Roman" w:cs="Times New Roman"/>
        <w:sz w:val="20"/>
        <w:szCs w:val="20"/>
      </w:rPr>
    </w:pPr>
    <w:r w:rsidRPr="00C55223">
      <w:rPr>
        <w:rFonts w:ascii="Times New Roman" w:hAnsi="Times New Roman" w:cs="Times New Roman"/>
        <w:szCs w:val="22"/>
      </w:rPr>
      <w:fldChar w:fldCharType="begin"/>
    </w:r>
    <w:r w:rsidRPr="00C55223">
      <w:rPr>
        <w:rFonts w:ascii="Times New Roman" w:hAnsi="Times New Roman" w:cs="Times New Roman"/>
        <w:szCs w:val="22"/>
      </w:rPr>
      <w:instrText>PAGE   \* MERGEFORMAT</w:instrText>
    </w:r>
    <w:r w:rsidRPr="00C55223">
      <w:rPr>
        <w:rFonts w:ascii="Times New Roman" w:hAnsi="Times New Roman" w:cs="Times New Roman"/>
        <w:szCs w:val="22"/>
      </w:rPr>
      <w:fldChar w:fldCharType="separate"/>
    </w:r>
    <w:r w:rsidR="009B7A76">
      <w:rPr>
        <w:rFonts w:ascii="Times New Roman" w:hAnsi="Times New Roman" w:cs="Times New Roman"/>
        <w:noProof/>
        <w:szCs w:val="22"/>
      </w:rPr>
      <w:t>53</w:t>
    </w:r>
    <w:r w:rsidRPr="00C55223">
      <w:rPr>
        <w:rFonts w:ascii="Times New Roman" w:hAnsi="Times New Roman" w:cs="Times New Roman"/>
        <w:szCs w:val="22"/>
      </w:rPr>
      <w:fldChar w:fldCharType="end"/>
    </w:r>
  </w:p>
  <w:p w:rsidR="003F6D0B">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755" w:rsidP="007304A5">
      <w:pPr>
        <w:bidi w:val="0"/>
        <w:spacing w:after="0" w:line="240" w:lineRule="auto"/>
      </w:pPr>
      <w:r>
        <w:separator/>
      </w:r>
    </w:p>
  </w:footnote>
  <w:footnote w:type="continuationSeparator" w:id="1">
    <w:p w:rsidR="00A70755" w:rsidP="007304A5">
      <w:pPr>
        <w:bidi w:val="0"/>
        <w:spacing w:after="0" w:line="240" w:lineRule="auto"/>
      </w:pPr>
      <w:r>
        <w:continuationSeparator/>
      </w:r>
    </w:p>
  </w:footnote>
  <w:footnote w:id="2">
    <w:p w:rsidP="00AC70A4">
      <w:pPr>
        <w:pStyle w:val="FootnoteText"/>
        <w:bidi w:val="0"/>
      </w:pPr>
      <w:r w:rsidRPr="00ED04B0" w:rsidR="003F6D0B">
        <w:rPr>
          <w:rStyle w:val="FootnoteReference"/>
          <w:rFonts w:ascii="Times New Roman" w:hAnsi="Times New Roman"/>
          <w:sz w:val="18"/>
          <w:szCs w:val="18"/>
        </w:rPr>
        <w:footnoteRef/>
      </w:r>
      <w:r w:rsidRPr="00ED04B0" w:rsidR="003F6D0B">
        <w:rPr>
          <w:rFonts w:ascii="Times New Roman" w:hAnsi="Times New Roman" w:cs="Times New Roman"/>
          <w:sz w:val="18"/>
          <w:szCs w:val="18"/>
        </w:rPr>
        <w:t xml:space="preserve"> Výnimkou sú hlavné príjmové a výdavkové položky v bilancii rozpočtu verejnej správy, ktoré sú v metodike ESA </w:t>
      </w:r>
      <w:r w:rsidR="003F6D0B">
        <w:rPr>
          <w:rFonts w:ascii="Times New Roman" w:hAnsi="Times New Roman" w:cs="Times New Roman"/>
          <w:sz w:val="18"/>
          <w:szCs w:val="18"/>
        </w:rPr>
        <w:t>2010</w:t>
      </w:r>
      <w:r w:rsidRPr="00ED04B0" w:rsidR="003F6D0B">
        <w:rPr>
          <w:rFonts w:ascii="Times New Roman" w:hAnsi="Times New Roman" w:cs="Times New Roman"/>
          <w:sz w:val="18"/>
          <w:szCs w:val="18"/>
        </w:rPr>
        <w:t>.</w:t>
      </w:r>
    </w:p>
  </w:footnote>
  <w:footnote w:id="3">
    <w:p w:rsidP="007A47DD">
      <w:pPr>
        <w:pStyle w:val="FootnoteText"/>
        <w:bidi w:val="0"/>
      </w:pPr>
      <w:r w:rsidRPr="002A55B0" w:rsidR="003F6D0B">
        <w:rPr>
          <w:rStyle w:val="FootnoteReference"/>
          <w:rFonts w:ascii="Times New Roman" w:hAnsi="Times New Roman"/>
          <w:sz w:val="18"/>
          <w:szCs w:val="18"/>
        </w:rPr>
        <w:footnoteRef/>
      </w:r>
      <w:r w:rsidRPr="002A55B0" w:rsidR="003F6D0B">
        <w:rPr>
          <w:rFonts w:ascii="Times New Roman" w:hAnsi="Times New Roman" w:cs="Times New Roman"/>
          <w:sz w:val="18"/>
          <w:szCs w:val="18"/>
        </w:rPr>
        <w:t xml:space="preserve"> Jednorazové vplyvy (aktualizácia jún 2015), http://www.mfsr.sk/Default.aspx?CatID=9595</w:t>
      </w:r>
    </w:p>
  </w:footnote>
  <w:footnote w:id="4">
    <w:p w:rsidP="00C25021">
      <w:pPr>
        <w:pStyle w:val="FootnoteText"/>
        <w:bidi w:val="0"/>
        <w:jc w:val="both"/>
      </w:pPr>
      <w:r w:rsidRPr="006D62AC" w:rsidR="003F6D0B">
        <w:rPr>
          <w:rStyle w:val="FootnoteReference"/>
          <w:rFonts w:ascii="Times New Roman" w:hAnsi="Times New Roman"/>
          <w:sz w:val="18"/>
          <w:szCs w:val="18"/>
        </w:rPr>
        <w:footnoteRef/>
      </w:r>
      <w:r w:rsidRPr="006D62AC" w:rsidR="003F6D0B">
        <w:rPr>
          <w:rFonts w:ascii="Times New Roman" w:hAnsi="Times New Roman" w:cs="Times New Roman"/>
          <w:sz w:val="18"/>
          <w:szCs w:val="18"/>
        </w:rPr>
        <w:t xml:space="preserve"> Ide najmä o pravidlá Paktu stability a rastu, ktoré stanovujú hranicu deficitu verejnej správy 3 % HDP a dlhu verejnej správy 60 % HDP (bližšie o európskych fiškálnych pravidlách pozri slovník základných pojmov).</w:t>
      </w:r>
    </w:p>
  </w:footnote>
  <w:footnote w:id="5">
    <w:p w:rsidP="008117A9">
      <w:pPr>
        <w:pStyle w:val="FootnoteText"/>
        <w:bidi w:val="0"/>
        <w:jc w:val="both"/>
      </w:pPr>
      <w:r w:rsidRPr="0060103E" w:rsidR="003F6D0B">
        <w:rPr>
          <w:rStyle w:val="FootnoteReference"/>
          <w:rFonts w:ascii="Times New Roman" w:hAnsi="Times New Roman"/>
          <w:sz w:val="18"/>
          <w:szCs w:val="18"/>
        </w:rPr>
        <w:footnoteRef/>
      </w:r>
      <w:r w:rsidRPr="0060103E" w:rsidR="003F6D0B">
        <w:rPr>
          <w:rFonts w:ascii="Times New Roman" w:hAnsi="Times New Roman" w:cs="Times New Roman"/>
          <w:sz w:val="18"/>
          <w:szCs w:val="18"/>
        </w:rPr>
        <w:t xml:space="preserve"> Medziročné porovnanie vychádza z upraveného </w:t>
      </w:r>
      <w:r w:rsidR="003F6D0B">
        <w:rPr>
          <w:rFonts w:ascii="Times New Roman" w:hAnsi="Times New Roman" w:cs="Times New Roman"/>
          <w:sz w:val="18"/>
          <w:szCs w:val="18"/>
        </w:rPr>
        <w:t>údaja</w:t>
      </w:r>
      <w:r w:rsidRPr="0060103E" w:rsidR="003F6D0B">
        <w:rPr>
          <w:rFonts w:ascii="Times New Roman" w:hAnsi="Times New Roman" w:cs="Times New Roman"/>
          <w:sz w:val="18"/>
          <w:szCs w:val="18"/>
        </w:rPr>
        <w:t xml:space="preserve"> o vlastnom imaní podnikov za r</w:t>
      </w:r>
      <w:r w:rsidR="003F6D0B">
        <w:rPr>
          <w:rFonts w:ascii="Times New Roman" w:hAnsi="Times New Roman" w:cs="Times New Roman"/>
          <w:sz w:val="18"/>
          <w:szCs w:val="18"/>
        </w:rPr>
        <w:t>ok 2014. Aktuálny údaj je 16 258 051</w:t>
      </w:r>
      <w:r w:rsidRPr="0060103E" w:rsidR="003F6D0B">
        <w:rPr>
          <w:rFonts w:ascii="Times New Roman" w:hAnsi="Times New Roman" w:cs="Times New Roman"/>
          <w:sz w:val="18"/>
          <w:szCs w:val="18"/>
        </w:rPr>
        <w:t xml:space="preserve"> tis. eur, v minuloročnej správe bola uvedená hodnota 16 818 505 tis. eur. </w:t>
      </w:r>
      <w:r w:rsidR="003F6D0B">
        <w:rPr>
          <w:rFonts w:ascii="Times New Roman" w:hAnsi="Times New Roman" w:cs="Times New Roman"/>
          <w:sz w:val="18"/>
          <w:szCs w:val="18"/>
        </w:rPr>
        <w:t>Pokles</w:t>
      </w:r>
      <w:r w:rsidRPr="0060103E" w:rsidR="003F6D0B">
        <w:rPr>
          <w:rFonts w:ascii="Times New Roman" w:hAnsi="Times New Roman" w:cs="Times New Roman"/>
          <w:sz w:val="18"/>
          <w:szCs w:val="18"/>
        </w:rPr>
        <w:t xml:space="preserve"> je</w:t>
      </w:r>
      <w:r w:rsidR="003F6D0B">
        <w:rPr>
          <w:rFonts w:ascii="Times New Roman" w:hAnsi="Times New Roman" w:cs="Times New Roman"/>
          <w:sz w:val="18"/>
          <w:szCs w:val="18"/>
        </w:rPr>
        <w:t xml:space="preserve"> spôsobený najmä dvomi podnikmi, ktoré</w:t>
      </w:r>
      <w:r w:rsidRPr="0060103E" w:rsidR="003F6D0B">
        <w:rPr>
          <w:rFonts w:ascii="Times New Roman" w:hAnsi="Times New Roman" w:cs="Times New Roman"/>
          <w:sz w:val="18"/>
          <w:szCs w:val="18"/>
        </w:rPr>
        <w:t xml:space="preserve"> vo svojich účtovných závierkach za rok 2015 uviedli opravy údajov za predchádzajúce účtovné obdobia a predajom podielu štátu v spoločnosti </w:t>
      </w:r>
      <w:r w:rsidR="003F6D0B">
        <w:rPr>
          <w:rFonts w:ascii="Times New Roman" w:hAnsi="Times New Roman" w:cs="Times New Roman"/>
          <w:sz w:val="18"/>
          <w:szCs w:val="18"/>
        </w:rPr>
        <w:t>Slovak Telek</w:t>
      </w:r>
      <w:r w:rsidRPr="0060103E" w:rsidR="003F6D0B">
        <w:rPr>
          <w:rFonts w:ascii="Times New Roman" w:hAnsi="Times New Roman" w:cs="Times New Roman"/>
          <w:sz w:val="18"/>
          <w:szCs w:val="18"/>
        </w:rPr>
        <w:t>om, a.s. súkromnému investorovi v priebehu roka 2015 (viď poznámky v prílohe č.1).</w:t>
      </w:r>
    </w:p>
  </w:footnote>
  <w:footnote w:id="6">
    <w:p w:rsidP="008117A9">
      <w:pPr>
        <w:pStyle w:val="FootnoteText"/>
        <w:bidi w:val="0"/>
      </w:pPr>
      <w:r w:rsidRPr="0059089C" w:rsidR="003F6D0B">
        <w:rPr>
          <w:rStyle w:val="FootnoteReference"/>
          <w:rFonts w:ascii="Times New Roman" w:hAnsi="Times New Roman"/>
          <w:sz w:val="18"/>
          <w:szCs w:val="18"/>
        </w:rPr>
        <w:footnoteRef/>
      </w:r>
      <w:r w:rsidRPr="0059089C" w:rsidR="003F6D0B">
        <w:rPr>
          <w:rFonts w:ascii="Times New Roman" w:hAnsi="Times New Roman" w:cs="Times New Roman"/>
          <w:sz w:val="18"/>
          <w:szCs w:val="18"/>
        </w:rPr>
        <w:t xml:space="preserve"> JE EBO V2 </w:t>
      </w:r>
      <w:r w:rsidR="003F6D0B">
        <w:rPr>
          <w:rFonts w:ascii="Times New Roman" w:hAnsi="Times New Roman" w:cs="Times New Roman"/>
          <w:sz w:val="18"/>
          <w:szCs w:val="18"/>
        </w:rPr>
        <w:t>označuje elektráreň v Jaslovských Bohuniciach a</w:t>
      </w:r>
      <w:r w:rsidRPr="0059089C" w:rsidR="003F6D0B">
        <w:rPr>
          <w:rFonts w:ascii="Times New Roman" w:hAnsi="Times New Roman" w:cs="Times New Roman"/>
          <w:sz w:val="18"/>
          <w:szCs w:val="18"/>
        </w:rPr>
        <w:t xml:space="preserve"> EMO 1&amp;2</w:t>
      </w:r>
      <w:r w:rsidR="003F6D0B">
        <w:rPr>
          <w:rFonts w:ascii="Times New Roman" w:hAnsi="Times New Roman" w:cs="Times New Roman"/>
          <w:sz w:val="18"/>
          <w:szCs w:val="18"/>
        </w:rPr>
        <w:t xml:space="preserve"> označuje prvý a druhý blok jadrovej elektrárne Mochovce.</w:t>
      </w:r>
    </w:p>
  </w:footnote>
  <w:footnote w:id="7">
    <w:p w:rsidP="008117A9">
      <w:pPr>
        <w:pStyle w:val="FootnoteText"/>
        <w:bidi w:val="0"/>
      </w:pPr>
      <w:r w:rsidRPr="000C2249" w:rsidR="003F6D0B">
        <w:rPr>
          <w:rStyle w:val="FootnoteReference"/>
          <w:rFonts w:ascii="Times New Roman" w:hAnsi="Times New Roman"/>
        </w:rPr>
        <w:footnoteRef/>
      </w:r>
      <w:r w:rsidRPr="000C2249" w:rsidR="003F6D0B">
        <w:rPr>
          <w:rFonts w:ascii="Times New Roman" w:hAnsi="Times New Roman" w:cs="Times New Roman"/>
        </w:rPr>
        <w:t xml:space="preserve"> </w:t>
      </w:r>
      <w:r w:rsidRPr="000C2249" w:rsidR="003F6D0B">
        <w:rPr>
          <w:rFonts w:ascii="Times New Roman" w:hAnsi="Times New Roman" w:cs="Times New Roman"/>
          <w:szCs w:val="24"/>
        </w:rPr>
        <w:t>Kompenzácie sa poskytujú na základe Uznesenia vlády SR č. 390/2013 prijatého 10. júla 2013 s účinnosťou do 31. 12. 2016.</w:t>
      </w:r>
    </w:p>
  </w:footnote>
  <w:footnote w:id="8">
    <w:p w:rsidP="008117A9">
      <w:pPr>
        <w:pStyle w:val="FootnoteText"/>
        <w:bidi w:val="0"/>
        <w:jc w:val="both"/>
      </w:pPr>
      <w:r w:rsidRPr="00C841B2" w:rsidR="003F6D0B">
        <w:rPr>
          <w:rStyle w:val="FootnoteReference"/>
          <w:rFonts w:ascii="Times New Roman" w:hAnsi="Times New Roman"/>
          <w:sz w:val="18"/>
          <w:szCs w:val="18"/>
        </w:rPr>
        <w:footnoteRef/>
      </w:r>
      <w:r w:rsidRPr="00C841B2" w:rsidR="003F6D0B">
        <w:rPr>
          <w:rFonts w:ascii="Times New Roman" w:hAnsi="Times New Roman" w:cs="Times New Roman"/>
          <w:sz w:val="18"/>
          <w:szCs w:val="18"/>
        </w:rPr>
        <w:t xml:space="preserve"> </w:t>
      </w:r>
      <w:r w:rsidR="003F6D0B">
        <w:rPr>
          <w:rFonts w:ascii="Times New Roman" w:hAnsi="Times New Roman" w:cs="Times New Roman"/>
          <w:sz w:val="18"/>
          <w:szCs w:val="18"/>
        </w:rPr>
        <w:t>EFSF má vplyv na podmienené záväzky i dlh verejnej správy (kapitola</w:t>
      </w:r>
      <w:r w:rsidRPr="00C841B2" w:rsidR="003F6D0B">
        <w:rPr>
          <w:rFonts w:ascii="Times New Roman" w:hAnsi="Times New Roman" w:cs="Times New Roman"/>
          <w:sz w:val="18"/>
          <w:szCs w:val="18"/>
        </w:rPr>
        <w:t xml:space="preserve"> 1.2.</w:t>
      </w:r>
      <w:r w:rsidR="003F6D0B">
        <w:rPr>
          <w:rFonts w:ascii="Times New Roman" w:hAnsi="Times New Roman" w:cs="Times New Roman"/>
          <w:sz w:val="18"/>
          <w:szCs w:val="18"/>
        </w:rPr>
        <w:t>). Odlišná suma vyplýva z rozdielnej metodiky dlhu a podmienených záväzkov. Do verejného dlhu sa zaratúva podiel Slovenska na skutočnej pôžičke programovým krajinám z EFSF. Do podmienených záväzkov sa započítavajú záruky Slovenska za pôžičky, ktoré EFSF získava na kapitálovom trhu, aby mohol poskytnúť pôžičky programovým krajinám. Navyše, záruky sú kvôli ratingu poskytované na vyššiu sumu, ako si EFSF v skutočnosti na trhu požičiava a požičaná suma na trhu nemusí byť úplne zhodná s tou, ktorú EFSF potrebuje v danom roku na pôžičky pre krajiny.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D0B" w:rsidRPr="00012A0B" w:rsidP="005B2621">
    <w:pPr>
      <w:pStyle w:val="Header"/>
      <w:pBdr>
        <w:bottom w:val="thickThinSmallGap" w:sz="24" w:space="1" w:color="622423"/>
      </w:pBdr>
      <w:tabs>
        <w:tab w:val="clear" w:pos="4536"/>
        <w:tab w:val="clear" w:pos="9072"/>
      </w:tabs>
      <w:bidi w:val="0"/>
      <w:ind w:right="-1"/>
      <w:jc w:val="center"/>
      <w:rPr>
        <w:rFonts w:ascii="Times New Roman" w:hAnsi="Times New Roman"/>
        <w:i/>
        <w:color w:val="C00000"/>
        <w:sz w:val="24"/>
        <w:szCs w:val="24"/>
      </w:rPr>
    </w:pPr>
    <w:r w:rsidRPr="00012A0B">
      <w:rPr>
        <w:rFonts w:ascii="Times New Roman" w:hAnsi="Times New Roman"/>
        <w:i/>
        <w:color w:val="C00000"/>
        <w:sz w:val="24"/>
        <w:szCs w:val="24"/>
      </w:rPr>
      <w:t xml:space="preserve">Súhrnná výročná správa </w:t>
    </w:r>
    <w:r>
      <w:rPr>
        <w:rFonts w:ascii="Times New Roman" w:hAnsi="Times New Roman"/>
        <w:i/>
        <w:color w:val="C00000"/>
        <w:sz w:val="24"/>
        <w:szCs w:val="24"/>
      </w:rPr>
      <w:t>Slovenskej republiky za rok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280685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482EB9"/>
    <w:multiLevelType w:val="multilevel"/>
    <w:tmpl w:val="6E9CC124"/>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8374" w:hanging="360"/>
      </w:pPr>
      <w:rPr>
        <w:rFonts w:cs="Times New Roman" w:hint="default"/>
        <w:rtl w:val="0"/>
        <w:cs w:val="0"/>
      </w:rPr>
    </w:lvl>
    <w:lvl w:ilvl="2">
      <w:start w:val="1"/>
      <w:numFmt w:val="decimal"/>
      <w:lvlText w:val="%1.%2.%3"/>
      <w:lvlJc w:val="left"/>
      <w:pPr>
        <w:ind w:left="16748" w:hanging="720"/>
      </w:pPr>
      <w:rPr>
        <w:rFonts w:cs="Times New Roman" w:hint="default"/>
        <w:rtl w:val="0"/>
        <w:cs w:val="0"/>
      </w:rPr>
    </w:lvl>
    <w:lvl w:ilvl="3">
      <w:start w:val="1"/>
      <w:numFmt w:val="decimal"/>
      <w:lvlText w:val="%1.%2.%3.%4"/>
      <w:lvlJc w:val="left"/>
      <w:pPr>
        <w:ind w:left="24762" w:hanging="720"/>
      </w:pPr>
      <w:rPr>
        <w:rFonts w:cs="Times New Roman" w:hint="default"/>
        <w:rtl w:val="0"/>
        <w:cs w:val="0"/>
      </w:rPr>
    </w:lvl>
    <w:lvl w:ilvl="4">
      <w:start w:val="1"/>
      <w:numFmt w:val="decimal"/>
      <w:lvlText w:val="%1.%2.%3.%4.%5"/>
      <w:lvlJc w:val="left"/>
      <w:pPr>
        <w:ind w:left="-32400" w:hanging="1080"/>
      </w:pPr>
      <w:rPr>
        <w:rFonts w:cs="Times New Roman" w:hint="default"/>
        <w:rtl w:val="0"/>
        <w:cs w:val="0"/>
      </w:rPr>
    </w:lvl>
    <w:lvl w:ilvl="5">
      <w:start w:val="1"/>
      <w:numFmt w:val="decimal"/>
      <w:lvlText w:val="%1.%2.%3.%4.%5.%6"/>
      <w:lvlJc w:val="left"/>
      <w:pPr>
        <w:ind w:left="-24386" w:hanging="1080"/>
      </w:pPr>
      <w:rPr>
        <w:rFonts w:cs="Times New Roman" w:hint="default"/>
        <w:rtl w:val="0"/>
        <w:cs w:val="0"/>
      </w:rPr>
    </w:lvl>
    <w:lvl w:ilvl="6">
      <w:start w:val="1"/>
      <w:numFmt w:val="decimal"/>
      <w:lvlText w:val="%1.%2.%3.%4.%5.%6.%7"/>
      <w:lvlJc w:val="left"/>
      <w:pPr>
        <w:ind w:left="-16012" w:hanging="1440"/>
      </w:pPr>
      <w:rPr>
        <w:rFonts w:cs="Times New Roman" w:hint="default"/>
        <w:rtl w:val="0"/>
        <w:cs w:val="0"/>
      </w:rPr>
    </w:lvl>
    <w:lvl w:ilvl="7">
      <w:start w:val="1"/>
      <w:numFmt w:val="decimal"/>
      <w:lvlText w:val="%1.%2.%3.%4.%5.%6.%7.%8"/>
      <w:lvlJc w:val="left"/>
      <w:pPr>
        <w:ind w:left="-7998" w:hanging="1440"/>
      </w:pPr>
      <w:rPr>
        <w:rFonts w:cs="Times New Roman" w:hint="default"/>
        <w:rtl w:val="0"/>
        <w:cs w:val="0"/>
      </w:rPr>
    </w:lvl>
    <w:lvl w:ilvl="8">
      <w:start w:val="1"/>
      <w:numFmt w:val="decimal"/>
      <w:lvlText w:val="%1.%2.%3.%4.%5.%6.%7.%8.%9"/>
      <w:lvlJc w:val="left"/>
      <w:pPr>
        <w:ind w:left="376" w:hanging="1800"/>
      </w:pPr>
      <w:rPr>
        <w:rFonts w:cs="Times New Roman" w:hint="default"/>
        <w:rtl w:val="0"/>
        <w:cs w:val="0"/>
      </w:rPr>
    </w:lvl>
  </w:abstractNum>
  <w:abstractNum w:abstractNumId="2">
    <w:nsid w:val="045F6B6D"/>
    <w:multiLevelType w:val="multilevel"/>
    <w:tmpl w:val="413E7C1A"/>
    <w:lvl w:ilvl="0">
      <w:start w:val="2"/>
      <w:numFmt w:val="decimal"/>
      <w:lvlText w:val="%1."/>
      <w:lvlJc w:val="left"/>
      <w:pPr>
        <w:ind w:left="9433" w:hanging="360"/>
      </w:pPr>
      <w:rPr>
        <w:rFonts w:cs="Times New Roman" w:hint="default"/>
        <w:rtl w:val="0"/>
        <w:cs w:val="0"/>
      </w:rPr>
    </w:lvl>
    <w:lvl w:ilvl="1">
      <w:start w:val="1"/>
      <w:numFmt w:val="decimal"/>
      <w:isLgl/>
      <w:lvlText w:val="%1.%2."/>
      <w:lvlJc w:val="left"/>
      <w:pPr>
        <w:ind w:left="720" w:hanging="360"/>
      </w:pPr>
      <w:rPr>
        <w:rFonts w:cs="Times New Roman" w:hint="default"/>
        <w:rtl w:val="0"/>
        <w:cs w:val="0"/>
      </w:rPr>
    </w:lvl>
    <w:lvl w:ilvl="2">
      <w:start w:val="1"/>
      <w:numFmt w:val="decimal"/>
      <w:pStyle w:val="Heading3"/>
      <w:isLgl/>
      <w:lvlText w:val="%1.%2.%3."/>
      <w:lvlJc w:val="left"/>
      <w:pPr>
        <w:ind w:left="1288"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3">
    <w:nsid w:val="0BA2049E"/>
    <w:multiLevelType w:val="hybridMultilevel"/>
    <w:tmpl w:val="917E012C"/>
    <w:lvl w:ilvl="0">
      <w:start w:val="12"/>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D39799F"/>
    <w:multiLevelType w:val="hybridMultilevel"/>
    <w:tmpl w:val="1CA06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F625385"/>
    <w:multiLevelType w:val="hybridMultilevel"/>
    <w:tmpl w:val="CF4876B4"/>
    <w:lvl w:ilvl="0">
      <w:start w:val="71"/>
      <w:numFmt w:val="bullet"/>
      <w:lvlText w:val="-"/>
      <w:lvlJc w:val="left"/>
      <w:pPr>
        <w:ind w:left="405" w:hanging="360"/>
      </w:pPr>
      <w:rPr>
        <w:rFonts w:ascii="Arial Narrow" w:hAnsi="Arial Narrow"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4019C2"/>
    <w:multiLevelType w:val="hybridMultilevel"/>
    <w:tmpl w:val="BA1A090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12B2C7D"/>
    <w:multiLevelType w:val="hybridMultilevel"/>
    <w:tmpl w:val="0ABC1DE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212D6907"/>
    <w:multiLevelType w:val="hybridMultilevel"/>
    <w:tmpl w:val="E4B6CE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2437031B"/>
    <w:multiLevelType w:val="multilevel"/>
    <w:tmpl w:val="C03431F8"/>
    <w:lvl w:ilvl="0">
      <w:start w:val="2"/>
      <w:numFmt w:val="decimal"/>
      <w:lvlText w:val="%1"/>
      <w:lvlJc w:val="left"/>
      <w:pPr>
        <w:ind w:left="480" w:hanging="480"/>
      </w:pPr>
      <w:rPr>
        <w:rFonts w:cs="Times New Roman" w:hint="default"/>
        <w:rtl w:val="0"/>
        <w:cs w:val="0"/>
      </w:rPr>
    </w:lvl>
    <w:lvl w:ilvl="1">
      <w:start w:val="1"/>
      <w:numFmt w:val="decimal"/>
      <w:lvlText w:val="%1.%2"/>
      <w:lvlJc w:val="left"/>
      <w:pPr>
        <w:ind w:left="4307" w:hanging="480"/>
      </w:pPr>
      <w:rPr>
        <w:rFonts w:cs="Times New Roman" w:hint="default"/>
        <w:rtl w:val="0"/>
        <w:cs w:val="0"/>
      </w:rPr>
    </w:lvl>
    <w:lvl w:ilvl="2">
      <w:start w:val="1"/>
      <w:numFmt w:val="decimal"/>
      <w:lvlText w:val="%1.%2.%3"/>
      <w:lvlJc w:val="left"/>
      <w:pPr>
        <w:ind w:left="8374" w:hanging="720"/>
      </w:pPr>
      <w:rPr>
        <w:rFonts w:cs="Times New Roman" w:hint="default"/>
        <w:rtl w:val="0"/>
        <w:cs w:val="0"/>
      </w:rPr>
    </w:lvl>
    <w:lvl w:ilvl="3">
      <w:start w:val="1"/>
      <w:numFmt w:val="decimal"/>
      <w:lvlText w:val="%1.%2.%3.%4"/>
      <w:lvlJc w:val="left"/>
      <w:pPr>
        <w:ind w:left="12201" w:hanging="720"/>
      </w:pPr>
      <w:rPr>
        <w:rFonts w:cs="Times New Roman" w:hint="default"/>
        <w:rtl w:val="0"/>
        <w:cs w:val="0"/>
      </w:rPr>
    </w:lvl>
    <w:lvl w:ilvl="4">
      <w:start w:val="1"/>
      <w:numFmt w:val="decimal"/>
      <w:lvlText w:val="%1.%2.%3.%4.%5"/>
      <w:lvlJc w:val="left"/>
      <w:pPr>
        <w:ind w:left="16388" w:hanging="1080"/>
      </w:pPr>
      <w:rPr>
        <w:rFonts w:cs="Times New Roman" w:hint="default"/>
        <w:rtl w:val="0"/>
        <w:cs w:val="0"/>
      </w:rPr>
    </w:lvl>
    <w:lvl w:ilvl="5">
      <w:start w:val="1"/>
      <w:numFmt w:val="decimal"/>
      <w:lvlText w:val="%1.%2.%3.%4.%5.%6"/>
      <w:lvlJc w:val="left"/>
      <w:pPr>
        <w:ind w:left="20215" w:hanging="1080"/>
      </w:pPr>
      <w:rPr>
        <w:rFonts w:cs="Times New Roman" w:hint="default"/>
        <w:rtl w:val="0"/>
        <w:cs w:val="0"/>
      </w:rPr>
    </w:lvl>
    <w:lvl w:ilvl="6">
      <w:start w:val="1"/>
      <w:numFmt w:val="decimal"/>
      <w:lvlText w:val="%1.%2.%3.%4.%5.%6.%7"/>
      <w:lvlJc w:val="left"/>
      <w:pPr>
        <w:ind w:left="24402" w:hanging="1440"/>
      </w:pPr>
      <w:rPr>
        <w:rFonts w:cs="Times New Roman" w:hint="default"/>
        <w:rtl w:val="0"/>
        <w:cs w:val="0"/>
      </w:rPr>
    </w:lvl>
    <w:lvl w:ilvl="7">
      <w:start w:val="1"/>
      <w:numFmt w:val="decimal"/>
      <w:lvlText w:val="%1.%2.%3.%4.%5.%6.%7.%8"/>
      <w:lvlJc w:val="left"/>
      <w:pPr>
        <w:ind w:left="28229" w:hanging="1440"/>
      </w:pPr>
      <w:rPr>
        <w:rFonts w:cs="Times New Roman" w:hint="default"/>
        <w:rtl w:val="0"/>
        <w:cs w:val="0"/>
      </w:rPr>
    </w:lvl>
    <w:lvl w:ilvl="8">
      <w:start w:val="1"/>
      <w:numFmt w:val="decimal"/>
      <w:lvlText w:val="%1.%2.%3.%4.%5.%6.%7.%8.%9"/>
      <w:lvlJc w:val="left"/>
      <w:pPr>
        <w:ind w:hanging="1800"/>
      </w:pPr>
      <w:rPr>
        <w:rFonts w:cs="Times New Roman" w:hint="default"/>
        <w:rtl w:val="0"/>
        <w:cs w:val="0"/>
      </w:rPr>
    </w:lvl>
  </w:abstractNum>
  <w:abstractNum w:abstractNumId="10">
    <w:nsid w:val="25636E65"/>
    <w:multiLevelType w:val="multilevel"/>
    <w:tmpl w:val="EAAC5D24"/>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785" w:hanging="360"/>
      </w:pPr>
      <w:rPr>
        <w:rFonts w:cs="Times New Roman" w:hint="default"/>
        <w:rtl w:val="0"/>
        <w:cs w:val="0"/>
      </w:rPr>
    </w:lvl>
    <w:lvl w:ilvl="2">
      <w:start w:val="1"/>
      <w:numFmt w:val="decimal"/>
      <w:lvlText w:val="%1.%2.%3"/>
      <w:lvlJc w:val="left"/>
      <w:pPr>
        <w:ind w:left="1570" w:hanging="720"/>
      </w:pPr>
      <w:rPr>
        <w:rFonts w:cs="Times New Roman" w:hint="default"/>
        <w:rtl w:val="0"/>
        <w:cs w:val="0"/>
      </w:rPr>
    </w:lvl>
    <w:lvl w:ilvl="3">
      <w:start w:val="1"/>
      <w:numFmt w:val="decimal"/>
      <w:lvlText w:val="%1.%2.%3.%4"/>
      <w:lvlJc w:val="left"/>
      <w:pPr>
        <w:ind w:left="1995" w:hanging="720"/>
      </w:pPr>
      <w:rPr>
        <w:rFonts w:cs="Times New Roman" w:hint="default"/>
        <w:rtl w:val="0"/>
        <w:cs w:val="0"/>
      </w:rPr>
    </w:lvl>
    <w:lvl w:ilvl="4">
      <w:start w:val="1"/>
      <w:numFmt w:val="decimal"/>
      <w:lvlText w:val="%1.%2.%3.%4.%5"/>
      <w:lvlJc w:val="left"/>
      <w:pPr>
        <w:ind w:left="2780" w:hanging="1080"/>
      </w:pPr>
      <w:rPr>
        <w:rFonts w:cs="Times New Roman" w:hint="default"/>
        <w:rtl w:val="0"/>
        <w:cs w:val="0"/>
      </w:rPr>
    </w:lvl>
    <w:lvl w:ilvl="5">
      <w:start w:val="1"/>
      <w:numFmt w:val="decimal"/>
      <w:lvlText w:val="%1.%2.%3.%4.%5.%6"/>
      <w:lvlJc w:val="left"/>
      <w:pPr>
        <w:ind w:left="3205" w:hanging="1080"/>
      </w:pPr>
      <w:rPr>
        <w:rFonts w:cs="Times New Roman" w:hint="default"/>
        <w:rtl w:val="0"/>
        <w:cs w:val="0"/>
      </w:rPr>
    </w:lvl>
    <w:lvl w:ilvl="6">
      <w:start w:val="1"/>
      <w:numFmt w:val="decimal"/>
      <w:lvlText w:val="%1.%2.%3.%4.%5.%6.%7"/>
      <w:lvlJc w:val="left"/>
      <w:pPr>
        <w:ind w:left="3990" w:hanging="1440"/>
      </w:pPr>
      <w:rPr>
        <w:rFonts w:cs="Times New Roman" w:hint="default"/>
        <w:rtl w:val="0"/>
        <w:cs w:val="0"/>
      </w:rPr>
    </w:lvl>
    <w:lvl w:ilvl="7">
      <w:start w:val="1"/>
      <w:numFmt w:val="decimal"/>
      <w:lvlText w:val="%1.%2.%3.%4.%5.%6.%7.%8"/>
      <w:lvlJc w:val="left"/>
      <w:pPr>
        <w:ind w:left="4415" w:hanging="1440"/>
      </w:pPr>
      <w:rPr>
        <w:rFonts w:cs="Times New Roman" w:hint="default"/>
        <w:rtl w:val="0"/>
        <w:cs w:val="0"/>
      </w:rPr>
    </w:lvl>
    <w:lvl w:ilvl="8">
      <w:start w:val="1"/>
      <w:numFmt w:val="decimal"/>
      <w:lvlText w:val="%1.%2.%3.%4.%5.%6.%7.%8.%9"/>
      <w:lvlJc w:val="left"/>
      <w:pPr>
        <w:ind w:left="5200" w:hanging="1800"/>
      </w:pPr>
      <w:rPr>
        <w:rFonts w:cs="Times New Roman" w:hint="default"/>
        <w:rtl w:val="0"/>
        <w:cs w:val="0"/>
      </w:rPr>
    </w:lvl>
  </w:abstractNum>
  <w:abstractNum w:abstractNumId="11">
    <w:nsid w:val="264F716B"/>
    <w:multiLevelType w:val="hybridMultilevel"/>
    <w:tmpl w:val="E38854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6C472DB"/>
    <w:multiLevelType w:val="hybridMultilevel"/>
    <w:tmpl w:val="A13263B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27DA06EB"/>
    <w:multiLevelType w:val="hybridMultilevel"/>
    <w:tmpl w:val="301C06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8364C39"/>
    <w:multiLevelType w:val="hybridMultilevel"/>
    <w:tmpl w:val="9822EB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A78098D"/>
    <w:multiLevelType w:val="hybridMultilevel"/>
    <w:tmpl w:val="D59E86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2DE361A"/>
    <w:multiLevelType w:val="hybridMultilevel"/>
    <w:tmpl w:val="6FF44FA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nsid w:val="36094302"/>
    <w:multiLevelType w:val="hybridMultilevel"/>
    <w:tmpl w:val="E53A7FB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38862AC1"/>
    <w:multiLevelType w:val="hybridMultilevel"/>
    <w:tmpl w:val="869800D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AB567E1"/>
    <w:multiLevelType w:val="hybridMultilevel"/>
    <w:tmpl w:val="4370832E"/>
    <w:lvl w:ilvl="0">
      <w:start w:val="1"/>
      <w:numFmt w:val="lowerLetter"/>
      <w:pStyle w:val="abc"/>
      <w:lvlText w:val="%1)"/>
      <w:lvlJc w:val="left"/>
      <w:pPr>
        <w:tabs>
          <w:tab w:val="num" w:pos="465"/>
        </w:tabs>
        <w:ind w:left="465" w:hanging="465"/>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BD77980"/>
    <w:multiLevelType w:val="hybridMultilevel"/>
    <w:tmpl w:val="221E39A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3C595A28"/>
    <w:multiLevelType w:val="hybridMultilevel"/>
    <w:tmpl w:val="F0DCB748"/>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22">
    <w:nsid w:val="44CC1B4E"/>
    <w:multiLevelType w:val="hybridMultilevel"/>
    <w:tmpl w:val="01CE938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E7C3ED8"/>
    <w:multiLevelType w:val="hybridMultilevel"/>
    <w:tmpl w:val="643002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531F2658"/>
    <w:multiLevelType w:val="hybridMultilevel"/>
    <w:tmpl w:val="6C00DCD2"/>
    <w:lvl w:ilvl="0">
      <w:start w:val="0"/>
      <w:numFmt w:val="bullet"/>
      <w:lvlText w:val="-"/>
      <w:lvlJc w:val="left"/>
      <w:pPr>
        <w:ind w:left="360" w:hanging="360"/>
      </w:pPr>
      <w:rPr>
        <w:rFonts w:ascii="Times New Roman" w:hAnsi="Times New Roman" w:eastAsiaTheme="minorHAns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582260DD"/>
    <w:multiLevelType w:val="multilevel"/>
    <w:tmpl w:val="9416B54A"/>
    <w:lvl w:ilvl="0">
      <w:start w:val="3"/>
      <w:numFmt w:val="decimal"/>
      <w:lvlText w:val="%1"/>
      <w:lvlJc w:val="left"/>
      <w:pPr>
        <w:ind w:left="480" w:hanging="480"/>
      </w:pPr>
      <w:rPr>
        <w:rFonts w:cs="Times New Roman" w:hint="default"/>
        <w:rtl w:val="0"/>
        <w:cs w:val="0"/>
      </w:rPr>
    </w:lvl>
    <w:lvl w:ilvl="1">
      <w:start w:val="2"/>
      <w:numFmt w:val="decimal"/>
      <w:lvlText w:val="%1.%2"/>
      <w:lvlJc w:val="left"/>
      <w:pPr>
        <w:ind w:left="1020" w:hanging="480"/>
      </w:pPr>
      <w:rPr>
        <w:rFonts w:cs="Times New Roman" w:hint="default"/>
        <w:rtl w:val="0"/>
        <w:cs w:val="0"/>
      </w:rPr>
    </w:lvl>
    <w:lvl w:ilvl="2">
      <w:start w:val="2"/>
      <w:numFmt w:val="decimal"/>
      <w:lvlText w:val="%1.%2.%3"/>
      <w:lvlJc w:val="left"/>
      <w:pPr>
        <w:ind w:left="1800" w:hanging="720"/>
      </w:pPr>
      <w:rPr>
        <w:rFonts w:cs="Times New Roman" w:hint="default"/>
        <w:rtl w:val="0"/>
        <w:cs w:val="0"/>
      </w:rPr>
    </w:lvl>
    <w:lvl w:ilvl="3">
      <w:start w:val="1"/>
      <w:numFmt w:val="decimal"/>
      <w:lvlText w:val="%1.%2.%3.%4"/>
      <w:lvlJc w:val="left"/>
      <w:pPr>
        <w:ind w:left="2340" w:hanging="720"/>
      </w:pPr>
      <w:rPr>
        <w:rFonts w:cs="Times New Roman" w:hint="default"/>
        <w:rtl w:val="0"/>
        <w:cs w:val="0"/>
      </w:rPr>
    </w:lvl>
    <w:lvl w:ilvl="4">
      <w:start w:val="1"/>
      <w:numFmt w:val="decimal"/>
      <w:lvlText w:val="%1.%2.%3.%4.%5"/>
      <w:lvlJc w:val="left"/>
      <w:pPr>
        <w:ind w:left="3240" w:hanging="1080"/>
      </w:pPr>
      <w:rPr>
        <w:rFonts w:cs="Times New Roman" w:hint="default"/>
        <w:rtl w:val="0"/>
        <w:cs w:val="0"/>
      </w:rPr>
    </w:lvl>
    <w:lvl w:ilvl="5">
      <w:start w:val="1"/>
      <w:numFmt w:val="decimal"/>
      <w:lvlText w:val="%1.%2.%3.%4.%5.%6"/>
      <w:lvlJc w:val="left"/>
      <w:pPr>
        <w:ind w:left="3780" w:hanging="1080"/>
      </w:pPr>
      <w:rPr>
        <w:rFonts w:cs="Times New Roman" w:hint="default"/>
        <w:rtl w:val="0"/>
        <w:cs w:val="0"/>
      </w:rPr>
    </w:lvl>
    <w:lvl w:ilvl="6">
      <w:start w:val="1"/>
      <w:numFmt w:val="decimal"/>
      <w:lvlText w:val="%1.%2.%3.%4.%5.%6.%7"/>
      <w:lvlJc w:val="left"/>
      <w:pPr>
        <w:ind w:left="4680" w:hanging="1440"/>
      </w:pPr>
      <w:rPr>
        <w:rFonts w:cs="Times New Roman" w:hint="default"/>
        <w:rtl w:val="0"/>
        <w:cs w:val="0"/>
      </w:rPr>
    </w:lvl>
    <w:lvl w:ilvl="7">
      <w:start w:val="1"/>
      <w:numFmt w:val="decimal"/>
      <w:lvlText w:val="%1.%2.%3.%4.%5.%6.%7.%8"/>
      <w:lvlJc w:val="left"/>
      <w:pPr>
        <w:ind w:left="5220" w:hanging="1440"/>
      </w:pPr>
      <w:rPr>
        <w:rFonts w:cs="Times New Roman" w:hint="default"/>
        <w:rtl w:val="0"/>
        <w:cs w:val="0"/>
      </w:rPr>
    </w:lvl>
    <w:lvl w:ilvl="8">
      <w:start w:val="1"/>
      <w:numFmt w:val="decimal"/>
      <w:lvlText w:val="%1.%2.%3.%4.%5.%6.%7.%8.%9"/>
      <w:lvlJc w:val="left"/>
      <w:pPr>
        <w:ind w:left="5760" w:hanging="1440"/>
      </w:pPr>
      <w:rPr>
        <w:rFonts w:cs="Times New Roman" w:hint="default"/>
        <w:rtl w:val="0"/>
        <w:cs w:val="0"/>
      </w:rPr>
    </w:lvl>
  </w:abstractNum>
  <w:abstractNum w:abstractNumId="26">
    <w:nsid w:val="5DB10A96"/>
    <w:multiLevelType w:val="hybridMultilevel"/>
    <w:tmpl w:val="C012FF24"/>
    <w:lvl w:ilvl="0">
      <w:start w:val="1"/>
      <w:numFmt w:val="bullet"/>
      <w:lvlText w:val=""/>
      <w:lvlJc w:val="left"/>
      <w:pPr>
        <w:ind w:left="72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F1161A3"/>
    <w:multiLevelType w:val="multilevel"/>
    <w:tmpl w:val="4A981EF6"/>
    <w:lvl w:ilvl="0">
      <w:start w:val="1"/>
      <w:numFmt w:val="decimal"/>
      <w:pStyle w:val="Heading1"/>
      <w:lvlText w:val="%1."/>
      <w:lvlJc w:val="left"/>
      <w:pPr>
        <w:ind w:left="1495" w:hanging="360"/>
      </w:pPr>
      <w:rPr>
        <w:rFonts w:cstheme="majorBidi" w:hint="default"/>
        <w:rtl w:val="0"/>
        <w:cs w:val="0"/>
      </w:rPr>
    </w:lvl>
    <w:lvl w:ilvl="1">
      <w:start w:val="1"/>
      <w:numFmt w:val="decimal"/>
      <w:pStyle w:val="Heading2"/>
      <w:isLgl/>
      <w:lvlText w:val="%1.%2."/>
      <w:lvlJc w:val="left"/>
      <w:pPr>
        <w:ind w:left="8014" w:hanging="360"/>
      </w:pPr>
      <w:rPr>
        <w:rFonts w:ascii="Times New Roman" w:hAnsi="Times New Roman" w:cs="Times New Roman"/>
        <w:b w:val="0"/>
        <w:bCs w:val="0"/>
        <w:i w:val="0"/>
        <w:iCs w:val="0"/>
        <w:caps w:val="0"/>
        <w:smallCaps w:val="0"/>
        <w:strike w:val="0"/>
        <w:dstrike w:val="0"/>
        <w:outline w:val="0"/>
        <w:shadow w:val="0"/>
        <w:emboss w:val="0"/>
        <w:imprint w:val="0"/>
        <w:noProof/>
        <w:vanish w:val="0"/>
        <w:color w:val="000000"/>
        <w:spacing w:val="0"/>
        <w:w w:val="0"/>
        <w:kern w:val="0"/>
        <w:position w:val="0"/>
        <w:sz w:val="2"/>
        <w:szCs w:val="36"/>
        <w:u w:val="none" w:color="000000"/>
        <w:effect w:val="none"/>
        <w:vertAlign w:val="baseline"/>
        <w:rtl w:val="0"/>
        <w:cs w:val="0"/>
        <w:lang w:val="x-none" w:eastAsia="x-none"/>
      </w:rPr>
    </w:lvl>
    <w:lvl w:ilvl="2">
      <w:start w:val="1"/>
      <w:numFmt w:val="decimal"/>
      <w:isLgl/>
      <w:lvlText w:val="%1.%2.%3."/>
      <w:lvlJc w:val="left"/>
      <w:pPr>
        <w:ind w:left="1855" w:hanging="720"/>
      </w:pPr>
      <w:rPr>
        <w:rFonts w:cs="Times New Roman" w:hint="default"/>
        <w:rtl w:val="0"/>
        <w:cs w:val="0"/>
      </w:rPr>
    </w:lvl>
    <w:lvl w:ilvl="3">
      <w:start w:val="1"/>
      <w:numFmt w:val="decimal"/>
      <w:isLgl/>
      <w:lvlText w:val="%1.%2.%3.%4."/>
      <w:lvlJc w:val="left"/>
      <w:pPr>
        <w:ind w:left="1855" w:hanging="720"/>
      </w:pPr>
      <w:rPr>
        <w:rFonts w:cs="Times New Roman" w:hint="default"/>
        <w:rtl w:val="0"/>
        <w:cs w:val="0"/>
      </w:rPr>
    </w:lvl>
    <w:lvl w:ilvl="4">
      <w:start w:val="1"/>
      <w:numFmt w:val="decimal"/>
      <w:isLgl/>
      <w:lvlText w:val="%1.%2.%3.%4.%5."/>
      <w:lvlJc w:val="left"/>
      <w:pPr>
        <w:ind w:left="2215" w:hanging="1080"/>
      </w:pPr>
      <w:rPr>
        <w:rFonts w:cs="Times New Roman" w:hint="default"/>
        <w:rtl w:val="0"/>
        <w:cs w:val="0"/>
      </w:rPr>
    </w:lvl>
    <w:lvl w:ilvl="5">
      <w:start w:val="1"/>
      <w:numFmt w:val="decimal"/>
      <w:isLgl/>
      <w:lvlText w:val="%1.%2.%3.%4.%5.%6."/>
      <w:lvlJc w:val="left"/>
      <w:pPr>
        <w:ind w:left="2215" w:hanging="1080"/>
      </w:pPr>
      <w:rPr>
        <w:rFonts w:cs="Times New Roman" w:hint="default"/>
        <w:rtl w:val="0"/>
        <w:cs w:val="0"/>
      </w:rPr>
    </w:lvl>
    <w:lvl w:ilvl="6">
      <w:start w:val="1"/>
      <w:numFmt w:val="decimal"/>
      <w:isLgl/>
      <w:lvlText w:val="%1.%2.%3.%4.%5.%6.%7."/>
      <w:lvlJc w:val="left"/>
      <w:pPr>
        <w:ind w:left="2575" w:hanging="1440"/>
      </w:pPr>
      <w:rPr>
        <w:rFonts w:cs="Times New Roman" w:hint="default"/>
        <w:rtl w:val="0"/>
        <w:cs w:val="0"/>
      </w:rPr>
    </w:lvl>
    <w:lvl w:ilvl="7">
      <w:start w:val="1"/>
      <w:numFmt w:val="decimal"/>
      <w:isLgl/>
      <w:lvlText w:val="%1.%2.%3.%4.%5.%6.%7.%8."/>
      <w:lvlJc w:val="left"/>
      <w:pPr>
        <w:ind w:left="2575" w:hanging="1440"/>
      </w:pPr>
      <w:rPr>
        <w:rFonts w:cs="Times New Roman" w:hint="default"/>
        <w:rtl w:val="0"/>
        <w:cs w:val="0"/>
      </w:rPr>
    </w:lvl>
    <w:lvl w:ilvl="8">
      <w:start w:val="1"/>
      <w:numFmt w:val="decimal"/>
      <w:isLgl/>
      <w:lvlText w:val="%1.%2.%3.%4.%5.%6.%7.%8.%9."/>
      <w:lvlJc w:val="left"/>
      <w:pPr>
        <w:ind w:left="2935" w:hanging="1800"/>
      </w:pPr>
      <w:rPr>
        <w:rFonts w:cs="Times New Roman" w:hint="default"/>
        <w:rtl w:val="0"/>
        <w:cs w:val="0"/>
      </w:rPr>
    </w:lvl>
  </w:abstractNum>
  <w:abstractNum w:abstractNumId="28">
    <w:nsid w:val="5F85346E"/>
    <w:multiLevelType w:val="hybridMultilevel"/>
    <w:tmpl w:val="24BEE03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44C089E"/>
    <w:multiLevelType w:val="multilevel"/>
    <w:tmpl w:val="8C52CC18"/>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30">
    <w:nsid w:val="663A1450"/>
    <w:multiLevelType w:val="hybridMultilevel"/>
    <w:tmpl w:val="E8B406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642409D"/>
    <w:multiLevelType w:val="hybridMultilevel"/>
    <w:tmpl w:val="0018F6C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nsid w:val="6AFD4B50"/>
    <w:multiLevelType w:val="hybridMultilevel"/>
    <w:tmpl w:val="91BE8B44"/>
    <w:lvl w:ilvl="0">
      <w:start w:val="0"/>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4510EFA"/>
    <w:multiLevelType w:val="hybridMultilevel"/>
    <w:tmpl w:val="680640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8257C33"/>
    <w:multiLevelType w:val="hybridMultilevel"/>
    <w:tmpl w:val="16A285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A544B48"/>
    <w:multiLevelType w:val="hybridMultilevel"/>
    <w:tmpl w:val="BB6805EE"/>
    <w:lvl w:ilvl="0">
      <w:start w:val="7"/>
      <w:numFmt w:val="bullet"/>
      <w:pStyle w:val="AUODRAKA"/>
      <w:lvlText w:val=""/>
      <w:lvlJc w:val="left"/>
      <w:pPr>
        <w:tabs>
          <w:tab w:val="num" w:pos="284"/>
        </w:tabs>
        <w:ind w:left="284" w:hanging="284"/>
      </w:pPr>
      <w:rPr>
        <w:rFonts w:ascii="Symbol" w:hAnsi="Symbol" w:hint="default"/>
        <w:b/>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7"/>
  </w:num>
  <w:num w:numId="3">
    <w:abstractNumId w:val="2"/>
  </w:num>
  <w:num w:numId="4">
    <w:abstractNumId w:val="12"/>
  </w:num>
  <w:num w:numId="5">
    <w:abstractNumId w:val="19"/>
  </w:num>
  <w:num w:numId="6">
    <w:abstractNumId w:val="35"/>
  </w:num>
  <w:num w:numId="7">
    <w:abstractNumId w:val="0"/>
  </w:num>
  <w:num w:numId="8">
    <w:abstractNumId w:val="30"/>
  </w:num>
  <w:num w:numId="9">
    <w:abstractNumId w:val="8"/>
  </w:num>
  <w:num w:numId="10">
    <w:abstractNumId w:val="6"/>
  </w:num>
  <w:num w:numId="11">
    <w:abstractNumId w:val="23"/>
  </w:num>
  <w:num w:numId="12">
    <w:abstractNumId w:val="16"/>
  </w:num>
  <w:num w:numId="13">
    <w:abstractNumId w:val="7"/>
  </w:num>
  <w:num w:numId="14">
    <w:abstractNumId w:val="2"/>
  </w:num>
  <w:num w:numId="15">
    <w:abstractNumId w:val="31"/>
  </w:num>
  <w:num w:numId="16">
    <w:abstractNumId w:val="2"/>
  </w:num>
  <w:num w:numId="17">
    <w:abstractNumId w:val="2"/>
  </w:num>
  <w:num w:numId="18">
    <w:abstractNumId w:val="20"/>
  </w:num>
  <w:num w:numId="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4"/>
  </w:num>
  <w:num w:numId="22">
    <w:abstractNumId w:val="14"/>
  </w:num>
  <w:num w:numId="23">
    <w:abstractNumId w:val="11"/>
  </w:num>
  <w:num w:numId="24">
    <w:abstractNumId w:val="15"/>
  </w:num>
  <w:num w:numId="25">
    <w:abstractNumId w:val="33"/>
  </w:num>
  <w:num w:numId="26">
    <w:abstractNumId w:val="28"/>
  </w:num>
  <w:num w:numId="27">
    <w:abstractNumId w:val="32"/>
  </w:num>
  <w:num w:numId="28">
    <w:abstractNumId w:val="3"/>
  </w:num>
  <w:num w:numId="29">
    <w:abstractNumId w:val="2"/>
  </w:num>
  <w:num w:numId="30">
    <w:abstractNumId w:val="18"/>
  </w:num>
  <w:num w:numId="31">
    <w:abstractNumId w:val="13"/>
  </w:num>
  <w:num w:numId="32">
    <w:abstractNumId w:val="27"/>
  </w:num>
  <w:num w:numId="33">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7"/>
    <w:lvlOverride w:ilvl="0">
      <w:startOverride w:val="2"/>
    </w:lvlOverride>
    <w:lvlOverride w:ilvl="1">
      <w:startOverride w:val="1"/>
    </w:lvlOverride>
    <w:lvlOverride w:ilvl="2">
      <w:startOverride w:val="2"/>
    </w:lvlOverride>
  </w:num>
  <w:num w:numId="36">
    <w:abstractNumId w:val="27"/>
  </w:num>
  <w:num w:numId="37">
    <w:abstractNumId w:val="27"/>
  </w:num>
  <w:num w:numId="38">
    <w:abstractNumId w:val="27"/>
    <w:lvlOverride w:ilvl="0">
      <w:startOverride w:val="2"/>
    </w:lvlOverride>
    <w:lvlOverride w:ilvl="1">
      <w:startOverride w:val="1"/>
    </w:lvlOverride>
    <w:lvlOverride w:ilvl="2">
      <w:startOverride w:val="2"/>
    </w:lvlOverride>
  </w:num>
  <w:num w:numId="39">
    <w:abstractNumId w:val="26"/>
  </w:num>
  <w:num w:numId="40">
    <w:abstractNumId w:val="2"/>
  </w:num>
  <w:num w:numId="41">
    <w:abstractNumId w:val="24"/>
  </w:num>
  <w:num w:numId="42">
    <w:abstractNumId w:val="17"/>
  </w:num>
  <w:num w:numId="43">
    <w:abstractNumId w:val="4"/>
  </w:num>
  <w:num w:numId="44">
    <w:abstractNumId w:val="22"/>
  </w:num>
  <w:num w:numId="45">
    <w:abstractNumId w:val="25"/>
  </w:num>
  <w:num w:numId="46">
    <w:abstractNumId w:val="10"/>
  </w:num>
  <w:num w:numId="47">
    <w:abstractNumId w:val="1"/>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rsids>
    <w:rsidRoot w:val="0000346C"/>
    <w:rsid w:val="00000538"/>
    <w:rsid w:val="00002BBE"/>
    <w:rsid w:val="0000346C"/>
    <w:rsid w:val="0000435D"/>
    <w:rsid w:val="0000481F"/>
    <w:rsid w:val="0001053C"/>
    <w:rsid w:val="00010E4A"/>
    <w:rsid w:val="0001132C"/>
    <w:rsid w:val="00011F28"/>
    <w:rsid w:val="00012A0B"/>
    <w:rsid w:val="00012EC9"/>
    <w:rsid w:val="00016328"/>
    <w:rsid w:val="00016D79"/>
    <w:rsid w:val="00021651"/>
    <w:rsid w:val="00022328"/>
    <w:rsid w:val="0002242E"/>
    <w:rsid w:val="0002262E"/>
    <w:rsid w:val="00026F0C"/>
    <w:rsid w:val="00032419"/>
    <w:rsid w:val="00033696"/>
    <w:rsid w:val="00033B28"/>
    <w:rsid w:val="00034156"/>
    <w:rsid w:val="000347E8"/>
    <w:rsid w:val="00036E63"/>
    <w:rsid w:val="00041CD3"/>
    <w:rsid w:val="0004421D"/>
    <w:rsid w:val="0004434D"/>
    <w:rsid w:val="0004438B"/>
    <w:rsid w:val="000454D8"/>
    <w:rsid w:val="000511B5"/>
    <w:rsid w:val="00051C9A"/>
    <w:rsid w:val="0005286D"/>
    <w:rsid w:val="00055F5C"/>
    <w:rsid w:val="000565C3"/>
    <w:rsid w:val="00056F00"/>
    <w:rsid w:val="00057CF7"/>
    <w:rsid w:val="000606A7"/>
    <w:rsid w:val="00061DBD"/>
    <w:rsid w:val="00062AF5"/>
    <w:rsid w:val="00062DC2"/>
    <w:rsid w:val="00064921"/>
    <w:rsid w:val="000659CD"/>
    <w:rsid w:val="00070899"/>
    <w:rsid w:val="000722EF"/>
    <w:rsid w:val="000728EB"/>
    <w:rsid w:val="00073EB1"/>
    <w:rsid w:val="00073FFD"/>
    <w:rsid w:val="00076535"/>
    <w:rsid w:val="0007714F"/>
    <w:rsid w:val="00080B3C"/>
    <w:rsid w:val="00081E83"/>
    <w:rsid w:val="0008237F"/>
    <w:rsid w:val="0008314B"/>
    <w:rsid w:val="000832C3"/>
    <w:rsid w:val="00083D09"/>
    <w:rsid w:val="00083E71"/>
    <w:rsid w:val="00084506"/>
    <w:rsid w:val="0008572B"/>
    <w:rsid w:val="00090B79"/>
    <w:rsid w:val="00091ABA"/>
    <w:rsid w:val="00091E16"/>
    <w:rsid w:val="00092A25"/>
    <w:rsid w:val="00094B9B"/>
    <w:rsid w:val="00096FC8"/>
    <w:rsid w:val="0009732B"/>
    <w:rsid w:val="000A357C"/>
    <w:rsid w:val="000A4644"/>
    <w:rsid w:val="000A5BA9"/>
    <w:rsid w:val="000A7290"/>
    <w:rsid w:val="000B02C3"/>
    <w:rsid w:val="000B0AD0"/>
    <w:rsid w:val="000B1F01"/>
    <w:rsid w:val="000B2004"/>
    <w:rsid w:val="000B4414"/>
    <w:rsid w:val="000B4E19"/>
    <w:rsid w:val="000B5FA3"/>
    <w:rsid w:val="000C0942"/>
    <w:rsid w:val="000C0AF4"/>
    <w:rsid w:val="000C2249"/>
    <w:rsid w:val="000C47D2"/>
    <w:rsid w:val="000C6A66"/>
    <w:rsid w:val="000C6BC7"/>
    <w:rsid w:val="000D3333"/>
    <w:rsid w:val="000D360D"/>
    <w:rsid w:val="000D3A03"/>
    <w:rsid w:val="000D3B05"/>
    <w:rsid w:val="000D3B2D"/>
    <w:rsid w:val="000D598D"/>
    <w:rsid w:val="000D6362"/>
    <w:rsid w:val="000D6BF1"/>
    <w:rsid w:val="000D77CC"/>
    <w:rsid w:val="000E0D02"/>
    <w:rsid w:val="000E1502"/>
    <w:rsid w:val="000E25E4"/>
    <w:rsid w:val="000E3D24"/>
    <w:rsid w:val="000E4520"/>
    <w:rsid w:val="000E499C"/>
    <w:rsid w:val="000E5BF0"/>
    <w:rsid w:val="000E5F16"/>
    <w:rsid w:val="000E69D1"/>
    <w:rsid w:val="000E6B59"/>
    <w:rsid w:val="000E7880"/>
    <w:rsid w:val="000E7FD2"/>
    <w:rsid w:val="000F021A"/>
    <w:rsid w:val="000F1CED"/>
    <w:rsid w:val="000F21DB"/>
    <w:rsid w:val="000F23F1"/>
    <w:rsid w:val="000F2548"/>
    <w:rsid w:val="000F366E"/>
    <w:rsid w:val="000F42D3"/>
    <w:rsid w:val="000F5C53"/>
    <w:rsid w:val="000F5EC3"/>
    <w:rsid w:val="000F5F5B"/>
    <w:rsid w:val="000F61CA"/>
    <w:rsid w:val="000F7DFE"/>
    <w:rsid w:val="001009CC"/>
    <w:rsid w:val="00100DED"/>
    <w:rsid w:val="00101C61"/>
    <w:rsid w:val="00103920"/>
    <w:rsid w:val="00104D10"/>
    <w:rsid w:val="00105529"/>
    <w:rsid w:val="00105F45"/>
    <w:rsid w:val="00106D60"/>
    <w:rsid w:val="00110057"/>
    <w:rsid w:val="00110DB4"/>
    <w:rsid w:val="00110FEB"/>
    <w:rsid w:val="0011103E"/>
    <w:rsid w:val="0011258A"/>
    <w:rsid w:val="001146E1"/>
    <w:rsid w:val="00115C3E"/>
    <w:rsid w:val="00117EF0"/>
    <w:rsid w:val="0012017D"/>
    <w:rsid w:val="00120D7D"/>
    <w:rsid w:val="001215F3"/>
    <w:rsid w:val="0012203B"/>
    <w:rsid w:val="0012264F"/>
    <w:rsid w:val="00122D4E"/>
    <w:rsid w:val="0012357B"/>
    <w:rsid w:val="0012459D"/>
    <w:rsid w:val="0012462B"/>
    <w:rsid w:val="00130163"/>
    <w:rsid w:val="0013056D"/>
    <w:rsid w:val="00130F05"/>
    <w:rsid w:val="00132739"/>
    <w:rsid w:val="00132E70"/>
    <w:rsid w:val="00133CA5"/>
    <w:rsid w:val="00135CC5"/>
    <w:rsid w:val="00140B01"/>
    <w:rsid w:val="0014208C"/>
    <w:rsid w:val="00143A46"/>
    <w:rsid w:val="00143EBE"/>
    <w:rsid w:val="00145919"/>
    <w:rsid w:val="00150511"/>
    <w:rsid w:val="00152621"/>
    <w:rsid w:val="00152880"/>
    <w:rsid w:val="001616C1"/>
    <w:rsid w:val="001622AD"/>
    <w:rsid w:val="00162D79"/>
    <w:rsid w:val="00163EDD"/>
    <w:rsid w:val="001654EC"/>
    <w:rsid w:val="00165641"/>
    <w:rsid w:val="00167EE7"/>
    <w:rsid w:val="00171087"/>
    <w:rsid w:val="00172120"/>
    <w:rsid w:val="00172824"/>
    <w:rsid w:val="00175FF2"/>
    <w:rsid w:val="001767F0"/>
    <w:rsid w:val="001835B0"/>
    <w:rsid w:val="00183829"/>
    <w:rsid w:val="00183A1F"/>
    <w:rsid w:val="00183F38"/>
    <w:rsid w:val="001848F4"/>
    <w:rsid w:val="00185751"/>
    <w:rsid w:val="00185CDE"/>
    <w:rsid w:val="001909A1"/>
    <w:rsid w:val="00191267"/>
    <w:rsid w:val="00195249"/>
    <w:rsid w:val="001A1ADE"/>
    <w:rsid w:val="001A3017"/>
    <w:rsid w:val="001A3635"/>
    <w:rsid w:val="001A3A40"/>
    <w:rsid w:val="001A59FB"/>
    <w:rsid w:val="001A638C"/>
    <w:rsid w:val="001A687D"/>
    <w:rsid w:val="001A6DE0"/>
    <w:rsid w:val="001B17EB"/>
    <w:rsid w:val="001B20DB"/>
    <w:rsid w:val="001B3856"/>
    <w:rsid w:val="001B4DFC"/>
    <w:rsid w:val="001B674A"/>
    <w:rsid w:val="001B76A7"/>
    <w:rsid w:val="001C159E"/>
    <w:rsid w:val="001C4414"/>
    <w:rsid w:val="001C5592"/>
    <w:rsid w:val="001C61AA"/>
    <w:rsid w:val="001D3593"/>
    <w:rsid w:val="001D4302"/>
    <w:rsid w:val="001D45CC"/>
    <w:rsid w:val="001E0DB6"/>
    <w:rsid w:val="001E1FB8"/>
    <w:rsid w:val="001E2DE5"/>
    <w:rsid w:val="001E41AC"/>
    <w:rsid w:val="001E4AA7"/>
    <w:rsid w:val="001E5E18"/>
    <w:rsid w:val="001E633F"/>
    <w:rsid w:val="001E6B33"/>
    <w:rsid w:val="001F0485"/>
    <w:rsid w:val="001F0D9F"/>
    <w:rsid w:val="001F1D93"/>
    <w:rsid w:val="001F22EF"/>
    <w:rsid w:val="001F376C"/>
    <w:rsid w:val="001F3D60"/>
    <w:rsid w:val="001F49A9"/>
    <w:rsid w:val="001F4D98"/>
    <w:rsid w:val="001F5D79"/>
    <w:rsid w:val="001F683E"/>
    <w:rsid w:val="001F6D13"/>
    <w:rsid w:val="002004C6"/>
    <w:rsid w:val="0020400B"/>
    <w:rsid w:val="002044AD"/>
    <w:rsid w:val="00204E1E"/>
    <w:rsid w:val="00206DF9"/>
    <w:rsid w:val="002078B2"/>
    <w:rsid w:val="0021117C"/>
    <w:rsid w:val="00211BF0"/>
    <w:rsid w:val="00213919"/>
    <w:rsid w:val="002142C6"/>
    <w:rsid w:val="00214348"/>
    <w:rsid w:val="00216984"/>
    <w:rsid w:val="00216B81"/>
    <w:rsid w:val="00216E76"/>
    <w:rsid w:val="00217B68"/>
    <w:rsid w:val="002210E0"/>
    <w:rsid w:val="002215AF"/>
    <w:rsid w:val="00224204"/>
    <w:rsid w:val="00224BDE"/>
    <w:rsid w:val="00226556"/>
    <w:rsid w:val="00226D68"/>
    <w:rsid w:val="00230754"/>
    <w:rsid w:val="0023087F"/>
    <w:rsid w:val="00231512"/>
    <w:rsid w:val="00231900"/>
    <w:rsid w:val="002322EB"/>
    <w:rsid w:val="0023584C"/>
    <w:rsid w:val="00240934"/>
    <w:rsid w:val="00240F49"/>
    <w:rsid w:val="002414D0"/>
    <w:rsid w:val="002435D8"/>
    <w:rsid w:val="00243B84"/>
    <w:rsid w:val="00246DE8"/>
    <w:rsid w:val="00247E19"/>
    <w:rsid w:val="002517D9"/>
    <w:rsid w:val="00253120"/>
    <w:rsid w:val="0025486C"/>
    <w:rsid w:val="00254A8D"/>
    <w:rsid w:val="00260B79"/>
    <w:rsid w:val="0026158C"/>
    <w:rsid w:val="002619EC"/>
    <w:rsid w:val="00261FD8"/>
    <w:rsid w:val="00262347"/>
    <w:rsid w:val="0026511F"/>
    <w:rsid w:val="002662DA"/>
    <w:rsid w:val="0026721F"/>
    <w:rsid w:val="00270805"/>
    <w:rsid w:val="00272125"/>
    <w:rsid w:val="00274BD8"/>
    <w:rsid w:val="0027509E"/>
    <w:rsid w:val="002753EE"/>
    <w:rsid w:val="002759FF"/>
    <w:rsid w:val="002816BD"/>
    <w:rsid w:val="00282587"/>
    <w:rsid w:val="002854F9"/>
    <w:rsid w:val="00286464"/>
    <w:rsid w:val="00287010"/>
    <w:rsid w:val="0029039A"/>
    <w:rsid w:val="00290536"/>
    <w:rsid w:val="002920B8"/>
    <w:rsid w:val="00293952"/>
    <w:rsid w:val="00293C60"/>
    <w:rsid w:val="00294AD4"/>
    <w:rsid w:val="00295D8B"/>
    <w:rsid w:val="00296A58"/>
    <w:rsid w:val="00296DDF"/>
    <w:rsid w:val="00297A00"/>
    <w:rsid w:val="002A13CE"/>
    <w:rsid w:val="002A22D2"/>
    <w:rsid w:val="002A4EBB"/>
    <w:rsid w:val="002A55B0"/>
    <w:rsid w:val="002A6B7F"/>
    <w:rsid w:val="002B08C1"/>
    <w:rsid w:val="002B25A7"/>
    <w:rsid w:val="002B4A70"/>
    <w:rsid w:val="002B5DC8"/>
    <w:rsid w:val="002B7761"/>
    <w:rsid w:val="002C05C9"/>
    <w:rsid w:val="002C2348"/>
    <w:rsid w:val="002C2EF1"/>
    <w:rsid w:val="002C623E"/>
    <w:rsid w:val="002C62DA"/>
    <w:rsid w:val="002C68D5"/>
    <w:rsid w:val="002C7EB2"/>
    <w:rsid w:val="002D03CE"/>
    <w:rsid w:val="002D05C8"/>
    <w:rsid w:val="002D2E86"/>
    <w:rsid w:val="002D4F2F"/>
    <w:rsid w:val="002D54E0"/>
    <w:rsid w:val="002D57A2"/>
    <w:rsid w:val="002D5C6E"/>
    <w:rsid w:val="002D6090"/>
    <w:rsid w:val="002D6D0A"/>
    <w:rsid w:val="002E04D2"/>
    <w:rsid w:val="002E0D26"/>
    <w:rsid w:val="002E225E"/>
    <w:rsid w:val="002E315D"/>
    <w:rsid w:val="002E55AB"/>
    <w:rsid w:val="002F06DB"/>
    <w:rsid w:val="002F0F77"/>
    <w:rsid w:val="002F1219"/>
    <w:rsid w:val="002F1412"/>
    <w:rsid w:val="002F2685"/>
    <w:rsid w:val="002F310B"/>
    <w:rsid w:val="002F3E91"/>
    <w:rsid w:val="002F61CA"/>
    <w:rsid w:val="002F6582"/>
    <w:rsid w:val="002F79ED"/>
    <w:rsid w:val="002F7B20"/>
    <w:rsid w:val="002F7C62"/>
    <w:rsid w:val="0030084D"/>
    <w:rsid w:val="00301D73"/>
    <w:rsid w:val="0030306B"/>
    <w:rsid w:val="00304507"/>
    <w:rsid w:val="00310385"/>
    <w:rsid w:val="00311A78"/>
    <w:rsid w:val="00313378"/>
    <w:rsid w:val="003139EB"/>
    <w:rsid w:val="00313C6C"/>
    <w:rsid w:val="003160E3"/>
    <w:rsid w:val="00316CE3"/>
    <w:rsid w:val="00321EC7"/>
    <w:rsid w:val="003244D7"/>
    <w:rsid w:val="003318A3"/>
    <w:rsid w:val="0033233F"/>
    <w:rsid w:val="0033307F"/>
    <w:rsid w:val="00333825"/>
    <w:rsid w:val="00334F3E"/>
    <w:rsid w:val="0033678B"/>
    <w:rsid w:val="00336969"/>
    <w:rsid w:val="00337643"/>
    <w:rsid w:val="00337A4D"/>
    <w:rsid w:val="00342B11"/>
    <w:rsid w:val="00344D66"/>
    <w:rsid w:val="00345E52"/>
    <w:rsid w:val="003475BE"/>
    <w:rsid w:val="0034793E"/>
    <w:rsid w:val="00350D5F"/>
    <w:rsid w:val="00350FCE"/>
    <w:rsid w:val="0035194F"/>
    <w:rsid w:val="00351ECB"/>
    <w:rsid w:val="00351F45"/>
    <w:rsid w:val="00351FCF"/>
    <w:rsid w:val="00352012"/>
    <w:rsid w:val="003532A8"/>
    <w:rsid w:val="0035366F"/>
    <w:rsid w:val="00354C87"/>
    <w:rsid w:val="00355224"/>
    <w:rsid w:val="00356019"/>
    <w:rsid w:val="003570CD"/>
    <w:rsid w:val="003602C8"/>
    <w:rsid w:val="00360E3C"/>
    <w:rsid w:val="00362D52"/>
    <w:rsid w:val="00362DC8"/>
    <w:rsid w:val="00365FBE"/>
    <w:rsid w:val="00366AE0"/>
    <w:rsid w:val="00367C11"/>
    <w:rsid w:val="00372C7B"/>
    <w:rsid w:val="00373316"/>
    <w:rsid w:val="00374314"/>
    <w:rsid w:val="0037448F"/>
    <w:rsid w:val="00375895"/>
    <w:rsid w:val="00375CF7"/>
    <w:rsid w:val="0038066F"/>
    <w:rsid w:val="00381445"/>
    <w:rsid w:val="0038304B"/>
    <w:rsid w:val="0038408C"/>
    <w:rsid w:val="003854AA"/>
    <w:rsid w:val="003856EE"/>
    <w:rsid w:val="003869E9"/>
    <w:rsid w:val="0039205F"/>
    <w:rsid w:val="00394109"/>
    <w:rsid w:val="00394F9A"/>
    <w:rsid w:val="00396A66"/>
    <w:rsid w:val="003A1A64"/>
    <w:rsid w:val="003A3EF9"/>
    <w:rsid w:val="003A4419"/>
    <w:rsid w:val="003A5482"/>
    <w:rsid w:val="003A760D"/>
    <w:rsid w:val="003B20E3"/>
    <w:rsid w:val="003B3993"/>
    <w:rsid w:val="003B543F"/>
    <w:rsid w:val="003B5F59"/>
    <w:rsid w:val="003B78F1"/>
    <w:rsid w:val="003C1002"/>
    <w:rsid w:val="003C1853"/>
    <w:rsid w:val="003C238C"/>
    <w:rsid w:val="003C3A90"/>
    <w:rsid w:val="003C4A99"/>
    <w:rsid w:val="003C5D10"/>
    <w:rsid w:val="003C618E"/>
    <w:rsid w:val="003C6352"/>
    <w:rsid w:val="003C6E51"/>
    <w:rsid w:val="003D1445"/>
    <w:rsid w:val="003D1A42"/>
    <w:rsid w:val="003D4F35"/>
    <w:rsid w:val="003E11F8"/>
    <w:rsid w:val="003E5AAC"/>
    <w:rsid w:val="003E6315"/>
    <w:rsid w:val="003E681C"/>
    <w:rsid w:val="003E6D95"/>
    <w:rsid w:val="003F1365"/>
    <w:rsid w:val="003F194F"/>
    <w:rsid w:val="003F2D9B"/>
    <w:rsid w:val="003F4397"/>
    <w:rsid w:val="003F661A"/>
    <w:rsid w:val="003F6833"/>
    <w:rsid w:val="003F6872"/>
    <w:rsid w:val="003F6A9D"/>
    <w:rsid w:val="003F6D0B"/>
    <w:rsid w:val="003F746C"/>
    <w:rsid w:val="00400EA6"/>
    <w:rsid w:val="00400F63"/>
    <w:rsid w:val="00402950"/>
    <w:rsid w:val="00402977"/>
    <w:rsid w:val="00405899"/>
    <w:rsid w:val="00405DEC"/>
    <w:rsid w:val="004070D5"/>
    <w:rsid w:val="00410A8C"/>
    <w:rsid w:val="00412872"/>
    <w:rsid w:val="00412B6E"/>
    <w:rsid w:val="004130D0"/>
    <w:rsid w:val="0041365C"/>
    <w:rsid w:val="00413A0E"/>
    <w:rsid w:val="00413B19"/>
    <w:rsid w:val="00414642"/>
    <w:rsid w:val="0041503F"/>
    <w:rsid w:val="004159FF"/>
    <w:rsid w:val="00420B47"/>
    <w:rsid w:val="00421098"/>
    <w:rsid w:val="00423988"/>
    <w:rsid w:val="00424DCE"/>
    <w:rsid w:val="0042536D"/>
    <w:rsid w:val="0042590D"/>
    <w:rsid w:val="00427003"/>
    <w:rsid w:val="00427440"/>
    <w:rsid w:val="00430994"/>
    <w:rsid w:val="0043188C"/>
    <w:rsid w:val="0043569B"/>
    <w:rsid w:val="00435870"/>
    <w:rsid w:val="00435942"/>
    <w:rsid w:val="00436BB6"/>
    <w:rsid w:val="0044282A"/>
    <w:rsid w:val="004429FB"/>
    <w:rsid w:val="00442BA2"/>
    <w:rsid w:val="00443964"/>
    <w:rsid w:val="0044528D"/>
    <w:rsid w:val="00445555"/>
    <w:rsid w:val="00445BDC"/>
    <w:rsid w:val="00453659"/>
    <w:rsid w:val="00453B60"/>
    <w:rsid w:val="00454976"/>
    <w:rsid w:val="004569CD"/>
    <w:rsid w:val="00456CF4"/>
    <w:rsid w:val="00460557"/>
    <w:rsid w:val="00464884"/>
    <w:rsid w:val="00467DF7"/>
    <w:rsid w:val="004714CC"/>
    <w:rsid w:val="0047190C"/>
    <w:rsid w:val="00471B1C"/>
    <w:rsid w:val="00472043"/>
    <w:rsid w:val="00472200"/>
    <w:rsid w:val="004723B9"/>
    <w:rsid w:val="00473579"/>
    <w:rsid w:val="00473A17"/>
    <w:rsid w:val="00474378"/>
    <w:rsid w:val="00474898"/>
    <w:rsid w:val="00474AF7"/>
    <w:rsid w:val="0047567E"/>
    <w:rsid w:val="004759FC"/>
    <w:rsid w:val="00475B1A"/>
    <w:rsid w:val="00475F12"/>
    <w:rsid w:val="0047627C"/>
    <w:rsid w:val="00477695"/>
    <w:rsid w:val="0048068D"/>
    <w:rsid w:val="004821E4"/>
    <w:rsid w:val="00484B70"/>
    <w:rsid w:val="00485B3F"/>
    <w:rsid w:val="0048746B"/>
    <w:rsid w:val="00491348"/>
    <w:rsid w:val="00491714"/>
    <w:rsid w:val="00491739"/>
    <w:rsid w:val="00492CF8"/>
    <w:rsid w:val="00492F8C"/>
    <w:rsid w:val="004947F4"/>
    <w:rsid w:val="0049587F"/>
    <w:rsid w:val="00495CD0"/>
    <w:rsid w:val="0049685D"/>
    <w:rsid w:val="00496CD3"/>
    <w:rsid w:val="004A0A87"/>
    <w:rsid w:val="004A2C9B"/>
    <w:rsid w:val="004A3264"/>
    <w:rsid w:val="004A3908"/>
    <w:rsid w:val="004A3B5E"/>
    <w:rsid w:val="004A6F60"/>
    <w:rsid w:val="004A7C4B"/>
    <w:rsid w:val="004B1E34"/>
    <w:rsid w:val="004B28B7"/>
    <w:rsid w:val="004B50DB"/>
    <w:rsid w:val="004B57C3"/>
    <w:rsid w:val="004B5EA2"/>
    <w:rsid w:val="004B6439"/>
    <w:rsid w:val="004B6FC7"/>
    <w:rsid w:val="004B7DC7"/>
    <w:rsid w:val="004C110A"/>
    <w:rsid w:val="004C2EBA"/>
    <w:rsid w:val="004C33C7"/>
    <w:rsid w:val="004C490D"/>
    <w:rsid w:val="004C4A50"/>
    <w:rsid w:val="004C4B41"/>
    <w:rsid w:val="004C6380"/>
    <w:rsid w:val="004D0706"/>
    <w:rsid w:val="004D2EDD"/>
    <w:rsid w:val="004D3C6C"/>
    <w:rsid w:val="004E0E8A"/>
    <w:rsid w:val="004E16B9"/>
    <w:rsid w:val="004E1828"/>
    <w:rsid w:val="004E38E1"/>
    <w:rsid w:val="004E51D0"/>
    <w:rsid w:val="004E67C6"/>
    <w:rsid w:val="004E7B98"/>
    <w:rsid w:val="004F1294"/>
    <w:rsid w:val="004F20DE"/>
    <w:rsid w:val="004F2650"/>
    <w:rsid w:val="004F26AC"/>
    <w:rsid w:val="004F2E9C"/>
    <w:rsid w:val="004F4ED3"/>
    <w:rsid w:val="004F6C5D"/>
    <w:rsid w:val="00500B5C"/>
    <w:rsid w:val="00501364"/>
    <w:rsid w:val="005033DC"/>
    <w:rsid w:val="005035EC"/>
    <w:rsid w:val="005043E3"/>
    <w:rsid w:val="00505FE5"/>
    <w:rsid w:val="005066E1"/>
    <w:rsid w:val="00506BB9"/>
    <w:rsid w:val="00507F2C"/>
    <w:rsid w:val="00507F61"/>
    <w:rsid w:val="0051154D"/>
    <w:rsid w:val="00512975"/>
    <w:rsid w:val="00512B11"/>
    <w:rsid w:val="00513E60"/>
    <w:rsid w:val="00514D8F"/>
    <w:rsid w:val="00517585"/>
    <w:rsid w:val="00517B5F"/>
    <w:rsid w:val="0052175F"/>
    <w:rsid w:val="00521F07"/>
    <w:rsid w:val="00522361"/>
    <w:rsid w:val="00523B06"/>
    <w:rsid w:val="00524643"/>
    <w:rsid w:val="00525504"/>
    <w:rsid w:val="0052650F"/>
    <w:rsid w:val="00530A37"/>
    <w:rsid w:val="00533B20"/>
    <w:rsid w:val="005347C2"/>
    <w:rsid w:val="00534A6B"/>
    <w:rsid w:val="00535B4F"/>
    <w:rsid w:val="00536531"/>
    <w:rsid w:val="005378A6"/>
    <w:rsid w:val="005432D5"/>
    <w:rsid w:val="00545285"/>
    <w:rsid w:val="005467C4"/>
    <w:rsid w:val="00546D72"/>
    <w:rsid w:val="00546E4D"/>
    <w:rsid w:val="00547BAC"/>
    <w:rsid w:val="0055151B"/>
    <w:rsid w:val="00551C37"/>
    <w:rsid w:val="005520D1"/>
    <w:rsid w:val="0055225D"/>
    <w:rsid w:val="005532B1"/>
    <w:rsid w:val="0055579F"/>
    <w:rsid w:val="00562698"/>
    <w:rsid w:val="005632C3"/>
    <w:rsid w:val="00564DEB"/>
    <w:rsid w:val="0056701A"/>
    <w:rsid w:val="00571152"/>
    <w:rsid w:val="00572EA0"/>
    <w:rsid w:val="0057417C"/>
    <w:rsid w:val="00574CFB"/>
    <w:rsid w:val="00574FCA"/>
    <w:rsid w:val="00575FE6"/>
    <w:rsid w:val="00577315"/>
    <w:rsid w:val="005775C6"/>
    <w:rsid w:val="00581157"/>
    <w:rsid w:val="00581EC4"/>
    <w:rsid w:val="0058303F"/>
    <w:rsid w:val="00584547"/>
    <w:rsid w:val="00584D7E"/>
    <w:rsid w:val="00586D75"/>
    <w:rsid w:val="00587F69"/>
    <w:rsid w:val="0059089C"/>
    <w:rsid w:val="00592160"/>
    <w:rsid w:val="0059235F"/>
    <w:rsid w:val="00594E6A"/>
    <w:rsid w:val="005956F7"/>
    <w:rsid w:val="00595D11"/>
    <w:rsid w:val="00597603"/>
    <w:rsid w:val="005A18A9"/>
    <w:rsid w:val="005A44E3"/>
    <w:rsid w:val="005A5769"/>
    <w:rsid w:val="005A5B9D"/>
    <w:rsid w:val="005A63B2"/>
    <w:rsid w:val="005B07D7"/>
    <w:rsid w:val="005B0C7F"/>
    <w:rsid w:val="005B154C"/>
    <w:rsid w:val="005B2621"/>
    <w:rsid w:val="005B7819"/>
    <w:rsid w:val="005C0D5E"/>
    <w:rsid w:val="005C3AF8"/>
    <w:rsid w:val="005C44A3"/>
    <w:rsid w:val="005C5C7A"/>
    <w:rsid w:val="005C702E"/>
    <w:rsid w:val="005C7927"/>
    <w:rsid w:val="005D07CE"/>
    <w:rsid w:val="005D0B2F"/>
    <w:rsid w:val="005D1DD7"/>
    <w:rsid w:val="005D25E4"/>
    <w:rsid w:val="005D5220"/>
    <w:rsid w:val="005D5891"/>
    <w:rsid w:val="005D68CD"/>
    <w:rsid w:val="005D69F8"/>
    <w:rsid w:val="005D6DFC"/>
    <w:rsid w:val="005D72F1"/>
    <w:rsid w:val="005E7123"/>
    <w:rsid w:val="005E78C8"/>
    <w:rsid w:val="005F3D32"/>
    <w:rsid w:val="005F4D9C"/>
    <w:rsid w:val="005F50F6"/>
    <w:rsid w:val="005F5214"/>
    <w:rsid w:val="005F61A6"/>
    <w:rsid w:val="005F7622"/>
    <w:rsid w:val="00600BF9"/>
    <w:rsid w:val="0060103E"/>
    <w:rsid w:val="00601416"/>
    <w:rsid w:val="006019CC"/>
    <w:rsid w:val="006022EF"/>
    <w:rsid w:val="00604DB2"/>
    <w:rsid w:val="00604DFD"/>
    <w:rsid w:val="00610209"/>
    <w:rsid w:val="00613F69"/>
    <w:rsid w:val="006157F0"/>
    <w:rsid w:val="0062064D"/>
    <w:rsid w:val="0062277A"/>
    <w:rsid w:val="006261DA"/>
    <w:rsid w:val="006264CA"/>
    <w:rsid w:val="00626651"/>
    <w:rsid w:val="0062765A"/>
    <w:rsid w:val="00627E8D"/>
    <w:rsid w:val="0063004E"/>
    <w:rsid w:val="00630929"/>
    <w:rsid w:val="00630BA9"/>
    <w:rsid w:val="00630C72"/>
    <w:rsid w:val="00630EE3"/>
    <w:rsid w:val="00631125"/>
    <w:rsid w:val="0063115A"/>
    <w:rsid w:val="00632B1F"/>
    <w:rsid w:val="00635FF1"/>
    <w:rsid w:val="0063746C"/>
    <w:rsid w:val="006414C7"/>
    <w:rsid w:val="00643227"/>
    <w:rsid w:val="00644480"/>
    <w:rsid w:val="006452F0"/>
    <w:rsid w:val="006456B1"/>
    <w:rsid w:val="00645A21"/>
    <w:rsid w:val="00645F66"/>
    <w:rsid w:val="00646CD0"/>
    <w:rsid w:val="006500E0"/>
    <w:rsid w:val="00651A0E"/>
    <w:rsid w:val="00652AE0"/>
    <w:rsid w:val="00653E1F"/>
    <w:rsid w:val="00655022"/>
    <w:rsid w:val="00663FBE"/>
    <w:rsid w:val="00665908"/>
    <w:rsid w:val="00667B85"/>
    <w:rsid w:val="00670F25"/>
    <w:rsid w:val="006752EF"/>
    <w:rsid w:val="0067542B"/>
    <w:rsid w:val="00675586"/>
    <w:rsid w:val="00681728"/>
    <w:rsid w:val="0068226F"/>
    <w:rsid w:val="00682487"/>
    <w:rsid w:val="00684F3A"/>
    <w:rsid w:val="00687196"/>
    <w:rsid w:val="00687361"/>
    <w:rsid w:val="0068787F"/>
    <w:rsid w:val="00690C7F"/>
    <w:rsid w:val="0069113D"/>
    <w:rsid w:val="006937E5"/>
    <w:rsid w:val="006938F2"/>
    <w:rsid w:val="006940AB"/>
    <w:rsid w:val="0069614E"/>
    <w:rsid w:val="0069786C"/>
    <w:rsid w:val="0069788C"/>
    <w:rsid w:val="00697B40"/>
    <w:rsid w:val="00697E15"/>
    <w:rsid w:val="006A03D2"/>
    <w:rsid w:val="006A1E93"/>
    <w:rsid w:val="006A7780"/>
    <w:rsid w:val="006A7893"/>
    <w:rsid w:val="006B03A4"/>
    <w:rsid w:val="006B05D9"/>
    <w:rsid w:val="006B0DB7"/>
    <w:rsid w:val="006B0E7A"/>
    <w:rsid w:val="006B216F"/>
    <w:rsid w:val="006B2364"/>
    <w:rsid w:val="006B2653"/>
    <w:rsid w:val="006B3724"/>
    <w:rsid w:val="006B3B40"/>
    <w:rsid w:val="006B3DC9"/>
    <w:rsid w:val="006B5092"/>
    <w:rsid w:val="006B58F9"/>
    <w:rsid w:val="006B6B7C"/>
    <w:rsid w:val="006B7D89"/>
    <w:rsid w:val="006C021C"/>
    <w:rsid w:val="006C0585"/>
    <w:rsid w:val="006C1423"/>
    <w:rsid w:val="006C4795"/>
    <w:rsid w:val="006C66C7"/>
    <w:rsid w:val="006C6747"/>
    <w:rsid w:val="006C6A7E"/>
    <w:rsid w:val="006C7278"/>
    <w:rsid w:val="006D08D4"/>
    <w:rsid w:val="006D0B40"/>
    <w:rsid w:val="006D0D74"/>
    <w:rsid w:val="006D1AF2"/>
    <w:rsid w:val="006D3BEF"/>
    <w:rsid w:val="006D4F67"/>
    <w:rsid w:val="006D62AC"/>
    <w:rsid w:val="006D6EE6"/>
    <w:rsid w:val="006D7759"/>
    <w:rsid w:val="006E1345"/>
    <w:rsid w:val="006E1BA5"/>
    <w:rsid w:val="006E2911"/>
    <w:rsid w:val="006E374E"/>
    <w:rsid w:val="006E43D7"/>
    <w:rsid w:val="006F0920"/>
    <w:rsid w:val="006F0DAA"/>
    <w:rsid w:val="006F14B2"/>
    <w:rsid w:val="006F1C11"/>
    <w:rsid w:val="006F1FAC"/>
    <w:rsid w:val="006F20F5"/>
    <w:rsid w:val="006F52F4"/>
    <w:rsid w:val="006F70CC"/>
    <w:rsid w:val="006F71CB"/>
    <w:rsid w:val="00701733"/>
    <w:rsid w:val="007037F2"/>
    <w:rsid w:val="007062D1"/>
    <w:rsid w:val="00706FBD"/>
    <w:rsid w:val="007077CD"/>
    <w:rsid w:val="0071026A"/>
    <w:rsid w:val="00710FB8"/>
    <w:rsid w:val="00712D70"/>
    <w:rsid w:val="00714FED"/>
    <w:rsid w:val="007150C8"/>
    <w:rsid w:val="00716AA7"/>
    <w:rsid w:val="0072197E"/>
    <w:rsid w:val="00722834"/>
    <w:rsid w:val="007251D7"/>
    <w:rsid w:val="00725793"/>
    <w:rsid w:val="00725C87"/>
    <w:rsid w:val="00725D05"/>
    <w:rsid w:val="00726E80"/>
    <w:rsid w:val="00730368"/>
    <w:rsid w:val="007304A5"/>
    <w:rsid w:val="00731A28"/>
    <w:rsid w:val="007324B7"/>
    <w:rsid w:val="007332C3"/>
    <w:rsid w:val="00733CB2"/>
    <w:rsid w:val="0073461D"/>
    <w:rsid w:val="0073586C"/>
    <w:rsid w:val="007371C6"/>
    <w:rsid w:val="00737680"/>
    <w:rsid w:val="00740557"/>
    <w:rsid w:val="007418FD"/>
    <w:rsid w:val="0074344D"/>
    <w:rsid w:val="00743547"/>
    <w:rsid w:val="00743E49"/>
    <w:rsid w:val="00745935"/>
    <w:rsid w:val="007510E4"/>
    <w:rsid w:val="00751415"/>
    <w:rsid w:val="007525D1"/>
    <w:rsid w:val="00753237"/>
    <w:rsid w:val="007542B8"/>
    <w:rsid w:val="00756898"/>
    <w:rsid w:val="00756F09"/>
    <w:rsid w:val="00757931"/>
    <w:rsid w:val="00760271"/>
    <w:rsid w:val="00760D38"/>
    <w:rsid w:val="00760DCB"/>
    <w:rsid w:val="0076186B"/>
    <w:rsid w:val="0076211C"/>
    <w:rsid w:val="00763DCA"/>
    <w:rsid w:val="00765495"/>
    <w:rsid w:val="00765A74"/>
    <w:rsid w:val="00767A95"/>
    <w:rsid w:val="00770033"/>
    <w:rsid w:val="0077076D"/>
    <w:rsid w:val="0077135B"/>
    <w:rsid w:val="007716AB"/>
    <w:rsid w:val="00773447"/>
    <w:rsid w:val="0077459C"/>
    <w:rsid w:val="0077462E"/>
    <w:rsid w:val="007746B4"/>
    <w:rsid w:val="0078121C"/>
    <w:rsid w:val="00785F44"/>
    <w:rsid w:val="00792BE9"/>
    <w:rsid w:val="00793EF5"/>
    <w:rsid w:val="0079527B"/>
    <w:rsid w:val="007952CD"/>
    <w:rsid w:val="007956F2"/>
    <w:rsid w:val="0079581E"/>
    <w:rsid w:val="007958B3"/>
    <w:rsid w:val="00795B2D"/>
    <w:rsid w:val="007961EC"/>
    <w:rsid w:val="00796B0D"/>
    <w:rsid w:val="00797644"/>
    <w:rsid w:val="007976D1"/>
    <w:rsid w:val="007A070B"/>
    <w:rsid w:val="007A164B"/>
    <w:rsid w:val="007A188C"/>
    <w:rsid w:val="007A1CA4"/>
    <w:rsid w:val="007A2633"/>
    <w:rsid w:val="007A3FF8"/>
    <w:rsid w:val="007A4574"/>
    <w:rsid w:val="007A47DD"/>
    <w:rsid w:val="007B066B"/>
    <w:rsid w:val="007B0EF8"/>
    <w:rsid w:val="007B2348"/>
    <w:rsid w:val="007B31ED"/>
    <w:rsid w:val="007B320D"/>
    <w:rsid w:val="007B52D3"/>
    <w:rsid w:val="007B53E2"/>
    <w:rsid w:val="007C03E0"/>
    <w:rsid w:val="007C2236"/>
    <w:rsid w:val="007C33E5"/>
    <w:rsid w:val="007C4704"/>
    <w:rsid w:val="007C55DC"/>
    <w:rsid w:val="007C5720"/>
    <w:rsid w:val="007C5FFD"/>
    <w:rsid w:val="007C60F4"/>
    <w:rsid w:val="007C63FF"/>
    <w:rsid w:val="007C6A01"/>
    <w:rsid w:val="007C73EE"/>
    <w:rsid w:val="007D0B10"/>
    <w:rsid w:val="007D111F"/>
    <w:rsid w:val="007D1903"/>
    <w:rsid w:val="007D3349"/>
    <w:rsid w:val="007D6338"/>
    <w:rsid w:val="007D6E5A"/>
    <w:rsid w:val="007E009C"/>
    <w:rsid w:val="007E25ED"/>
    <w:rsid w:val="007E338A"/>
    <w:rsid w:val="007E37D8"/>
    <w:rsid w:val="007E4B91"/>
    <w:rsid w:val="007E6BAF"/>
    <w:rsid w:val="007E6F46"/>
    <w:rsid w:val="007E7A79"/>
    <w:rsid w:val="007F0255"/>
    <w:rsid w:val="007F1F00"/>
    <w:rsid w:val="007F2851"/>
    <w:rsid w:val="007F32D2"/>
    <w:rsid w:val="007F3B0F"/>
    <w:rsid w:val="007F3F04"/>
    <w:rsid w:val="007F3F77"/>
    <w:rsid w:val="0080141A"/>
    <w:rsid w:val="0080190B"/>
    <w:rsid w:val="00802E72"/>
    <w:rsid w:val="00802EEB"/>
    <w:rsid w:val="0080394F"/>
    <w:rsid w:val="00805A12"/>
    <w:rsid w:val="00806586"/>
    <w:rsid w:val="00806A3F"/>
    <w:rsid w:val="00806E31"/>
    <w:rsid w:val="00807502"/>
    <w:rsid w:val="0081149F"/>
    <w:rsid w:val="008117A9"/>
    <w:rsid w:val="00814B76"/>
    <w:rsid w:val="008153B8"/>
    <w:rsid w:val="008174BD"/>
    <w:rsid w:val="008174FC"/>
    <w:rsid w:val="00821E94"/>
    <w:rsid w:val="0082243A"/>
    <w:rsid w:val="0082349F"/>
    <w:rsid w:val="00823607"/>
    <w:rsid w:val="00823FB5"/>
    <w:rsid w:val="00824494"/>
    <w:rsid w:val="00824F68"/>
    <w:rsid w:val="008251B3"/>
    <w:rsid w:val="00826BCC"/>
    <w:rsid w:val="008302D8"/>
    <w:rsid w:val="0083073B"/>
    <w:rsid w:val="008315CD"/>
    <w:rsid w:val="0083205F"/>
    <w:rsid w:val="00832B8A"/>
    <w:rsid w:val="00832DE6"/>
    <w:rsid w:val="00833EB4"/>
    <w:rsid w:val="00834154"/>
    <w:rsid w:val="00837068"/>
    <w:rsid w:val="008374E2"/>
    <w:rsid w:val="00840F38"/>
    <w:rsid w:val="008411B5"/>
    <w:rsid w:val="0084200F"/>
    <w:rsid w:val="0084285B"/>
    <w:rsid w:val="00842CB4"/>
    <w:rsid w:val="00842FAA"/>
    <w:rsid w:val="0084687B"/>
    <w:rsid w:val="00851BA4"/>
    <w:rsid w:val="00853633"/>
    <w:rsid w:val="008556AF"/>
    <w:rsid w:val="00860BA1"/>
    <w:rsid w:val="00861FC7"/>
    <w:rsid w:val="00864C6B"/>
    <w:rsid w:val="00865111"/>
    <w:rsid w:val="0086585B"/>
    <w:rsid w:val="008672F7"/>
    <w:rsid w:val="00867381"/>
    <w:rsid w:val="008707A5"/>
    <w:rsid w:val="008746F2"/>
    <w:rsid w:val="00874BAF"/>
    <w:rsid w:val="008770AD"/>
    <w:rsid w:val="008828CA"/>
    <w:rsid w:val="00883440"/>
    <w:rsid w:val="00883ED5"/>
    <w:rsid w:val="008932A1"/>
    <w:rsid w:val="008940F0"/>
    <w:rsid w:val="0089468D"/>
    <w:rsid w:val="0089539C"/>
    <w:rsid w:val="00895795"/>
    <w:rsid w:val="00895AC7"/>
    <w:rsid w:val="0089600C"/>
    <w:rsid w:val="00896D49"/>
    <w:rsid w:val="008A0AA4"/>
    <w:rsid w:val="008A1A0E"/>
    <w:rsid w:val="008A206E"/>
    <w:rsid w:val="008A2648"/>
    <w:rsid w:val="008A53C5"/>
    <w:rsid w:val="008A701F"/>
    <w:rsid w:val="008A7312"/>
    <w:rsid w:val="008B0133"/>
    <w:rsid w:val="008B0FB6"/>
    <w:rsid w:val="008B13AC"/>
    <w:rsid w:val="008B153D"/>
    <w:rsid w:val="008B2B1C"/>
    <w:rsid w:val="008B652B"/>
    <w:rsid w:val="008B72A5"/>
    <w:rsid w:val="008B743A"/>
    <w:rsid w:val="008C02D5"/>
    <w:rsid w:val="008C0943"/>
    <w:rsid w:val="008C601D"/>
    <w:rsid w:val="008C65B8"/>
    <w:rsid w:val="008D2510"/>
    <w:rsid w:val="008D394B"/>
    <w:rsid w:val="008D60D8"/>
    <w:rsid w:val="008E72B8"/>
    <w:rsid w:val="008E7C50"/>
    <w:rsid w:val="008F020E"/>
    <w:rsid w:val="008F1C12"/>
    <w:rsid w:val="008F41B1"/>
    <w:rsid w:val="008F4E75"/>
    <w:rsid w:val="008F5D70"/>
    <w:rsid w:val="00903110"/>
    <w:rsid w:val="00904363"/>
    <w:rsid w:val="009050E0"/>
    <w:rsid w:val="00905653"/>
    <w:rsid w:val="009058FC"/>
    <w:rsid w:val="009063EA"/>
    <w:rsid w:val="00907317"/>
    <w:rsid w:val="00910597"/>
    <w:rsid w:val="00911701"/>
    <w:rsid w:val="00913736"/>
    <w:rsid w:val="00913936"/>
    <w:rsid w:val="00914A18"/>
    <w:rsid w:val="00915211"/>
    <w:rsid w:val="009166FD"/>
    <w:rsid w:val="009207A4"/>
    <w:rsid w:val="00922821"/>
    <w:rsid w:val="0092310A"/>
    <w:rsid w:val="00923561"/>
    <w:rsid w:val="009238B3"/>
    <w:rsid w:val="009247C1"/>
    <w:rsid w:val="009261A1"/>
    <w:rsid w:val="0092620E"/>
    <w:rsid w:val="00926230"/>
    <w:rsid w:val="009275DF"/>
    <w:rsid w:val="00934692"/>
    <w:rsid w:val="00936341"/>
    <w:rsid w:val="00937ED1"/>
    <w:rsid w:val="00937F7A"/>
    <w:rsid w:val="0094291A"/>
    <w:rsid w:val="00942EF8"/>
    <w:rsid w:val="00944404"/>
    <w:rsid w:val="009467D5"/>
    <w:rsid w:val="009470E9"/>
    <w:rsid w:val="00947C36"/>
    <w:rsid w:val="00954081"/>
    <w:rsid w:val="009547CB"/>
    <w:rsid w:val="00954D7B"/>
    <w:rsid w:val="00955009"/>
    <w:rsid w:val="00956AE9"/>
    <w:rsid w:val="00956D9E"/>
    <w:rsid w:val="00957138"/>
    <w:rsid w:val="009608EA"/>
    <w:rsid w:val="009609AF"/>
    <w:rsid w:val="00963A09"/>
    <w:rsid w:val="00966310"/>
    <w:rsid w:val="00970586"/>
    <w:rsid w:val="009708A2"/>
    <w:rsid w:val="009710F0"/>
    <w:rsid w:val="009748D5"/>
    <w:rsid w:val="00975315"/>
    <w:rsid w:val="0098181A"/>
    <w:rsid w:val="0098231B"/>
    <w:rsid w:val="0098293C"/>
    <w:rsid w:val="00982BC3"/>
    <w:rsid w:val="00986C51"/>
    <w:rsid w:val="00987016"/>
    <w:rsid w:val="009925C3"/>
    <w:rsid w:val="00993FC5"/>
    <w:rsid w:val="00994E63"/>
    <w:rsid w:val="009A1621"/>
    <w:rsid w:val="009A2108"/>
    <w:rsid w:val="009A2273"/>
    <w:rsid w:val="009A3B93"/>
    <w:rsid w:val="009A4C5C"/>
    <w:rsid w:val="009A5783"/>
    <w:rsid w:val="009A7D47"/>
    <w:rsid w:val="009B0BB0"/>
    <w:rsid w:val="009B40C5"/>
    <w:rsid w:val="009B49B5"/>
    <w:rsid w:val="009B55C5"/>
    <w:rsid w:val="009B7A76"/>
    <w:rsid w:val="009C0D7D"/>
    <w:rsid w:val="009C3878"/>
    <w:rsid w:val="009C514F"/>
    <w:rsid w:val="009C6F47"/>
    <w:rsid w:val="009C7135"/>
    <w:rsid w:val="009D0558"/>
    <w:rsid w:val="009D1157"/>
    <w:rsid w:val="009D3AF2"/>
    <w:rsid w:val="009D3EAA"/>
    <w:rsid w:val="009D47F6"/>
    <w:rsid w:val="009D52DC"/>
    <w:rsid w:val="009E05D1"/>
    <w:rsid w:val="009E0748"/>
    <w:rsid w:val="009E1586"/>
    <w:rsid w:val="009E2422"/>
    <w:rsid w:val="009E3A11"/>
    <w:rsid w:val="009E3D2C"/>
    <w:rsid w:val="009E5520"/>
    <w:rsid w:val="009E7A40"/>
    <w:rsid w:val="009F2365"/>
    <w:rsid w:val="009F701F"/>
    <w:rsid w:val="009F776A"/>
    <w:rsid w:val="00A00C3C"/>
    <w:rsid w:val="00A01C7E"/>
    <w:rsid w:val="00A01CCC"/>
    <w:rsid w:val="00A06D29"/>
    <w:rsid w:val="00A0751D"/>
    <w:rsid w:val="00A15007"/>
    <w:rsid w:val="00A151FF"/>
    <w:rsid w:val="00A1597C"/>
    <w:rsid w:val="00A170B2"/>
    <w:rsid w:val="00A1780F"/>
    <w:rsid w:val="00A20233"/>
    <w:rsid w:val="00A2180A"/>
    <w:rsid w:val="00A21E2A"/>
    <w:rsid w:val="00A2334A"/>
    <w:rsid w:val="00A233A9"/>
    <w:rsid w:val="00A23617"/>
    <w:rsid w:val="00A23D6B"/>
    <w:rsid w:val="00A24C52"/>
    <w:rsid w:val="00A24D22"/>
    <w:rsid w:val="00A276C2"/>
    <w:rsid w:val="00A27902"/>
    <w:rsid w:val="00A326BD"/>
    <w:rsid w:val="00A326F2"/>
    <w:rsid w:val="00A32983"/>
    <w:rsid w:val="00A3476C"/>
    <w:rsid w:val="00A34DF5"/>
    <w:rsid w:val="00A36DB4"/>
    <w:rsid w:val="00A3763A"/>
    <w:rsid w:val="00A37983"/>
    <w:rsid w:val="00A37A1E"/>
    <w:rsid w:val="00A37FCB"/>
    <w:rsid w:val="00A4000B"/>
    <w:rsid w:val="00A401EB"/>
    <w:rsid w:val="00A40A94"/>
    <w:rsid w:val="00A40F2F"/>
    <w:rsid w:val="00A42BFB"/>
    <w:rsid w:val="00A440DC"/>
    <w:rsid w:val="00A441DE"/>
    <w:rsid w:val="00A4592A"/>
    <w:rsid w:val="00A466CA"/>
    <w:rsid w:val="00A46C5F"/>
    <w:rsid w:val="00A47DF1"/>
    <w:rsid w:val="00A51219"/>
    <w:rsid w:val="00A52011"/>
    <w:rsid w:val="00A5216B"/>
    <w:rsid w:val="00A524F6"/>
    <w:rsid w:val="00A5389C"/>
    <w:rsid w:val="00A53EAC"/>
    <w:rsid w:val="00A544B6"/>
    <w:rsid w:val="00A549E7"/>
    <w:rsid w:val="00A54A8F"/>
    <w:rsid w:val="00A55D5A"/>
    <w:rsid w:val="00A57069"/>
    <w:rsid w:val="00A575F3"/>
    <w:rsid w:val="00A6029F"/>
    <w:rsid w:val="00A62516"/>
    <w:rsid w:val="00A63AE7"/>
    <w:rsid w:val="00A63B8E"/>
    <w:rsid w:val="00A6510F"/>
    <w:rsid w:val="00A652C0"/>
    <w:rsid w:val="00A6540E"/>
    <w:rsid w:val="00A656BF"/>
    <w:rsid w:val="00A668A9"/>
    <w:rsid w:val="00A66AB8"/>
    <w:rsid w:val="00A66C04"/>
    <w:rsid w:val="00A66FD7"/>
    <w:rsid w:val="00A70755"/>
    <w:rsid w:val="00A714A9"/>
    <w:rsid w:val="00A71F2D"/>
    <w:rsid w:val="00A7634F"/>
    <w:rsid w:val="00A8025E"/>
    <w:rsid w:val="00A8058A"/>
    <w:rsid w:val="00A81019"/>
    <w:rsid w:val="00A827C3"/>
    <w:rsid w:val="00A835A2"/>
    <w:rsid w:val="00A84C2D"/>
    <w:rsid w:val="00A85704"/>
    <w:rsid w:val="00A9034C"/>
    <w:rsid w:val="00A917AF"/>
    <w:rsid w:val="00A91AA4"/>
    <w:rsid w:val="00A924C8"/>
    <w:rsid w:val="00A93AD1"/>
    <w:rsid w:val="00A941D6"/>
    <w:rsid w:val="00A94256"/>
    <w:rsid w:val="00A9435E"/>
    <w:rsid w:val="00A94775"/>
    <w:rsid w:val="00A9489C"/>
    <w:rsid w:val="00A948B6"/>
    <w:rsid w:val="00A971ED"/>
    <w:rsid w:val="00A97D6F"/>
    <w:rsid w:val="00AA5157"/>
    <w:rsid w:val="00AA5DCD"/>
    <w:rsid w:val="00AA7EF6"/>
    <w:rsid w:val="00AB0B01"/>
    <w:rsid w:val="00AB1C4F"/>
    <w:rsid w:val="00AB2354"/>
    <w:rsid w:val="00AB267B"/>
    <w:rsid w:val="00AB2D18"/>
    <w:rsid w:val="00AB3FB6"/>
    <w:rsid w:val="00AB768E"/>
    <w:rsid w:val="00AC3C8E"/>
    <w:rsid w:val="00AC5B90"/>
    <w:rsid w:val="00AC70A4"/>
    <w:rsid w:val="00AC7136"/>
    <w:rsid w:val="00AC7DE1"/>
    <w:rsid w:val="00AD0FA0"/>
    <w:rsid w:val="00AD2132"/>
    <w:rsid w:val="00AD2440"/>
    <w:rsid w:val="00AD2870"/>
    <w:rsid w:val="00AD3612"/>
    <w:rsid w:val="00AD3905"/>
    <w:rsid w:val="00AD3A84"/>
    <w:rsid w:val="00AD53CE"/>
    <w:rsid w:val="00AD67A8"/>
    <w:rsid w:val="00AD70B5"/>
    <w:rsid w:val="00AD78DF"/>
    <w:rsid w:val="00AE04A0"/>
    <w:rsid w:val="00AE0A95"/>
    <w:rsid w:val="00AE135F"/>
    <w:rsid w:val="00AE1C9F"/>
    <w:rsid w:val="00AE2FCA"/>
    <w:rsid w:val="00AE4F3F"/>
    <w:rsid w:val="00AE542B"/>
    <w:rsid w:val="00AE6249"/>
    <w:rsid w:val="00AF06E0"/>
    <w:rsid w:val="00AF2F5E"/>
    <w:rsid w:val="00AF4217"/>
    <w:rsid w:val="00AF59FB"/>
    <w:rsid w:val="00AF77BD"/>
    <w:rsid w:val="00B002E7"/>
    <w:rsid w:val="00B00741"/>
    <w:rsid w:val="00B02C8A"/>
    <w:rsid w:val="00B02CFE"/>
    <w:rsid w:val="00B0372B"/>
    <w:rsid w:val="00B12C2E"/>
    <w:rsid w:val="00B141BA"/>
    <w:rsid w:val="00B1528F"/>
    <w:rsid w:val="00B156C8"/>
    <w:rsid w:val="00B17587"/>
    <w:rsid w:val="00B200F2"/>
    <w:rsid w:val="00B206B6"/>
    <w:rsid w:val="00B20EEE"/>
    <w:rsid w:val="00B26E28"/>
    <w:rsid w:val="00B27874"/>
    <w:rsid w:val="00B30E38"/>
    <w:rsid w:val="00B32202"/>
    <w:rsid w:val="00B32A92"/>
    <w:rsid w:val="00B34B9C"/>
    <w:rsid w:val="00B34C7B"/>
    <w:rsid w:val="00B36418"/>
    <w:rsid w:val="00B365FE"/>
    <w:rsid w:val="00B36D34"/>
    <w:rsid w:val="00B375E9"/>
    <w:rsid w:val="00B3796F"/>
    <w:rsid w:val="00B4024B"/>
    <w:rsid w:val="00B40B5D"/>
    <w:rsid w:val="00B41054"/>
    <w:rsid w:val="00B41246"/>
    <w:rsid w:val="00B4174B"/>
    <w:rsid w:val="00B41C52"/>
    <w:rsid w:val="00B43103"/>
    <w:rsid w:val="00B4515E"/>
    <w:rsid w:val="00B454D8"/>
    <w:rsid w:val="00B45E64"/>
    <w:rsid w:val="00B4791D"/>
    <w:rsid w:val="00B47972"/>
    <w:rsid w:val="00B525DF"/>
    <w:rsid w:val="00B52899"/>
    <w:rsid w:val="00B53478"/>
    <w:rsid w:val="00B538E4"/>
    <w:rsid w:val="00B54914"/>
    <w:rsid w:val="00B55DB0"/>
    <w:rsid w:val="00B60C03"/>
    <w:rsid w:val="00B622F2"/>
    <w:rsid w:val="00B641E4"/>
    <w:rsid w:val="00B65FDE"/>
    <w:rsid w:val="00B7141A"/>
    <w:rsid w:val="00B73791"/>
    <w:rsid w:val="00B744F4"/>
    <w:rsid w:val="00B751EA"/>
    <w:rsid w:val="00B75F42"/>
    <w:rsid w:val="00B7706C"/>
    <w:rsid w:val="00B82629"/>
    <w:rsid w:val="00B82CE4"/>
    <w:rsid w:val="00B832EC"/>
    <w:rsid w:val="00B840B0"/>
    <w:rsid w:val="00B84622"/>
    <w:rsid w:val="00B85305"/>
    <w:rsid w:val="00B85380"/>
    <w:rsid w:val="00B909C1"/>
    <w:rsid w:val="00B91279"/>
    <w:rsid w:val="00B91793"/>
    <w:rsid w:val="00B9774D"/>
    <w:rsid w:val="00BA0E8E"/>
    <w:rsid w:val="00BA0EDB"/>
    <w:rsid w:val="00BA1DE2"/>
    <w:rsid w:val="00BA1FFB"/>
    <w:rsid w:val="00BA34B9"/>
    <w:rsid w:val="00BA4D79"/>
    <w:rsid w:val="00BA5B93"/>
    <w:rsid w:val="00BA7758"/>
    <w:rsid w:val="00BB0D9A"/>
    <w:rsid w:val="00BB0FE1"/>
    <w:rsid w:val="00BB131F"/>
    <w:rsid w:val="00BB19F3"/>
    <w:rsid w:val="00BB25AA"/>
    <w:rsid w:val="00BB3BAD"/>
    <w:rsid w:val="00BB51EB"/>
    <w:rsid w:val="00BB7DF9"/>
    <w:rsid w:val="00BC0913"/>
    <w:rsid w:val="00BC1615"/>
    <w:rsid w:val="00BC3B25"/>
    <w:rsid w:val="00BC494D"/>
    <w:rsid w:val="00BC4A6D"/>
    <w:rsid w:val="00BC5992"/>
    <w:rsid w:val="00BC6287"/>
    <w:rsid w:val="00BC674C"/>
    <w:rsid w:val="00BC6BD6"/>
    <w:rsid w:val="00BC6E8B"/>
    <w:rsid w:val="00BC700C"/>
    <w:rsid w:val="00BD0059"/>
    <w:rsid w:val="00BD1B5A"/>
    <w:rsid w:val="00BD2989"/>
    <w:rsid w:val="00BD339E"/>
    <w:rsid w:val="00BD40E9"/>
    <w:rsid w:val="00BD4B16"/>
    <w:rsid w:val="00BD5847"/>
    <w:rsid w:val="00BD7865"/>
    <w:rsid w:val="00BE0BF8"/>
    <w:rsid w:val="00BE1688"/>
    <w:rsid w:val="00BE1C6F"/>
    <w:rsid w:val="00BE33AC"/>
    <w:rsid w:val="00BE4241"/>
    <w:rsid w:val="00BE6426"/>
    <w:rsid w:val="00BE6494"/>
    <w:rsid w:val="00BE64CB"/>
    <w:rsid w:val="00BF0DE9"/>
    <w:rsid w:val="00BF14E8"/>
    <w:rsid w:val="00BF3C62"/>
    <w:rsid w:val="00BF6B35"/>
    <w:rsid w:val="00C01506"/>
    <w:rsid w:val="00C0315C"/>
    <w:rsid w:val="00C03D4C"/>
    <w:rsid w:val="00C03E53"/>
    <w:rsid w:val="00C03EDD"/>
    <w:rsid w:val="00C06207"/>
    <w:rsid w:val="00C06702"/>
    <w:rsid w:val="00C079B5"/>
    <w:rsid w:val="00C07B43"/>
    <w:rsid w:val="00C07E41"/>
    <w:rsid w:val="00C10085"/>
    <w:rsid w:val="00C10660"/>
    <w:rsid w:val="00C12553"/>
    <w:rsid w:val="00C12EDE"/>
    <w:rsid w:val="00C157AB"/>
    <w:rsid w:val="00C15AF7"/>
    <w:rsid w:val="00C15EB2"/>
    <w:rsid w:val="00C179BF"/>
    <w:rsid w:val="00C21B76"/>
    <w:rsid w:val="00C23CA3"/>
    <w:rsid w:val="00C25021"/>
    <w:rsid w:val="00C30406"/>
    <w:rsid w:val="00C30FB0"/>
    <w:rsid w:val="00C35E74"/>
    <w:rsid w:val="00C365A8"/>
    <w:rsid w:val="00C431C1"/>
    <w:rsid w:val="00C43753"/>
    <w:rsid w:val="00C444FD"/>
    <w:rsid w:val="00C4511F"/>
    <w:rsid w:val="00C469AF"/>
    <w:rsid w:val="00C50DA5"/>
    <w:rsid w:val="00C51623"/>
    <w:rsid w:val="00C52411"/>
    <w:rsid w:val="00C53064"/>
    <w:rsid w:val="00C5498D"/>
    <w:rsid w:val="00C54BCE"/>
    <w:rsid w:val="00C55223"/>
    <w:rsid w:val="00C55520"/>
    <w:rsid w:val="00C5655F"/>
    <w:rsid w:val="00C57124"/>
    <w:rsid w:val="00C607CE"/>
    <w:rsid w:val="00C610BB"/>
    <w:rsid w:val="00C61C3D"/>
    <w:rsid w:val="00C61D02"/>
    <w:rsid w:val="00C6208A"/>
    <w:rsid w:val="00C624D7"/>
    <w:rsid w:val="00C627EA"/>
    <w:rsid w:val="00C636BC"/>
    <w:rsid w:val="00C676B4"/>
    <w:rsid w:val="00C67BB6"/>
    <w:rsid w:val="00C71F42"/>
    <w:rsid w:val="00C734CE"/>
    <w:rsid w:val="00C73709"/>
    <w:rsid w:val="00C73B68"/>
    <w:rsid w:val="00C74B96"/>
    <w:rsid w:val="00C75268"/>
    <w:rsid w:val="00C76053"/>
    <w:rsid w:val="00C76CB9"/>
    <w:rsid w:val="00C7775D"/>
    <w:rsid w:val="00C77F62"/>
    <w:rsid w:val="00C81D1D"/>
    <w:rsid w:val="00C820FC"/>
    <w:rsid w:val="00C82C75"/>
    <w:rsid w:val="00C83C3E"/>
    <w:rsid w:val="00C840D3"/>
    <w:rsid w:val="00C841B2"/>
    <w:rsid w:val="00C8524C"/>
    <w:rsid w:val="00C92A18"/>
    <w:rsid w:val="00C93BD9"/>
    <w:rsid w:val="00C94F8E"/>
    <w:rsid w:val="00C974A7"/>
    <w:rsid w:val="00CA3567"/>
    <w:rsid w:val="00CA3EE1"/>
    <w:rsid w:val="00CA5610"/>
    <w:rsid w:val="00CA64BE"/>
    <w:rsid w:val="00CA7E5D"/>
    <w:rsid w:val="00CB061E"/>
    <w:rsid w:val="00CB0E52"/>
    <w:rsid w:val="00CB1C83"/>
    <w:rsid w:val="00CB210E"/>
    <w:rsid w:val="00CB21DB"/>
    <w:rsid w:val="00CB37B7"/>
    <w:rsid w:val="00CB3951"/>
    <w:rsid w:val="00CB69F7"/>
    <w:rsid w:val="00CB7EBC"/>
    <w:rsid w:val="00CC2FA1"/>
    <w:rsid w:val="00CC51E5"/>
    <w:rsid w:val="00CC6E59"/>
    <w:rsid w:val="00CC77ED"/>
    <w:rsid w:val="00CC7802"/>
    <w:rsid w:val="00CC78BF"/>
    <w:rsid w:val="00CD0D9F"/>
    <w:rsid w:val="00CD0EDC"/>
    <w:rsid w:val="00CD0F57"/>
    <w:rsid w:val="00CD20F2"/>
    <w:rsid w:val="00CD5A40"/>
    <w:rsid w:val="00CD6A33"/>
    <w:rsid w:val="00CD70EB"/>
    <w:rsid w:val="00CE1C18"/>
    <w:rsid w:val="00CE2786"/>
    <w:rsid w:val="00CE2BA7"/>
    <w:rsid w:val="00CE47DC"/>
    <w:rsid w:val="00CE503B"/>
    <w:rsid w:val="00CE516A"/>
    <w:rsid w:val="00CE7F23"/>
    <w:rsid w:val="00CF0EAB"/>
    <w:rsid w:val="00CF2FE8"/>
    <w:rsid w:val="00CF40DE"/>
    <w:rsid w:val="00CF4D7A"/>
    <w:rsid w:val="00CF55C7"/>
    <w:rsid w:val="00CF618E"/>
    <w:rsid w:val="00CF62F3"/>
    <w:rsid w:val="00CF72F6"/>
    <w:rsid w:val="00D003E1"/>
    <w:rsid w:val="00D0237A"/>
    <w:rsid w:val="00D02CF0"/>
    <w:rsid w:val="00D03610"/>
    <w:rsid w:val="00D045AC"/>
    <w:rsid w:val="00D04952"/>
    <w:rsid w:val="00D04B8D"/>
    <w:rsid w:val="00D052AC"/>
    <w:rsid w:val="00D072E8"/>
    <w:rsid w:val="00D07820"/>
    <w:rsid w:val="00D07E45"/>
    <w:rsid w:val="00D12431"/>
    <w:rsid w:val="00D1477E"/>
    <w:rsid w:val="00D15114"/>
    <w:rsid w:val="00D16E20"/>
    <w:rsid w:val="00D20B5F"/>
    <w:rsid w:val="00D21C14"/>
    <w:rsid w:val="00D228A8"/>
    <w:rsid w:val="00D23D54"/>
    <w:rsid w:val="00D25ACE"/>
    <w:rsid w:val="00D25FCA"/>
    <w:rsid w:val="00D26404"/>
    <w:rsid w:val="00D26D65"/>
    <w:rsid w:val="00D27F3A"/>
    <w:rsid w:val="00D30149"/>
    <w:rsid w:val="00D32F0E"/>
    <w:rsid w:val="00D3327C"/>
    <w:rsid w:val="00D3362A"/>
    <w:rsid w:val="00D413C2"/>
    <w:rsid w:val="00D439A4"/>
    <w:rsid w:val="00D43D98"/>
    <w:rsid w:val="00D44FDD"/>
    <w:rsid w:val="00D471C2"/>
    <w:rsid w:val="00D47753"/>
    <w:rsid w:val="00D51829"/>
    <w:rsid w:val="00D52BA6"/>
    <w:rsid w:val="00D556C9"/>
    <w:rsid w:val="00D559E1"/>
    <w:rsid w:val="00D5691D"/>
    <w:rsid w:val="00D57E9C"/>
    <w:rsid w:val="00D6078A"/>
    <w:rsid w:val="00D60AC9"/>
    <w:rsid w:val="00D60BE1"/>
    <w:rsid w:val="00D624A3"/>
    <w:rsid w:val="00D625DF"/>
    <w:rsid w:val="00D644C1"/>
    <w:rsid w:val="00D64C68"/>
    <w:rsid w:val="00D66A75"/>
    <w:rsid w:val="00D67944"/>
    <w:rsid w:val="00D71F46"/>
    <w:rsid w:val="00D7306C"/>
    <w:rsid w:val="00D76179"/>
    <w:rsid w:val="00D76A23"/>
    <w:rsid w:val="00D76FC1"/>
    <w:rsid w:val="00D8198C"/>
    <w:rsid w:val="00D83FFE"/>
    <w:rsid w:val="00D85479"/>
    <w:rsid w:val="00D86489"/>
    <w:rsid w:val="00D86E50"/>
    <w:rsid w:val="00D878AF"/>
    <w:rsid w:val="00D87B10"/>
    <w:rsid w:val="00D91747"/>
    <w:rsid w:val="00D93AA9"/>
    <w:rsid w:val="00D93BCB"/>
    <w:rsid w:val="00D948EB"/>
    <w:rsid w:val="00D9497F"/>
    <w:rsid w:val="00D956F3"/>
    <w:rsid w:val="00D96F8E"/>
    <w:rsid w:val="00D97371"/>
    <w:rsid w:val="00DA107B"/>
    <w:rsid w:val="00DA3F24"/>
    <w:rsid w:val="00DB0232"/>
    <w:rsid w:val="00DB37A3"/>
    <w:rsid w:val="00DB3EE6"/>
    <w:rsid w:val="00DB47D9"/>
    <w:rsid w:val="00DB4E96"/>
    <w:rsid w:val="00DC0211"/>
    <w:rsid w:val="00DC0C9A"/>
    <w:rsid w:val="00DC2E62"/>
    <w:rsid w:val="00DD18DF"/>
    <w:rsid w:val="00DD3C4F"/>
    <w:rsid w:val="00DD3CC9"/>
    <w:rsid w:val="00DD4CFF"/>
    <w:rsid w:val="00DD6629"/>
    <w:rsid w:val="00DD7289"/>
    <w:rsid w:val="00DD7E22"/>
    <w:rsid w:val="00DD7FD5"/>
    <w:rsid w:val="00DE001D"/>
    <w:rsid w:val="00DE0947"/>
    <w:rsid w:val="00DE0ED2"/>
    <w:rsid w:val="00DE2535"/>
    <w:rsid w:val="00DE2961"/>
    <w:rsid w:val="00DE352C"/>
    <w:rsid w:val="00DE5232"/>
    <w:rsid w:val="00DE757E"/>
    <w:rsid w:val="00DF20BE"/>
    <w:rsid w:val="00DF30A9"/>
    <w:rsid w:val="00DF429A"/>
    <w:rsid w:val="00DF458E"/>
    <w:rsid w:val="00DF75CD"/>
    <w:rsid w:val="00E00357"/>
    <w:rsid w:val="00E00741"/>
    <w:rsid w:val="00E03518"/>
    <w:rsid w:val="00E04211"/>
    <w:rsid w:val="00E04CDE"/>
    <w:rsid w:val="00E05A66"/>
    <w:rsid w:val="00E05B20"/>
    <w:rsid w:val="00E06527"/>
    <w:rsid w:val="00E12D4C"/>
    <w:rsid w:val="00E12E9D"/>
    <w:rsid w:val="00E133D1"/>
    <w:rsid w:val="00E15076"/>
    <w:rsid w:val="00E23E47"/>
    <w:rsid w:val="00E2471C"/>
    <w:rsid w:val="00E2536B"/>
    <w:rsid w:val="00E27910"/>
    <w:rsid w:val="00E30D4D"/>
    <w:rsid w:val="00E324E7"/>
    <w:rsid w:val="00E32E84"/>
    <w:rsid w:val="00E33BFF"/>
    <w:rsid w:val="00E33E08"/>
    <w:rsid w:val="00E3500E"/>
    <w:rsid w:val="00E35A6E"/>
    <w:rsid w:val="00E35F6F"/>
    <w:rsid w:val="00E36AD8"/>
    <w:rsid w:val="00E371E0"/>
    <w:rsid w:val="00E37E7C"/>
    <w:rsid w:val="00E41C61"/>
    <w:rsid w:val="00E43363"/>
    <w:rsid w:val="00E44402"/>
    <w:rsid w:val="00E44BCB"/>
    <w:rsid w:val="00E45C98"/>
    <w:rsid w:val="00E5331C"/>
    <w:rsid w:val="00E54AD2"/>
    <w:rsid w:val="00E574F6"/>
    <w:rsid w:val="00E600E2"/>
    <w:rsid w:val="00E61C78"/>
    <w:rsid w:val="00E645BB"/>
    <w:rsid w:val="00E653ED"/>
    <w:rsid w:val="00E663C0"/>
    <w:rsid w:val="00E66F96"/>
    <w:rsid w:val="00E76D8D"/>
    <w:rsid w:val="00E7712F"/>
    <w:rsid w:val="00E82F2F"/>
    <w:rsid w:val="00E830C7"/>
    <w:rsid w:val="00E84DA3"/>
    <w:rsid w:val="00E87A14"/>
    <w:rsid w:val="00E87C36"/>
    <w:rsid w:val="00E9044D"/>
    <w:rsid w:val="00E90D91"/>
    <w:rsid w:val="00E945A6"/>
    <w:rsid w:val="00E94729"/>
    <w:rsid w:val="00E975D6"/>
    <w:rsid w:val="00EA2542"/>
    <w:rsid w:val="00EA4220"/>
    <w:rsid w:val="00EA4A76"/>
    <w:rsid w:val="00EA6EBA"/>
    <w:rsid w:val="00EB088C"/>
    <w:rsid w:val="00EB1085"/>
    <w:rsid w:val="00EB2078"/>
    <w:rsid w:val="00EB2A1B"/>
    <w:rsid w:val="00EB566D"/>
    <w:rsid w:val="00EB5F95"/>
    <w:rsid w:val="00EB6C61"/>
    <w:rsid w:val="00EB7E62"/>
    <w:rsid w:val="00EC1E66"/>
    <w:rsid w:val="00EC28EA"/>
    <w:rsid w:val="00EC3F0D"/>
    <w:rsid w:val="00EC60D5"/>
    <w:rsid w:val="00EC72A6"/>
    <w:rsid w:val="00ED04B0"/>
    <w:rsid w:val="00ED0E02"/>
    <w:rsid w:val="00ED359F"/>
    <w:rsid w:val="00ED3AA3"/>
    <w:rsid w:val="00ED3D31"/>
    <w:rsid w:val="00ED3EE8"/>
    <w:rsid w:val="00ED4443"/>
    <w:rsid w:val="00ED45B3"/>
    <w:rsid w:val="00ED5277"/>
    <w:rsid w:val="00ED557A"/>
    <w:rsid w:val="00ED658C"/>
    <w:rsid w:val="00ED69C3"/>
    <w:rsid w:val="00ED743A"/>
    <w:rsid w:val="00ED7BC4"/>
    <w:rsid w:val="00EE2F4F"/>
    <w:rsid w:val="00EE38DB"/>
    <w:rsid w:val="00EE3CCD"/>
    <w:rsid w:val="00EE51C4"/>
    <w:rsid w:val="00EE5243"/>
    <w:rsid w:val="00EE5334"/>
    <w:rsid w:val="00EE5661"/>
    <w:rsid w:val="00EE5D45"/>
    <w:rsid w:val="00EE6AC2"/>
    <w:rsid w:val="00EE6C63"/>
    <w:rsid w:val="00EE7747"/>
    <w:rsid w:val="00EF086A"/>
    <w:rsid w:val="00EF0D5D"/>
    <w:rsid w:val="00EF0DD7"/>
    <w:rsid w:val="00EF1AA6"/>
    <w:rsid w:val="00EF3DE1"/>
    <w:rsid w:val="00EF487A"/>
    <w:rsid w:val="00EF53AA"/>
    <w:rsid w:val="00EF762E"/>
    <w:rsid w:val="00EF7632"/>
    <w:rsid w:val="00F02478"/>
    <w:rsid w:val="00F0326A"/>
    <w:rsid w:val="00F10D2F"/>
    <w:rsid w:val="00F1129C"/>
    <w:rsid w:val="00F13C90"/>
    <w:rsid w:val="00F1683F"/>
    <w:rsid w:val="00F16DDA"/>
    <w:rsid w:val="00F2001F"/>
    <w:rsid w:val="00F20DF7"/>
    <w:rsid w:val="00F21604"/>
    <w:rsid w:val="00F21F90"/>
    <w:rsid w:val="00F22957"/>
    <w:rsid w:val="00F23541"/>
    <w:rsid w:val="00F23937"/>
    <w:rsid w:val="00F32C88"/>
    <w:rsid w:val="00F35885"/>
    <w:rsid w:val="00F36BC2"/>
    <w:rsid w:val="00F37242"/>
    <w:rsid w:val="00F403C8"/>
    <w:rsid w:val="00F42474"/>
    <w:rsid w:val="00F42EB1"/>
    <w:rsid w:val="00F42F58"/>
    <w:rsid w:val="00F44963"/>
    <w:rsid w:val="00F453BF"/>
    <w:rsid w:val="00F46802"/>
    <w:rsid w:val="00F46E54"/>
    <w:rsid w:val="00F50EEB"/>
    <w:rsid w:val="00F517A0"/>
    <w:rsid w:val="00F521AC"/>
    <w:rsid w:val="00F5287F"/>
    <w:rsid w:val="00F54790"/>
    <w:rsid w:val="00F5568F"/>
    <w:rsid w:val="00F55887"/>
    <w:rsid w:val="00F60E90"/>
    <w:rsid w:val="00F61D9F"/>
    <w:rsid w:val="00F62FE9"/>
    <w:rsid w:val="00F6486B"/>
    <w:rsid w:val="00F64BE0"/>
    <w:rsid w:val="00F651EE"/>
    <w:rsid w:val="00F6555B"/>
    <w:rsid w:val="00F65E30"/>
    <w:rsid w:val="00F673A0"/>
    <w:rsid w:val="00F73CB2"/>
    <w:rsid w:val="00F745F6"/>
    <w:rsid w:val="00F74A78"/>
    <w:rsid w:val="00F802B7"/>
    <w:rsid w:val="00F808E5"/>
    <w:rsid w:val="00F80A75"/>
    <w:rsid w:val="00F8374D"/>
    <w:rsid w:val="00F83EB5"/>
    <w:rsid w:val="00F84080"/>
    <w:rsid w:val="00F85E7B"/>
    <w:rsid w:val="00F90243"/>
    <w:rsid w:val="00F9224F"/>
    <w:rsid w:val="00F93798"/>
    <w:rsid w:val="00F93D9D"/>
    <w:rsid w:val="00F948D7"/>
    <w:rsid w:val="00F96558"/>
    <w:rsid w:val="00FA0373"/>
    <w:rsid w:val="00FA13AC"/>
    <w:rsid w:val="00FA1A9F"/>
    <w:rsid w:val="00FA2DED"/>
    <w:rsid w:val="00FA490A"/>
    <w:rsid w:val="00FA576E"/>
    <w:rsid w:val="00FA5ACC"/>
    <w:rsid w:val="00FB1B4E"/>
    <w:rsid w:val="00FB1E56"/>
    <w:rsid w:val="00FB26C7"/>
    <w:rsid w:val="00FB2DEA"/>
    <w:rsid w:val="00FB475A"/>
    <w:rsid w:val="00FB51CA"/>
    <w:rsid w:val="00FC1B2D"/>
    <w:rsid w:val="00FC2C64"/>
    <w:rsid w:val="00FC5C2B"/>
    <w:rsid w:val="00FC66E0"/>
    <w:rsid w:val="00FC793E"/>
    <w:rsid w:val="00FD03A8"/>
    <w:rsid w:val="00FD37A2"/>
    <w:rsid w:val="00FD4591"/>
    <w:rsid w:val="00FD56DD"/>
    <w:rsid w:val="00FD6E77"/>
    <w:rsid w:val="00FD6F43"/>
    <w:rsid w:val="00FE0BD8"/>
    <w:rsid w:val="00FE1A26"/>
    <w:rsid w:val="00FE301E"/>
    <w:rsid w:val="00FE3A6A"/>
    <w:rsid w:val="00FE4A53"/>
    <w:rsid w:val="00FE63BF"/>
    <w:rsid w:val="00FE72D4"/>
    <w:rsid w:val="00FE7C6C"/>
    <w:rsid w:val="00FF0CBD"/>
    <w:rsid w:val="00FF1032"/>
    <w:rsid w:val="00FF16B0"/>
    <w:rsid w:val="00FF24A0"/>
    <w:rsid w:val="00FF3431"/>
    <w:rsid w:val="00FF371A"/>
    <w:rsid w:val="00FF5161"/>
    <w:rsid w:val="00FF57FB"/>
    <w:rsid w:val="00FF584C"/>
    <w:rsid w:val="00FF6E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54"/>
    <w:pPr>
      <w:framePr w:wrap="auto"/>
      <w:widowControl/>
      <w:autoSpaceDE/>
      <w:autoSpaceDN/>
      <w:adjustRightInd/>
      <w:spacing w:after="200" w:line="276" w:lineRule="auto"/>
      <w:ind w:left="0" w:right="0"/>
      <w:jc w:val="left"/>
      <w:textAlignment w:val="auto"/>
    </w:pPr>
    <w:rPr>
      <w:rFonts w:ascii="Arial Narrow" w:hAnsi="Arial Narrow" w:cstheme="minorBidi"/>
      <w:sz w:val="22"/>
      <w:szCs w:val="36"/>
      <w:rtl w:val="0"/>
      <w:cs w:val="0"/>
      <w:lang w:val="sk-SK" w:eastAsia="en-US" w:bidi="ar-SA"/>
    </w:rPr>
  </w:style>
  <w:style w:type="paragraph" w:styleId="Heading1">
    <w:name w:val="heading 1"/>
    <w:basedOn w:val="Normal"/>
    <w:next w:val="Normal"/>
    <w:link w:val="Heading1Char"/>
    <w:qFormat/>
    <w:rsid w:val="003A760D"/>
    <w:pPr>
      <w:keepNext/>
      <w:keepLines/>
      <w:numPr>
        <w:numId w:val="2"/>
      </w:numPr>
      <w:ind w:left="1495" w:hanging="360"/>
      <w:jc w:val="left"/>
      <w:outlineLvl w:val="0"/>
    </w:pPr>
    <w:rPr>
      <w:rFonts w:ascii="Times New Roman" w:hAnsi="Times New Roman" w:eastAsiaTheme="majorEastAsia" w:cs="Times New Roman"/>
      <w:b/>
      <w:bCs/>
      <w:sz w:val="26"/>
      <w:szCs w:val="26"/>
    </w:rPr>
  </w:style>
  <w:style w:type="paragraph" w:styleId="Heading2">
    <w:name w:val="heading 2"/>
    <w:basedOn w:val="Normal"/>
    <w:next w:val="Normal"/>
    <w:link w:val="Heading2Char"/>
    <w:unhideWhenUsed/>
    <w:qFormat/>
    <w:rsid w:val="003A760D"/>
    <w:pPr>
      <w:keepNext/>
      <w:keepLines/>
      <w:numPr>
        <w:ilvl w:val="1"/>
        <w:numId w:val="2"/>
      </w:numPr>
      <w:spacing w:before="200" w:after="0"/>
      <w:ind w:left="8014" w:hanging="360"/>
      <w:jc w:val="left"/>
      <w:outlineLvl w:val="1"/>
    </w:pPr>
    <w:rPr>
      <w:rFonts w:ascii="Times New Roman" w:hAnsi="Times New Roman" w:eastAsiaTheme="majorEastAsia" w:cs="Times New Roman"/>
      <w:b/>
      <w:bCs/>
      <w:sz w:val="24"/>
      <w:szCs w:val="24"/>
    </w:rPr>
  </w:style>
  <w:style w:type="paragraph" w:styleId="Heading3">
    <w:name w:val="heading 3"/>
    <w:basedOn w:val="ListParagraph"/>
    <w:next w:val="Normal"/>
    <w:link w:val="Heading3Char"/>
    <w:uiPriority w:val="9"/>
    <w:qFormat/>
    <w:rsid w:val="00A66C04"/>
    <w:pPr>
      <w:numPr>
        <w:ilvl w:val="2"/>
        <w:numId w:val="3"/>
      </w:numPr>
      <w:spacing w:after="120" w:line="336" w:lineRule="auto"/>
      <w:ind w:left="1080" w:hanging="720"/>
      <w:jc w:val="both"/>
      <w:outlineLvl w:val="2"/>
    </w:pPr>
    <w:rPr>
      <w:rFonts w:ascii="Times New Roman" w:eastAsia="Cambria" w:hAnsi="Times New Roman" w:cs="Times New Roman"/>
      <w:b/>
    </w:rPr>
  </w:style>
  <w:style w:type="paragraph" w:styleId="Heading4">
    <w:name w:val="heading 4"/>
    <w:basedOn w:val="Normal"/>
    <w:next w:val="Normal"/>
    <w:link w:val="Heading4Char"/>
    <w:unhideWhenUsed/>
    <w:qFormat/>
    <w:rsid w:val="000F366E"/>
    <w:pPr>
      <w:spacing w:after="0" w:line="360" w:lineRule="auto"/>
      <w:jc w:val="both"/>
      <w:outlineLvl w:val="3"/>
    </w:pPr>
    <w:rPr>
      <w:rFonts w:ascii="Times New Roman" w:hAnsi="Times New Roman"/>
      <w:b/>
      <w:sz w:val="24"/>
      <w:szCs w:val="24"/>
    </w:rPr>
  </w:style>
  <w:style w:type="paragraph" w:styleId="Heading5">
    <w:name w:val="heading 5"/>
    <w:basedOn w:val="Normal"/>
    <w:next w:val="Normal"/>
    <w:link w:val="Heading5Char"/>
    <w:qFormat/>
    <w:rsid w:val="003F1365"/>
    <w:pPr>
      <w:keepNext/>
      <w:tabs>
        <w:tab w:val="num" w:pos="1008"/>
      </w:tabs>
      <w:spacing w:after="0" w:line="240" w:lineRule="auto"/>
      <w:ind w:left="1008" w:hanging="1008"/>
      <w:jc w:val="center"/>
      <w:outlineLvl w:val="4"/>
    </w:pPr>
    <w:rPr>
      <w:rFonts w:ascii="Times New Roman" w:hAnsi="Times New Roman" w:cs="Times New Roman"/>
      <w:b/>
      <w:bCs/>
      <w:sz w:val="20"/>
      <w:szCs w:val="20"/>
      <w:lang w:eastAsia="cs-CZ"/>
    </w:rPr>
  </w:style>
  <w:style w:type="paragraph" w:styleId="Heading6">
    <w:name w:val="heading 6"/>
    <w:basedOn w:val="Normal"/>
    <w:next w:val="Normal"/>
    <w:link w:val="Heading6Char"/>
    <w:qFormat/>
    <w:rsid w:val="003F1365"/>
    <w:pPr>
      <w:tabs>
        <w:tab w:val="num" w:pos="1152"/>
      </w:tabs>
      <w:spacing w:before="240" w:after="60" w:line="240" w:lineRule="auto"/>
      <w:ind w:left="1152" w:hanging="1152"/>
      <w:jc w:val="left"/>
      <w:outlineLvl w:val="5"/>
    </w:pPr>
    <w:rPr>
      <w:rFonts w:ascii="Times New Roman" w:hAnsi="Times New Roman" w:cs="Times New Roman"/>
      <w:b/>
      <w:bCs/>
      <w:sz w:val="20"/>
      <w:szCs w:val="22"/>
    </w:rPr>
  </w:style>
  <w:style w:type="paragraph" w:styleId="Heading7">
    <w:name w:val="heading 7"/>
    <w:basedOn w:val="Normal"/>
    <w:next w:val="Normal"/>
    <w:link w:val="Heading7Char"/>
    <w:qFormat/>
    <w:rsid w:val="003F1365"/>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Heading8">
    <w:name w:val="heading 8"/>
    <w:basedOn w:val="Normal"/>
    <w:next w:val="Normal"/>
    <w:link w:val="Heading8Char"/>
    <w:qFormat/>
    <w:rsid w:val="003F1365"/>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3F1365"/>
    <w:pPr>
      <w:tabs>
        <w:tab w:val="num" w:pos="1584"/>
      </w:tabs>
      <w:spacing w:before="240" w:after="60" w:line="240" w:lineRule="auto"/>
      <w:ind w:left="1584" w:hanging="1584"/>
      <w:jc w:val="left"/>
      <w:outlineLvl w:val="8"/>
    </w:pPr>
    <w:rPr>
      <w:rFonts w:ascii="Arial" w:hAnsi="Arial" w:cs="Times New Roman"/>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aliases w:val="Footnote Text Char Char1 Char Char Char Char Char Char Char Char Char,Footnote Text Char1 Char,Footnote Text Char1 Char Char Char,Footnote Text Char2,Footnote Text Char2 Char Char,Footnote Text Char2 Char Char Char Char,Plonk"/>
    <w:basedOn w:val="Normal"/>
    <w:link w:val="FootnoteTextChar"/>
    <w:uiPriority w:val="99"/>
    <w:unhideWhenUsed/>
    <w:rsid w:val="007304A5"/>
    <w:pPr>
      <w:spacing w:after="0" w:line="240" w:lineRule="auto"/>
      <w:jc w:val="left"/>
    </w:pPr>
    <w:rPr>
      <w:sz w:val="20"/>
      <w:szCs w:val="20"/>
    </w:rPr>
  </w:style>
  <w:style w:type="character" w:customStyle="1" w:styleId="FootnoteTextChar">
    <w:name w:val="Footnote Text Char"/>
    <w:aliases w:val="Footnote Text Char1 Char Char,Footnote Text Char1 Char Char Char Char,Footnote Text Char2 Char,Footnote Text Char2 Char Char Char,Footnote Text Char2 Char Char Char Char Char,Plonk Char"/>
    <w:basedOn w:val="DefaultParagraphFont"/>
    <w:link w:val="FootnoteText"/>
    <w:uiPriority w:val="99"/>
    <w:locked/>
    <w:rsid w:val="007304A5"/>
    <w:rPr>
      <w:rFonts w:cs="Times New Roman"/>
      <w:sz w:val="20"/>
      <w:szCs w:val="20"/>
      <w:rtl w:val="0"/>
      <w:cs w:val="0"/>
    </w:rPr>
  </w:style>
  <w:style w:type="character" w:styleId="FootnoteReference">
    <w:name w:val="footnote reference"/>
    <w:basedOn w:val="DefaultParagraphFont"/>
    <w:uiPriority w:val="99"/>
    <w:unhideWhenUsed/>
    <w:rsid w:val="007304A5"/>
    <w:rPr>
      <w:rFonts w:cs="Times New Roman"/>
      <w:vertAlign w:val="superscript"/>
      <w:rtl w:val="0"/>
      <w:cs w:val="0"/>
    </w:rPr>
  </w:style>
  <w:style w:type="paragraph" w:styleId="Header">
    <w:name w:val="header"/>
    <w:basedOn w:val="Normal"/>
    <w:link w:val="HeaderChar"/>
    <w:uiPriority w:val="99"/>
    <w:unhideWhenUsed/>
    <w:rsid w:val="00B200F2"/>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B200F2"/>
    <w:rPr>
      <w:rFonts w:cs="Times New Roman"/>
      <w:rtl w:val="0"/>
      <w:cs w:val="0"/>
    </w:rPr>
  </w:style>
  <w:style w:type="paragraph" w:styleId="Footer">
    <w:name w:val="footer"/>
    <w:basedOn w:val="Normal"/>
    <w:link w:val="FooterChar"/>
    <w:uiPriority w:val="99"/>
    <w:unhideWhenUsed/>
    <w:rsid w:val="00B200F2"/>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B200F2"/>
    <w:rPr>
      <w:rFonts w:cs="Times New Roman"/>
      <w:rtl w:val="0"/>
      <w:cs w:val="0"/>
    </w:rPr>
  </w:style>
  <w:style w:type="paragraph" w:customStyle="1" w:styleId="NormalList">
    <w:name w:val="NormalList"/>
    <w:basedOn w:val="Normal"/>
    <w:rsid w:val="006B3B40"/>
    <w:pPr>
      <w:spacing w:after="0" w:line="240" w:lineRule="auto"/>
      <w:jc w:val="both"/>
    </w:pPr>
    <w:rPr>
      <w:rFonts w:cs="Book Antiqua"/>
      <w:szCs w:val="22"/>
    </w:rPr>
  </w:style>
  <w:style w:type="paragraph" w:styleId="ListParagraph">
    <w:name w:val="List Paragraph"/>
    <w:basedOn w:val="Normal"/>
    <w:link w:val="ListParagraphChar"/>
    <w:uiPriority w:val="34"/>
    <w:qFormat/>
    <w:rsid w:val="006B3B40"/>
    <w:pPr>
      <w:spacing w:after="0" w:line="240" w:lineRule="auto"/>
      <w:ind w:left="720"/>
      <w:contextualSpacing/>
      <w:jc w:val="left"/>
    </w:pPr>
    <w:rPr>
      <w:rFonts w:cs="Book Antiqua"/>
      <w:szCs w:val="22"/>
      <w:lang w:eastAsia="sk-SK"/>
    </w:rPr>
  </w:style>
  <w:style w:type="character" w:customStyle="1" w:styleId="Heading3Char">
    <w:name w:val="Heading 3 Char"/>
    <w:basedOn w:val="DefaultParagraphFont"/>
    <w:link w:val="Heading3"/>
    <w:uiPriority w:val="9"/>
    <w:locked/>
    <w:rsid w:val="00A66C04"/>
    <w:rPr>
      <w:rFonts w:ascii="Times New Roman" w:eastAsia="Cambria" w:hAnsi="Times New Roman" w:cs="Times New Roman"/>
      <w:b/>
      <w:sz w:val="22"/>
      <w:szCs w:val="22"/>
      <w:rtl w:val="0"/>
      <w:cs w:val="0"/>
      <w:lang w:val="x-none" w:eastAsia="sk-SK"/>
    </w:rPr>
  </w:style>
  <w:style w:type="character" w:styleId="CommentReference">
    <w:name w:val="annotation reference"/>
    <w:basedOn w:val="DefaultParagraphFont"/>
    <w:uiPriority w:val="99"/>
    <w:semiHidden/>
    <w:unhideWhenUsed/>
    <w:rsid w:val="006752EF"/>
    <w:rPr>
      <w:rFonts w:cs="Times New Roman"/>
      <w:sz w:val="16"/>
      <w:szCs w:val="16"/>
      <w:rtl w:val="0"/>
      <w:cs w:val="0"/>
    </w:rPr>
  </w:style>
  <w:style w:type="paragraph" w:styleId="CommentText">
    <w:name w:val="annotation text"/>
    <w:basedOn w:val="Normal"/>
    <w:link w:val="CommentTextChar"/>
    <w:uiPriority w:val="99"/>
    <w:semiHidden/>
    <w:unhideWhenUsed/>
    <w:rsid w:val="006752EF"/>
    <w:pPr>
      <w:spacing w:after="0" w:line="240" w:lineRule="auto"/>
      <w:jc w:val="left"/>
    </w:pPr>
    <w:rPr>
      <w:rFonts w:ascii="Times New Roman" w:hAnsi="Times New Roman" w:cs="Times New Roman"/>
      <w:sz w:val="20"/>
      <w:szCs w:val="20"/>
      <w:lang w:eastAsia="sk-SK"/>
    </w:rPr>
  </w:style>
  <w:style w:type="character" w:customStyle="1" w:styleId="CommentTextChar">
    <w:name w:val="Comment Text Char"/>
    <w:basedOn w:val="DefaultParagraphFont"/>
    <w:link w:val="CommentText"/>
    <w:uiPriority w:val="99"/>
    <w:semiHidden/>
    <w:locked/>
    <w:rsid w:val="006752EF"/>
    <w:rPr>
      <w:rFonts w:ascii="Times New Roman" w:hAnsi="Times New Roman" w:cs="Times New Roman"/>
      <w:sz w:val="20"/>
      <w:szCs w:val="20"/>
      <w:rtl w:val="0"/>
      <w:cs w:val="0"/>
      <w:lang w:val="x-none" w:eastAsia="sk-SK"/>
    </w:rPr>
  </w:style>
  <w:style w:type="paragraph" w:styleId="BalloonText">
    <w:name w:val="Balloon Text"/>
    <w:basedOn w:val="Normal"/>
    <w:link w:val="BalloonTextChar"/>
    <w:uiPriority w:val="99"/>
    <w:semiHidden/>
    <w:unhideWhenUsed/>
    <w:rsid w:val="006752EF"/>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52EF"/>
    <w:rPr>
      <w:rFonts w:ascii="Tahoma" w:hAnsi="Tahoma" w:cs="Tahoma"/>
      <w:sz w:val="16"/>
      <w:szCs w:val="16"/>
      <w:rtl w:val="0"/>
      <w:cs w:val="0"/>
    </w:rPr>
  </w:style>
  <w:style w:type="paragraph" w:styleId="CommentSubject">
    <w:name w:val="annotation subject"/>
    <w:basedOn w:val="CommentText"/>
    <w:next w:val="CommentText"/>
    <w:link w:val="CommentSubjectChar"/>
    <w:uiPriority w:val="99"/>
    <w:semiHidden/>
    <w:unhideWhenUsed/>
    <w:rsid w:val="009F701F"/>
    <w:pPr>
      <w:spacing w:after="200" w:line="240" w:lineRule="auto"/>
      <w:jc w:val="left"/>
    </w:pPr>
    <w:rPr>
      <w:rFonts w:ascii="Arial Narrow" w:hAnsi="Arial Narrow" w:cstheme="minorBidi"/>
      <w:b/>
      <w:bCs/>
      <w:lang w:eastAsia="en-US"/>
    </w:rPr>
  </w:style>
  <w:style w:type="character" w:customStyle="1" w:styleId="CommentSubjectChar">
    <w:name w:val="Comment Subject Char"/>
    <w:basedOn w:val="CommentTextChar"/>
    <w:link w:val="CommentSubject"/>
    <w:uiPriority w:val="99"/>
    <w:semiHidden/>
    <w:locked/>
    <w:rsid w:val="009F701F"/>
    <w:rPr>
      <w:b/>
      <w:bCs/>
    </w:rPr>
  </w:style>
  <w:style w:type="character" w:customStyle="1" w:styleId="Heading1Char">
    <w:name w:val="Heading 1 Char"/>
    <w:basedOn w:val="DefaultParagraphFont"/>
    <w:link w:val="Heading1"/>
    <w:locked/>
    <w:rsid w:val="003A760D"/>
    <w:rPr>
      <w:rFonts w:ascii="Times New Roman" w:hAnsi="Times New Roman" w:eastAsiaTheme="majorEastAsia" w:cs="Times New Roman"/>
      <w:b/>
      <w:bCs/>
      <w:sz w:val="26"/>
      <w:szCs w:val="26"/>
      <w:rtl w:val="0"/>
      <w:cs w:val="0"/>
    </w:rPr>
  </w:style>
  <w:style w:type="paragraph" w:styleId="BodyText">
    <w:name w:val="Body Text"/>
    <w:basedOn w:val="Normal"/>
    <w:link w:val="BodyTextChar"/>
    <w:rsid w:val="003A760D"/>
    <w:pPr>
      <w:spacing w:after="0" w:line="240" w:lineRule="auto"/>
      <w:jc w:val="both"/>
    </w:pPr>
    <w:rPr>
      <w:rFonts w:ascii="Times New Roman" w:hAnsi="Times New Roman" w:cs="Times New Roman"/>
      <w:sz w:val="24"/>
      <w:szCs w:val="20"/>
      <w:lang w:eastAsia="cs-CZ"/>
    </w:rPr>
  </w:style>
  <w:style w:type="character" w:customStyle="1" w:styleId="BodyTextChar">
    <w:name w:val="Body Text Char"/>
    <w:basedOn w:val="DefaultParagraphFont"/>
    <w:link w:val="BodyText"/>
    <w:locked/>
    <w:rsid w:val="003A760D"/>
    <w:rPr>
      <w:rFonts w:ascii="Times New Roman" w:hAnsi="Times New Roman" w:cs="Times New Roman"/>
      <w:sz w:val="20"/>
      <w:szCs w:val="20"/>
      <w:rtl w:val="0"/>
      <w:cs w:val="0"/>
      <w:lang w:val="x-none" w:eastAsia="cs-CZ"/>
    </w:rPr>
  </w:style>
  <w:style w:type="character" w:customStyle="1" w:styleId="Heading2Char">
    <w:name w:val="Heading 2 Char"/>
    <w:basedOn w:val="DefaultParagraphFont"/>
    <w:link w:val="Heading2"/>
    <w:locked/>
    <w:rsid w:val="003A760D"/>
    <w:rPr>
      <w:rFonts w:ascii="Times New Roman" w:hAnsi="Times New Roman" w:eastAsiaTheme="majorEastAsia" w:cs="Times New Roman"/>
      <w:b/>
      <w:bCs/>
      <w:sz w:val="24"/>
      <w:szCs w:val="24"/>
      <w:rtl w:val="0"/>
      <w:cs w:val="0"/>
    </w:rPr>
  </w:style>
  <w:style w:type="paragraph" w:styleId="Revision">
    <w:name w:val="Revision"/>
    <w:hidden/>
    <w:uiPriority w:val="99"/>
    <w:semiHidden/>
    <w:rsid w:val="003A760D"/>
    <w:pPr>
      <w:framePr w:wrap="auto"/>
      <w:widowControl/>
      <w:autoSpaceDE/>
      <w:autoSpaceDN/>
      <w:adjustRightInd/>
      <w:ind w:left="0" w:right="0"/>
      <w:jc w:val="left"/>
      <w:textAlignment w:val="auto"/>
    </w:pPr>
    <w:rPr>
      <w:rFonts w:ascii="Arial Narrow" w:eastAsia="Calibri" w:hAnsi="Arial Narrow" w:cs="Times New Roman"/>
      <w:sz w:val="22"/>
      <w:szCs w:val="36"/>
      <w:rtl w:val="0"/>
      <w:cs w:val="0"/>
      <w:lang w:val="sk-SK" w:eastAsia="en-US" w:bidi="ar-SA"/>
    </w:rPr>
  </w:style>
  <w:style w:type="character" w:styleId="Strong">
    <w:name w:val="Strong"/>
    <w:basedOn w:val="DefaultParagraphFont"/>
    <w:uiPriority w:val="22"/>
    <w:qFormat/>
    <w:rsid w:val="00D072E8"/>
    <w:rPr>
      <w:rFonts w:cs="Times New Roman"/>
      <w:bCs/>
      <w:rtl w:val="0"/>
      <w:cs w:val="0"/>
    </w:rPr>
  </w:style>
  <w:style w:type="character" w:customStyle="1" w:styleId="ListParagraphChar">
    <w:name w:val="List Paragraph Char"/>
    <w:link w:val="ListParagraph"/>
    <w:uiPriority w:val="34"/>
    <w:locked/>
    <w:rsid w:val="005D5220"/>
    <w:rPr>
      <w:rFonts w:eastAsia="Times New Roman"/>
      <w:sz w:val="22"/>
      <w:lang w:val="x-none" w:eastAsia="sk-SK"/>
    </w:rPr>
  </w:style>
  <w:style w:type="paragraph" w:customStyle="1" w:styleId="Pismenka">
    <w:name w:val="Pismenka"/>
    <w:basedOn w:val="BodyText"/>
    <w:uiPriority w:val="99"/>
    <w:rsid w:val="005D5220"/>
    <w:pPr>
      <w:tabs>
        <w:tab w:val="num" w:pos="426"/>
      </w:tabs>
      <w:spacing w:after="0" w:line="240" w:lineRule="auto"/>
      <w:ind w:left="426" w:hanging="426"/>
      <w:jc w:val="both"/>
    </w:pPr>
    <w:rPr>
      <w:rFonts w:ascii="Times New Roman" w:hAnsi="Times New Roman"/>
      <w:b/>
      <w:bCs/>
      <w:sz w:val="18"/>
      <w:szCs w:val="18"/>
      <w:lang w:eastAsia="sk-SK"/>
    </w:rPr>
  </w:style>
  <w:style w:type="paragraph" w:styleId="NoSpacing">
    <w:name w:val="No Spacing"/>
    <w:uiPriority w:val="1"/>
    <w:qFormat/>
    <w:rsid w:val="005D5220"/>
    <w:pPr>
      <w:framePr w:wrap="auto"/>
      <w:widowControl/>
      <w:autoSpaceDE/>
      <w:autoSpaceDN/>
      <w:adjustRightInd/>
      <w:ind w:left="0" w:right="0"/>
      <w:jc w:val="left"/>
      <w:textAlignment w:val="auto"/>
    </w:pPr>
    <w:rPr>
      <w:rFonts w:ascii="Arial Narrow" w:eastAsia="Calibri" w:hAnsi="Arial Narrow" w:cs="Times New Roman"/>
      <w:sz w:val="22"/>
      <w:szCs w:val="36"/>
      <w:rtl w:val="0"/>
      <w:cs w:val="0"/>
      <w:lang w:val="sk-SK" w:eastAsia="en-US" w:bidi="ar-SA"/>
    </w:rPr>
  </w:style>
  <w:style w:type="character" w:customStyle="1" w:styleId="Heading4Char">
    <w:name w:val="Heading 4 Char"/>
    <w:basedOn w:val="DefaultParagraphFont"/>
    <w:link w:val="Heading4"/>
    <w:locked/>
    <w:rsid w:val="000F366E"/>
    <w:rPr>
      <w:rFonts w:ascii="Times New Roman" w:hAnsi="Times New Roman" w:cs="Times New Roman"/>
      <w:b/>
      <w:sz w:val="24"/>
      <w:szCs w:val="24"/>
      <w:rtl w:val="0"/>
      <w:cs w:val="0"/>
    </w:rPr>
  </w:style>
  <w:style w:type="character" w:customStyle="1" w:styleId="Heading5Char">
    <w:name w:val="Heading 5 Char"/>
    <w:basedOn w:val="DefaultParagraphFont"/>
    <w:link w:val="Heading5"/>
    <w:locked/>
    <w:rsid w:val="003F1365"/>
    <w:rPr>
      <w:rFonts w:ascii="Times New Roman" w:hAnsi="Times New Roman" w:cs="Times New Roman"/>
      <w:b/>
      <w:bCs/>
      <w:sz w:val="20"/>
      <w:szCs w:val="20"/>
      <w:rtl w:val="0"/>
      <w:cs w:val="0"/>
      <w:lang w:val="x-none" w:eastAsia="cs-CZ"/>
    </w:rPr>
  </w:style>
  <w:style w:type="character" w:customStyle="1" w:styleId="Heading6Char">
    <w:name w:val="Heading 6 Char"/>
    <w:basedOn w:val="DefaultParagraphFont"/>
    <w:link w:val="Heading6"/>
    <w:locked/>
    <w:rsid w:val="003F1365"/>
    <w:rPr>
      <w:rFonts w:ascii="Times New Roman" w:hAnsi="Times New Roman" w:cs="Times New Roman"/>
      <w:b/>
      <w:bCs/>
      <w:sz w:val="22"/>
      <w:szCs w:val="22"/>
      <w:rtl w:val="0"/>
      <w:cs w:val="0"/>
      <w:lang w:val="x-none" w:eastAsia="x-none"/>
    </w:rPr>
  </w:style>
  <w:style w:type="character" w:customStyle="1" w:styleId="Heading7Char">
    <w:name w:val="Heading 7 Char"/>
    <w:basedOn w:val="DefaultParagraphFont"/>
    <w:link w:val="Heading7"/>
    <w:locked/>
    <w:rsid w:val="003F1365"/>
    <w:rPr>
      <w:rFonts w:ascii="Times New Roman" w:hAnsi="Times New Roman" w:cs="Times New Roman"/>
      <w:sz w:val="24"/>
      <w:szCs w:val="24"/>
      <w:rtl w:val="0"/>
      <w:cs w:val="0"/>
      <w:lang w:val="x-none" w:eastAsia="x-none"/>
    </w:rPr>
  </w:style>
  <w:style w:type="character" w:customStyle="1" w:styleId="Heading8Char">
    <w:name w:val="Heading 8 Char"/>
    <w:basedOn w:val="DefaultParagraphFont"/>
    <w:link w:val="Heading8"/>
    <w:locked/>
    <w:rsid w:val="003F1365"/>
    <w:rPr>
      <w:rFonts w:ascii="Times New Roman" w:hAnsi="Times New Roman" w:cs="Times New Roman"/>
      <w:i/>
      <w:iCs/>
      <w:sz w:val="24"/>
      <w:szCs w:val="24"/>
      <w:rtl w:val="0"/>
      <w:cs w:val="0"/>
      <w:lang w:val="x-none" w:eastAsia="x-none"/>
    </w:rPr>
  </w:style>
  <w:style w:type="character" w:customStyle="1" w:styleId="Heading9Char">
    <w:name w:val="Heading 9 Char"/>
    <w:basedOn w:val="DefaultParagraphFont"/>
    <w:link w:val="Heading9"/>
    <w:locked/>
    <w:rsid w:val="003F1365"/>
    <w:rPr>
      <w:rFonts w:ascii="Arial" w:hAnsi="Arial" w:cs="Times New Roman"/>
      <w:sz w:val="22"/>
      <w:szCs w:val="22"/>
      <w:rtl w:val="0"/>
      <w:cs w:val="0"/>
      <w:lang w:val="x-none" w:eastAsia="x-none"/>
    </w:rPr>
  </w:style>
  <w:style w:type="paragraph" w:styleId="NormalWeb">
    <w:name w:val="Normal (Web)"/>
    <w:basedOn w:val="Normal"/>
    <w:uiPriority w:val="99"/>
    <w:unhideWhenUsed/>
    <w:rsid w:val="003F1365"/>
    <w:pPr>
      <w:spacing w:after="100" w:afterAutospacing="1" w:line="240" w:lineRule="auto"/>
      <w:jc w:val="left"/>
    </w:pPr>
    <w:rPr>
      <w:rFonts w:ascii="Times New Roman" w:hAnsi="Times New Roman" w:cs="Times New Roman"/>
      <w:sz w:val="24"/>
      <w:szCs w:val="24"/>
      <w:lang w:eastAsia="sk-SK"/>
    </w:rPr>
  </w:style>
  <w:style w:type="character" w:styleId="Hyperlink">
    <w:name w:val="Hyperlink"/>
    <w:uiPriority w:val="99"/>
    <w:unhideWhenUsed/>
    <w:rsid w:val="003F1365"/>
    <w:rPr>
      <w:color w:val="9E150F"/>
      <w:u w:val="single"/>
    </w:rPr>
  </w:style>
  <w:style w:type="table" w:styleId="TableGrid">
    <w:name w:val="Table Grid"/>
    <w:basedOn w:val="TableNormal"/>
    <w:uiPriority w:val="59"/>
    <w:rsid w:val="003F1365"/>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F1365"/>
  </w:style>
  <w:style w:type="paragraph" w:customStyle="1" w:styleId="Zkladntext1">
    <w:name w:val="Základní text1"/>
    <w:uiPriority w:val="99"/>
    <w:rsid w:val="003F1365"/>
    <w:pPr>
      <w:framePr w:wrap="auto"/>
      <w:widowControl/>
      <w:autoSpaceDE/>
      <w:autoSpaceDN/>
      <w:adjustRightInd/>
      <w:spacing w:before="144" w:after="144"/>
      <w:ind w:left="0" w:right="0" w:firstLine="709"/>
      <w:jc w:val="both"/>
      <w:textAlignment w:val="auto"/>
    </w:pPr>
    <w:rPr>
      <w:rFonts w:cs="Times New Roman"/>
      <w:color w:val="000000"/>
      <w:sz w:val="24"/>
      <w:szCs w:val="24"/>
      <w:rtl w:val="0"/>
      <w:cs w:val="0"/>
      <w:lang w:val="sk-SK" w:eastAsia="sk-SK" w:bidi="ar-SA"/>
    </w:rPr>
  </w:style>
  <w:style w:type="paragraph" w:customStyle="1" w:styleId="odstavec">
    <w:name w:val="odstavec"/>
    <w:basedOn w:val="Normal"/>
    <w:autoRedefine/>
    <w:rsid w:val="003F1365"/>
    <w:pPr>
      <w:spacing w:after="0" w:line="240" w:lineRule="auto"/>
      <w:ind w:right="-79"/>
      <w:jc w:val="both"/>
    </w:pPr>
    <w:rPr>
      <w:rFonts w:ascii="Times New Roman" w:hAnsi="Times New Roman" w:cs="Times New Roman"/>
      <w:sz w:val="20"/>
      <w:szCs w:val="24"/>
      <w:lang w:eastAsia="sk-SK"/>
    </w:rPr>
  </w:style>
  <w:style w:type="paragraph" w:customStyle="1" w:styleId="abc">
    <w:name w:val="abc"/>
    <w:basedOn w:val="Normal"/>
    <w:autoRedefine/>
    <w:rsid w:val="003F1365"/>
    <w:pPr>
      <w:numPr>
        <w:numId w:val="5"/>
      </w:numPr>
      <w:tabs>
        <w:tab w:val="num" w:pos="465"/>
      </w:tabs>
      <w:spacing w:before="60" w:after="120" w:line="240" w:lineRule="auto"/>
      <w:ind w:left="465" w:hanging="465"/>
      <w:jc w:val="both"/>
    </w:pPr>
    <w:rPr>
      <w:rFonts w:ascii="Times New Roman" w:hAnsi="Times New Roman" w:cs="Times New Roman"/>
      <w:b/>
      <w:sz w:val="20"/>
      <w:szCs w:val="20"/>
      <w:lang w:eastAsia="sk-SK"/>
    </w:rPr>
  </w:style>
  <w:style w:type="character" w:customStyle="1" w:styleId="spanr">
    <w:name w:val="span_r"/>
    <w:basedOn w:val="DefaultParagraphFont"/>
    <w:rsid w:val="003F1365"/>
    <w:rPr>
      <w:rFonts w:cs="Times New Roman"/>
      <w:rtl w:val="0"/>
      <w:cs w:val="0"/>
    </w:rPr>
  </w:style>
  <w:style w:type="paragraph" w:customStyle="1" w:styleId="CharChar1">
    <w:name w:val="Char Char1"/>
    <w:basedOn w:val="Normal"/>
    <w:rsid w:val="003F1365"/>
    <w:pPr>
      <w:spacing w:after="160" w:line="240" w:lineRule="exact"/>
      <w:jc w:val="left"/>
    </w:pPr>
    <w:rPr>
      <w:rFonts w:ascii="Tahoma" w:hAnsi="Tahoma" w:cs="Times New Roman"/>
      <w:sz w:val="20"/>
      <w:szCs w:val="20"/>
    </w:rPr>
  </w:style>
  <w:style w:type="character" w:customStyle="1" w:styleId="poradna-tl-reaguj1">
    <w:name w:val="poradna-tl-reaguj1"/>
    <w:rsid w:val="003F1365"/>
    <w:rPr>
      <w:color w:val="A55570"/>
      <w:sz w:val="20"/>
    </w:rPr>
  </w:style>
  <w:style w:type="paragraph" w:customStyle="1" w:styleId="Zakladnmtext">
    <w:name w:val="Z&lt;/a&gt;kladn&lt;/m&gt; text"/>
    <w:rsid w:val="003F1365"/>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Xadka">
    <w:name w:val="&lt;/X&gt;&lt;/a&gt;dka"/>
    <w:rsid w:val="003F1365"/>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Znahka">
    <w:name w:val="Zna&lt;/h&gt;ka"/>
    <w:rsid w:val="003F1365"/>
    <w:pPr>
      <w:framePr w:wrap="auto"/>
      <w:widowControl/>
      <w:autoSpaceDE/>
      <w:autoSpaceDN/>
      <w:adjustRightInd/>
      <w:ind w:left="288" w:right="0" w:hanging="288"/>
      <w:jc w:val="left"/>
      <w:textAlignment w:val="auto"/>
    </w:pPr>
    <w:rPr>
      <w:rFonts w:cs="Times New Roman"/>
      <w:color w:val="000000"/>
      <w:sz w:val="24"/>
      <w:szCs w:val="20"/>
      <w:rtl w:val="0"/>
      <w:cs w:val="0"/>
      <w:lang w:val="en-US" w:eastAsia="sk-SK" w:bidi="ar-SA"/>
    </w:rPr>
  </w:style>
  <w:style w:type="paragraph" w:customStyle="1" w:styleId="Znahka1">
    <w:name w:val="Zna&lt;/h&gt;ka 1"/>
    <w:rsid w:val="003F1365"/>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Hmsloseznamu">
    <w:name w:val="&lt;/H&gt;&lt;/m&gt;slo seznamu"/>
    <w:rsid w:val="003F1365"/>
    <w:pPr>
      <w:framePr w:wrap="auto"/>
      <w:widowControl/>
      <w:tabs>
        <w:tab w:val="left" w:pos="576"/>
      </w:tabs>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Podnadpis">
    <w:name w:val="Podnadpis"/>
    <w:rsid w:val="003F1365"/>
    <w:pPr>
      <w:framePr w:wrap="auto"/>
      <w:widowControl/>
      <w:autoSpaceDE/>
      <w:autoSpaceDN/>
      <w:adjustRightInd/>
      <w:ind w:left="0" w:right="0"/>
      <w:jc w:val="left"/>
      <w:textAlignment w:val="auto"/>
    </w:pPr>
    <w:rPr>
      <w:rFonts w:cs="Times New Roman"/>
      <w:b/>
      <w:i/>
      <w:color w:val="000000"/>
      <w:sz w:val="24"/>
      <w:szCs w:val="20"/>
      <w:rtl w:val="0"/>
      <w:cs w:val="0"/>
      <w:lang w:val="en-US" w:eastAsia="sk-SK" w:bidi="ar-SA"/>
    </w:rPr>
  </w:style>
  <w:style w:type="paragraph" w:customStyle="1" w:styleId="Nadpis">
    <w:name w:val="Nadpis"/>
    <w:rsid w:val="003F1365"/>
    <w:pPr>
      <w:framePr w:wrap="auto"/>
      <w:widowControl/>
      <w:autoSpaceDE/>
      <w:autoSpaceDN/>
      <w:adjustRightInd/>
      <w:ind w:left="0" w:right="0"/>
      <w:jc w:val="center"/>
      <w:textAlignment w:val="auto"/>
    </w:pPr>
    <w:rPr>
      <w:rFonts w:ascii="Arial" w:hAnsi="Arial" w:cs="Times New Roman"/>
      <w:b/>
      <w:color w:val="000000"/>
      <w:sz w:val="36"/>
      <w:szCs w:val="20"/>
      <w:rtl w:val="0"/>
      <w:cs w:val="0"/>
      <w:lang w:val="en-US" w:eastAsia="sk-SK" w:bidi="ar-SA"/>
    </w:rPr>
  </w:style>
  <w:style w:type="paragraph" w:customStyle="1" w:styleId="Zahlavm">
    <w:name w:val="Z&lt;/a&gt;hlav&lt;/m&gt;"/>
    <w:rsid w:val="003F1365"/>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Pata">
    <w:name w:val="Pata"/>
    <w:rsid w:val="003F1365"/>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Texttabulky">
    <w:name w:val="Text tabulky"/>
    <w:rsid w:val="003F1365"/>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Zkladntext10">
    <w:name w:val="Základný text1"/>
    <w:rsid w:val="003F1365"/>
    <w:pPr>
      <w:framePr w:wrap="auto"/>
      <w:widowControl/>
      <w:autoSpaceDE/>
      <w:autoSpaceDN/>
      <w:adjustRightInd/>
      <w:ind w:left="0" w:right="0"/>
      <w:jc w:val="left"/>
      <w:textAlignment w:val="auto"/>
    </w:pPr>
    <w:rPr>
      <w:rFonts w:ascii="Dutch801 SWC" w:hAnsi="Dutch801 SWC" w:cs="Times New Roman"/>
      <w:color w:val="000000"/>
      <w:sz w:val="24"/>
      <w:szCs w:val="20"/>
      <w:rtl w:val="0"/>
      <w:cs w:val="0"/>
      <w:lang w:val="en-US" w:eastAsia="sk-SK" w:bidi="ar-SA"/>
    </w:rPr>
  </w:style>
  <w:style w:type="paragraph" w:customStyle="1" w:styleId="Zkladntext">
    <w:name w:val="Základní text"/>
    <w:rsid w:val="003F1365"/>
    <w:pPr>
      <w:framePr w:wrap="auto"/>
      <w:widowControl/>
      <w:autoSpaceDE w:val="0"/>
      <w:autoSpaceDN w:val="0"/>
      <w:adjustRightInd w:val="0"/>
      <w:ind w:left="0" w:right="0"/>
      <w:jc w:val="left"/>
      <w:textAlignment w:val="auto"/>
    </w:pPr>
    <w:rPr>
      <w:rFonts w:cs="Times New Roman"/>
      <w:color w:val="000000"/>
      <w:sz w:val="20"/>
      <w:szCs w:val="24"/>
      <w:rtl w:val="0"/>
      <w:cs w:val="0"/>
      <w:lang w:val="sk-SK" w:eastAsia="sk-SK" w:bidi="ar-SA"/>
    </w:rPr>
  </w:style>
  <w:style w:type="character" w:customStyle="1" w:styleId="BodyText2Char">
    <w:name w:val="Body Text 2 Char"/>
    <w:aliases w:val="Char Char"/>
    <w:basedOn w:val="DefaultParagraphFont"/>
    <w:locked/>
    <w:rsid w:val="003F1365"/>
    <w:rPr>
      <w:rFonts w:ascii="Times New Roman" w:hAnsi="Times New Roman" w:cs="Times New Roman"/>
      <w:sz w:val="20"/>
      <w:szCs w:val="20"/>
      <w:rtl w:val="0"/>
      <w:cs w:val="0"/>
      <w:lang w:val="x-none" w:eastAsia="x-none"/>
    </w:rPr>
  </w:style>
  <w:style w:type="paragraph" w:styleId="BodyTextIndent">
    <w:name w:val="Body Text Indent"/>
    <w:basedOn w:val="Normal"/>
    <w:link w:val="BodyTextIndentChar"/>
    <w:rsid w:val="003F1365"/>
    <w:pPr>
      <w:spacing w:after="0" w:line="240" w:lineRule="auto"/>
      <w:ind w:firstLine="708"/>
      <w:jc w:val="both"/>
    </w:pPr>
    <w:rPr>
      <w:rFonts w:ascii="Dutch801 SWC" w:hAnsi="Dutch801 SWC" w:cs="Times New Roman"/>
      <w:sz w:val="24"/>
      <w:szCs w:val="20"/>
    </w:rPr>
  </w:style>
  <w:style w:type="character" w:customStyle="1" w:styleId="BodyTextIndentChar">
    <w:name w:val="Body Text Indent Char"/>
    <w:basedOn w:val="DefaultParagraphFont"/>
    <w:link w:val="BodyTextIndent"/>
    <w:locked/>
    <w:rsid w:val="003F1365"/>
    <w:rPr>
      <w:rFonts w:ascii="Dutch801 SWC" w:hAnsi="Dutch801 SWC" w:cs="Times New Roman"/>
      <w:sz w:val="20"/>
      <w:szCs w:val="20"/>
      <w:rtl w:val="0"/>
      <w:cs w:val="0"/>
      <w:lang w:val="x-none" w:eastAsia="x-none"/>
    </w:rPr>
  </w:style>
  <w:style w:type="paragraph" w:styleId="BodyText3">
    <w:name w:val="Body Text 3"/>
    <w:basedOn w:val="Normal"/>
    <w:link w:val="BodyText3Char"/>
    <w:rsid w:val="003F136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21" w:lineRule="atLeast"/>
      <w:jc w:val="left"/>
    </w:pPr>
    <w:rPr>
      <w:rFonts w:ascii="Times New Roman" w:hAnsi="Times New Roman" w:cs="Times New Roman"/>
      <w:b/>
      <w:bCs/>
      <w:sz w:val="28"/>
      <w:szCs w:val="24"/>
    </w:rPr>
  </w:style>
  <w:style w:type="character" w:customStyle="1" w:styleId="BodyText3Char">
    <w:name w:val="Body Text 3 Char"/>
    <w:basedOn w:val="DefaultParagraphFont"/>
    <w:link w:val="BodyText3"/>
    <w:locked/>
    <w:rsid w:val="003F1365"/>
    <w:rPr>
      <w:rFonts w:ascii="Times New Roman" w:hAnsi="Times New Roman" w:cs="Times New Roman"/>
      <w:b/>
      <w:bCs/>
      <w:sz w:val="24"/>
      <w:szCs w:val="24"/>
      <w:rtl w:val="0"/>
      <w:cs w:val="0"/>
      <w:lang w:val="x-none" w:eastAsia="x-none"/>
    </w:rPr>
  </w:style>
  <w:style w:type="paragraph" w:customStyle="1" w:styleId="Zkladntext21">
    <w:name w:val="Základný text 21"/>
    <w:basedOn w:val="Normal"/>
    <w:rsid w:val="003F1365"/>
    <w:pPr>
      <w:widowControl w:val="0"/>
      <w:spacing w:before="120" w:after="120" w:line="240" w:lineRule="auto"/>
      <w:ind w:left="426"/>
      <w:jc w:val="both"/>
    </w:pPr>
    <w:rPr>
      <w:rFonts w:ascii="Times New Roman" w:hAnsi="Times New Roman" w:cs="Times New Roman"/>
      <w:sz w:val="24"/>
      <w:szCs w:val="20"/>
      <w:lang w:val="cs-CZ"/>
    </w:rPr>
  </w:style>
  <w:style w:type="paragraph" w:customStyle="1" w:styleId="08Textsprvy">
    <w:name w:val="08. Text správy"/>
    <w:basedOn w:val="Normal"/>
    <w:rsid w:val="003F1365"/>
    <w:pPr>
      <w:spacing w:after="0" w:line="240" w:lineRule="auto"/>
      <w:jc w:val="both"/>
    </w:pPr>
    <w:rPr>
      <w:rFonts w:ascii="Times New Roman" w:hAnsi="Times New Roman" w:cs="Times New Roman"/>
      <w:sz w:val="24"/>
      <w:szCs w:val="20"/>
      <w:lang w:eastAsia="cs-CZ"/>
    </w:rPr>
  </w:style>
  <w:style w:type="table" w:customStyle="1" w:styleId="Mriekatabuky1">
    <w:name w:val="Mriežka tabuľky1"/>
    <w:basedOn w:val="TableNormal"/>
    <w:next w:val="TableGrid"/>
    <w:rsid w:val="003F1365"/>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3F1365"/>
    <w:pPr>
      <w:spacing w:after="160" w:line="240" w:lineRule="exact"/>
      <w:jc w:val="left"/>
    </w:pPr>
    <w:rPr>
      <w:rFonts w:ascii="Tahoma" w:hAnsi="Tahoma" w:cs="Times New Roman"/>
      <w:sz w:val="20"/>
      <w:szCs w:val="20"/>
    </w:rPr>
  </w:style>
  <w:style w:type="paragraph" w:customStyle="1" w:styleId="titulok">
    <w:name w:val="titulok"/>
    <w:basedOn w:val="Normal"/>
    <w:rsid w:val="003F1365"/>
    <w:pPr>
      <w:spacing w:before="100" w:beforeAutospacing="1" w:after="100" w:afterAutospacing="1" w:line="240" w:lineRule="auto"/>
      <w:jc w:val="center"/>
    </w:pPr>
    <w:rPr>
      <w:rFonts w:ascii="Arial" w:hAnsi="Arial" w:cs="Arial"/>
      <w:b/>
      <w:bCs/>
      <w:color w:val="007060"/>
      <w:sz w:val="24"/>
      <w:szCs w:val="24"/>
      <w:lang w:eastAsia="sk-SK"/>
    </w:rPr>
  </w:style>
  <w:style w:type="paragraph" w:customStyle="1" w:styleId="CharCharCharCharCharCharCharCharChar1Char">
    <w:name w:val="Char Char Char Char Char Char Char Char Char1 Char"/>
    <w:basedOn w:val="Normal"/>
    <w:rsid w:val="003F1365"/>
    <w:pPr>
      <w:spacing w:after="160" w:line="240" w:lineRule="exact"/>
      <w:jc w:val="left"/>
    </w:pPr>
    <w:rPr>
      <w:rFonts w:ascii="Tahoma" w:hAnsi="Tahoma" w:cs="Times New Roman"/>
      <w:sz w:val="20"/>
      <w:szCs w:val="20"/>
      <w:lang w:val="en-US"/>
    </w:rPr>
  </w:style>
  <w:style w:type="paragraph" w:customStyle="1" w:styleId="Char1">
    <w:name w:val="Char1"/>
    <w:basedOn w:val="Normal"/>
    <w:rsid w:val="003F1365"/>
    <w:pPr>
      <w:spacing w:after="160" w:line="240" w:lineRule="exact"/>
      <w:jc w:val="left"/>
    </w:pPr>
    <w:rPr>
      <w:rFonts w:ascii="Tahoma" w:hAnsi="Tahoma" w:cs="Tahoma"/>
      <w:sz w:val="20"/>
      <w:szCs w:val="20"/>
      <w:lang w:val="en-US"/>
    </w:rPr>
  </w:style>
  <w:style w:type="paragraph" w:customStyle="1" w:styleId="tlCharCharChar1CharCharCharChar">
    <w:name w:val="Štýl Char Char Char1 Char Char Char Char"/>
    <w:basedOn w:val="Normal"/>
    <w:rsid w:val="003F1365"/>
    <w:pPr>
      <w:spacing w:after="160" w:line="240" w:lineRule="exact"/>
      <w:jc w:val="left"/>
    </w:pPr>
    <w:rPr>
      <w:rFonts w:ascii="Tahoma" w:hAnsi="Tahoma" w:cs="Tahoma"/>
      <w:sz w:val="20"/>
      <w:szCs w:val="20"/>
      <w:lang w:val="en-US"/>
    </w:rPr>
  </w:style>
  <w:style w:type="paragraph" w:customStyle="1" w:styleId="AUTunVycentrovan">
    <w:name w:val="AU Tučné Vycentrované"/>
    <w:basedOn w:val="Normal"/>
    <w:rsid w:val="003F1365"/>
    <w:pPr>
      <w:spacing w:after="0" w:line="240" w:lineRule="auto"/>
      <w:jc w:val="center"/>
    </w:pPr>
    <w:rPr>
      <w:rFonts w:ascii="Times New Roman" w:hAnsi="Times New Roman" w:cs="Times New Roman"/>
      <w:b/>
      <w:bCs/>
      <w:sz w:val="24"/>
      <w:szCs w:val="20"/>
      <w:lang w:eastAsia="cs-CZ"/>
    </w:rPr>
  </w:style>
  <w:style w:type="paragraph" w:customStyle="1" w:styleId="AUODRAKA">
    <w:name w:val="AU ODRAŽKA"/>
    <w:basedOn w:val="Normal"/>
    <w:rsid w:val="003F1365"/>
    <w:pPr>
      <w:numPr>
        <w:numId w:val="6"/>
      </w:numPr>
      <w:tabs>
        <w:tab w:val="num" w:pos="284"/>
      </w:tabs>
      <w:spacing w:before="120" w:after="0" w:line="240" w:lineRule="auto"/>
      <w:ind w:left="284" w:hanging="284"/>
      <w:jc w:val="both"/>
    </w:pPr>
    <w:rPr>
      <w:rFonts w:ascii="Times New Roman" w:hAnsi="Times New Roman" w:cs="Times New Roman"/>
      <w:sz w:val="24"/>
      <w:szCs w:val="20"/>
      <w:lang w:eastAsia="cs-CZ"/>
    </w:rPr>
  </w:style>
  <w:style w:type="paragraph" w:customStyle="1" w:styleId="CharCharCharCharCharChar1">
    <w:name w:val="Char Char Char Char Char Char1"/>
    <w:basedOn w:val="Normal"/>
    <w:rsid w:val="003F1365"/>
    <w:pPr>
      <w:spacing w:after="160" w:line="240" w:lineRule="exact"/>
      <w:jc w:val="left"/>
    </w:pPr>
    <w:rPr>
      <w:rFonts w:ascii="Tahoma" w:hAnsi="Tahoma" w:cs="Tahoma"/>
      <w:sz w:val="20"/>
      <w:szCs w:val="20"/>
      <w:lang w:val="en-US"/>
    </w:rPr>
  </w:style>
  <w:style w:type="paragraph" w:customStyle="1" w:styleId="Zarkazkladnhotextu21">
    <w:name w:val="Zarážka základného textu 21"/>
    <w:basedOn w:val="Normal"/>
    <w:rsid w:val="003F1365"/>
    <w:pPr>
      <w:overflowPunct w:val="0"/>
      <w:autoSpaceDE w:val="0"/>
      <w:autoSpaceDN w:val="0"/>
      <w:adjustRightInd w:val="0"/>
      <w:spacing w:before="120" w:after="0" w:line="240" w:lineRule="auto"/>
      <w:ind w:left="284" w:hanging="284"/>
      <w:jc w:val="both"/>
      <w:textAlignment w:val="baseline"/>
    </w:pPr>
    <w:rPr>
      <w:rFonts w:cs="Times New Roman"/>
      <w:sz w:val="24"/>
      <w:szCs w:val="20"/>
      <w:lang w:eastAsia="cs-CZ"/>
    </w:rPr>
  </w:style>
  <w:style w:type="paragraph" w:customStyle="1" w:styleId="Char">
    <w:name w:val="Char"/>
    <w:basedOn w:val="Normal"/>
    <w:rsid w:val="003F1365"/>
    <w:pPr>
      <w:spacing w:after="160" w:line="240" w:lineRule="exact"/>
      <w:jc w:val="left"/>
    </w:pPr>
    <w:rPr>
      <w:rFonts w:ascii="Tahoma" w:hAnsi="Tahoma" w:cs="Tahoma"/>
      <w:sz w:val="20"/>
      <w:szCs w:val="20"/>
      <w:lang w:val="en-US"/>
    </w:rPr>
  </w:style>
  <w:style w:type="paragraph" w:styleId="ListBullet2">
    <w:name w:val="List Bullet 2"/>
    <w:basedOn w:val="Normal"/>
    <w:autoRedefine/>
    <w:rsid w:val="003F1365"/>
    <w:pPr>
      <w:numPr>
        <w:numId w:val="7"/>
      </w:numPr>
      <w:tabs>
        <w:tab w:val="num" w:pos="643"/>
      </w:tabs>
      <w:spacing w:after="0" w:line="240" w:lineRule="auto"/>
      <w:ind w:left="643" w:hanging="360"/>
      <w:jc w:val="left"/>
    </w:pPr>
    <w:rPr>
      <w:rFonts w:ascii="Courier" w:hAnsi="Courier" w:cs="Courier"/>
      <w:sz w:val="24"/>
      <w:szCs w:val="24"/>
      <w:lang w:eastAsia="cs-CZ"/>
    </w:rPr>
  </w:style>
  <w:style w:type="paragraph" w:customStyle="1" w:styleId="CharCharChar2CharCharCharCharChar">
    <w:name w:val="Char Char Char2 Char Char Char Char Char"/>
    <w:basedOn w:val="Normal"/>
    <w:rsid w:val="003F1365"/>
    <w:pPr>
      <w:spacing w:after="160" w:line="240" w:lineRule="exact"/>
      <w:jc w:val="left"/>
    </w:pPr>
    <w:rPr>
      <w:rFonts w:ascii="Tahoma" w:hAnsi="Tahoma" w:cs="Times New Roman"/>
      <w:sz w:val="20"/>
      <w:szCs w:val="20"/>
      <w:lang w:val="en-US"/>
    </w:rPr>
  </w:style>
  <w:style w:type="table" w:customStyle="1" w:styleId="Normlnatabuka1">
    <w:name w:val="Normálna tabuľka1"/>
    <w:next w:val="TableNormal"/>
    <w:semiHidden/>
    <w:unhideWhenUsed/>
    <w:qFormat/>
    <w:rsid w:val="003F1365"/>
    <w:pPr>
      <w:framePr w:wrap="auto"/>
      <w:widowControl/>
      <w:autoSpaceDE/>
      <w:autoSpaceDN/>
      <w:adjustRightInd/>
      <w:ind w:left="0" w:right="0"/>
      <w:jc w:val="left"/>
      <w:textAlignment w:val="auto"/>
    </w:pPr>
    <w:rPr>
      <w:rFonts w:ascii="Dutch801 SWC" w:hAnsi="Dutch801 SWC" w:cs="Times New Roman"/>
      <w:sz w:val="20"/>
      <w:szCs w:val="20"/>
      <w:rtl w:val="0"/>
      <w:cs w:val="0"/>
      <w:lang w:val="sk-SK" w:eastAsia="sk-SK" w:bidi="ar-SA"/>
    </w:rPr>
    <w:tblPr>
      <w:tblInd w:w="0" w:type="dxa"/>
      <w:tblCellMar>
        <w:top w:w="0" w:type="dxa"/>
        <w:left w:w="108" w:type="dxa"/>
        <w:bottom w:w="0" w:type="dxa"/>
        <w:right w:w="108" w:type="dxa"/>
      </w:tblCellMar>
    </w:tblPr>
  </w:style>
  <w:style w:type="paragraph" w:customStyle="1" w:styleId="CharChar0">
    <w:name w:val="Char Char_0"/>
    <w:basedOn w:val="Normal"/>
    <w:rsid w:val="003F1365"/>
    <w:pPr>
      <w:spacing w:after="160" w:line="240" w:lineRule="exact"/>
      <w:jc w:val="left"/>
    </w:pPr>
    <w:rPr>
      <w:rFonts w:ascii="Tahoma" w:hAnsi="Tahoma" w:cs="Tahoma"/>
      <w:sz w:val="20"/>
      <w:szCs w:val="20"/>
      <w:lang w:val="en-US"/>
    </w:rPr>
  </w:style>
  <w:style w:type="character" w:customStyle="1" w:styleId="ZkladntextodsazenChar">
    <w:name w:val="Základní text odsazený Char"/>
    <w:rsid w:val="003F1365"/>
    <w:rPr>
      <w:rFonts w:ascii="AT* Times New Roman" w:hAnsi="AT* Times New Roman" w:cs="AT* Times New Roman"/>
      <w:noProof/>
      <w:sz w:val="24"/>
      <w:lang w:val="sk-SK" w:eastAsia="cs-CZ"/>
    </w:rPr>
  </w:style>
  <w:style w:type="table" w:customStyle="1" w:styleId="Normlnatabuka2">
    <w:name w:val="Normálna tabuľka2"/>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3">
    <w:name w:val="Normálna tabuľka3"/>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4">
    <w:name w:val="Normálna tabuľka4"/>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5">
    <w:name w:val="Normálna tabuľka5"/>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6">
    <w:name w:val="Normálna tabuľka6"/>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7">
    <w:name w:val="Normálna tabuľka7"/>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8">
    <w:name w:val="Normálna tabuľka8"/>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9">
    <w:name w:val="Normálna tabuľka9"/>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0">
    <w:name w:val="Normálna tabuľka10"/>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1">
    <w:name w:val="Normálna tabuľka11"/>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2">
    <w:name w:val="Normálna tabuľka12"/>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3">
    <w:name w:val="Normálna tabuľka13"/>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4">
    <w:name w:val="Normálna tabuľka14"/>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paragraph" w:customStyle="1" w:styleId="CharCharCharChar1CharChar">
    <w:name w:val="Char Char Char Char1 Char Char"/>
    <w:basedOn w:val="Normal"/>
    <w:rsid w:val="003F1365"/>
    <w:pPr>
      <w:spacing w:after="160" w:line="240" w:lineRule="exact"/>
      <w:jc w:val="left"/>
    </w:pPr>
    <w:rPr>
      <w:rFonts w:ascii="Tahoma" w:hAnsi="Tahoma" w:cs="Tahoma"/>
      <w:sz w:val="20"/>
      <w:szCs w:val="20"/>
      <w:lang w:val="en-US"/>
    </w:rPr>
  </w:style>
  <w:style w:type="table" w:customStyle="1" w:styleId="Normlnatabuka15">
    <w:name w:val="Normálna tabuľka15"/>
    <w:next w:val="TableNormal"/>
    <w:semiHidden/>
    <w:unhideWhenUsed/>
    <w:qFormat/>
    <w:rsid w:val="003F1365"/>
    <w:pPr>
      <w:framePr w:wrap="auto"/>
      <w:widowControl/>
      <w:autoSpaceDE/>
      <w:autoSpaceDN/>
      <w:adjustRightInd/>
      <w:ind w:left="0" w:right="0"/>
      <w:jc w:val="left"/>
      <w:textAlignment w:val="auto"/>
    </w:pPr>
    <w:rPr>
      <w:rFonts w:ascii="Calibri" w:eastAsia="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paragraph" w:styleId="TOC1">
    <w:name w:val="toc 1"/>
    <w:basedOn w:val="Normal"/>
    <w:next w:val="Normal"/>
    <w:autoRedefine/>
    <w:uiPriority w:val="39"/>
    <w:unhideWhenUsed/>
    <w:rsid w:val="00802EEB"/>
    <w:pPr>
      <w:tabs>
        <w:tab w:val="left" w:pos="426"/>
        <w:tab w:val="right" w:leader="dot" w:pos="9062"/>
      </w:tabs>
      <w:spacing w:after="120" w:line="240" w:lineRule="auto"/>
      <w:jc w:val="left"/>
    </w:pPr>
    <w:rPr>
      <w:rFonts w:ascii="Courier" w:hAnsi="Courier" w:cs="Courier"/>
      <w:sz w:val="24"/>
      <w:szCs w:val="24"/>
      <w:lang w:eastAsia="cs-CZ"/>
    </w:rPr>
  </w:style>
  <w:style w:type="paragraph" w:styleId="PlainText">
    <w:name w:val="Plain Text"/>
    <w:basedOn w:val="Normal"/>
    <w:link w:val="PlainTextChar"/>
    <w:uiPriority w:val="99"/>
    <w:unhideWhenUsed/>
    <w:rsid w:val="003F1365"/>
    <w:pPr>
      <w:spacing w:after="0" w:line="240" w:lineRule="auto"/>
      <w:jc w:val="left"/>
    </w:pPr>
    <w:rPr>
      <w:rFonts w:eastAsia="Calibri" w:cs="Times New Roman"/>
      <w:szCs w:val="21"/>
    </w:rPr>
  </w:style>
  <w:style w:type="character" w:customStyle="1" w:styleId="PlainTextChar">
    <w:name w:val="Plain Text Char"/>
    <w:basedOn w:val="DefaultParagraphFont"/>
    <w:link w:val="PlainText"/>
    <w:uiPriority w:val="99"/>
    <w:locked/>
    <w:rsid w:val="003F1365"/>
    <w:rPr>
      <w:rFonts w:eastAsia="Calibri" w:cs="Times New Roman"/>
      <w:sz w:val="21"/>
      <w:szCs w:val="21"/>
      <w:rtl w:val="0"/>
      <w:cs w:val="0"/>
      <w:lang w:val="x-none" w:eastAsia="x-none"/>
    </w:rPr>
  </w:style>
  <w:style w:type="paragraph" w:customStyle="1" w:styleId="Default">
    <w:name w:val="Default"/>
    <w:rsid w:val="003F1365"/>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sk-SK" w:bidi="ar-SA"/>
    </w:rPr>
  </w:style>
  <w:style w:type="character" w:styleId="FollowedHyperlink">
    <w:name w:val="FollowedHyperlink"/>
    <w:uiPriority w:val="99"/>
    <w:semiHidden/>
    <w:unhideWhenUsed/>
    <w:rsid w:val="003F1365"/>
    <w:rPr>
      <w:color w:val="800080"/>
      <w:u w:val="single"/>
    </w:rPr>
  </w:style>
  <w:style w:type="paragraph" w:customStyle="1" w:styleId="xl687">
    <w:name w:val="xl687"/>
    <w:basedOn w:val="Normal"/>
    <w:rsid w:val="003F1365"/>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88">
    <w:name w:val="xl688"/>
    <w:basedOn w:val="Normal"/>
    <w:rsid w:val="003F1365"/>
    <w:pP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89">
    <w:name w:val="xl689"/>
    <w:basedOn w:val="Normal"/>
    <w:rsid w:val="003F1365"/>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0">
    <w:name w:val="xl690"/>
    <w:basedOn w:val="Normal"/>
    <w:rsid w:val="003F1365"/>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691">
    <w:name w:val="xl691"/>
    <w:basedOn w:val="Normal"/>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hAnsi="Arial" w:cs="Arial"/>
      <w:sz w:val="20"/>
      <w:szCs w:val="20"/>
      <w:lang w:eastAsia="sk-SK"/>
    </w:rPr>
  </w:style>
  <w:style w:type="paragraph" w:customStyle="1" w:styleId="xl692">
    <w:name w:val="xl692"/>
    <w:basedOn w:val="Normal"/>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93">
    <w:name w:val="xl693"/>
    <w:basedOn w:val="Normal"/>
    <w:rsid w:val="003F1365"/>
    <w:pP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94">
    <w:name w:val="xl694"/>
    <w:basedOn w:val="Normal"/>
    <w:rsid w:val="003F1365"/>
    <w:pPr>
      <w:pBdr>
        <w:bottom w:val="single" w:sz="4" w:space="0" w:color="000000"/>
      </w:pBd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95">
    <w:name w:val="xl695"/>
    <w:basedOn w:val="Normal"/>
    <w:rsid w:val="003F1365"/>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96">
    <w:name w:val="xl696"/>
    <w:basedOn w:val="Normal"/>
    <w:rsid w:val="003F1365"/>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97">
    <w:name w:val="xl697"/>
    <w:basedOn w:val="Normal"/>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98">
    <w:name w:val="xl698"/>
    <w:basedOn w:val="Normal"/>
    <w:rsid w:val="003F1365"/>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9">
    <w:name w:val="xl699"/>
    <w:basedOn w:val="Normal"/>
    <w:rsid w:val="003F1365"/>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700">
    <w:name w:val="xl700"/>
    <w:basedOn w:val="Normal"/>
    <w:rsid w:val="003F1365"/>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701">
    <w:name w:val="xl701"/>
    <w:basedOn w:val="Normal"/>
    <w:rsid w:val="003F1365"/>
    <w:pPr>
      <w:pBdr>
        <w:bottom w:val="single" w:sz="4" w:space="0" w:color="000000"/>
      </w:pBdr>
      <w:shd w:val="clear" w:color="000000" w:fill="FFFFFF"/>
      <w:spacing w:before="100" w:beforeAutospacing="1" w:after="100" w:afterAutospacing="1" w:line="240" w:lineRule="auto"/>
      <w:jc w:val="left"/>
      <w:textAlignment w:val="center"/>
    </w:pPr>
    <w:rPr>
      <w:rFonts w:ascii="Arial" w:hAnsi="Arial" w:cs="Arial"/>
      <w:sz w:val="20"/>
      <w:szCs w:val="20"/>
      <w:lang w:eastAsia="sk-SK"/>
    </w:rPr>
  </w:style>
  <w:style w:type="paragraph" w:customStyle="1" w:styleId="xl702">
    <w:name w:val="xl702"/>
    <w:basedOn w:val="Normal"/>
    <w:rsid w:val="003F1365"/>
    <w:pPr>
      <w:pBdr>
        <w:bottom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3">
    <w:name w:val="xl703"/>
    <w:basedOn w:val="Normal"/>
    <w:rsid w:val="003F1365"/>
    <w:pPr>
      <w:pBdr>
        <w:left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4">
    <w:name w:val="xl704"/>
    <w:basedOn w:val="Normal"/>
    <w:rsid w:val="003F1365"/>
    <w:pP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5">
    <w:name w:val="xl705"/>
    <w:basedOn w:val="Normal"/>
    <w:rsid w:val="003F1365"/>
    <w:pPr>
      <w:pBdr>
        <w:bottom w:val="single" w:sz="4" w:space="0" w:color="000000"/>
      </w:pBdr>
      <w:shd w:val="clear" w:color="000000" w:fill="FFFFFF"/>
      <w:spacing w:before="100" w:beforeAutospacing="1" w:after="100" w:afterAutospacing="1" w:line="240" w:lineRule="auto"/>
      <w:jc w:val="left"/>
      <w:textAlignment w:val="center"/>
    </w:pPr>
    <w:rPr>
      <w:rFonts w:ascii="Arial" w:hAnsi="Arial" w:cs="Arial"/>
      <w:sz w:val="20"/>
      <w:szCs w:val="20"/>
      <w:lang w:eastAsia="sk-SK"/>
    </w:rPr>
  </w:style>
  <w:style w:type="paragraph" w:customStyle="1" w:styleId="xl706">
    <w:name w:val="xl706"/>
    <w:basedOn w:val="Normal"/>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7">
    <w:name w:val="xl707"/>
    <w:basedOn w:val="Normal"/>
    <w:rsid w:val="003F1365"/>
    <w:pPr>
      <w:pBdr>
        <w:top w:val="single" w:sz="4" w:space="0" w:color="000000"/>
        <w:lef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08">
    <w:name w:val="xl708"/>
    <w:basedOn w:val="Normal"/>
    <w:rsid w:val="003F1365"/>
    <w:pPr>
      <w:pBdr>
        <w:top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09">
    <w:name w:val="xl709"/>
    <w:basedOn w:val="Normal"/>
    <w:rsid w:val="003F1365"/>
    <w:pPr>
      <w:pBdr>
        <w:top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0">
    <w:name w:val="xl710"/>
    <w:basedOn w:val="Normal"/>
    <w:rsid w:val="003F1365"/>
    <w:pPr>
      <w:pBdr>
        <w:lef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1">
    <w:name w:val="xl711"/>
    <w:basedOn w:val="Normal"/>
    <w:rsid w:val="003F1365"/>
    <w:pP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2">
    <w:name w:val="xl712"/>
    <w:basedOn w:val="Normal"/>
    <w:rsid w:val="003F1365"/>
    <w:pPr>
      <w:pBdr>
        <w:righ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3">
    <w:name w:val="xl713"/>
    <w:basedOn w:val="Normal"/>
    <w:rsid w:val="003F1365"/>
    <w:pPr>
      <w:spacing w:before="100" w:beforeAutospacing="1" w:after="100" w:afterAutospacing="1" w:line="240" w:lineRule="auto"/>
      <w:jc w:val="left"/>
      <w:textAlignment w:val="top"/>
    </w:pPr>
    <w:rPr>
      <w:rFonts w:ascii="Arial" w:hAnsi="Arial" w:cs="Arial"/>
      <w:sz w:val="20"/>
      <w:szCs w:val="20"/>
      <w:lang w:eastAsia="sk-SK"/>
    </w:rPr>
  </w:style>
  <w:style w:type="paragraph" w:customStyle="1" w:styleId="xl714">
    <w:name w:val="xl714"/>
    <w:basedOn w:val="Normal"/>
    <w:rsid w:val="003F1365"/>
    <w:pPr>
      <w:pBdr>
        <w:right w:val="single" w:sz="4" w:space="0" w:color="000000"/>
      </w:pBdr>
      <w:spacing w:before="100" w:beforeAutospacing="1" w:after="100" w:afterAutospacing="1" w:line="240" w:lineRule="auto"/>
      <w:jc w:val="left"/>
    </w:pPr>
    <w:rPr>
      <w:rFonts w:ascii="Arial" w:hAnsi="Arial" w:cs="Arial"/>
      <w:sz w:val="20"/>
      <w:szCs w:val="20"/>
      <w:lang w:eastAsia="sk-SK"/>
    </w:rPr>
  </w:style>
  <w:style w:type="paragraph" w:customStyle="1" w:styleId="xl715">
    <w:name w:val="xl715"/>
    <w:basedOn w:val="Normal"/>
    <w:rsid w:val="003F1365"/>
    <w:pPr>
      <w:pBdr>
        <w:lef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6">
    <w:name w:val="xl716"/>
    <w:basedOn w:val="Normal"/>
    <w:rsid w:val="003F1365"/>
    <w:pPr>
      <w:pBdr>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7">
    <w:name w:val="xl717"/>
    <w:basedOn w:val="Normal"/>
    <w:rsid w:val="003F1365"/>
    <w:pPr>
      <w:pBdr>
        <w:left w:val="single" w:sz="4" w:space="0" w:color="000000"/>
        <w:bottom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8">
    <w:name w:val="xl718"/>
    <w:basedOn w:val="Normal"/>
    <w:rsid w:val="003F1365"/>
    <w:pPr>
      <w:pBdr>
        <w:bottom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9">
    <w:name w:val="xl719"/>
    <w:basedOn w:val="Normal"/>
    <w:rsid w:val="003F1365"/>
    <w:pPr>
      <w:pBdr>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20">
    <w:name w:val="xl720"/>
    <w:basedOn w:val="Normal"/>
    <w:rsid w:val="003F1365"/>
    <w:pPr>
      <w:pBdr>
        <w:bottom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21">
    <w:name w:val="xl721"/>
    <w:basedOn w:val="Normal"/>
    <w:rsid w:val="003F1365"/>
    <w:pPr>
      <w:pBdr>
        <w:left w:val="single" w:sz="4" w:space="0" w:color="000000"/>
        <w:bottom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styleId="EndnoteText">
    <w:name w:val="endnote text"/>
    <w:basedOn w:val="Normal"/>
    <w:link w:val="EndnoteTextChar"/>
    <w:uiPriority w:val="99"/>
    <w:semiHidden/>
    <w:unhideWhenUsed/>
    <w:rsid w:val="00096FC8"/>
    <w:pPr>
      <w:spacing w:after="0" w:line="240" w:lineRule="auto"/>
      <w:jc w:val="left"/>
    </w:pPr>
    <w:rPr>
      <w:sz w:val="20"/>
      <w:szCs w:val="20"/>
    </w:rPr>
  </w:style>
  <w:style w:type="character" w:customStyle="1" w:styleId="EndnoteTextChar">
    <w:name w:val="Endnote Text Char"/>
    <w:basedOn w:val="DefaultParagraphFont"/>
    <w:link w:val="EndnoteText"/>
    <w:uiPriority w:val="99"/>
    <w:semiHidden/>
    <w:locked/>
    <w:rsid w:val="00096FC8"/>
    <w:rPr>
      <w:rFonts w:cs="Times New Roman"/>
      <w:sz w:val="20"/>
      <w:szCs w:val="20"/>
      <w:rtl w:val="0"/>
      <w:cs w:val="0"/>
    </w:rPr>
  </w:style>
  <w:style w:type="character" w:styleId="EndnoteReference">
    <w:name w:val="endnote reference"/>
    <w:basedOn w:val="DefaultParagraphFont"/>
    <w:uiPriority w:val="99"/>
    <w:semiHidden/>
    <w:unhideWhenUsed/>
    <w:rsid w:val="00096FC8"/>
    <w:rPr>
      <w:rFonts w:cs="Times New Roman"/>
      <w:vertAlign w:val="superscript"/>
      <w:rtl w:val="0"/>
      <w:cs w:val="0"/>
    </w:rPr>
  </w:style>
  <w:style w:type="paragraph" w:styleId="TOC2">
    <w:name w:val="toc 2"/>
    <w:basedOn w:val="Normal"/>
    <w:next w:val="Normal"/>
    <w:autoRedefine/>
    <w:uiPriority w:val="39"/>
    <w:unhideWhenUsed/>
    <w:rsid w:val="00FC793E"/>
    <w:pPr>
      <w:tabs>
        <w:tab w:val="left" w:pos="709"/>
        <w:tab w:val="right" w:leader="dot" w:pos="9062"/>
      </w:tabs>
      <w:spacing w:after="120" w:line="240" w:lineRule="auto"/>
      <w:ind w:left="709" w:hanging="488"/>
      <w:jc w:val="left"/>
    </w:pPr>
  </w:style>
  <w:style w:type="paragraph" w:styleId="TOC3">
    <w:name w:val="toc 3"/>
    <w:basedOn w:val="Normal"/>
    <w:next w:val="Normal"/>
    <w:autoRedefine/>
    <w:uiPriority w:val="39"/>
    <w:unhideWhenUsed/>
    <w:rsid w:val="00802EEB"/>
    <w:pPr>
      <w:tabs>
        <w:tab w:val="left" w:pos="1134"/>
        <w:tab w:val="right" w:leader="dot" w:pos="9062"/>
      </w:tabs>
      <w:spacing w:after="100" w:line="240" w:lineRule="auto"/>
      <w:ind w:left="440"/>
      <w:jc w:val="left"/>
    </w:pPr>
  </w:style>
  <w:style w:type="paragraph" w:styleId="TOCHeading">
    <w:name w:val="TOC Heading"/>
    <w:basedOn w:val="Heading1"/>
    <w:next w:val="Normal"/>
    <w:uiPriority w:val="39"/>
    <w:unhideWhenUsed/>
    <w:qFormat/>
    <w:rsid w:val="00B43103"/>
    <w:pPr>
      <w:numPr>
        <w:numId w:val="0"/>
      </w:numPr>
      <w:spacing w:before="480" w:after="0"/>
      <w:ind w:firstLine="0"/>
      <w:jc w:val="left"/>
      <w:outlineLvl w:val="9"/>
    </w:pPr>
    <w:rPr>
      <w:rFonts w:asciiTheme="majorHAnsi" w:hAnsiTheme="majorHAnsi" w:cstheme="majorBidi"/>
      <w:color w:val="365F91" w:themeColor="accent1" w:themeShade="BF"/>
      <w:sz w:val="28"/>
      <w:szCs w:val="28"/>
      <w:lang w:eastAsia="sk-SK"/>
    </w:rPr>
  </w:style>
  <w:style w:type="paragraph" w:customStyle="1" w:styleId="Pa14">
    <w:name w:val="Pa14"/>
    <w:basedOn w:val="Default"/>
    <w:next w:val="Default"/>
    <w:uiPriority w:val="99"/>
    <w:rsid w:val="00CE1C18"/>
    <w:pPr>
      <w:spacing w:line="181" w:lineRule="atLeast"/>
      <w:jc w:val="left"/>
    </w:pPr>
    <w:rPr>
      <w:rFonts w:ascii="Franklin Got Itc TCE" w:eastAsia="Times New Roman" w:hAnsi="Franklin Got Itc TCE" w:cstheme="minorBidi"/>
      <w:color w:val="auto"/>
      <w:lang w:eastAsia="en-U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image" Target="media/image3.png" /><Relationship Id="rId12" Type="http://schemas.openxmlformats.org/officeDocument/2006/relationships/hyperlink" Target="file:///C:\Users\zkrajcir\Documents\Moje%20Dokumenty\04_Materialy%20SSV%20&amp;amp;%20MFSR\01_Suhrnna%20vyrocna%20sprava\2015\03_Ciste%20bohatstvo\031_Podniky\Podniky%20&amp;amp;%20NBS.xlsx" TargetMode="Externa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footer" Target="footer1.xml" /><Relationship Id="rId8" Type="http://schemas.openxmlformats.org/officeDocument/2006/relationships/image" Target="media/image2.jpeg" /><Relationship Id="rId9" Type="http://schemas.openxmlformats.org/officeDocument/2006/relationships/header" Target="head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CA276-558C-474C-8E4A-B4634AFC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48</Pages>
  <Words>23298</Words>
  <Characters>132804</Characters>
  <Application>Microsoft Office Word</Application>
  <DocSecurity>0</DocSecurity>
  <Lines>0</Lines>
  <Paragraphs>0</Paragraphs>
  <ScaleCrop>false</ScaleCrop>
  <Company>MF SR</Company>
  <LinksUpToDate>false</LinksUpToDate>
  <CharactersWithSpaces>155791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zkrajcir</dc:creator>
  <cp:lastModifiedBy>Gašparíková, Jarmila</cp:lastModifiedBy>
  <cp:revision>2</cp:revision>
  <cp:lastPrinted>2015-10-26T13:56:00Z</cp:lastPrinted>
  <dcterms:created xsi:type="dcterms:W3CDTF">2016-11-11T13:40:00Z</dcterms:created>
  <dcterms:modified xsi:type="dcterms:W3CDTF">2016-11-11T13:40:00Z</dcterms:modified>
</cp:coreProperties>
</file>