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2FCA" w:rsidRPr="00962FCA" w:rsidP="00962FCA">
      <w:pPr>
        <w:bidi w:val="0"/>
        <w:jc w:val="center"/>
        <w:rPr>
          <w:rFonts w:hint="default"/>
          <w:b/>
          <w:spacing w:val="30"/>
        </w:rPr>
      </w:pPr>
      <w:r w:rsidRPr="00962FCA">
        <w:rPr>
          <w:rFonts w:hint="default"/>
          <w:b/>
          <w:spacing w:val="30"/>
        </w:rPr>
        <w:t>DÔ</w:t>
      </w:r>
      <w:r w:rsidRPr="00962FCA">
        <w:rPr>
          <w:rFonts w:hint="default"/>
          <w:b/>
          <w:spacing w:val="30"/>
        </w:rPr>
        <w:t>VODOVÁ</w:t>
      </w:r>
      <w:r w:rsidRPr="00962FCA">
        <w:rPr>
          <w:rFonts w:hint="default"/>
          <w:b/>
          <w:spacing w:val="30"/>
        </w:rPr>
        <w:t xml:space="preserve"> SPRÁ</w:t>
      </w:r>
      <w:r w:rsidRPr="00962FCA">
        <w:rPr>
          <w:rFonts w:hint="default"/>
          <w:b/>
          <w:spacing w:val="30"/>
        </w:rPr>
        <w:t>VA</w:t>
      </w:r>
    </w:p>
    <w:p w:rsidR="00962FCA" w:rsidRPr="00962FCA" w:rsidP="00962FCA">
      <w:pPr>
        <w:bidi w:val="0"/>
        <w:ind w:firstLine="709"/>
        <w:jc w:val="both"/>
        <w:rPr>
          <w:b/>
        </w:rPr>
      </w:pPr>
    </w:p>
    <w:p w:rsidR="00962FCA" w:rsidRPr="00962FCA" w:rsidP="00962FCA">
      <w:pPr>
        <w:bidi w:val="0"/>
        <w:jc w:val="both"/>
        <w:rPr>
          <w:rFonts w:hint="default"/>
          <w:b/>
        </w:rPr>
      </w:pPr>
      <w:r w:rsidRPr="00962FCA">
        <w:rPr>
          <w:rFonts w:hint="default"/>
          <w:b/>
        </w:rPr>
        <w:t>A. Vš</w:t>
      </w:r>
      <w:r w:rsidRPr="00962FCA">
        <w:rPr>
          <w:rFonts w:hint="default"/>
          <w:b/>
        </w:rPr>
        <w:t>eobecná</w:t>
      </w:r>
      <w:r w:rsidRPr="00962FCA">
        <w:rPr>
          <w:rFonts w:hint="default"/>
          <w:b/>
        </w:rPr>
        <w:t xml:space="preserve"> č</w:t>
      </w:r>
      <w:r w:rsidRPr="00962FCA">
        <w:rPr>
          <w:rFonts w:hint="default"/>
          <w:b/>
        </w:rPr>
        <w:t>asť</w:t>
      </w:r>
      <w:r w:rsidRPr="00962FCA">
        <w:rPr>
          <w:rFonts w:hint="default"/>
          <w:b/>
        </w:rPr>
        <w:t xml:space="preserve"> </w:t>
      </w:r>
    </w:p>
    <w:p w:rsidR="00962FCA" w:rsidRPr="00962FCA" w:rsidP="00962FCA">
      <w:pPr>
        <w:bidi w:val="0"/>
        <w:ind w:firstLine="709"/>
        <w:jc w:val="both"/>
        <w:rPr>
          <w:b/>
        </w:rPr>
      </w:pPr>
    </w:p>
    <w:p w:rsidR="00B95E1B" w:rsidP="00F52C07">
      <w:pPr>
        <w:bidi w:val="0"/>
        <w:ind w:firstLine="709"/>
        <w:jc w:val="both"/>
      </w:pPr>
      <w:r>
        <w:rPr>
          <w:rFonts w:hint="default"/>
        </w:rPr>
        <w:t>Predlož</w:t>
      </w:r>
      <w:r>
        <w:rPr>
          <w:rFonts w:hint="default"/>
        </w:rPr>
        <w:t>ený</w:t>
      </w:r>
      <w:r>
        <w:rPr>
          <w:rFonts w:hint="default"/>
        </w:rPr>
        <w:t xml:space="preserve"> ná</w:t>
      </w:r>
      <w:r>
        <w:rPr>
          <w:rFonts w:hint="default"/>
        </w:rPr>
        <w:t>vrh</w:t>
      </w:r>
      <w:r w:rsidR="00575A14">
        <w:t xml:space="preserve"> </w:t>
      </w:r>
      <w:r w:rsidRPr="00962FCA" w:rsidR="00962FCA">
        <w:rPr>
          <w:rFonts w:hint="default"/>
        </w:rPr>
        <w:t>zá</w:t>
      </w:r>
      <w:r w:rsidRPr="00962FCA" w:rsidR="00962FCA">
        <w:rPr>
          <w:rFonts w:hint="default"/>
        </w:rPr>
        <w:t xml:space="preserve">kona, </w:t>
      </w:r>
      <w:r w:rsidRPr="00607A79" w:rsidR="00607A79">
        <w:rPr>
          <w:rFonts w:hint="default"/>
        </w:rPr>
        <w:t>ktorý</w:t>
      </w:r>
      <w:r w:rsidRPr="00607A79" w:rsidR="00607A79">
        <w:rPr>
          <w:rFonts w:hint="default"/>
        </w:rPr>
        <w:t xml:space="preserve">m </w:t>
      </w:r>
      <w:r w:rsidRPr="00F52C07" w:rsidR="00F52C07">
        <w:rPr>
          <w:rFonts w:hint="default"/>
        </w:rPr>
        <w:t>sa mení</w:t>
      </w:r>
      <w:r w:rsidRPr="00F52C07" w:rsidR="00F52C07">
        <w:rPr>
          <w:rFonts w:hint="default"/>
        </w:rPr>
        <w:t xml:space="preserve"> a dopĺň</w:t>
      </w:r>
      <w:r w:rsidRPr="00F52C07" w:rsidR="00F52C07">
        <w:rPr>
          <w:rFonts w:hint="default"/>
        </w:rPr>
        <w:t>a zá</w:t>
      </w:r>
      <w:r w:rsidRPr="00F52C07" w:rsidR="00F52C07">
        <w:rPr>
          <w:rFonts w:hint="default"/>
        </w:rPr>
        <w:t>kon č</w:t>
      </w:r>
      <w:r w:rsidRPr="00F52C07" w:rsidR="00F52C07">
        <w:rPr>
          <w:rFonts w:hint="default"/>
        </w:rPr>
        <w:t>. 131/2002 Z. z. o vysoký</w:t>
      </w:r>
      <w:r w:rsidRPr="00F52C07" w:rsidR="00F52C07">
        <w:rPr>
          <w:rFonts w:hint="default"/>
        </w:rPr>
        <w:t>ch š</w:t>
      </w:r>
      <w:r w:rsidRPr="00F52C07" w:rsidR="00F52C07">
        <w:rPr>
          <w:rFonts w:hint="default"/>
        </w:rPr>
        <w:t>kolá</w:t>
      </w:r>
      <w:r w:rsidRPr="00F52C07" w:rsidR="00F52C07">
        <w:rPr>
          <w:rFonts w:hint="default"/>
        </w:rPr>
        <w:t>ch a o zmene a doplnení</w:t>
      </w:r>
      <w:r w:rsidRPr="00F52C07" w:rsidR="00F52C07">
        <w:rPr>
          <w:rFonts w:hint="default"/>
        </w:rPr>
        <w:t xml:space="preserve"> niektorý</w:t>
      </w:r>
      <w:r w:rsidRPr="00F52C07" w:rsidR="00F52C07">
        <w:rPr>
          <w:rFonts w:hint="default"/>
        </w:rPr>
        <w:t>ch zá</w:t>
      </w:r>
      <w:r w:rsidRPr="00F52C07" w:rsidR="00F52C07">
        <w:rPr>
          <w:rFonts w:hint="default"/>
        </w:rPr>
        <w:t>konov v znení</w:t>
      </w:r>
      <w:r w:rsidRPr="00F52C07" w:rsidR="00F52C07">
        <w:rPr>
          <w:rFonts w:hint="default"/>
        </w:rPr>
        <w:t xml:space="preserve"> neskorší</w:t>
      </w:r>
      <w:r w:rsidRPr="00F52C07" w:rsidR="00F52C07">
        <w:rPr>
          <w:rFonts w:hint="default"/>
        </w:rPr>
        <w:t>ch predpisov</w:t>
      </w:r>
      <w:r w:rsidRPr="00962FCA" w:rsidR="00962FCA">
        <w:rPr>
          <w:rFonts w:hint="default"/>
        </w:rPr>
        <w:t xml:space="preserve"> (ď</w:t>
      </w:r>
      <w:r w:rsidRPr="00962FCA" w:rsidR="00962FCA">
        <w:rPr>
          <w:rFonts w:hint="default"/>
        </w:rPr>
        <w:t>alej len „</w:t>
      </w:r>
      <w:r w:rsidR="00575A14">
        <w:rPr>
          <w:rFonts w:hint="default"/>
        </w:rPr>
        <w:t>ná</w:t>
      </w:r>
      <w:r w:rsidR="00575A14">
        <w:rPr>
          <w:rFonts w:hint="default"/>
        </w:rPr>
        <w:t>vrh zá</w:t>
      </w:r>
      <w:r w:rsidR="00575A14">
        <w:rPr>
          <w:rFonts w:hint="default"/>
        </w:rPr>
        <w:t>kona</w:t>
      </w:r>
      <w:r>
        <w:rPr>
          <w:rFonts w:hint="default"/>
        </w:rPr>
        <w:t>“</w:t>
      </w:r>
      <w:r>
        <w:rPr>
          <w:rFonts w:hint="default"/>
        </w:rPr>
        <w:t xml:space="preserve">) </w:t>
      </w:r>
      <w:r w:rsidR="00F52C07">
        <w:rPr>
          <w:rFonts w:hint="default"/>
        </w:rPr>
        <w:t>jednoznač</w:t>
      </w:r>
      <w:r w:rsidR="00F52C07">
        <w:rPr>
          <w:rFonts w:hint="default"/>
        </w:rPr>
        <w:t>ne upravuje nezluč</w:t>
      </w:r>
      <w:r w:rsidR="00F52C07">
        <w:rPr>
          <w:rFonts w:hint="default"/>
        </w:rPr>
        <w:t>iteľ</w:t>
      </w:r>
      <w:r w:rsidR="00F52C07">
        <w:rPr>
          <w:rFonts w:hint="default"/>
        </w:rPr>
        <w:t>nosť</w:t>
      </w:r>
      <w:r w:rsidR="00F52C07">
        <w:rPr>
          <w:rFonts w:hint="default"/>
        </w:rPr>
        <w:t xml:space="preserve"> funkcií</w:t>
      </w:r>
      <w:r w:rsidR="00F52C07">
        <w:rPr>
          <w:rFonts w:hint="default"/>
        </w:rPr>
        <w:t xml:space="preserve"> rektora a dekana a </w:t>
      </w:r>
      <w:r w:rsidR="00F52C07">
        <w:rPr>
          <w:rFonts w:hint="default"/>
        </w:rPr>
        <w:t>spresň</w:t>
      </w:r>
      <w:r w:rsidR="00F52C07">
        <w:rPr>
          <w:rFonts w:hint="default"/>
        </w:rPr>
        <w:t>uje priebeh š</w:t>
      </w:r>
      <w:r w:rsidR="00F52C07">
        <w:rPr>
          <w:rFonts w:hint="default"/>
        </w:rPr>
        <w:t>tá</w:t>
      </w:r>
      <w:r w:rsidR="00F52C07">
        <w:rPr>
          <w:rFonts w:hint="default"/>
        </w:rPr>
        <w:t>tnej skúš</w:t>
      </w:r>
      <w:r w:rsidR="00F52C07">
        <w:rPr>
          <w:rFonts w:hint="default"/>
        </w:rPr>
        <w:t>ky.</w:t>
      </w:r>
      <w:r w:rsidR="00270224">
        <w:t xml:space="preserve"> </w:t>
      </w:r>
    </w:p>
    <w:p w:rsidR="00270224" w:rsidRPr="00962FCA" w:rsidP="00270224">
      <w:pPr>
        <w:bidi w:val="0"/>
        <w:jc w:val="both"/>
      </w:pPr>
    </w:p>
    <w:p w:rsidR="00BF10CE" w:rsidP="00B95E1B">
      <w:pPr>
        <w:bidi w:val="0"/>
        <w:jc w:val="both"/>
      </w:pPr>
    </w:p>
    <w:p w:rsidR="00BF10CE" w:rsidRPr="00962FCA" w:rsidP="00BF10CE">
      <w:pPr>
        <w:autoSpaceDE w:val="0"/>
        <w:bidi w:val="0"/>
        <w:ind w:firstLine="708"/>
        <w:jc w:val="both"/>
        <w:rPr>
          <w:rFonts w:eastAsia="Times New Roman"/>
        </w:rPr>
      </w:pPr>
      <w:r w:rsidRPr="00962FCA">
        <w:rPr>
          <w:rFonts w:eastAsia="Times New Roman"/>
        </w:rPr>
        <w:t>Návrh zákona je v súlade s</w:t>
      </w:r>
      <w:r w:rsidR="00E56C64">
        <w:rPr>
          <w:rFonts w:eastAsia="Times New Roman"/>
        </w:rPr>
        <w:t> </w:t>
      </w:r>
      <w:r w:rsidRPr="00962FCA">
        <w:rPr>
          <w:rFonts w:eastAsia="Times New Roman"/>
        </w:rPr>
        <w:t>Ústavou</w:t>
      </w:r>
      <w:r w:rsidR="00E56C64">
        <w:rPr>
          <w:rFonts w:eastAsia="Times New Roman"/>
        </w:rPr>
        <w:t xml:space="preserve"> Slovenskej republiky</w:t>
      </w:r>
      <w:r w:rsidRPr="00962FCA">
        <w:rPr>
          <w:rFonts w:eastAsia="Times New Roman"/>
        </w:rPr>
        <w:t>, ústavnými zákonmi, medzinárodnými zmluvami, ktorými je Slovenská republika viazaná,  zákonmi</w:t>
      </w:r>
      <w:r w:rsidR="00565B19">
        <w:rPr>
          <w:rFonts w:eastAsia="Times New Roman"/>
        </w:rPr>
        <w:t xml:space="preserve">, </w:t>
      </w:r>
      <w:r w:rsidRPr="00962FCA">
        <w:rPr>
          <w:rFonts w:eastAsia="Times New Roman"/>
        </w:rPr>
        <w:t>v súlade s právom Európskej únie</w:t>
      </w:r>
      <w:r w:rsidR="00565B19">
        <w:rPr>
          <w:rFonts w:eastAsia="Times New Roman"/>
        </w:rPr>
        <w:t xml:space="preserve"> a</w:t>
      </w:r>
      <w:r w:rsidR="00F51363">
        <w:rPr>
          <w:rFonts w:eastAsia="Times New Roman"/>
        </w:rPr>
        <w:t xml:space="preserve">ko aj </w:t>
      </w:r>
      <w:r w:rsidR="00565B19">
        <w:rPr>
          <w:rFonts w:eastAsia="Times New Roman"/>
        </w:rPr>
        <w:t>v súlade s nálezmi Ústavného súdu Slovenskej republiky</w:t>
      </w:r>
      <w:r w:rsidRPr="00962FCA">
        <w:rPr>
          <w:rFonts w:eastAsia="Times New Roman"/>
        </w:rPr>
        <w:t>.</w:t>
      </w:r>
    </w:p>
    <w:p w:rsidR="00BF10CE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8"/>
        <w:jc w:val="both"/>
      </w:pPr>
      <w:r w:rsidRPr="00565B19" w:rsidR="00565B19">
        <w:rPr>
          <w:rFonts w:hint="default"/>
        </w:rPr>
        <w:t>Ná</w:t>
      </w:r>
      <w:r w:rsidRPr="00565B19" w:rsidR="00565B19">
        <w:rPr>
          <w:rFonts w:hint="default"/>
        </w:rPr>
        <w:t>vrh zá</w:t>
      </w:r>
      <w:r w:rsidRPr="00565B19" w:rsidR="00565B19">
        <w:rPr>
          <w:rFonts w:hint="default"/>
        </w:rPr>
        <w:t>kona nemá</w:t>
      </w:r>
      <w:r w:rsidRPr="00565B19" w:rsidR="00565B19">
        <w:rPr>
          <w:rFonts w:hint="default"/>
        </w:rPr>
        <w:t xml:space="preserve"> vplyv na rozpoč</w:t>
      </w:r>
      <w:r w:rsidRPr="00565B19" w:rsidR="00565B19">
        <w:rPr>
          <w:rFonts w:hint="default"/>
        </w:rPr>
        <w:t>et verejnej sprá</w:t>
      </w:r>
      <w:r w:rsidRPr="00565B19" w:rsidR="00565B19">
        <w:rPr>
          <w:rFonts w:hint="default"/>
        </w:rPr>
        <w:t>vy, sociá</w:t>
      </w:r>
      <w:r w:rsidRPr="00565B19" w:rsidR="00565B19">
        <w:rPr>
          <w:rFonts w:hint="default"/>
        </w:rPr>
        <w:t>lne vplyvy, vplyvy na podnikateľ</w:t>
      </w:r>
      <w:r w:rsidRPr="00565B19" w:rsidR="00565B19">
        <w:rPr>
          <w:rFonts w:hint="default"/>
        </w:rPr>
        <w:t>ské</w:t>
      </w:r>
      <w:r w:rsidRPr="00565B19" w:rsidR="00565B19">
        <w:rPr>
          <w:rFonts w:hint="default"/>
        </w:rPr>
        <w:t xml:space="preserve"> prostredie, ž</w:t>
      </w:r>
      <w:r w:rsidRPr="00565B19" w:rsidR="00565B19">
        <w:rPr>
          <w:rFonts w:hint="default"/>
        </w:rPr>
        <w:t>ivotné</w:t>
      </w:r>
      <w:r w:rsidRPr="00565B19" w:rsidR="00565B19">
        <w:rPr>
          <w:rFonts w:hint="default"/>
        </w:rPr>
        <w:t xml:space="preserve"> prostredie, na informatizá</w:t>
      </w:r>
      <w:r w:rsidRPr="00565B19" w:rsidR="00565B19">
        <w:rPr>
          <w:rFonts w:hint="default"/>
        </w:rPr>
        <w:t>ciu spoloč</w:t>
      </w:r>
      <w:r w:rsidRPr="00565B19" w:rsidR="00565B19">
        <w:rPr>
          <w:rFonts w:hint="default"/>
        </w:rPr>
        <w:t>nosti ani na služ</w:t>
      </w:r>
      <w:r w:rsidRPr="00565B19" w:rsidR="00565B19">
        <w:rPr>
          <w:rFonts w:hint="default"/>
        </w:rPr>
        <w:t>by verejnej sprá</w:t>
      </w:r>
      <w:r w:rsidRPr="00565B19" w:rsidR="00565B19">
        <w:rPr>
          <w:rFonts w:hint="default"/>
        </w:rPr>
        <w:t>vy pre obč</w:t>
      </w:r>
      <w:r w:rsidRPr="00565B19" w:rsidR="00565B19">
        <w:rPr>
          <w:rFonts w:hint="default"/>
        </w:rPr>
        <w:t>ana.</w:t>
      </w: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  <w:r w:rsidRPr="00962FCA">
        <w:rPr>
          <w:rFonts w:eastAsia="Times New Roman"/>
        </w:rPr>
        <w:t>Návrh zákona bol podľa § 33 ods. 2 zákona č. 523/2004 Z. z. o rozpočtových pravidlách verejnej správy a o zmene a doplnení niektorých zákonov prerokovaný s Ministerstvom financií Slovenskej republiky.</w:t>
      </w: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E766EC">
      <w:pPr>
        <w:bidi w:val="0"/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E766EC" w:rsidRPr="00962FCA" w:rsidP="00E766EC">
      <w:pPr>
        <w:bidi w:val="0"/>
        <w:ind w:right="-108"/>
        <w:jc w:val="center"/>
        <w:rPr>
          <w:rFonts w:eastAsia="Times New Roman"/>
        </w:rPr>
      </w:pPr>
      <w:r w:rsidRPr="00962FCA">
        <w:rPr>
          <w:rFonts w:eastAsia="Times New Roman"/>
          <w:b/>
          <w:bCs/>
        </w:rPr>
        <w:t>Doložka vybraných vplyvov</w:t>
      </w:r>
    </w:p>
    <w:p w:rsidR="00E766EC" w:rsidRPr="00962FCA" w:rsidP="00E766EC">
      <w:pPr>
        <w:bidi w:val="0"/>
        <w:ind w:right="-108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A.1. Názov materiálu:</w:t>
      </w:r>
      <w:r w:rsidRPr="00962FC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n</w:t>
      </w:r>
      <w:r w:rsidRPr="00962FCA">
        <w:rPr>
          <w:rFonts w:eastAsia="Times New Roman"/>
          <w:bCs/>
        </w:rPr>
        <w:t xml:space="preserve">ávrh zákona, </w:t>
      </w:r>
      <w:r w:rsidRPr="00F52C07" w:rsidR="00F52C07">
        <w:rPr>
          <w:rFonts w:eastAsia="Times New Roman"/>
          <w:bCs/>
        </w:rPr>
        <w:t>ktorým sa mení a dopĺňa zákon č. 131/2002 Z. z. o vysokých školách a o zmene a doplnení niektorých zákonov v znení neskorších predpisov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  <w:b/>
        </w:rPr>
      </w:pPr>
      <w:r w:rsidRPr="00962FCA">
        <w:rPr>
          <w:rFonts w:eastAsia="Times New Roman"/>
          <w:b/>
        </w:rPr>
        <w:t>Termín začatia a ukončenia PPK: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A.2. Vplyvy: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4506"/>
        <w:gridCol w:w="1547"/>
        <w:gridCol w:w="1569"/>
        <w:gridCol w:w="1664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Pozitívne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Žiadne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Negatívne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1. Vplyvy na rozpočet verejnej správy</w:t>
            </w:r>
          </w:p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2. Vplyvy na podnikateľské prostredie – dochádza k zvýšeniu regulačného zaťaženia?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 xml:space="preserve">3, Sociálne vplyvy </w:t>
            </w:r>
          </w:p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– vplyvy  na hospodárenie obyvateľstva,</w:t>
            </w:r>
          </w:p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– sociálnu exklúziu,</w:t>
            </w:r>
          </w:p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– rovnosť príležitostí a rodovú rovnosť a vplyvy na zamestnanosť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4. Vplyvy na životné prostredie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5. Vplyvy na informatizáciu spoločnosti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A.3. Poznámky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A.4. Alternatívne riešenia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P="00E766EC">
      <w:pPr>
        <w:bidi w:val="0"/>
        <w:jc w:val="both"/>
        <w:rPr>
          <w:rFonts w:eastAsia="Times New Roman"/>
          <w:b/>
          <w:bCs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 xml:space="preserve">A.5. Stanovisko gestorov </w:t>
      </w:r>
    </w:p>
    <w:p w:rsidR="00962FCA" w:rsidRPr="00962FCA" w:rsidP="00E766EC">
      <w:pPr>
        <w:bidi w:val="0"/>
        <w:jc w:val="both"/>
      </w:pPr>
    </w:p>
    <w:p w:rsidR="00E766EC">
      <w:pPr>
        <w:bidi w:val="0"/>
        <w:spacing w:after="200" w:line="276" w:lineRule="auto"/>
        <w:rPr>
          <w:b/>
          <w:bCs/>
          <w:spacing w:val="30"/>
        </w:rPr>
      </w:pPr>
      <w:r>
        <w:rPr>
          <w:b/>
          <w:bCs/>
          <w:spacing w:val="30"/>
        </w:rPr>
        <w:br w:type="page"/>
      </w:r>
    </w:p>
    <w:p w:rsidR="00E766EC" w:rsidRPr="002E7CAD" w:rsidP="00E766EC">
      <w:pPr>
        <w:bidi w:val="0"/>
        <w:jc w:val="center"/>
        <w:rPr>
          <w:rFonts w:hint="default"/>
          <w:b/>
          <w:bCs/>
          <w:spacing w:val="30"/>
        </w:rPr>
      </w:pPr>
      <w:r w:rsidRPr="002E7CAD">
        <w:rPr>
          <w:rFonts w:hint="default"/>
          <w:b/>
          <w:bCs/>
          <w:spacing w:val="30"/>
        </w:rPr>
        <w:t>DOLOŽ</w:t>
      </w:r>
      <w:r w:rsidRPr="002E7CAD">
        <w:rPr>
          <w:rFonts w:hint="default"/>
          <w:b/>
          <w:bCs/>
          <w:spacing w:val="30"/>
        </w:rPr>
        <w:t>KA ZLUČ</w:t>
      </w:r>
      <w:r w:rsidRPr="002E7CAD">
        <w:rPr>
          <w:rFonts w:hint="default"/>
          <w:b/>
          <w:bCs/>
          <w:spacing w:val="30"/>
        </w:rPr>
        <w:t>ITEĽ</w:t>
      </w:r>
      <w:r w:rsidRPr="002E7CAD">
        <w:rPr>
          <w:rFonts w:hint="default"/>
          <w:b/>
          <w:bCs/>
          <w:spacing w:val="30"/>
        </w:rPr>
        <w:t>NOSTI</w:t>
      </w:r>
    </w:p>
    <w:p w:rsidR="00E766EC" w:rsidRPr="002E7CAD" w:rsidP="00E766EC">
      <w:pPr>
        <w:bidi w:val="0"/>
        <w:jc w:val="center"/>
        <w:rPr>
          <w:b/>
          <w:bCs/>
        </w:rPr>
      </w:pPr>
      <w:r w:rsidRPr="002E7CAD">
        <w:rPr>
          <w:rFonts w:hint="default"/>
          <w:b/>
          <w:bCs/>
        </w:rPr>
        <w:t>ná</w:t>
      </w:r>
      <w:r w:rsidRPr="002E7CAD">
        <w:rPr>
          <w:rFonts w:hint="default"/>
          <w:b/>
          <w:bCs/>
        </w:rPr>
        <w:t>vrhu vyhláš</w:t>
      </w:r>
      <w:r w:rsidRPr="002E7CAD">
        <w:rPr>
          <w:rFonts w:hint="default"/>
          <w:b/>
          <w:bCs/>
        </w:rPr>
        <w:t xml:space="preserve">ky </w:t>
      </w:r>
      <w:r w:rsidRPr="002E7CAD">
        <w:rPr>
          <w:b/>
        </w:rPr>
        <w:t>s </w:t>
      </w:r>
      <w:r w:rsidRPr="002E7CAD">
        <w:rPr>
          <w:rFonts w:hint="default"/>
          <w:b/>
        </w:rPr>
        <w:t>prá</w:t>
      </w:r>
      <w:r w:rsidRPr="002E7CAD">
        <w:rPr>
          <w:rFonts w:hint="default"/>
          <w:b/>
        </w:rPr>
        <w:t>vom Euró</w:t>
      </w:r>
      <w:r w:rsidRPr="002E7CAD">
        <w:rPr>
          <w:rFonts w:hint="default"/>
          <w:b/>
        </w:rPr>
        <w:t>pskej ú</w:t>
      </w:r>
      <w:r w:rsidRPr="002E7CAD">
        <w:rPr>
          <w:rFonts w:hint="default"/>
          <w:b/>
        </w:rPr>
        <w:t>nie</w:t>
      </w: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2822AE">
      <w:pPr>
        <w:numPr>
          <w:ilvl w:val="0"/>
          <w:numId w:val="2"/>
        </w:numPr>
        <w:bidi w:val="0"/>
        <w:jc w:val="both"/>
      </w:pPr>
      <w:r w:rsidRPr="002E7CAD">
        <w:rPr>
          <w:rFonts w:hint="default"/>
          <w:b/>
          <w:bCs/>
        </w:rPr>
        <w:t>Navrhovateľ</w:t>
      </w:r>
      <w:r w:rsidRPr="002E7CAD">
        <w:rPr>
          <w:rFonts w:hint="default"/>
          <w:b/>
          <w:bCs/>
        </w:rPr>
        <w:t xml:space="preserve">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 xml:space="preserve">: </w:t>
      </w:r>
      <w:r>
        <w:t>poslan</w:t>
      </w:r>
      <w:r w:rsidR="00565B19">
        <w:rPr>
          <w:rFonts w:hint="default"/>
        </w:rPr>
        <w:t>kyň</w:t>
      </w:r>
      <w:r w:rsidR="00565B19">
        <w:rPr>
          <w:rFonts w:hint="default"/>
        </w:rPr>
        <w:t>a</w:t>
      </w:r>
      <w:r>
        <w:rPr>
          <w:rFonts w:hint="default"/>
        </w:rPr>
        <w:t xml:space="preserve"> Ná</w:t>
      </w:r>
      <w:r>
        <w:rPr>
          <w:rFonts w:hint="default"/>
        </w:rPr>
        <w:t xml:space="preserve">rodnej rady Slovenskej republiky </w:t>
      </w:r>
      <w:r w:rsidR="00F52C07">
        <w:rPr>
          <w:rFonts w:hint="default"/>
        </w:rPr>
        <w:t>Katarí</w:t>
      </w:r>
      <w:r w:rsidR="00F52C07">
        <w:rPr>
          <w:rFonts w:hint="default"/>
        </w:rPr>
        <w:t>na Csé</w:t>
      </w:r>
      <w:r w:rsidR="00F52C07">
        <w:rPr>
          <w:rFonts w:hint="default"/>
        </w:rPr>
        <w:t>falvayová</w:t>
      </w:r>
    </w:p>
    <w:p w:rsidR="00E766EC" w:rsidRPr="002E7CAD" w:rsidP="00E766EC">
      <w:pPr>
        <w:bidi w:val="0"/>
        <w:jc w:val="both"/>
      </w:pPr>
    </w:p>
    <w:p w:rsidR="00E766EC" w:rsidRPr="002E7CAD" w:rsidP="00607A79">
      <w:pPr>
        <w:numPr>
          <w:ilvl w:val="0"/>
          <w:numId w:val="2"/>
        </w:numPr>
        <w:bidi w:val="0"/>
        <w:jc w:val="both"/>
      </w:pPr>
      <w:r w:rsidRPr="002E7CAD">
        <w:rPr>
          <w:rFonts w:hint="default"/>
          <w:b/>
          <w:bCs/>
        </w:rPr>
        <w:t>Ná</w:t>
      </w:r>
      <w:r w:rsidRPr="002E7CAD">
        <w:rPr>
          <w:rFonts w:hint="default"/>
          <w:b/>
          <w:bCs/>
        </w:rPr>
        <w:t>zov 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>:</w:t>
      </w:r>
      <w:r w:rsidRPr="002E7CAD">
        <w:t xml:space="preserve"> </w:t>
      </w:r>
      <w:r w:rsidRPr="00565B19" w:rsidR="00565B19">
        <w:rPr>
          <w:rFonts w:eastAsia="Times New Roman"/>
          <w:bCs/>
        </w:rPr>
        <w:t xml:space="preserve">návrh zákona, </w:t>
      </w:r>
      <w:r w:rsidRPr="00F52C07" w:rsidR="00F52C07">
        <w:rPr>
          <w:rFonts w:eastAsia="Times New Roman"/>
          <w:bCs/>
        </w:rPr>
        <w:t>ktorým sa mení a dopĺňa zákon č. 131/2002 Z. z. o vysokých školách a o zmene a doplnení niektorých zákonov v znení neskorších predpisov</w:t>
      </w: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E766EC">
      <w:pPr>
        <w:numPr>
          <w:ilvl w:val="0"/>
          <w:numId w:val="2"/>
        </w:numPr>
        <w:bidi w:val="0"/>
        <w:jc w:val="both"/>
        <w:rPr>
          <w:b/>
          <w:bCs/>
        </w:rPr>
      </w:pPr>
      <w:r w:rsidRPr="002E7CAD">
        <w:rPr>
          <w:rFonts w:hint="default"/>
          <w:b/>
          <w:bCs/>
        </w:rPr>
        <w:t>Problematika 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>:</w:t>
      </w:r>
    </w:p>
    <w:p w:rsidR="00E766EC" w:rsidRPr="002E7CAD" w:rsidP="00E766EC">
      <w:pPr>
        <w:pStyle w:val="BodyTextIndent3"/>
        <w:numPr>
          <w:ilvl w:val="0"/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upravená v práve Európskej únie,</w:t>
      </w:r>
    </w:p>
    <w:p w:rsidR="00E766EC" w:rsidRPr="002E7CAD" w:rsidP="00E766EC">
      <w:pPr>
        <w:pStyle w:val="BodyTextIndent3"/>
        <w:numPr>
          <w:ilvl w:val="0"/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obsiahnutá v judikatúre Súdneho dvora Európskej únie.</w:t>
      </w:r>
    </w:p>
    <w:p w:rsidR="00E766EC" w:rsidRPr="002E7CAD" w:rsidP="00E766EC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E766EC" w:rsidRPr="002E7CAD" w:rsidP="00E766EC">
      <w:pPr>
        <w:pStyle w:val="BodyTextIndent3"/>
        <w:bidi w:val="0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E7CAD">
        <w:rPr>
          <w:rFonts w:ascii="Times New Roman" w:hAnsi="Times New Roman"/>
          <w:b/>
          <w:sz w:val="24"/>
          <w:szCs w:val="24"/>
          <w:lang w:val="sk-SK"/>
        </w:rPr>
        <w:t xml:space="preserve">Vzhľadom na vnútroštátny charakter navrhovaného právneho predpisu je bezpredmetné vyjadrovať sa k bodom 4., 5. a 6. doložky zlučiteľnosti. </w:t>
      </w:r>
    </w:p>
    <w:p w:rsidR="00E766EC" w:rsidP="00E766EC">
      <w:pPr>
        <w:bidi w:val="0"/>
      </w:pPr>
    </w:p>
    <w:p w:rsidR="00E766EC">
      <w:pPr>
        <w:bidi w:val="0"/>
        <w:spacing w:after="200" w:line="276" w:lineRule="auto"/>
        <w:rPr>
          <w:b/>
        </w:rPr>
      </w:pPr>
    </w:p>
    <w:p w:rsidR="00E766EC" w:rsidP="00962FCA">
      <w:pPr>
        <w:bidi w:val="0"/>
        <w:jc w:val="both"/>
        <w:rPr>
          <w:b/>
        </w:rPr>
      </w:pPr>
    </w:p>
    <w:p w:rsidR="00E766EC" w:rsidP="00962FCA">
      <w:pPr>
        <w:bidi w:val="0"/>
        <w:jc w:val="both"/>
        <w:rPr>
          <w:b/>
        </w:rPr>
      </w:pPr>
    </w:p>
    <w:p w:rsidR="00E766EC">
      <w:pPr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962FCA" w:rsidRPr="00962FCA" w:rsidP="00962FCA">
      <w:pPr>
        <w:bidi w:val="0"/>
        <w:jc w:val="both"/>
        <w:rPr>
          <w:b/>
        </w:rPr>
      </w:pPr>
      <w:r w:rsidRPr="00962FCA">
        <w:rPr>
          <w:b/>
        </w:rPr>
        <w:t xml:space="preserve">B. </w:t>
      </w:r>
      <w:r w:rsidR="00E766EC">
        <w:rPr>
          <w:rFonts w:hint="default"/>
          <w:b/>
        </w:rPr>
        <w:t>Osobitná</w:t>
      </w:r>
      <w:r w:rsidR="00E766EC">
        <w:rPr>
          <w:rFonts w:hint="default"/>
          <w:b/>
        </w:rPr>
        <w:t xml:space="preserve"> č</w:t>
      </w:r>
      <w:r w:rsidR="00E766EC">
        <w:rPr>
          <w:rFonts w:hint="default"/>
          <w:b/>
        </w:rPr>
        <w:t>asť</w:t>
      </w:r>
    </w:p>
    <w:p w:rsidR="00962FCA" w:rsidRPr="00962FCA" w:rsidP="00962FCA">
      <w:pPr>
        <w:bidi w:val="0"/>
        <w:jc w:val="both"/>
        <w:rPr>
          <w:b/>
        </w:rPr>
      </w:pPr>
    </w:p>
    <w:p w:rsidR="00962FCA" w:rsidRPr="00962FCA" w:rsidP="00962FCA">
      <w:pPr>
        <w:bidi w:val="0"/>
        <w:jc w:val="both"/>
        <w:rPr>
          <w:rFonts w:hint="default"/>
          <w:b/>
        </w:rPr>
      </w:pPr>
      <w:r w:rsidRPr="00962FCA">
        <w:rPr>
          <w:b/>
        </w:rPr>
        <w:t>K </w:t>
      </w:r>
      <w:r w:rsidRPr="00962FCA">
        <w:rPr>
          <w:rFonts w:hint="default"/>
          <w:b/>
        </w:rPr>
        <w:t>Č</w:t>
      </w:r>
      <w:r w:rsidRPr="00962FCA">
        <w:rPr>
          <w:rFonts w:hint="default"/>
          <w:b/>
        </w:rPr>
        <w:t>l. I</w:t>
      </w:r>
    </w:p>
    <w:p w:rsidR="00962FCA" w:rsidRPr="004B4D0F" w:rsidP="00962FCA">
      <w:pPr>
        <w:bidi w:val="0"/>
        <w:jc w:val="both"/>
      </w:pPr>
    </w:p>
    <w:p w:rsidR="00F52C07" w:rsidP="00805270">
      <w:pPr>
        <w:bidi w:val="0"/>
        <w:jc w:val="both"/>
      </w:pPr>
      <w:r w:rsidR="00805270">
        <w:tab/>
      </w:r>
      <w:r>
        <w:t>K bodom 1 a 2:</w:t>
      </w:r>
    </w:p>
    <w:p w:rsidR="00805270" w:rsidP="00F52C07">
      <w:pPr>
        <w:bidi w:val="0"/>
        <w:jc w:val="both"/>
      </w:pPr>
      <w:r w:rsidR="00F52C07">
        <w:rPr>
          <w:rFonts w:hint="default"/>
        </w:rPr>
        <w:t>Nakoľ</w:t>
      </w:r>
      <w:r w:rsidR="00F52C07">
        <w:rPr>
          <w:rFonts w:hint="default"/>
        </w:rPr>
        <w:t>ko sa v </w:t>
      </w:r>
      <w:r w:rsidR="00F52C07">
        <w:rPr>
          <w:rFonts w:hint="default"/>
        </w:rPr>
        <w:t>praxi vyskytli nejednoznač</w:t>
      </w:r>
      <w:r w:rsidR="00F52C07">
        <w:rPr>
          <w:rFonts w:hint="default"/>
        </w:rPr>
        <w:t>nosti tý</w:t>
      </w:r>
      <w:r w:rsidR="00F52C07">
        <w:rPr>
          <w:rFonts w:hint="default"/>
        </w:rPr>
        <w:t>kajú</w:t>
      </w:r>
      <w:r w:rsidR="00F52C07">
        <w:rPr>
          <w:rFonts w:hint="default"/>
        </w:rPr>
        <w:t>ce sa nezluč</w:t>
      </w:r>
      <w:r w:rsidR="00F52C07">
        <w:rPr>
          <w:rFonts w:hint="default"/>
        </w:rPr>
        <w:t>iteľ</w:t>
      </w:r>
      <w:r w:rsidR="00F52C07">
        <w:rPr>
          <w:rFonts w:hint="default"/>
        </w:rPr>
        <w:t>nosti funkcií</w:t>
      </w:r>
      <w:r w:rsidR="00F52C07">
        <w:rPr>
          <w:rFonts w:hint="default"/>
        </w:rPr>
        <w:t xml:space="preserve"> najvyšší</w:t>
      </w:r>
      <w:r w:rsidR="00F52C07">
        <w:rPr>
          <w:rFonts w:hint="default"/>
        </w:rPr>
        <w:t>ch predstaviteľ</w:t>
      </w:r>
      <w:r w:rsidR="00F52C07">
        <w:rPr>
          <w:rFonts w:hint="default"/>
        </w:rPr>
        <w:t>ov vysoký</w:t>
      </w:r>
      <w:r w:rsidR="00F52C07">
        <w:rPr>
          <w:rFonts w:hint="default"/>
        </w:rPr>
        <w:t>ch š</w:t>
      </w:r>
      <w:r w:rsidR="00F52C07">
        <w:rPr>
          <w:rFonts w:hint="default"/>
        </w:rPr>
        <w:t>kô</w:t>
      </w:r>
      <w:r w:rsidR="00F52C07">
        <w:rPr>
          <w:rFonts w:hint="default"/>
        </w:rPr>
        <w:t>l, resp. fakú</w:t>
      </w:r>
      <w:r w:rsidR="00F52C07">
        <w:rPr>
          <w:rFonts w:hint="default"/>
        </w:rPr>
        <w:t>lt (nezluč</w:t>
      </w:r>
      <w:r w:rsidR="00F52C07">
        <w:rPr>
          <w:rFonts w:hint="default"/>
        </w:rPr>
        <w:t>iteľ</w:t>
      </w:r>
      <w:r w:rsidR="00F52C07">
        <w:rPr>
          <w:rFonts w:hint="default"/>
        </w:rPr>
        <w:t>nosť</w:t>
      </w:r>
      <w:r w:rsidR="00F52C07">
        <w:rPr>
          <w:rFonts w:hint="default"/>
        </w:rPr>
        <w:t xml:space="preserve"> je v </w:t>
      </w:r>
      <w:r w:rsidR="00F52C07">
        <w:rPr>
          <w:rFonts w:hint="default"/>
        </w:rPr>
        <w:t>súč</w:t>
      </w:r>
      <w:r w:rsidR="00F52C07">
        <w:rPr>
          <w:rFonts w:hint="default"/>
        </w:rPr>
        <w:t>asnosti upravená</w:t>
      </w:r>
      <w:r w:rsidR="00F52C07">
        <w:rPr>
          <w:rFonts w:hint="default"/>
        </w:rPr>
        <w:t xml:space="preserve"> len vo vzť</w:t>
      </w:r>
      <w:r w:rsidR="00F52C07">
        <w:rPr>
          <w:rFonts w:hint="default"/>
        </w:rPr>
        <w:t>ahu k </w:t>
      </w:r>
      <w:r w:rsidR="00F52C07">
        <w:rPr>
          <w:rFonts w:hint="default"/>
        </w:rPr>
        <w:t>č</w:t>
      </w:r>
      <w:r w:rsidR="00F52C07">
        <w:rPr>
          <w:rFonts w:hint="default"/>
        </w:rPr>
        <w:t>lenom akademické</w:t>
      </w:r>
      <w:r w:rsidR="00F52C07">
        <w:rPr>
          <w:rFonts w:hint="default"/>
        </w:rPr>
        <w:t>ho sená</w:t>
      </w:r>
      <w:r w:rsidR="00F52C07">
        <w:rPr>
          <w:rFonts w:hint="default"/>
        </w:rPr>
        <w:t>tu vysokej š</w:t>
      </w:r>
      <w:r w:rsidR="00F52C07">
        <w:rPr>
          <w:rFonts w:hint="default"/>
        </w:rPr>
        <w:t>koly a k </w:t>
      </w:r>
      <w:r w:rsidR="00F52C07">
        <w:rPr>
          <w:rFonts w:hint="default"/>
        </w:rPr>
        <w:t>č</w:t>
      </w:r>
      <w:r w:rsidR="00F52C07">
        <w:rPr>
          <w:rFonts w:hint="default"/>
        </w:rPr>
        <w:t>lenom akademické</w:t>
      </w:r>
      <w:r w:rsidR="00F52C07">
        <w:rPr>
          <w:rFonts w:hint="default"/>
        </w:rPr>
        <w:t>ho sená</w:t>
      </w:r>
      <w:r w:rsidR="00F52C07">
        <w:rPr>
          <w:rFonts w:hint="default"/>
        </w:rPr>
        <w:t>tu fakulty), navrhuje sa tú</w:t>
      </w:r>
      <w:r w:rsidR="00F52C07">
        <w:rPr>
          <w:rFonts w:hint="default"/>
        </w:rPr>
        <w:t>to interpretač</w:t>
      </w:r>
      <w:r w:rsidR="00F52C07">
        <w:rPr>
          <w:rFonts w:hint="default"/>
        </w:rPr>
        <w:t>nú</w:t>
      </w:r>
      <w:r w:rsidR="00F52C07">
        <w:rPr>
          <w:rFonts w:hint="default"/>
        </w:rPr>
        <w:t xml:space="preserve"> nejasnosť</w:t>
      </w:r>
      <w:r w:rsidR="00F52C07">
        <w:rPr>
          <w:rFonts w:hint="default"/>
        </w:rPr>
        <w:t xml:space="preserve"> odstrá</w:t>
      </w:r>
      <w:r w:rsidR="00F52C07">
        <w:rPr>
          <w:rFonts w:hint="default"/>
        </w:rPr>
        <w:t>niť</w:t>
      </w:r>
      <w:r w:rsidR="00F52C07">
        <w:rPr>
          <w:rFonts w:hint="default"/>
        </w:rPr>
        <w:t xml:space="preserve"> a </w:t>
      </w:r>
      <w:r w:rsidR="00F52C07">
        <w:rPr>
          <w:rFonts w:hint="default"/>
        </w:rPr>
        <w:t>vymedzenie nezluč</w:t>
      </w:r>
      <w:r w:rsidR="00F52C07">
        <w:rPr>
          <w:rFonts w:hint="default"/>
        </w:rPr>
        <w:t>iteľ</w:t>
      </w:r>
      <w:r w:rsidR="00F52C07">
        <w:rPr>
          <w:rFonts w:hint="default"/>
        </w:rPr>
        <w:t>nosti ustanoviť</w:t>
      </w:r>
      <w:r w:rsidR="00F52C07">
        <w:rPr>
          <w:rFonts w:hint="default"/>
        </w:rPr>
        <w:t xml:space="preserve"> priamo zá</w:t>
      </w:r>
      <w:r w:rsidR="00F52C07">
        <w:rPr>
          <w:rFonts w:hint="default"/>
        </w:rPr>
        <w:t>konom.</w:t>
      </w:r>
      <w:r w:rsidR="00A32299">
        <w:t xml:space="preserve"> </w:t>
      </w:r>
    </w:p>
    <w:p w:rsidR="00A32299" w:rsidP="00F52C07">
      <w:pPr>
        <w:bidi w:val="0"/>
        <w:jc w:val="both"/>
      </w:pPr>
    </w:p>
    <w:p w:rsidR="00A32299" w:rsidP="00A32299">
      <w:pPr>
        <w:bidi w:val="0"/>
        <w:jc w:val="both"/>
        <w:rPr>
          <w:rFonts w:hint="default"/>
        </w:rPr>
      </w:pPr>
      <w:r>
        <w:rPr>
          <w:rFonts w:hint="default"/>
        </w:rPr>
        <w:t>Vedú</w:t>
      </w:r>
      <w:r>
        <w:rPr>
          <w:rFonts w:hint="default"/>
        </w:rPr>
        <w:t>ca funkcia je plnohodnotný</w:t>
      </w:r>
      <w:r>
        <w:rPr>
          <w:rFonts w:hint="default"/>
        </w:rPr>
        <w:t>m postom. Preto vyž</w:t>
      </w:r>
      <w:r>
        <w:rPr>
          <w:rFonts w:hint="default"/>
        </w:rPr>
        <w:t>aduje plné</w:t>
      </w:r>
      <w:r>
        <w:rPr>
          <w:rFonts w:hint="default"/>
        </w:rPr>
        <w:t xml:space="preserve"> pracovn</w:t>
      </w:r>
      <w:r>
        <w:rPr>
          <w:rFonts w:hint="default"/>
        </w:rPr>
        <w:t>é</w:t>
      </w:r>
      <w:r>
        <w:rPr>
          <w:rFonts w:hint="default"/>
        </w:rPr>
        <w:t xml:space="preserve"> nasadenie a nechá</w:t>
      </w:r>
      <w:r>
        <w:rPr>
          <w:rFonts w:hint="default"/>
        </w:rPr>
        <w:t>va minimá</w:t>
      </w:r>
      <w:r>
        <w:rPr>
          <w:rFonts w:hint="default"/>
        </w:rPr>
        <w:t>lny priestor pre ostatnú</w:t>
      </w:r>
      <w:r>
        <w:rPr>
          <w:rFonts w:hint="default"/>
        </w:rPr>
        <w:t xml:space="preserve"> pracovnú</w:t>
      </w:r>
      <w:r>
        <w:rPr>
          <w:rFonts w:hint="default"/>
        </w:rPr>
        <w:t xml:space="preserve"> realizá</w:t>
      </w:r>
      <w:r>
        <w:rPr>
          <w:rFonts w:hint="default"/>
        </w:rPr>
        <w:t>ciu. Je v zá</w:t>
      </w:r>
      <w:r>
        <w:rPr>
          <w:rFonts w:hint="default"/>
        </w:rPr>
        <w:t>ujme vysokej š</w:t>
      </w:r>
      <w:r>
        <w:rPr>
          <w:rFonts w:hint="default"/>
        </w:rPr>
        <w:t>koly, aby jej vedú</w:t>
      </w:r>
      <w:r>
        <w:rPr>
          <w:rFonts w:hint="default"/>
        </w:rPr>
        <w:t>ci predstaviteľ</w:t>
      </w:r>
      <w:r>
        <w:rPr>
          <w:rFonts w:hint="default"/>
        </w:rPr>
        <w:t xml:space="preserve"> venoval plnú</w:t>
      </w:r>
      <w:r>
        <w:rPr>
          <w:rFonts w:hint="default"/>
        </w:rPr>
        <w:t xml:space="preserve"> pozornosť</w:t>
      </w:r>
      <w:r>
        <w:rPr>
          <w:rFonts w:hint="default"/>
        </w:rPr>
        <w:t xml:space="preserve"> pracovné</w:t>
      </w:r>
      <w:r>
        <w:rPr>
          <w:rFonts w:hint="default"/>
        </w:rPr>
        <w:t>mu vý</w:t>
      </w:r>
      <w:r>
        <w:rPr>
          <w:rFonts w:hint="default"/>
        </w:rPr>
        <w:t>konu na mieste, kde zastá</w:t>
      </w:r>
      <w:r>
        <w:rPr>
          <w:rFonts w:hint="default"/>
        </w:rPr>
        <w:t>va vedú</w:t>
      </w:r>
      <w:r>
        <w:rPr>
          <w:rFonts w:hint="default"/>
        </w:rPr>
        <w:t>cu funkciu. Novela nezakazuje pracovný</w:t>
      </w:r>
      <w:r>
        <w:rPr>
          <w:rFonts w:hint="default"/>
        </w:rPr>
        <w:t xml:space="preserve"> pomer s  inou verej</w:t>
      </w:r>
      <w:r>
        <w:rPr>
          <w:rFonts w:hint="default"/>
        </w:rPr>
        <w:t>n</w:t>
      </w:r>
      <w:r>
        <w:rPr>
          <w:rFonts w:hint="default"/>
        </w:rPr>
        <w:t>ou, š</w:t>
      </w:r>
      <w:r>
        <w:rPr>
          <w:rFonts w:hint="default"/>
        </w:rPr>
        <w:t>tá</w:t>
      </w:r>
      <w:r>
        <w:rPr>
          <w:rFonts w:hint="default"/>
        </w:rPr>
        <w:t>tnou č</w:t>
      </w:r>
      <w:r>
        <w:rPr>
          <w:rFonts w:hint="default"/>
        </w:rPr>
        <w:t>i sú</w:t>
      </w:r>
      <w:r>
        <w:rPr>
          <w:rFonts w:hint="default"/>
        </w:rPr>
        <w:t>kromnou vysokou š</w:t>
      </w:r>
      <w:r>
        <w:rPr>
          <w:rFonts w:hint="default"/>
        </w:rPr>
        <w:t>kolou. Iba jednoznač</w:t>
      </w:r>
      <w:r>
        <w:rPr>
          <w:rFonts w:hint="default"/>
        </w:rPr>
        <w:t>ne oddeľ</w:t>
      </w:r>
      <w:r>
        <w:rPr>
          <w:rFonts w:hint="default"/>
        </w:rPr>
        <w:t>uje riadiace funkcie od ostatný</w:t>
      </w:r>
      <w:r>
        <w:rPr>
          <w:rFonts w:hint="default"/>
        </w:rPr>
        <w:t>ch pracovný</w:t>
      </w:r>
      <w:r>
        <w:rPr>
          <w:rFonts w:hint="default"/>
        </w:rPr>
        <w:t>ch povinností</w:t>
      </w:r>
      <w:r>
        <w:rPr>
          <w:rFonts w:hint="default"/>
        </w:rPr>
        <w:t xml:space="preserve"> vysokoš</w:t>
      </w:r>
      <w:r>
        <w:rPr>
          <w:rFonts w:hint="default"/>
        </w:rPr>
        <w:t>kolské</w:t>
      </w:r>
      <w:r>
        <w:rPr>
          <w:rFonts w:hint="default"/>
        </w:rPr>
        <w:t>ho pedagó</w:t>
      </w:r>
      <w:r>
        <w:rPr>
          <w:rFonts w:hint="default"/>
        </w:rPr>
        <w:t>ga, pri ktorý</w:t>
      </w:r>
      <w:r>
        <w:rPr>
          <w:rFonts w:hint="default"/>
        </w:rPr>
        <w:t>ch je medziuniverzitný</w:t>
      </w:r>
      <w:r>
        <w:rPr>
          <w:rFonts w:hint="default"/>
        </w:rPr>
        <w:t xml:space="preserve"> transfer skô</w:t>
      </w:r>
      <w:r>
        <w:rPr>
          <w:rFonts w:hint="default"/>
        </w:rPr>
        <w:t>r pozití</w:t>
      </w:r>
      <w:r>
        <w:rPr>
          <w:rFonts w:hint="default"/>
        </w:rPr>
        <w:t>vny. Naopak viacná</w:t>
      </w:r>
      <w:r>
        <w:rPr>
          <w:rFonts w:hint="default"/>
        </w:rPr>
        <w:t>sobný</w:t>
      </w:r>
      <w:r>
        <w:rPr>
          <w:rFonts w:hint="default"/>
        </w:rPr>
        <w:t xml:space="preserve"> vý</w:t>
      </w:r>
      <w:r>
        <w:rPr>
          <w:rFonts w:hint="default"/>
        </w:rPr>
        <w:t>kon vedú</w:t>
      </w:r>
      <w:r>
        <w:rPr>
          <w:rFonts w:hint="default"/>
        </w:rPr>
        <w:t>cej funkcie je kontraprod</w:t>
      </w:r>
      <w:r>
        <w:rPr>
          <w:rFonts w:hint="default"/>
        </w:rPr>
        <w:t>u</w:t>
      </w:r>
      <w:r>
        <w:rPr>
          <w:rFonts w:hint="default"/>
        </w:rPr>
        <w:t>ktí</w:t>
      </w:r>
      <w:r>
        <w:rPr>
          <w:rFonts w:hint="default"/>
        </w:rPr>
        <w:t>vny.</w:t>
      </w:r>
    </w:p>
    <w:p w:rsidR="00A32299" w:rsidP="00A32299">
      <w:pPr>
        <w:bidi w:val="0"/>
        <w:jc w:val="both"/>
        <w:rPr>
          <w:rFonts w:hint="default"/>
        </w:rPr>
      </w:pPr>
    </w:p>
    <w:p w:rsidR="00A32299" w:rsidP="00A32299">
      <w:pPr>
        <w:bidi w:val="0"/>
        <w:jc w:val="both"/>
        <w:rPr>
          <w:rFonts w:hint="default"/>
        </w:rPr>
      </w:pPr>
      <w:r>
        <w:rPr>
          <w:rFonts w:hint="default"/>
        </w:rPr>
        <w:t>Je potrebné</w:t>
      </w:r>
      <w:r>
        <w:rPr>
          <w:rFonts w:hint="default"/>
        </w:rPr>
        <w:t xml:space="preserve"> zamedziť</w:t>
      </w:r>
      <w:r>
        <w:rPr>
          <w:rFonts w:hint="default"/>
        </w:rPr>
        <w:t xml:space="preserve"> kumulovaniu vedú</w:t>
      </w:r>
      <w:r>
        <w:rPr>
          <w:rFonts w:hint="default"/>
        </w:rPr>
        <w:t>cic</w:t>
      </w:r>
      <w:r w:rsidR="00461DC9">
        <w:rPr>
          <w:rFonts w:hint="default"/>
        </w:rPr>
        <w:t>h funkcií</w:t>
      </w:r>
      <w:r w:rsidR="00461DC9">
        <w:rPr>
          <w:rFonts w:hint="default"/>
        </w:rPr>
        <w:t xml:space="preserve"> v ruká</w:t>
      </w:r>
      <w:r w:rsidR="00461DC9">
        <w:rPr>
          <w:rFonts w:hint="default"/>
        </w:rPr>
        <w:t>ch jednej osoby</w:t>
      </w:r>
      <w:r>
        <w:rPr>
          <w:rFonts w:hint="default"/>
        </w:rPr>
        <w:t>. Dô</w:t>
      </w:r>
      <w:r>
        <w:rPr>
          <w:rFonts w:hint="default"/>
        </w:rPr>
        <w:t>sledkom tohto negatí</w:t>
      </w:r>
      <w:r>
        <w:rPr>
          <w:rFonts w:hint="default"/>
        </w:rPr>
        <w:t>vneho fenomé</w:t>
      </w:r>
      <w:r>
        <w:rPr>
          <w:rFonts w:hint="default"/>
        </w:rPr>
        <w:t>nu je okrem diskutabilnej schopnosti reá</w:t>
      </w:r>
      <w:r>
        <w:rPr>
          <w:rFonts w:hint="default"/>
        </w:rPr>
        <w:t>lneho plnohodnotné</w:t>
      </w:r>
      <w:r>
        <w:rPr>
          <w:rFonts w:hint="default"/>
        </w:rPr>
        <w:t>ho vý</w:t>
      </w:r>
      <w:r>
        <w:rPr>
          <w:rFonts w:hint="default"/>
        </w:rPr>
        <w:t>konu i klesajú</w:t>
      </w:r>
      <w:r>
        <w:rPr>
          <w:rFonts w:hint="default"/>
        </w:rPr>
        <w:t>ca transparentn</w:t>
      </w:r>
      <w:r>
        <w:rPr>
          <w:rFonts w:hint="default"/>
        </w:rPr>
        <w:t>osť</w:t>
      </w:r>
      <w:r>
        <w:rPr>
          <w:rFonts w:hint="default"/>
        </w:rPr>
        <w:t>. Primá</w:t>
      </w:r>
      <w:r>
        <w:rPr>
          <w:rFonts w:hint="default"/>
        </w:rPr>
        <w:t>rne je potrebné</w:t>
      </w:r>
      <w:r>
        <w:rPr>
          <w:rFonts w:hint="default"/>
        </w:rPr>
        <w:t xml:space="preserve"> obmedziť</w:t>
      </w:r>
      <w:r>
        <w:rPr>
          <w:rFonts w:hint="default"/>
        </w:rPr>
        <w:t xml:space="preserve"> kumulovanie pozí</w:t>
      </w:r>
      <w:r>
        <w:rPr>
          <w:rFonts w:hint="default"/>
        </w:rPr>
        <w:t>cií</w:t>
      </w:r>
      <w:r>
        <w:rPr>
          <w:rFonts w:hint="default"/>
        </w:rPr>
        <w:t xml:space="preserve"> v rá</w:t>
      </w:r>
      <w:r>
        <w:rPr>
          <w:rFonts w:hint="default"/>
        </w:rPr>
        <w:t>mci jednej vysokej š</w:t>
      </w:r>
      <w:r>
        <w:rPr>
          <w:rFonts w:hint="default"/>
        </w:rPr>
        <w:t xml:space="preserve">koly, kedy jedna osoba </w:t>
      </w:r>
      <w:r w:rsidR="00461DC9">
        <w:rPr>
          <w:rFonts w:hint="default"/>
        </w:rPr>
        <w:t>by mala zastá</w:t>
      </w:r>
      <w:r w:rsidR="00461DC9">
        <w:rPr>
          <w:rFonts w:hint="default"/>
        </w:rPr>
        <w:t>vať</w:t>
      </w:r>
      <w:r w:rsidR="00461DC9">
        <w:rPr>
          <w:rFonts w:hint="default"/>
        </w:rPr>
        <w:t xml:space="preserve"> len jednu</w:t>
      </w:r>
      <w:r>
        <w:rPr>
          <w:rFonts w:hint="default"/>
        </w:rPr>
        <w:t xml:space="preserve"> vedú</w:t>
      </w:r>
      <w:r>
        <w:rPr>
          <w:rFonts w:hint="default"/>
        </w:rPr>
        <w:t>cu funkciu</w:t>
      </w:r>
      <w:r>
        <w:rPr>
          <w:rFonts w:hint="default"/>
        </w:rPr>
        <w:t xml:space="preserve">. </w:t>
      </w:r>
      <w:r w:rsidR="00461DC9">
        <w:rPr>
          <w:rFonts w:hint="default"/>
        </w:rPr>
        <w:t>Predkladaná</w:t>
      </w:r>
      <w:r w:rsidR="00461DC9">
        <w:rPr>
          <w:rFonts w:hint="default"/>
        </w:rPr>
        <w:t xml:space="preserve"> novela zá</w:t>
      </w:r>
      <w:r w:rsidR="00461DC9">
        <w:rPr>
          <w:rFonts w:hint="default"/>
        </w:rPr>
        <w:t>kona tak</w:t>
      </w:r>
      <w:r>
        <w:rPr>
          <w:rFonts w:hint="default"/>
        </w:rPr>
        <w:t xml:space="preserve"> vyluč</w:t>
      </w:r>
      <w:r>
        <w:rPr>
          <w:rFonts w:hint="default"/>
        </w:rPr>
        <w:t>uje samokontrolu, ktorá</w:t>
      </w:r>
      <w:r>
        <w:rPr>
          <w:rFonts w:hint="default"/>
        </w:rPr>
        <w:t xml:space="preserve"> vzniká</w:t>
      </w:r>
      <w:r>
        <w:rPr>
          <w:rFonts w:hint="default"/>
        </w:rPr>
        <w:t xml:space="preserve"> na</w:t>
      </w:r>
      <w:r>
        <w:rPr>
          <w:rFonts w:hint="default"/>
        </w:rPr>
        <w:t>prí</w:t>
      </w:r>
      <w:r>
        <w:rPr>
          <w:rFonts w:hint="default"/>
        </w:rPr>
        <w:t>klad vo vzť</w:t>
      </w:r>
      <w:r>
        <w:rPr>
          <w:rFonts w:hint="default"/>
        </w:rPr>
        <w:t>ahu dekan a vedú</w:t>
      </w:r>
      <w:r>
        <w:rPr>
          <w:rFonts w:hint="default"/>
        </w:rPr>
        <w:t>ci katedry. Takisto ak osoba zastupuje vedú</w:t>
      </w:r>
      <w:r>
        <w:rPr>
          <w:rFonts w:hint="default"/>
        </w:rPr>
        <w:t>ce posty na viacerý</w:t>
      </w:r>
      <w:r>
        <w:rPr>
          <w:rFonts w:hint="default"/>
        </w:rPr>
        <w:t>ch vysoký</w:t>
      </w:r>
      <w:r>
        <w:rPr>
          <w:rFonts w:hint="default"/>
        </w:rPr>
        <w:t>ch š</w:t>
      </w:r>
      <w:r>
        <w:rPr>
          <w:rFonts w:hint="default"/>
        </w:rPr>
        <w:t>kolá</w:t>
      </w:r>
      <w:r>
        <w:rPr>
          <w:rFonts w:hint="default"/>
        </w:rPr>
        <w:t>ch hrozí</w:t>
      </w:r>
      <w:r>
        <w:rPr>
          <w:rFonts w:hint="default"/>
        </w:rPr>
        <w:t xml:space="preserve"> jej konflikt zá</w:t>
      </w:r>
      <w:r>
        <w:rPr>
          <w:rFonts w:hint="default"/>
        </w:rPr>
        <w:t>ujmov.</w:t>
      </w:r>
    </w:p>
    <w:p w:rsidR="00F52C07" w:rsidP="00F52C07">
      <w:pPr>
        <w:bidi w:val="0"/>
        <w:jc w:val="both"/>
      </w:pPr>
    </w:p>
    <w:p w:rsidR="00F52C07" w:rsidP="00F52C07">
      <w:pPr>
        <w:bidi w:val="0"/>
        <w:ind w:firstLine="708"/>
        <w:jc w:val="both"/>
      </w:pPr>
      <w:r>
        <w:t>K bodu 3:</w:t>
      </w:r>
    </w:p>
    <w:p w:rsidR="00F52C07" w:rsidRPr="004B4D0F" w:rsidP="00F52C07">
      <w:pPr>
        <w:bidi w:val="0"/>
        <w:jc w:val="both"/>
      </w:pPr>
      <w:r>
        <w:rPr>
          <w:rFonts w:hint="default"/>
        </w:rPr>
        <w:t>Súč</w:t>
      </w:r>
      <w:r>
        <w:rPr>
          <w:rFonts w:hint="default"/>
        </w:rPr>
        <w:t>asná</w:t>
      </w:r>
      <w:r>
        <w:rPr>
          <w:rFonts w:hint="default"/>
        </w:rPr>
        <w:t xml:space="preserve"> prá</w:t>
      </w:r>
      <w:r>
        <w:rPr>
          <w:rFonts w:hint="default"/>
        </w:rPr>
        <w:t>vna ú</w:t>
      </w:r>
      <w:r>
        <w:rPr>
          <w:rFonts w:hint="default"/>
        </w:rPr>
        <w:t>prava sí</w:t>
      </w:r>
      <w:r>
        <w:rPr>
          <w:rFonts w:hint="default"/>
        </w:rPr>
        <w:t>ce ustanovuje minimá</w:t>
      </w:r>
      <w:r>
        <w:rPr>
          <w:rFonts w:hint="default"/>
        </w:rPr>
        <w:t>lny poč</w:t>
      </w:r>
      <w:r>
        <w:rPr>
          <w:rFonts w:hint="default"/>
        </w:rPr>
        <w:t>et č</w:t>
      </w:r>
      <w:r>
        <w:rPr>
          <w:rFonts w:hint="default"/>
        </w:rPr>
        <w:t>lenov skúš</w:t>
      </w:r>
      <w:r>
        <w:rPr>
          <w:rFonts w:hint="default"/>
        </w:rPr>
        <w:t>obnej komisie pre š</w:t>
      </w:r>
      <w:r>
        <w:rPr>
          <w:rFonts w:hint="default"/>
        </w:rPr>
        <w:t>tá</w:t>
      </w:r>
      <w:r>
        <w:rPr>
          <w:rFonts w:hint="default"/>
        </w:rPr>
        <w:t>tne skúš</w:t>
      </w:r>
      <w:r>
        <w:rPr>
          <w:rFonts w:hint="default"/>
        </w:rPr>
        <w:t>ky, avš</w:t>
      </w:r>
      <w:r>
        <w:rPr>
          <w:rFonts w:hint="default"/>
        </w:rPr>
        <w:t>ak p</w:t>
      </w:r>
      <w:r>
        <w:rPr>
          <w:rFonts w:hint="default"/>
        </w:rPr>
        <w:t>oč</w:t>
      </w:r>
      <w:r>
        <w:rPr>
          <w:rFonts w:hint="default"/>
        </w:rPr>
        <w:t>et aktuá</w:t>
      </w:r>
      <w:r>
        <w:rPr>
          <w:rFonts w:hint="default"/>
        </w:rPr>
        <w:t>lne prí</w:t>
      </w:r>
      <w:r>
        <w:rPr>
          <w:rFonts w:hint="default"/>
        </w:rPr>
        <w:t>tomný</w:t>
      </w:r>
      <w:r>
        <w:rPr>
          <w:rFonts w:hint="default"/>
        </w:rPr>
        <w:t>ch č</w:t>
      </w:r>
      <w:r>
        <w:rPr>
          <w:rFonts w:hint="default"/>
        </w:rPr>
        <w:t>lenov je ponechaný</w:t>
      </w:r>
      <w:r>
        <w:rPr>
          <w:rFonts w:hint="default"/>
        </w:rPr>
        <w:t xml:space="preserve"> na jednotlivé</w:t>
      </w:r>
      <w:r>
        <w:rPr>
          <w:rFonts w:hint="default"/>
        </w:rPr>
        <w:t xml:space="preserve"> vysoké</w:t>
      </w:r>
      <w:r>
        <w:rPr>
          <w:rFonts w:hint="default"/>
        </w:rPr>
        <w:t xml:space="preserve"> š</w:t>
      </w:r>
      <w:r>
        <w:rPr>
          <w:rFonts w:hint="default"/>
        </w:rPr>
        <w:t>koly. V </w:t>
      </w:r>
      <w:r>
        <w:rPr>
          <w:rFonts w:hint="default"/>
        </w:rPr>
        <w:t>praxi sa vš</w:t>
      </w:r>
      <w:r>
        <w:rPr>
          <w:rFonts w:hint="default"/>
        </w:rPr>
        <w:t>ak vyskytli aj prí</w:t>
      </w:r>
      <w:r>
        <w:rPr>
          <w:rFonts w:hint="default"/>
        </w:rPr>
        <w:t>pady, ž</w:t>
      </w:r>
      <w:r>
        <w:rPr>
          <w:rFonts w:hint="default"/>
        </w:rPr>
        <w:t>e v </w:t>
      </w:r>
      <w:r>
        <w:rPr>
          <w:rFonts w:hint="default"/>
        </w:rPr>
        <w:t>danom č</w:t>
      </w:r>
      <w:r>
        <w:rPr>
          <w:rFonts w:hint="default"/>
        </w:rPr>
        <w:t>ase bol prí</w:t>
      </w:r>
      <w:r>
        <w:rPr>
          <w:rFonts w:hint="default"/>
        </w:rPr>
        <w:t>tomný</w:t>
      </w:r>
      <w:r>
        <w:rPr>
          <w:rFonts w:hint="default"/>
        </w:rPr>
        <w:t xml:space="preserve"> len jeden č</w:t>
      </w:r>
      <w:r>
        <w:rPr>
          <w:rFonts w:hint="default"/>
        </w:rPr>
        <w:t>len komisie, č</w:t>
      </w:r>
      <w:r>
        <w:rPr>
          <w:rFonts w:hint="default"/>
        </w:rPr>
        <w:t>o môž</w:t>
      </w:r>
      <w:r>
        <w:rPr>
          <w:rFonts w:hint="default"/>
        </w:rPr>
        <w:t>e prispievať</w:t>
      </w:r>
      <w:r>
        <w:rPr>
          <w:rFonts w:hint="default"/>
        </w:rPr>
        <w:t xml:space="preserve"> k </w:t>
      </w:r>
      <w:r>
        <w:rPr>
          <w:rFonts w:hint="default"/>
        </w:rPr>
        <w:t>zníž</w:t>
      </w:r>
      <w:r>
        <w:rPr>
          <w:rFonts w:hint="default"/>
        </w:rPr>
        <w:t>eniu objektivity skúš</w:t>
      </w:r>
      <w:r>
        <w:rPr>
          <w:rFonts w:hint="default"/>
        </w:rPr>
        <w:t>ania a hodnotenia. Preto sa navrhuje, aby v </w:t>
      </w:r>
      <w:r>
        <w:rPr>
          <w:rFonts w:hint="default"/>
        </w:rPr>
        <w:t>zá</w:t>
      </w:r>
      <w:r>
        <w:rPr>
          <w:rFonts w:hint="default"/>
        </w:rPr>
        <w:t>u</w:t>
      </w:r>
      <w:r>
        <w:rPr>
          <w:rFonts w:hint="default"/>
        </w:rPr>
        <w:t xml:space="preserve">jme </w:t>
      </w:r>
      <w:r w:rsidR="00DA24F3">
        <w:rPr>
          <w:rFonts w:hint="default"/>
        </w:rPr>
        <w:t>objektí</w:t>
      </w:r>
      <w:r w:rsidR="00DA24F3">
        <w:rPr>
          <w:rFonts w:hint="default"/>
        </w:rPr>
        <w:t>vnejš</w:t>
      </w:r>
      <w:r w:rsidR="00DA24F3">
        <w:rPr>
          <w:rFonts w:hint="default"/>
        </w:rPr>
        <w:t>ieho skúš</w:t>
      </w:r>
      <w:r w:rsidR="00DA24F3">
        <w:rPr>
          <w:rFonts w:hint="default"/>
        </w:rPr>
        <w:t>ania a </w:t>
      </w:r>
      <w:r w:rsidR="00DA24F3">
        <w:rPr>
          <w:rFonts w:hint="default"/>
        </w:rPr>
        <w:t>hodnotenia bol zá</w:t>
      </w:r>
      <w:r w:rsidR="00DA24F3">
        <w:rPr>
          <w:rFonts w:hint="default"/>
        </w:rPr>
        <w:t>konom ustanovený</w:t>
      </w:r>
      <w:r w:rsidR="00DA24F3">
        <w:rPr>
          <w:rFonts w:hint="default"/>
        </w:rPr>
        <w:t xml:space="preserve"> minimá</w:t>
      </w:r>
      <w:r w:rsidR="00DA24F3">
        <w:rPr>
          <w:rFonts w:hint="default"/>
        </w:rPr>
        <w:t>lny poč</w:t>
      </w:r>
      <w:r w:rsidR="00DA24F3">
        <w:rPr>
          <w:rFonts w:hint="default"/>
        </w:rPr>
        <w:t>et prí</w:t>
      </w:r>
      <w:r w:rsidR="00DA24F3">
        <w:rPr>
          <w:rFonts w:hint="default"/>
        </w:rPr>
        <w:t>tomný</w:t>
      </w:r>
      <w:r w:rsidR="00DA24F3">
        <w:rPr>
          <w:rFonts w:hint="default"/>
        </w:rPr>
        <w:t>ch č</w:t>
      </w:r>
      <w:r w:rsidR="00DA24F3">
        <w:rPr>
          <w:rFonts w:hint="default"/>
        </w:rPr>
        <w:t>lenov skúš</w:t>
      </w:r>
      <w:r w:rsidR="00DA24F3">
        <w:rPr>
          <w:rFonts w:hint="default"/>
        </w:rPr>
        <w:t>obnej komisie.</w:t>
      </w:r>
    </w:p>
    <w:p w:rsidR="00962FCA" w:rsidRPr="00962FCA" w:rsidP="00962FCA">
      <w:pPr>
        <w:bidi w:val="0"/>
        <w:jc w:val="both"/>
        <w:rPr>
          <w:b/>
        </w:rPr>
      </w:pPr>
    </w:p>
    <w:p w:rsidR="00962FCA" w:rsidRPr="00962FCA" w:rsidP="00962FCA">
      <w:pPr>
        <w:bidi w:val="0"/>
        <w:jc w:val="both"/>
        <w:rPr>
          <w:rFonts w:hint="default"/>
          <w:b/>
        </w:rPr>
      </w:pPr>
      <w:r w:rsidRPr="00962FCA">
        <w:rPr>
          <w:b/>
        </w:rPr>
        <w:t>K </w:t>
      </w:r>
      <w:r w:rsidRPr="00962FCA">
        <w:rPr>
          <w:rFonts w:hint="default"/>
          <w:b/>
        </w:rPr>
        <w:t>Č</w:t>
      </w:r>
      <w:r w:rsidRPr="00962FCA">
        <w:rPr>
          <w:rFonts w:hint="default"/>
          <w:b/>
        </w:rPr>
        <w:t>l. II</w:t>
      </w:r>
    </w:p>
    <w:p w:rsidR="00962FCA" w:rsidRPr="00962FCA" w:rsidP="00962FCA">
      <w:pPr>
        <w:bidi w:val="0"/>
        <w:jc w:val="both"/>
        <w:rPr>
          <w:rFonts w:hint="default"/>
          <w:b/>
        </w:rPr>
      </w:pPr>
    </w:p>
    <w:p w:rsidR="00962FCA" w:rsidRPr="00962FCA" w:rsidP="004B4D0F">
      <w:pPr>
        <w:bidi w:val="0"/>
        <w:ind w:firstLine="708"/>
        <w:jc w:val="both"/>
      </w:pPr>
      <w:r w:rsidRPr="00962FCA">
        <w:rPr>
          <w:rFonts w:hint="default"/>
        </w:rPr>
        <w:t>Navrhuje sa úč</w:t>
      </w:r>
      <w:r w:rsidRPr="00962FCA">
        <w:rPr>
          <w:rFonts w:hint="default"/>
        </w:rPr>
        <w:t>innosť</w:t>
      </w:r>
      <w:r w:rsidRPr="00962FCA">
        <w:rPr>
          <w:rFonts w:hint="default"/>
        </w:rPr>
        <w:t xml:space="preserve"> zá</w:t>
      </w:r>
      <w:r w:rsidRPr="00962FCA">
        <w:rPr>
          <w:rFonts w:hint="default"/>
        </w:rPr>
        <w:t>kona so zoh</w:t>
      </w:r>
      <w:r w:rsidR="00805270">
        <w:rPr>
          <w:rFonts w:hint="default"/>
        </w:rPr>
        <w:t>ľ</w:t>
      </w:r>
      <w:r w:rsidR="00805270">
        <w:rPr>
          <w:rFonts w:hint="default"/>
        </w:rPr>
        <w:t>adnení</w:t>
      </w:r>
      <w:r w:rsidR="00805270">
        <w:rPr>
          <w:rFonts w:hint="default"/>
        </w:rPr>
        <w:t>m legisvakanč</w:t>
      </w:r>
      <w:r w:rsidR="00805270">
        <w:rPr>
          <w:rFonts w:hint="default"/>
        </w:rPr>
        <w:t>nej lehoty</w:t>
      </w:r>
      <w:r w:rsidR="00F52C07">
        <w:rPr>
          <w:rFonts w:hint="default"/>
        </w:rPr>
        <w:t xml:space="preserve"> vychá</w:t>
      </w:r>
      <w:r w:rsidR="00F52C07">
        <w:rPr>
          <w:rFonts w:hint="default"/>
        </w:rPr>
        <w:t>dzajú</w:t>
      </w:r>
      <w:r w:rsidR="00F52C07">
        <w:rPr>
          <w:rFonts w:hint="default"/>
        </w:rPr>
        <w:t>c z </w:t>
      </w:r>
      <w:r w:rsidR="00F52C07">
        <w:rPr>
          <w:rFonts w:hint="default"/>
        </w:rPr>
        <w:t>harmonogramu schô</w:t>
      </w:r>
      <w:r w:rsidR="00F52C07">
        <w:rPr>
          <w:rFonts w:hint="default"/>
        </w:rPr>
        <w:t>dzí</w:t>
      </w:r>
      <w:r w:rsidR="00F52C07">
        <w:rPr>
          <w:rFonts w:hint="default"/>
        </w:rPr>
        <w:t xml:space="preserve"> Ná</w:t>
      </w:r>
      <w:r w:rsidR="00F52C07">
        <w:rPr>
          <w:rFonts w:hint="default"/>
        </w:rPr>
        <w:t>rodnej rady Slovenskej republiky</w:t>
      </w:r>
      <w:r w:rsidRPr="00962FCA">
        <w:t>.</w:t>
      </w:r>
    </w:p>
    <w:p w:rsidR="00962FCA" w:rsidRPr="00962FCA" w:rsidP="00962FCA">
      <w:pPr>
        <w:bidi w:val="0"/>
        <w:jc w:val="both"/>
      </w:pPr>
    </w:p>
    <w:p w:rsidR="00962FCA" w:rsidRPr="00962FCA" w:rsidP="00962FCA">
      <w:pPr>
        <w:bidi w:val="0"/>
        <w:jc w:val="both"/>
      </w:pPr>
    </w:p>
    <w:p w:rsidR="00A312C3" w:rsidRPr="00962FCA" w:rsidP="004B4D0F">
      <w:pPr>
        <w:bidi w:val="0"/>
        <w:jc w:val="both"/>
      </w:pPr>
    </w:p>
    <w:sectPr w:rsidSect="0084057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75" w:rsidRPr="00840575">
    <w:pPr>
      <w:pStyle w:val="Footer"/>
      <w:bidi w:val="0"/>
      <w:jc w:val="center"/>
    </w:pPr>
    <w:r w:rsidRPr="00840575">
      <w:fldChar w:fldCharType="begin"/>
    </w:r>
    <w:r w:rsidRPr="00840575">
      <w:instrText>PAGE   \* MERGEFORMAT</w:instrText>
    </w:r>
    <w:r w:rsidRPr="00840575">
      <w:fldChar w:fldCharType="separate"/>
    </w:r>
    <w:r w:rsidR="00461DC9">
      <w:rPr>
        <w:noProof/>
      </w:rPr>
      <w:t>4</w:t>
    </w:r>
    <w:r w:rsidRPr="00840575">
      <w:fldChar w:fldCharType="end"/>
    </w:r>
  </w:p>
  <w:p w:rsidR="00164BA5" w:rsidRPr="00840575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32A6"/>
    <w:multiLevelType w:val="hybridMultilevel"/>
    <w:tmpl w:val="3BE62E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2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962FCA"/>
    <w:rsid w:val="00084491"/>
    <w:rsid w:val="000C7CE4"/>
    <w:rsid w:val="000F34EA"/>
    <w:rsid w:val="001019F9"/>
    <w:rsid w:val="00154AA8"/>
    <w:rsid w:val="00164BA5"/>
    <w:rsid w:val="00256D61"/>
    <w:rsid w:val="00270224"/>
    <w:rsid w:val="00271E14"/>
    <w:rsid w:val="002822AE"/>
    <w:rsid w:val="00291BF9"/>
    <w:rsid w:val="002A2767"/>
    <w:rsid w:val="002B6D35"/>
    <w:rsid w:val="002C58B2"/>
    <w:rsid w:val="002E7CAD"/>
    <w:rsid w:val="0033666A"/>
    <w:rsid w:val="003926A0"/>
    <w:rsid w:val="00401798"/>
    <w:rsid w:val="00461DC9"/>
    <w:rsid w:val="004B4D0F"/>
    <w:rsid w:val="00565B19"/>
    <w:rsid w:val="00575A14"/>
    <w:rsid w:val="00580517"/>
    <w:rsid w:val="005F734A"/>
    <w:rsid w:val="00607A79"/>
    <w:rsid w:val="00702130"/>
    <w:rsid w:val="007B02D0"/>
    <w:rsid w:val="00805270"/>
    <w:rsid w:val="00840575"/>
    <w:rsid w:val="00882857"/>
    <w:rsid w:val="00962FCA"/>
    <w:rsid w:val="00A312C3"/>
    <w:rsid w:val="00A32299"/>
    <w:rsid w:val="00B727FA"/>
    <w:rsid w:val="00B95E1B"/>
    <w:rsid w:val="00BF10CE"/>
    <w:rsid w:val="00BF6365"/>
    <w:rsid w:val="00CB4831"/>
    <w:rsid w:val="00DA24F3"/>
    <w:rsid w:val="00E56C64"/>
    <w:rsid w:val="00E766EC"/>
    <w:rsid w:val="00EB583A"/>
    <w:rsid w:val="00F51363"/>
    <w:rsid w:val="00F52C07"/>
    <w:rsid w:val="00FF49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FCA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962FC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62FCA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62FC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62FCA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E766EC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E766EC"/>
    <w:rPr>
      <w:rFonts w:ascii="Times New Roman" w:hAnsi="Times New Roman" w:cs="Times New Roman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FE9D-E71E-46D2-A0A2-4998B1AF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674</Words>
  <Characters>3846</Characters>
  <Application>Microsoft Office Word</Application>
  <DocSecurity>0</DocSecurity>
  <Lines>0</Lines>
  <Paragraphs>0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2016-11-04T15:22:00Z</dcterms:created>
  <dcterms:modified xsi:type="dcterms:W3CDTF">2016-11-04T15:22:00Z</dcterms:modified>
</cp:coreProperties>
</file>