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Default"/>
        <w:pageBreakBefore/>
        <w:jc w:val="center"/>
        <w:rPr>
          <w:rFonts w:cs="Times New Roman"/>
          <w:szCs w:val="24"/>
        </w:rPr>
      </w:pPr>
      <w:r>
        <w:rPr>
          <w:rFonts w:cs="Times New Roman"/>
          <w:b/>
          <w:spacing w:val="30"/>
          <w:sz w:val="28"/>
          <w:szCs w:val="24"/>
          <w:rtl w:val="0"/>
        </w:rPr>
        <w:t>Doložka zlučiteľnosti</w:t>
      </w:r>
    </w:p>
    <w:p>
      <w:pPr>
        <w:pStyle w:val="Default"/>
        <w:jc w:val="center"/>
        <w:rPr>
          <w:rFonts w:cs="Times New Roman"/>
          <w:szCs w:val="24"/>
        </w:rPr>
      </w:pPr>
      <w:r>
        <w:rPr>
          <w:rFonts w:cs="Times New Roman"/>
          <w:b/>
          <w:sz w:val="28"/>
          <w:szCs w:val="24"/>
          <w:rtl w:val="0"/>
        </w:rPr>
        <w:t xml:space="preserve">návrhu zákona s právom Európskej únie </w:t>
      </w:r>
    </w:p>
    <w:p>
      <w:pPr>
        <w:pStyle w:val="Default"/>
        <w:rPr>
          <w:rFonts w:cs="Times New Roman"/>
          <w:szCs w:val="24"/>
        </w:rPr>
      </w:pPr>
    </w:p>
    <w:p>
      <w:pPr>
        <w:pStyle w:val="Default"/>
        <w:rPr>
          <w:rFonts w:cs="Times New Roman"/>
          <w:szCs w:val="24"/>
        </w:rPr>
      </w:pPr>
    </w:p>
    <w:p>
      <w:pPr>
        <w:pStyle w:val="Default"/>
        <w:spacing w:before="0" w:after="60"/>
        <w:ind w:left="360" w:right="0" w:hanging="360"/>
        <w:jc w:val="both"/>
        <w:rPr>
          <w:rFonts w:cs="Times New Roman"/>
          <w:szCs w:val="24"/>
        </w:rPr>
      </w:pPr>
      <w:r>
        <w:rPr>
          <w:rFonts w:cs="Times New Roman"/>
          <w:b/>
          <w:sz w:val="26"/>
          <w:szCs w:val="24"/>
          <w:rtl w:val="0"/>
        </w:rPr>
        <w:t>1.</w:t>
        <w:tab/>
        <w:t>Predkladateľ právneho predpisu:</w:t>
      </w:r>
      <w:r>
        <w:rPr>
          <w:rFonts w:cs="Times New Roman"/>
          <w:sz w:val="26"/>
          <w:szCs w:val="24"/>
          <w:rtl w:val="0"/>
        </w:rPr>
        <w:t xml:space="preserve"> </w:t>
      </w:r>
    </w:p>
    <w:p>
      <w:pPr>
        <w:pStyle w:val="Default"/>
        <w:ind w:left="360" w:right="0" w:firstLine="0"/>
        <w:jc w:val="both"/>
        <w:rPr>
          <w:rFonts w:cs="Times New Roman"/>
          <w:szCs w:val="24"/>
        </w:rPr>
      </w:pPr>
      <w:r>
        <w:rPr>
          <w:rFonts w:cs="Times New Roman"/>
          <w:sz w:val="26"/>
          <w:szCs w:val="24"/>
          <w:rtl w:val="0"/>
        </w:rPr>
        <w:t>Poslanci Národnej rady Slovenskej republiky Marian KOTLEBA, Ján MORA, Rastislav SCHLOSÁR, Martin BELUSKÝ a Milan UHRÍK.</w:t>
      </w:r>
    </w:p>
    <w:p>
      <w:pPr>
        <w:pStyle w:val="Default"/>
        <w:tabs>
          <w:tab w:val="left" w:pos="360"/>
        </w:tabs>
        <w:ind w:left="360" w:right="0" w:firstLine="0"/>
        <w:jc w:val="both"/>
        <w:rPr>
          <w:rFonts w:cs="Times New Roman"/>
          <w:szCs w:val="24"/>
        </w:rPr>
      </w:pPr>
      <w:r>
        <w:rPr>
          <w:rFonts w:cs="Times New Roman"/>
          <w:sz w:val="26"/>
          <w:szCs w:val="24"/>
          <w:rtl w:val="0"/>
        </w:rPr>
        <w:t xml:space="preserve"> </w:t>
      </w:r>
    </w:p>
    <w:p>
      <w:pPr>
        <w:pStyle w:val="Default"/>
        <w:spacing w:before="0" w:after="60"/>
        <w:ind w:left="360" w:right="0" w:hanging="360"/>
        <w:jc w:val="both"/>
        <w:rPr>
          <w:rFonts w:cs="Times New Roman"/>
          <w:szCs w:val="24"/>
        </w:rPr>
      </w:pPr>
      <w:r>
        <w:rPr>
          <w:rFonts w:cs="Times New Roman"/>
          <w:b/>
          <w:sz w:val="26"/>
          <w:szCs w:val="24"/>
          <w:rtl w:val="0"/>
        </w:rPr>
        <w:t>2.</w:t>
        <w:tab/>
        <w:t>Názov návrhu právneho predpisu:</w:t>
      </w:r>
      <w:r>
        <w:rPr>
          <w:rFonts w:cs="Times New Roman"/>
          <w:sz w:val="26"/>
          <w:szCs w:val="24"/>
          <w:rtl w:val="0"/>
        </w:rPr>
        <w:t xml:space="preserve"> </w:t>
      </w:r>
    </w:p>
    <w:p>
      <w:pPr>
        <w:pStyle w:val="Default"/>
        <w:ind w:left="360" w:right="0" w:firstLine="0"/>
        <w:jc w:val="both"/>
        <w:rPr>
          <w:rFonts w:cs="Times New Roman"/>
          <w:szCs w:val="24"/>
        </w:rPr>
      </w:pPr>
      <w:r>
        <w:rPr>
          <w:rFonts w:cs="Times New Roman"/>
          <w:sz w:val="26"/>
          <w:szCs w:val="24"/>
          <w:rtl w:val="0"/>
        </w:rPr>
        <w:t>Návrh zákona, ktorým sa mení a dopĺňa zákon č. 79/2015 Z. z. o odpadoch a o zmene a doplnení niektorých zákonov (v znení zákona č. 91/2016 Z. z.)</w:t>
      </w:r>
    </w:p>
    <w:p>
      <w:pPr>
        <w:pStyle w:val="Default"/>
        <w:jc w:val="both"/>
        <w:rPr>
          <w:rFonts w:cs="Times New Roman"/>
          <w:szCs w:val="24"/>
        </w:rPr>
      </w:pPr>
    </w:p>
    <w:p>
      <w:pPr>
        <w:pStyle w:val="Default"/>
        <w:spacing w:before="0" w:after="60"/>
        <w:ind w:left="360" w:right="0" w:hanging="360"/>
        <w:rPr>
          <w:rFonts w:cs="Times New Roman"/>
          <w:szCs w:val="24"/>
        </w:rPr>
      </w:pPr>
      <w:r>
        <w:rPr>
          <w:rFonts w:cs="Times New Roman"/>
          <w:b/>
          <w:sz w:val="26"/>
          <w:szCs w:val="24"/>
          <w:rtl w:val="0"/>
        </w:rPr>
        <w:t>3.</w:t>
        <w:tab/>
        <w:t>Predmet návrhu právneho predpisu:</w:t>
      </w:r>
    </w:p>
    <w:p>
      <w:pPr>
        <w:pStyle w:val="Default"/>
        <w:tabs>
          <w:tab w:val="left" w:pos="360"/>
          <w:tab w:val="left" w:pos="375"/>
        </w:tabs>
        <w:ind w:left="360" w:right="0" w:hanging="360"/>
        <w:rPr>
          <w:rFonts w:cs="Times New Roman"/>
          <w:szCs w:val="24"/>
        </w:rPr>
      </w:pPr>
      <w:r>
        <w:rPr>
          <w:rFonts w:cs="Times New Roman"/>
          <w:sz w:val="26"/>
          <w:szCs w:val="24"/>
          <w:rtl w:val="0"/>
        </w:rPr>
        <w:tab/>
        <w:t>a) nie je upravený v primárnom práve Európskej únie,</w:t>
      </w:r>
    </w:p>
    <w:p>
      <w:pPr>
        <w:pStyle w:val="Default"/>
        <w:tabs>
          <w:tab w:val="left" w:pos="360"/>
          <w:tab w:val="left" w:pos="367"/>
        </w:tabs>
        <w:ind w:left="360" w:right="0" w:hanging="360"/>
        <w:rPr>
          <w:rFonts w:cs="Times New Roman"/>
          <w:szCs w:val="24"/>
        </w:rPr>
      </w:pPr>
      <w:r>
        <w:rPr>
          <w:rFonts w:cs="Times New Roman"/>
          <w:sz w:val="26"/>
          <w:szCs w:val="24"/>
          <w:rtl w:val="0"/>
        </w:rPr>
        <w:tab/>
        <w:t>b) je upravený v sekundárnom práve Európskej únie,</w:t>
      </w:r>
    </w:p>
    <w:p>
      <w:pPr>
        <w:pStyle w:val="Default"/>
        <w:tabs>
          <w:tab w:val="left" w:pos="360"/>
          <w:tab w:val="left" w:pos="367"/>
        </w:tabs>
        <w:ind w:left="360" w:right="0" w:hanging="360"/>
        <w:rPr>
          <w:rFonts w:cs="Times New Roman"/>
          <w:szCs w:val="24"/>
        </w:rPr>
      </w:pPr>
      <w:r>
        <w:rPr>
          <w:rFonts w:cs="Times New Roman"/>
          <w:sz w:val="26"/>
          <w:szCs w:val="24"/>
          <w:rtl w:val="0"/>
        </w:rPr>
        <w:t xml:space="preserve">      </w:t>
      </w:r>
      <w:r>
        <w:rPr>
          <w:rFonts w:cs="Times New Roman"/>
          <w:sz w:val="26"/>
          <w:szCs w:val="24"/>
          <w:rtl w:val="0"/>
        </w:rPr>
        <w:t>c) nie je obsiahnutý v judikatúre Súdneho dvora Európskej únie.</w:t>
      </w:r>
    </w:p>
    <w:p>
      <w:pPr>
        <w:pStyle w:val="Default"/>
        <w:ind w:left="360" w:right="0" w:hanging="360"/>
        <w:rPr>
          <w:rFonts w:cs="Times New Roman"/>
          <w:szCs w:val="24"/>
        </w:rPr>
      </w:pPr>
    </w:p>
    <w:p>
      <w:pPr>
        <w:pStyle w:val="Default"/>
        <w:ind w:left="360" w:right="0" w:hanging="360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z w:val="26"/>
          <w:szCs w:val="24"/>
          <w:rtl w:val="0"/>
        </w:rPr>
        <w:t>4.</w:t>
        <w:tab/>
        <w:t xml:space="preserve">Záväzky Slovenskej republiky vo vzťahu k  Európskej únii: </w:t>
      </w:r>
    </w:p>
    <w:p>
      <w:pPr>
        <w:pStyle w:val="Default"/>
        <w:rPr>
          <w:rFonts w:cs="Times New Roman"/>
          <w:szCs w:val="24"/>
        </w:rPr>
      </w:pPr>
      <w:r>
        <w:rPr>
          <w:rFonts w:eastAsia="TimesNewRomanPSMT" w:hAnsi="TimesNewRomanPSMT" w:cs="Times New Roman"/>
          <w:szCs w:val="24"/>
          <w:rtl w:val="0"/>
        </w:rPr>
        <w:t xml:space="preserve">     </w:t>
      </w:r>
      <w:r>
        <w:rPr>
          <w:rFonts w:eastAsia="TimesNewRomanPSMT" w:hAnsi="TimesNewRomanPSMT" w:cs="Times New Roman"/>
          <w:color w:val="000000"/>
          <w:sz w:val="26"/>
          <w:szCs w:val="24"/>
          <w:rtl w:val="0"/>
        </w:rPr>
        <w:t xml:space="preserve">28.4.2015 bol schválený legislatívny návrh Európskej komisie číslo                  </w:t>
      </w:r>
    </w:p>
    <w:p>
      <w:pPr>
        <w:pStyle w:val="Default"/>
        <w:rPr>
          <w:rFonts w:cs="Times New Roman"/>
          <w:szCs w:val="24"/>
        </w:rPr>
      </w:pPr>
      <w:r>
        <w:rPr>
          <w:rFonts w:eastAsia="TimesNewRomanPSMT" w:hAnsi="TimesNewRomanPSMT" w:cs="Times New Roman"/>
          <w:color w:val="000000"/>
          <w:szCs w:val="24"/>
          <w:rtl w:val="0"/>
        </w:rPr>
        <w:t xml:space="preserve">     </w:t>
      </w:r>
      <w:r>
        <w:rPr>
          <w:rFonts w:eastAsia="TimesNewRomanPSMT" w:hAnsi="TimesNewRomanPSMT" w:cs="Times New Roman"/>
          <w:color w:val="000000"/>
          <w:sz w:val="26"/>
          <w:szCs w:val="24"/>
          <w:rtl w:val="0"/>
        </w:rPr>
        <w:t xml:space="preserve">A8-0130/2015 k prijatiu záväzných opatrení na zníženie používania ľahkých </w:t>
      </w:r>
    </w:p>
    <w:p>
      <w:pPr>
        <w:pStyle w:val="Default"/>
        <w:rPr>
          <w:rFonts w:cs="Times New Roman"/>
          <w:szCs w:val="24"/>
        </w:rPr>
      </w:pPr>
      <w:r>
        <w:rPr>
          <w:rFonts w:eastAsia="TimesNewRomanPSMT" w:hAnsi="TimesNewRomanPSMT" w:cs="Times New Roman"/>
          <w:color w:val="000000"/>
          <w:szCs w:val="24"/>
          <w:rtl w:val="0"/>
        </w:rPr>
        <w:t xml:space="preserve">     </w:t>
      </w:r>
      <w:r>
        <w:rPr>
          <w:rFonts w:eastAsia="TimesNewRomanPSMT" w:hAnsi="TimesNewRomanPSMT" w:cs="Times New Roman"/>
          <w:color w:val="000000"/>
          <w:sz w:val="26"/>
          <w:szCs w:val="24"/>
          <w:rtl w:val="0"/>
        </w:rPr>
        <w:t xml:space="preserve">plastových tašiek. </w:t>
      </w:r>
    </w:p>
    <w:p>
      <w:pPr>
        <w:pStyle w:val="Default"/>
        <w:ind w:left="0" w:right="0" w:firstLine="708"/>
        <w:rPr>
          <w:rFonts w:cs="Times New Roman"/>
          <w:szCs w:val="24"/>
        </w:rPr>
      </w:pPr>
    </w:p>
    <w:p>
      <w:pPr>
        <w:pStyle w:val="Default"/>
        <w:ind w:left="360" w:right="0" w:hanging="360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z w:val="26"/>
          <w:szCs w:val="24"/>
          <w:rtl w:val="0"/>
        </w:rPr>
        <w:t>5.</w:t>
        <w:tab/>
        <w:t>Stupeň zlučiteľnosti návrhu právneho predpisu s právom Európskej únie:</w:t>
      </w:r>
    </w:p>
    <w:p>
      <w:pPr>
        <w:pStyle w:val="Default"/>
        <w:ind w:left="0" w:right="0" w:firstLine="360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>Stupeň zlučiteľnosti - úplný.</w:t>
      </w:r>
    </w:p>
    <w:p>
      <w:pPr>
        <w:pStyle w:val="Default"/>
        <w:spacing w:before="0" w:after="200" w:line="276" w:lineRule="auto"/>
        <w:jc w:val="both"/>
        <w:rPr>
          <w:rFonts w:cs="Times New Roman"/>
          <w:szCs w:val="24"/>
        </w:rPr>
      </w:pPr>
    </w:p>
    <w:p>
      <w:pPr>
        <w:pStyle w:val="Default"/>
        <w:spacing w:before="0" w:after="200" w:line="276" w:lineRule="auto"/>
        <w:jc w:val="both"/>
        <w:rPr>
          <w:rFonts w:cs="Times New Roman"/>
          <w:szCs w:val="24"/>
        </w:rPr>
      </w:pPr>
    </w:p>
    <w:p>
      <w:pPr>
        <w:pStyle w:val="Default"/>
        <w:pageBreakBefore/>
        <w:jc w:val="center"/>
        <w:rPr>
          <w:rFonts w:cs="Times New Roman"/>
          <w:szCs w:val="24"/>
        </w:rPr>
      </w:pPr>
      <w:r>
        <w:rPr>
          <w:rFonts w:cs="Times New Roman"/>
          <w:b/>
          <w:sz w:val="28"/>
          <w:szCs w:val="24"/>
          <w:rtl w:val="0"/>
        </w:rPr>
        <w:t>Doložka vybraných vplyvov</w:t>
      </w:r>
    </w:p>
    <w:p>
      <w:pPr>
        <w:pStyle w:val="Default"/>
        <w:jc w:val="center"/>
        <w:rPr>
          <w:rFonts w:cs="Times New Roman"/>
          <w:szCs w:val="24"/>
        </w:rPr>
      </w:pPr>
    </w:p>
    <w:p>
      <w:pPr>
        <w:pStyle w:val="Default"/>
        <w:rPr>
          <w:rFonts w:cs="Times New Roman"/>
          <w:szCs w:val="24"/>
        </w:rPr>
      </w:pPr>
    </w:p>
    <w:p>
      <w:pPr>
        <w:pStyle w:val="Default"/>
        <w:rPr>
          <w:rFonts w:cs="Times New Roman"/>
          <w:szCs w:val="24"/>
        </w:rPr>
      </w:pPr>
      <w:r>
        <w:rPr>
          <w:rFonts w:cs="Times New Roman"/>
          <w:b/>
          <w:sz w:val="26"/>
          <w:szCs w:val="24"/>
          <w:rtl w:val="0"/>
        </w:rPr>
        <w:t>A.1. Názov materiálu:</w:t>
      </w:r>
      <w:r>
        <w:rPr>
          <w:rFonts w:cs="Times New Roman"/>
          <w:sz w:val="26"/>
          <w:szCs w:val="24"/>
          <w:rtl w:val="0"/>
        </w:rPr>
        <w:t xml:space="preserve"> Návrh zákona, ktorým sa mení a dopĺňa zákon č. 79/2015 Z. z. </w:t>
      </w:r>
    </w:p>
    <w:p>
      <w:pPr>
        <w:pStyle w:val="Default"/>
        <w:rPr>
          <w:rFonts w:cs="Times New Roman"/>
          <w:szCs w:val="24"/>
        </w:rPr>
      </w:pPr>
      <w:r>
        <w:rPr>
          <w:rFonts w:cs="Times New Roman"/>
          <w:sz w:val="26"/>
          <w:szCs w:val="24"/>
          <w:rtl w:val="0"/>
        </w:rPr>
        <w:t>o odpadoch a o zmene a doplnení niektorých zákonov (v znení zákona č. 91/2016 Z. z.)</w:t>
      </w:r>
    </w:p>
    <w:p>
      <w:pPr>
        <w:pStyle w:val="Default"/>
        <w:rPr>
          <w:rFonts w:cs="Times New Roman"/>
          <w:szCs w:val="24"/>
        </w:rPr>
      </w:pPr>
    </w:p>
    <w:p>
      <w:pPr>
        <w:pStyle w:val="Default"/>
        <w:rPr>
          <w:rFonts w:cs="Times New Roman"/>
          <w:szCs w:val="24"/>
        </w:rPr>
      </w:pPr>
      <w:r>
        <w:rPr>
          <w:rFonts w:cs="Times New Roman"/>
          <w:b/>
          <w:sz w:val="26"/>
          <w:szCs w:val="24"/>
          <w:rtl w:val="0"/>
        </w:rPr>
        <w:tab/>
        <w:t xml:space="preserve">Termín začatia a ukončenia PPK: </w:t>
      </w:r>
      <w:r>
        <w:rPr>
          <w:rFonts w:cs="Times New Roman"/>
          <w:sz w:val="26"/>
          <w:szCs w:val="24"/>
          <w:rtl w:val="0"/>
        </w:rPr>
        <w:t>bezpredmetné.</w:t>
      </w:r>
    </w:p>
    <w:p>
      <w:pPr>
        <w:pStyle w:val="Default"/>
        <w:rPr>
          <w:rFonts w:cs="Times New Roman"/>
          <w:szCs w:val="24"/>
        </w:rPr>
      </w:pPr>
      <w:r>
        <w:rPr>
          <w:rFonts w:cs="Times New Roman"/>
          <w:b/>
          <w:sz w:val="26"/>
          <w:szCs w:val="24"/>
          <w:rtl w:val="0"/>
        </w:rPr>
        <w:t xml:space="preserve"> </w:t>
      </w:r>
    </w:p>
    <w:p>
      <w:pPr>
        <w:pStyle w:val="Default"/>
        <w:rPr>
          <w:rFonts w:cs="Times New Roman"/>
          <w:szCs w:val="24"/>
        </w:rPr>
      </w:pPr>
    </w:p>
    <w:p>
      <w:pPr>
        <w:pStyle w:val="Default"/>
        <w:rPr>
          <w:rFonts w:cs="Times New Roman"/>
          <w:szCs w:val="24"/>
        </w:rPr>
      </w:pPr>
      <w:r>
        <w:rPr>
          <w:rFonts w:cs="Times New Roman"/>
          <w:b/>
          <w:sz w:val="26"/>
          <w:szCs w:val="24"/>
          <w:rtl w:val="0"/>
        </w:rPr>
        <w:t>A.2. Vplyvy:</w:t>
      </w:r>
    </w:p>
    <w:p>
      <w:pPr>
        <w:pStyle w:val="Default"/>
        <w:rPr>
          <w:rFonts w:cs="Times New Roman"/>
          <w:szCs w:val="24"/>
        </w:rPr>
      </w:pPr>
    </w:p>
    <w:tbl>
      <w:tblPr>
        <w:jc w:val="left"/>
        <w:tblInd w:w="29" w:type="dxa"/>
        <w:tblLayout w:type="fixed"/>
        <w:tblCellMar>
          <w:left w:w="0" w:type="dxa"/>
          <w:right w:w="0" w:type="dxa"/>
        </w:tblCellMar>
      </w:tblPr>
      <w:tblGrid>
        <w:gridCol w:w="3774"/>
        <w:gridCol w:w="1969"/>
        <w:gridCol w:w="1706"/>
        <w:gridCol w:w="1669"/>
      </w:tblGrid>
      <w:tr>
        <w:tblPrEx>
          <w:jc w:val="left"/>
          <w:tblInd w:w="29" w:type="dxa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3774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</w:tcPr>
          <w:p>
            <w:pPr>
              <w:pStyle w:val="Default"/>
              <w:rPr>
                <w:rFonts w:cs="Times New Roman"/>
                <w:szCs w:val="24"/>
              </w:rPr>
            </w:pPr>
          </w:p>
        </w:tc>
        <w:tc>
          <w:tcPr>
            <w:tcW w:w="19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Pozitívne</w:t>
            </w:r>
            <w:r>
              <w:rPr>
                <w:rFonts w:cs="Times New Roman"/>
                <w:position w:val="13"/>
                <w:szCs w:val="24"/>
                <w:rtl w:val="0"/>
              </w:rPr>
              <w:t>*</w:t>
            </w:r>
            <w:r>
              <w:rPr>
                <w:rFonts w:cs="Times New Roman"/>
                <w:szCs w:val="24"/>
                <w:rtl w:val="0"/>
              </w:rPr>
              <w:t xml:space="preserve"> </w:t>
            </w:r>
          </w:p>
        </w:tc>
        <w:tc>
          <w:tcPr>
            <w:tcW w:w="1706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Žiadne</w:t>
            </w:r>
            <w:r>
              <w:rPr>
                <w:rFonts w:cs="Times New Roman"/>
                <w:position w:val="13"/>
                <w:szCs w:val="24"/>
                <w:rtl w:val="0"/>
              </w:rPr>
              <w:t>*</w:t>
            </w:r>
          </w:p>
        </w:tc>
        <w:tc>
          <w:tcPr>
            <w:tcW w:w="16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Negatívne</w:t>
            </w:r>
            <w:r>
              <w:rPr>
                <w:rFonts w:cs="Times New Roman"/>
                <w:position w:val="13"/>
                <w:szCs w:val="24"/>
                <w:rtl w:val="0"/>
              </w:rPr>
              <w:t>*</w:t>
            </w:r>
          </w:p>
        </w:tc>
      </w:tr>
      <w:tr>
        <w:tblPrEx>
          <w:jc w:val="left"/>
          <w:tblInd w:w="29" w:type="dxa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3774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</w:tcPr>
          <w:p>
            <w:pPr>
              <w:pStyle w:val="Defaul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1. Vplyvy na rozpočet verejnej správy</w:t>
            </w:r>
          </w:p>
        </w:tc>
        <w:tc>
          <w:tcPr>
            <w:tcW w:w="19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6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x</w:t>
            </w:r>
          </w:p>
        </w:tc>
        <w:tc>
          <w:tcPr>
            <w:tcW w:w="16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jc w:val="left"/>
          <w:tblInd w:w="29" w:type="dxa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3774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</w:tcPr>
          <w:p>
            <w:pPr>
              <w:pStyle w:val="Defaul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2. Vplyvy na podnikateľské prostredie - dochádza k zvýšeniu regulačného zaťaženia?</w:t>
            </w:r>
          </w:p>
        </w:tc>
        <w:tc>
          <w:tcPr>
            <w:tcW w:w="19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6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x</w:t>
            </w:r>
          </w:p>
        </w:tc>
      </w:tr>
      <w:tr>
        <w:tblPrEx>
          <w:jc w:val="left"/>
          <w:tblInd w:w="29" w:type="dxa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3774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</w:tcPr>
          <w:p>
            <w:pPr>
              <w:pStyle w:val="Defaul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 xml:space="preserve">3. Sociálne vplyvy </w:t>
            </w:r>
          </w:p>
          <w:p>
            <w:pPr>
              <w:pStyle w:val="Defaul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- vplyvy na hospodárenie obyvateľstva,</w:t>
            </w:r>
          </w:p>
          <w:p>
            <w:pPr>
              <w:pStyle w:val="Defaul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- sociálnu exklúziu,</w:t>
            </w:r>
          </w:p>
          <w:p>
            <w:pPr>
              <w:pStyle w:val="Defaul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- rovnosť príležitostí a rodovú rovnosť a vplyvy na zamestnanosť</w:t>
            </w:r>
          </w:p>
        </w:tc>
        <w:tc>
          <w:tcPr>
            <w:tcW w:w="19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6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x</w:t>
            </w:r>
          </w:p>
        </w:tc>
        <w:tc>
          <w:tcPr>
            <w:tcW w:w="16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jc w:val="left"/>
          <w:tblInd w:w="29" w:type="dxa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3774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</w:tcPr>
          <w:p>
            <w:pPr>
              <w:pStyle w:val="Defaul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4. Vplyvy na životné prostredie</w:t>
            </w:r>
          </w:p>
        </w:tc>
        <w:tc>
          <w:tcPr>
            <w:tcW w:w="19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x</w:t>
            </w:r>
          </w:p>
        </w:tc>
        <w:tc>
          <w:tcPr>
            <w:tcW w:w="1706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jc w:val="left"/>
          <w:tblInd w:w="29" w:type="dxa"/>
          <w:tblLayout w:type="fixed"/>
          <w:tblCellMar>
            <w:left w:w="0" w:type="dxa"/>
            <w:right w:w="0" w:type="dxa"/>
          </w:tblCellMar>
        </w:tblPrEx>
        <w:trPr>
          <w:jc w:val="left"/>
        </w:trPr>
        <w:tc>
          <w:tcPr>
            <w:tcW w:w="3774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</w:tcPr>
          <w:p>
            <w:pPr>
              <w:pStyle w:val="Defaul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5. Vplyvy na informatizáciu spoločnosti</w:t>
            </w:r>
          </w:p>
        </w:tc>
        <w:tc>
          <w:tcPr>
            <w:tcW w:w="19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6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rtl w:val="0"/>
              </w:rPr>
              <w:t>x</w:t>
            </w:r>
          </w:p>
        </w:tc>
        <w:tc>
          <w:tcPr>
            <w:tcW w:w="1669" w:type="dxa"/>
            <w:tcBorders>
              <w:top w:val="single" w:sz="0" w:space="0" w:color="BFBFBF"/>
              <w:left w:val="single" w:sz="0" w:space="0" w:color="BFBFBF"/>
              <w:bottom w:val="single" w:sz="0" w:space="0" w:color="BFBFBF"/>
              <w:right w:val="single" w:sz="0" w:space="0" w:color="BFBFBF"/>
            </w:tcBorders>
            <w:vAlign w:val="center"/>
          </w:tcPr>
          <w:p>
            <w:pPr>
              <w:pStyle w:val="Default"/>
              <w:jc w:val="center"/>
              <w:rPr>
                <w:rFonts w:cs="Times New Roman"/>
                <w:szCs w:val="24"/>
              </w:rPr>
            </w:pPr>
          </w:p>
        </w:tc>
      </w:tr>
    </w:tbl>
    <w:p>
      <w:pPr>
        <w:pStyle w:val="Default"/>
        <w:jc w:val="both"/>
        <w:rPr>
          <w:rFonts w:cs="Times New Roman"/>
          <w:szCs w:val="24"/>
        </w:rPr>
      </w:pPr>
    </w:p>
    <w:p>
      <w:pPr>
        <w:pStyle w:val="Default"/>
        <w:jc w:val="both"/>
        <w:rPr>
          <w:rFonts w:cs="Times New Roman"/>
          <w:szCs w:val="24"/>
        </w:rPr>
      </w:pPr>
    </w:p>
    <w:p>
      <w:pPr>
        <w:pStyle w:val="Default"/>
        <w:jc w:val="both"/>
        <w:rPr>
          <w:rFonts w:cs="Times New Roman"/>
          <w:szCs w:val="24"/>
        </w:rPr>
      </w:pPr>
      <w:r>
        <w:rPr>
          <w:rFonts w:cs="Times New Roman"/>
          <w:b/>
          <w:sz w:val="26"/>
          <w:szCs w:val="24"/>
          <w:rtl w:val="0"/>
        </w:rPr>
        <w:t>A.3. Poznámky:</w:t>
      </w:r>
    </w:p>
    <w:p>
      <w:pPr>
        <w:pStyle w:val="Default"/>
        <w:jc w:val="both"/>
        <w:rPr>
          <w:rFonts w:cs="Times New Roman"/>
          <w:szCs w:val="24"/>
        </w:rPr>
      </w:pPr>
    </w:p>
    <w:p>
      <w:pPr>
        <w:pStyle w:val="Default"/>
        <w:jc w:val="both"/>
        <w:rPr>
          <w:rFonts w:cs="Times New Roman"/>
          <w:szCs w:val="24"/>
        </w:rPr>
      </w:pPr>
      <w:r>
        <w:rPr>
          <w:rFonts w:cs="Times New Roman"/>
          <w:sz w:val="26"/>
          <w:szCs w:val="24"/>
          <w:rtl w:val="0"/>
        </w:rPr>
        <w:t xml:space="preserve">Predpokladá sa veľmi pozitívny vplyv na životné prostredie. Návrh zákona má negatívny vplyv na podnikateľské prostredie z dôvodu mierneho zvýšenia nákladov na ekologickejšie materiály. </w:t>
      </w:r>
    </w:p>
    <w:p>
      <w:pPr>
        <w:pStyle w:val="Default"/>
        <w:jc w:val="both"/>
        <w:rPr>
          <w:rFonts w:cs="Times New Roman"/>
          <w:szCs w:val="24"/>
        </w:rPr>
      </w:pPr>
    </w:p>
    <w:p>
      <w:pPr>
        <w:pStyle w:val="Default"/>
        <w:jc w:val="both"/>
        <w:rPr>
          <w:rFonts w:cs="Times New Roman"/>
          <w:szCs w:val="24"/>
        </w:rPr>
      </w:pPr>
      <w:r>
        <w:rPr>
          <w:rFonts w:cs="Times New Roman"/>
          <w:b/>
          <w:sz w:val="26"/>
          <w:szCs w:val="24"/>
          <w:rtl w:val="0"/>
        </w:rPr>
        <w:t>A.4. Alternatívne riešenia:</w:t>
      </w:r>
    </w:p>
    <w:p>
      <w:pPr>
        <w:pStyle w:val="Default"/>
        <w:ind w:left="1416" w:right="0" w:firstLine="0"/>
        <w:jc w:val="both"/>
        <w:rPr>
          <w:rFonts w:cs="Times New Roman"/>
          <w:szCs w:val="24"/>
        </w:rPr>
      </w:pPr>
    </w:p>
    <w:p>
      <w:pPr>
        <w:pStyle w:val="Default"/>
        <w:jc w:val="both"/>
        <w:rPr>
          <w:rFonts w:cs="Times New Roman"/>
          <w:szCs w:val="24"/>
        </w:rPr>
      </w:pPr>
      <w:r>
        <w:rPr>
          <w:rFonts w:cs="Times New Roman"/>
          <w:sz w:val="26"/>
          <w:szCs w:val="24"/>
          <w:rtl w:val="0"/>
        </w:rPr>
        <w:t xml:space="preserve">Nepredkladajú sa. </w:t>
      </w:r>
    </w:p>
    <w:p>
      <w:pPr>
        <w:pStyle w:val="Default"/>
        <w:jc w:val="both"/>
        <w:rPr>
          <w:rFonts w:cs="Times New Roman"/>
          <w:szCs w:val="24"/>
        </w:rPr>
      </w:pPr>
    </w:p>
    <w:p>
      <w:pPr>
        <w:pStyle w:val="Default"/>
        <w:jc w:val="both"/>
        <w:rPr>
          <w:rFonts w:cs="Times New Roman"/>
          <w:szCs w:val="24"/>
        </w:rPr>
      </w:pPr>
    </w:p>
    <w:p>
      <w:pPr>
        <w:pStyle w:val="Default"/>
        <w:rPr>
          <w:rFonts w:cs="Times New Roman"/>
          <w:szCs w:val="24"/>
        </w:rPr>
      </w:pPr>
      <w:r>
        <w:rPr>
          <w:rFonts w:cs="Times New Roman"/>
          <w:b/>
          <w:sz w:val="26"/>
          <w:szCs w:val="24"/>
          <w:rtl w:val="0"/>
        </w:rPr>
        <w:t>A.5. Stanovisko gestorov:</w:t>
      </w:r>
    </w:p>
    <w:p>
      <w:pPr>
        <w:pStyle w:val="Default"/>
        <w:rPr>
          <w:rFonts w:cs="Times New Roman"/>
          <w:szCs w:val="24"/>
        </w:rPr>
      </w:pPr>
    </w:p>
    <w:p>
      <w:pPr>
        <w:pStyle w:val="Default"/>
        <w:jc w:val="both"/>
        <w:rPr>
          <w:rFonts w:cs="Times New Roman"/>
          <w:szCs w:val="24"/>
        </w:rPr>
      </w:pPr>
    </w:p>
    <w:sectPr>
      <w:type w:val="continuous"/>
      <w:pgSz w:w="11906" w:h="16838"/>
      <w:pgMar w:top="1134" w:right="1134" w:bottom="1134" w:left="1134" w:header="708" w:footer="708"/>
      <w:pgNumType w:fmt="decimal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80"/>
    <w:family w:val="roman"/>
    <w:pitch w:val="variable"/>
    <w:sig w:usb0="00000000" w:usb1="00000000" w:usb2="00000000" w:usb3="00000000" w:csb0="00020001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80"/>
    <w:family w:val="swiss"/>
    <w:pitch w:val="variable"/>
    <w:sig w:usb0="00000000" w:usb1="00000000" w:usb2="00000000" w:usb3="00000000" w:csb0="00020001" w:csb1="00000000"/>
  </w:font>
  <w:font w:name="Arial Unicode MS">
    <w:charset w:val="80"/>
    <w:family w:val="auto"/>
    <w:pitch w:val="variable"/>
    <w:sig w:usb0="00000000" w:usb1="00000000" w:usb2="00000000" w:usb3="00000000" w:csb0="00020000" w:csb1="00000000"/>
  </w:font>
  <w:font w:name="TimesNewRomanPSMT"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9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imes New Roman" w:eastAsia="Arial Unicode MS" w:hAnsi="Arial Unicode MS"/>
      <w:color w:val="auto"/>
      <w:kern w:val="1"/>
      <w:sz w:val="24"/>
      <w:lang w:val="sk-SK" w:eastAsia="zh-CN"/>
    </w:rPr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/>
    </w:pPr>
    <w:rPr>
      <w:rFonts w:ascii="Arial"/>
      <w:color w:val="auto"/>
      <w:kern w:val="0"/>
      <w:sz w:val="28"/>
    </w:rPr>
  </w:style>
  <w:style w:type="paragraph" w:customStyle="1" w:styleId="Textbody">
    <w:name w:val="Text body"/>
    <w:basedOn w:val="Default"/>
    <w:uiPriority w:val="99"/>
    <w:pPr>
      <w:spacing w:before="0" w:after="120"/>
    </w:pPr>
    <w:rPr>
      <w:rFonts w:ascii="Times New Roman" w:eastAsia="Times New Roman" w:hAnsi="Times New Roman"/>
      <w:color w:val="auto"/>
      <w:kern w:val="0"/>
      <w:sz w:val="20"/>
    </w:rPr>
  </w:style>
  <w:style w:type="paragraph" w:styleId="List">
    <w:name w:val="List"/>
    <w:basedOn w:val="Textbody"/>
    <w:uiPriority w:val="99"/>
    <w:rPr>
      <w:rFonts w:ascii="Times New Roman" w:eastAsia="Times New Roman" w:hAnsi="Times New Roman"/>
      <w:color w:val="auto"/>
      <w:kern w:val="0"/>
      <w:sz w:val="20"/>
    </w:rPr>
  </w:style>
  <w:style w:type="paragraph" w:styleId="Caption">
    <w:name w:val="caption"/>
    <w:basedOn w:val="Default"/>
    <w:uiPriority w:val="99"/>
    <w:pPr>
      <w:suppressLineNumbers/>
      <w:spacing w:before="120" w:after="120"/>
    </w:pPr>
    <w:rPr>
      <w:rFonts w:ascii="Times New Roman" w:eastAsia="Times New Roman" w:hAnsi="Times New Roman"/>
      <w:i/>
      <w:color w:val="auto"/>
      <w:kern w:val="0"/>
    </w:rPr>
  </w:style>
  <w:style w:type="paragraph" w:customStyle="1" w:styleId="Index">
    <w:name w:val="Index"/>
    <w:basedOn w:val="Default"/>
    <w:uiPriority w:val="99"/>
    <w:pPr>
      <w:suppressLineNumbers/>
    </w:pPr>
    <w:rPr>
      <w:rFonts w:ascii="Times New Roman" w:eastAsia="Times New Roman" w:hAnsi="Times New Roman"/>
      <w:color w:val="auto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Milatová</dc:creator>
  <cp:revision>0</cp:revision>
  <dcterms:created xsi:type="dcterms:W3CDTF">2016-11-04T14:08:00Z</dcterms:created>
</cp:coreProperties>
</file>