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D1338" w:rsidRPr="005D1338" w:rsidP="005D1338">
      <w:pPr>
        <w:bidi w:val="0"/>
        <w:jc w:val="center"/>
        <w:rPr>
          <w:rFonts w:ascii="Book Antiqua" w:hAnsi="Book Antiqua" w:cs="Arial"/>
          <w:b/>
        </w:rPr>
      </w:pPr>
      <w:r w:rsidRPr="005D1338">
        <w:rPr>
          <w:rFonts w:ascii="Book Antiqua" w:hAnsi="Book Antiqua" w:cs="Arial"/>
          <w:b/>
        </w:rPr>
        <w:t>Dôvodová správa</w:t>
      </w:r>
    </w:p>
    <w:p w:rsidR="005D1338" w:rsidRPr="005D1338" w:rsidP="005D1338">
      <w:pPr>
        <w:numPr>
          <w:numId w:val="3"/>
        </w:numPr>
        <w:suppressAutoHyphens/>
        <w:bidi w:val="0"/>
        <w:spacing w:after="200" w:line="276" w:lineRule="auto"/>
        <w:ind w:left="270" w:hanging="180"/>
        <w:jc w:val="both"/>
        <w:rPr>
          <w:rFonts w:ascii="Book Antiqua" w:hAnsi="Book Antiqua" w:cs="Arial"/>
          <w:b/>
          <w:i/>
        </w:rPr>
      </w:pPr>
      <w:r w:rsidRPr="005D1338">
        <w:rPr>
          <w:rFonts w:ascii="Book Antiqua" w:hAnsi="Book Antiqua" w:cs="Arial"/>
          <w:b/>
          <w:i/>
        </w:rPr>
        <w:t>Všeobecná časť</w:t>
      </w:r>
    </w:p>
    <w:p w:rsidR="005D1338" w:rsidRPr="005D1338" w:rsidP="005D1338">
      <w:pPr>
        <w:bidi w:val="0"/>
        <w:ind w:left="360"/>
        <w:jc w:val="both"/>
        <w:rPr>
          <w:rFonts w:ascii="Book Antiqua" w:hAnsi="Book Antiqua" w:cs="Arial"/>
        </w:rPr>
      </w:pPr>
      <w:r>
        <w:rPr>
          <w:rFonts w:ascii="Times New Roman" w:hAnsi="Times New Roman"/>
          <w:noProof/>
        </w:rPr>
        <w:pict>
          <v:shapetype id="_x0000_t32" coordsize="21600,21600" o:spt="32" o:oned="t" path="m,l21600,21600e" filled="f">
            <v:path arrowok="t" fillok="f" o:connecttype="none"/>
            <o:lock v:ext="edit" shapetype="t"/>
          </v:shapetype>
          <v:shape id="Rovná spojovacia šípka 2" o:spid="_x0000_s1025" type="#_x0000_t32" style="width:455pt;height:0;margin-top:2.75pt;margin-left:-0.35pt;position:absolute;visibility:visible;z-index:251658240" filled="f" stroked="t">
            <v:path arrowok="t"/>
            <o:lock v:ext="edit" aspectratio="f" shapetype="t"/>
          </v:shape>
        </w:pict>
      </w:r>
    </w:p>
    <w:p w:rsidR="00AB7CDE" w:rsidRPr="005D1338">
      <w:pPr>
        <w:pStyle w:val="Vchodzie"/>
        <w:bidi w:val="0"/>
        <w:rPr>
          <w:rFonts w:ascii="Book Antiqua" w:hAnsi="Book Antiqua" w:cs="Times New Roman"/>
          <w:szCs w:val="24"/>
        </w:rPr>
      </w:pPr>
    </w:p>
    <w:p w:rsidR="005D1338" w:rsidRPr="005D1338" w:rsidP="005D1338">
      <w:pPr>
        <w:pStyle w:val="Vchodzie"/>
        <w:bidi w:val="0"/>
        <w:ind w:firstLine="720"/>
        <w:jc w:val="both"/>
        <w:rPr>
          <w:rFonts w:ascii="Book Antiqua" w:hAnsi="Book Antiqua" w:cs="Times New Roman"/>
          <w:sz w:val="20"/>
          <w:szCs w:val="24"/>
        </w:rPr>
      </w:pPr>
      <w:r w:rsidRPr="005D1338" w:rsidR="00AB7CDE">
        <w:rPr>
          <w:rFonts w:ascii="Book Antiqua" w:hAnsi="Book Antiqua" w:cs="Times New Roman"/>
          <w:szCs w:val="24"/>
        </w:rPr>
        <w:t>Zákon č. 190/2003 Z.</w:t>
      </w:r>
      <w:r>
        <w:rPr>
          <w:rFonts w:ascii="Book Antiqua" w:hAnsi="Book Antiqua" w:cs="Times New Roman"/>
          <w:szCs w:val="24"/>
        </w:rPr>
        <w:t xml:space="preserve"> </w:t>
      </w:r>
      <w:r w:rsidRPr="005D1338" w:rsidR="00AB7CDE">
        <w:rPr>
          <w:rFonts w:ascii="Book Antiqua" w:hAnsi="Book Antiqua" w:cs="Times New Roman"/>
          <w:szCs w:val="24"/>
        </w:rPr>
        <w:t xml:space="preserve">z. </w:t>
      </w:r>
      <w:r w:rsidRPr="005D1338" w:rsidR="00AB7CDE">
        <w:rPr>
          <w:rFonts w:ascii="Book Antiqua" w:hAnsi="Book Antiqua" w:cs="Times New Roman"/>
          <w:color w:val="000000"/>
          <w:szCs w:val="24"/>
        </w:rPr>
        <w:t xml:space="preserve">o strelných zbraniach a strelive a o zmene a doplnení niektorých zákonov </w:t>
      </w:r>
      <w:r w:rsidRPr="005D1338" w:rsidR="00AB7CDE">
        <w:rPr>
          <w:rFonts w:ascii="Book Antiqua" w:hAnsi="Book Antiqua" w:cs="Times New Roman"/>
          <w:szCs w:val="24"/>
        </w:rPr>
        <w:t xml:space="preserve">  v   znení neskorších predpisov bo</w:t>
      </w:r>
      <w:r w:rsidRPr="005D1338" w:rsidR="0097623F">
        <w:rPr>
          <w:rFonts w:ascii="Book Antiqua" w:hAnsi="Book Antiqua" w:cs="Times New Roman"/>
          <w:szCs w:val="24"/>
        </w:rPr>
        <w:t>l</w:t>
      </w:r>
      <w:r>
        <w:rPr>
          <w:rFonts w:ascii="Book Antiqua" w:hAnsi="Book Antiqua" w:cs="Times New Roman"/>
          <w:szCs w:val="24"/>
        </w:rPr>
        <w:t xml:space="preserve"> novelizovaný celkom 15-krát. </w:t>
      </w:r>
      <w:r w:rsidRPr="005D1338" w:rsidR="00AB7CDE">
        <w:rPr>
          <w:rFonts w:ascii="Book Antiqua" w:hAnsi="Book Antiqua" w:cs="Times New Roman"/>
          <w:szCs w:val="24"/>
        </w:rPr>
        <w:t xml:space="preserve">Napriek </w:t>
      </w:r>
      <w:r w:rsidRPr="005D1338" w:rsidR="00B67AB0">
        <w:rPr>
          <w:rFonts w:ascii="Book Antiqua" w:hAnsi="Book Antiqua" w:cs="Times New Roman"/>
          <w:szCs w:val="24"/>
        </w:rPr>
        <w:t xml:space="preserve">početnej novelizácii súčasná právna </w:t>
      </w:r>
      <w:r w:rsidRPr="005D1338" w:rsidR="00AB7CDE">
        <w:rPr>
          <w:rFonts w:ascii="Book Antiqua" w:hAnsi="Book Antiqua" w:cs="Times New Roman"/>
          <w:szCs w:val="24"/>
        </w:rPr>
        <w:t xml:space="preserve">úprava </w:t>
      </w:r>
      <w:r w:rsidRPr="005D1338" w:rsidR="00B67AB0">
        <w:rPr>
          <w:rFonts w:ascii="Book Antiqua" w:hAnsi="Book Antiqua" w:cs="Times New Roman"/>
          <w:szCs w:val="24"/>
        </w:rPr>
        <w:t xml:space="preserve">dostatočne nerieši </w:t>
      </w:r>
      <w:r w:rsidRPr="005D1338" w:rsidR="00AB7CDE">
        <w:rPr>
          <w:rFonts w:ascii="Book Antiqua" w:hAnsi="Book Antiqua" w:cs="Times New Roman"/>
          <w:szCs w:val="24"/>
        </w:rPr>
        <w:t>praktické p</w:t>
      </w:r>
      <w:r w:rsidRPr="005D1338" w:rsidR="00B67AB0">
        <w:rPr>
          <w:rFonts w:ascii="Book Antiqua" w:hAnsi="Book Antiqua" w:cs="Times New Roman"/>
          <w:szCs w:val="24"/>
        </w:rPr>
        <w:t>otreby držiteľov zbrojných preukazov.</w:t>
      </w:r>
      <w:r w:rsidRPr="005D1338" w:rsidR="00AB7CDE">
        <w:rPr>
          <w:rFonts w:ascii="Book Antiqua" w:hAnsi="Book Antiqua" w:cs="Times New Roman"/>
          <w:szCs w:val="24"/>
        </w:rPr>
        <w:t xml:space="preserve"> </w:t>
      </w:r>
    </w:p>
    <w:p w:rsidR="002E0061" w:rsidRPr="005D1338" w:rsidP="005D1338">
      <w:pPr>
        <w:pStyle w:val="Vchodzie"/>
        <w:bidi w:val="0"/>
        <w:ind w:firstLine="720"/>
        <w:jc w:val="both"/>
        <w:rPr>
          <w:rFonts w:ascii="Book Antiqua" w:hAnsi="Book Antiqua" w:cs="Times New Roman"/>
          <w:sz w:val="20"/>
          <w:szCs w:val="24"/>
        </w:rPr>
      </w:pPr>
      <w:r w:rsidR="005D1338">
        <w:rPr>
          <w:rFonts w:ascii="Book Antiqua" w:hAnsi="Book Antiqua" w:cs="Times New Roman"/>
          <w:color w:val="000000"/>
          <w:szCs w:val="24"/>
        </w:rPr>
        <w:t xml:space="preserve">V súčasnej </w:t>
      </w:r>
      <w:r w:rsidRPr="005D1338">
        <w:rPr>
          <w:rFonts w:ascii="Book Antiqua" w:hAnsi="Book Antiqua" w:cs="Times New Roman"/>
          <w:color w:val="000000"/>
          <w:szCs w:val="24"/>
        </w:rPr>
        <w:t xml:space="preserve">právnej úprave </w:t>
      </w:r>
      <w:r w:rsidR="005D1338">
        <w:rPr>
          <w:rFonts w:ascii="Book Antiqua" w:hAnsi="Book Antiqua" w:cs="Times New Roman"/>
          <w:color w:val="000000"/>
          <w:szCs w:val="24"/>
        </w:rPr>
        <w:t xml:space="preserve">slúžia v zmysle § 27 ods. 1 </w:t>
      </w:r>
      <w:r w:rsidRPr="005D1338" w:rsidR="00AB7CDE">
        <w:rPr>
          <w:rFonts w:ascii="Book Antiqua" w:hAnsi="Book Antiqua" w:cs="Times New Roman"/>
          <w:color w:val="000000"/>
          <w:szCs w:val="24"/>
        </w:rPr>
        <w:t xml:space="preserve">citovaného zákona </w:t>
      </w:r>
      <w:r w:rsidR="005D1338">
        <w:rPr>
          <w:rFonts w:ascii="Book Antiqua" w:hAnsi="Book Antiqua" w:cs="Times New Roman"/>
          <w:color w:val="000000"/>
          <w:szCs w:val="24"/>
        </w:rPr>
        <w:t xml:space="preserve">                              </w:t>
      </w:r>
      <w:r w:rsidRPr="005D1338" w:rsidR="00AB7CDE">
        <w:rPr>
          <w:rFonts w:ascii="Book Antiqua" w:hAnsi="Book Antiqua" w:cs="Times New Roman"/>
          <w:color w:val="000000"/>
          <w:szCs w:val="24"/>
        </w:rPr>
        <w:t xml:space="preserve">na </w:t>
      </w:r>
      <w:r w:rsidRPr="005D1338">
        <w:rPr>
          <w:rFonts w:ascii="Book Antiqua" w:hAnsi="Book Antiqua" w:cs="Times New Roman"/>
          <w:color w:val="000000"/>
          <w:szCs w:val="24"/>
        </w:rPr>
        <w:t xml:space="preserve">zabezpečenie </w:t>
      </w:r>
      <w:r w:rsidRPr="005D1338" w:rsidR="00AB7CDE">
        <w:rPr>
          <w:rFonts w:ascii="Book Antiqua" w:hAnsi="Book Antiqua" w:cs="Times New Roman"/>
          <w:color w:val="000000"/>
          <w:szCs w:val="24"/>
        </w:rPr>
        <w:t>ochran</w:t>
      </w:r>
      <w:r w:rsidRPr="005D1338">
        <w:rPr>
          <w:rFonts w:ascii="Book Antiqua" w:hAnsi="Book Antiqua" w:cs="Times New Roman"/>
          <w:color w:val="000000"/>
          <w:szCs w:val="24"/>
        </w:rPr>
        <w:t>y</w:t>
      </w:r>
      <w:r w:rsidRPr="005D1338" w:rsidR="00AB7CDE">
        <w:rPr>
          <w:rFonts w:ascii="Book Antiqua" w:hAnsi="Book Antiqua" w:cs="Times New Roman"/>
          <w:color w:val="000000"/>
          <w:szCs w:val="24"/>
        </w:rPr>
        <w:t xml:space="preserve"> osoby a majetku skupin</w:t>
      </w:r>
      <w:r w:rsidRPr="005D1338">
        <w:rPr>
          <w:rFonts w:ascii="Book Antiqua" w:hAnsi="Book Antiqua" w:cs="Times New Roman"/>
          <w:color w:val="000000"/>
          <w:szCs w:val="24"/>
        </w:rPr>
        <w:t>y zbrojných preukazov A a B. Tieto oprávňujú držiteľov na držani</w:t>
      </w:r>
      <w:r w:rsidRPr="005D1338" w:rsidR="00AB2456">
        <w:rPr>
          <w:rFonts w:ascii="Book Antiqua" w:hAnsi="Book Antiqua" w:cs="Times New Roman"/>
          <w:color w:val="000000"/>
          <w:szCs w:val="24"/>
        </w:rPr>
        <w:t>e</w:t>
      </w:r>
      <w:r w:rsidRPr="005D1338">
        <w:rPr>
          <w:rFonts w:ascii="Book Antiqua" w:hAnsi="Book Antiqua" w:cs="Times New Roman"/>
          <w:color w:val="000000"/>
          <w:szCs w:val="24"/>
        </w:rPr>
        <w:t>, prípadne aj nosenie výlučne krátkych strelných zbraní.</w:t>
      </w:r>
    </w:p>
    <w:p w:rsidR="00E374E9" w:rsidRPr="005D1338" w:rsidP="005D1338">
      <w:pPr>
        <w:pStyle w:val="Vchodzie"/>
        <w:bidi w:val="0"/>
        <w:ind w:firstLine="720"/>
        <w:jc w:val="both"/>
        <w:rPr>
          <w:rFonts w:ascii="Book Antiqua" w:hAnsi="Book Antiqua" w:cs="Times New Roman"/>
          <w:color w:val="000000"/>
          <w:szCs w:val="24"/>
        </w:rPr>
      </w:pPr>
      <w:r w:rsidRPr="005D1338" w:rsidR="00AB7CDE">
        <w:rPr>
          <w:rFonts w:ascii="Book Antiqua" w:hAnsi="Book Antiqua" w:cs="Times New Roman"/>
          <w:color w:val="000000"/>
          <w:szCs w:val="24"/>
        </w:rPr>
        <w:t>Zhoršovanie bezpečnostnej situácie</w:t>
      </w:r>
      <w:r w:rsidRPr="005D1338" w:rsidR="00453084">
        <w:rPr>
          <w:rFonts w:ascii="Book Antiqua" w:hAnsi="Book Antiqua" w:cs="Times New Roman"/>
          <w:color w:val="000000"/>
          <w:szCs w:val="24"/>
        </w:rPr>
        <w:t xml:space="preserve"> a s ním spojená potreba účinnejšej ochrany životov, zdravia a majetku obyvateľov vyvoláva verejný tlak na rozšírenie možnosti použiť na obranu zbraň, </w:t>
      </w:r>
      <w:r w:rsidRPr="005D1338" w:rsidR="00AB2456">
        <w:rPr>
          <w:rFonts w:ascii="Book Antiqua" w:hAnsi="Book Antiqua" w:cs="Times New Roman"/>
          <w:color w:val="000000"/>
          <w:szCs w:val="24"/>
        </w:rPr>
        <w:t xml:space="preserve">ktorá bude </w:t>
      </w:r>
      <w:r w:rsidRPr="005D1338" w:rsidR="00453084">
        <w:rPr>
          <w:rFonts w:ascii="Book Antiqua" w:hAnsi="Book Antiqua" w:cs="Times New Roman"/>
          <w:color w:val="000000"/>
          <w:szCs w:val="24"/>
        </w:rPr>
        <w:t>čo najlepšie prispôsoben</w:t>
      </w:r>
      <w:r w:rsidRPr="005D1338" w:rsidR="00AB2456">
        <w:rPr>
          <w:rFonts w:ascii="Book Antiqua" w:hAnsi="Book Antiqua" w:cs="Times New Roman"/>
          <w:color w:val="000000"/>
          <w:szCs w:val="24"/>
        </w:rPr>
        <w:t>á</w:t>
      </w:r>
      <w:r w:rsidRPr="005D1338" w:rsidR="00453084">
        <w:rPr>
          <w:rFonts w:ascii="Book Antiqua" w:hAnsi="Book Antiqua" w:cs="Times New Roman"/>
          <w:color w:val="000000"/>
          <w:szCs w:val="24"/>
        </w:rPr>
        <w:t xml:space="preserve"> fyzický</w:t>
      </w:r>
      <w:r w:rsidRPr="005D1338" w:rsidR="00AB2456">
        <w:rPr>
          <w:rFonts w:ascii="Book Antiqua" w:hAnsi="Book Antiqua" w:cs="Times New Roman"/>
          <w:color w:val="000000"/>
          <w:szCs w:val="24"/>
        </w:rPr>
        <w:t>m</w:t>
      </w:r>
      <w:r w:rsidRPr="005D1338" w:rsidR="00453084">
        <w:rPr>
          <w:rFonts w:ascii="Book Antiqua" w:hAnsi="Book Antiqua" w:cs="Times New Roman"/>
          <w:color w:val="000000"/>
          <w:szCs w:val="24"/>
        </w:rPr>
        <w:t xml:space="preserve"> danostiam a schopnostiam majiteľa (strelca, obrancu). Zároveň potreba účinnej ochrany vyvoláva v kruhoch odbornej verejnosti </w:t>
      </w:r>
      <w:r w:rsidRPr="005D1338" w:rsidR="00AB2456">
        <w:rPr>
          <w:rFonts w:ascii="Book Antiqua" w:hAnsi="Book Antiqua" w:cs="Times New Roman"/>
          <w:color w:val="000000"/>
          <w:szCs w:val="24"/>
        </w:rPr>
        <w:t xml:space="preserve">aj </w:t>
      </w:r>
      <w:r w:rsidRPr="005D1338" w:rsidR="00453084">
        <w:rPr>
          <w:rFonts w:ascii="Book Antiqua" w:hAnsi="Book Antiqua" w:cs="Times New Roman"/>
          <w:color w:val="000000"/>
          <w:szCs w:val="24"/>
        </w:rPr>
        <w:t>diskusiu o vhodnosti, resp. o dostatočnej účinnosti krátkych zbraní najmä pri ochrane a obrane majetku, alebo pri obrane proti útoku viacerých útočníkov – napríklad v</w:t>
      </w:r>
      <w:r w:rsidRPr="005D1338">
        <w:rPr>
          <w:rFonts w:ascii="Book Antiqua" w:hAnsi="Book Antiqua" w:cs="Times New Roman"/>
          <w:color w:val="000000"/>
          <w:szCs w:val="24"/>
        </w:rPr>
        <w:t xml:space="preserve"> chatových  oblastiach, alebo </w:t>
      </w:r>
      <w:r w:rsidRPr="005D1338" w:rsidR="00453084">
        <w:rPr>
          <w:rFonts w:ascii="Book Antiqua" w:hAnsi="Book Antiqua" w:cs="Times New Roman"/>
          <w:color w:val="000000"/>
          <w:szCs w:val="24"/>
        </w:rPr>
        <w:t xml:space="preserve">oblastiach s lazníckym osídlením. </w:t>
      </w:r>
    </w:p>
    <w:p w:rsidR="00BA50F2" w:rsidRPr="005D1338" w:rsidP="005D1338">
      <w:pPr>
        <w:pStyle w:val="Vchodzie"/>
        <w:bidi w:val="0"/>
        <w:ind w:firstLine="720"/>
        <w:jc w:val="both"/>
        <w:rPr>
          <w:rFonts w:ascii="Book Antiqua" w:hAnsi="Book Antiqua" w:cs="Times New Roman"/>
          <w:color w:val="000000"/>
          <w:szCs w:val="24"/>
        </w:rPr>
      </w:pPr>
      <w:r w:rsidRPr="005D1338" w:rsidR="00E374E9">
        <w:rPr>
          <w:rFonts w:ascii="Book Antiqua" w:hAnsi="Book Antiqua" w:cs="Times New Roman"/>
          <w:color w:val="000000"/>
          <w:szCs w:val="24"/>
        </w:rPr>
        <w:t xml:space="preserve">Najjednoduchšou možnosťou, ako občanom poskytnúť efektívnejšie zbrane na ochranu ich životov, zdravia aj majetku, je poskytnúť im možnosť na tento účel využívať nielen strelné zbrane krátke, ale aj strelné zbrane dlhé. </w:t>
      </w:r>
      <w:r w:rsidRPr="005D1338">
        <w:rPr>
          <w:rFonts w:ascii="Book Antiqua" w:hAnsi="Book Antiqua" w:cs="Times New Roman"/>
          <w:color w:val="000000"/>
          <w:szCs w:val="24"/>
        </w:rPr>
        <w:t>Dlhé zbrane však podľa súčasnej legislatívy nie je možné používať inak, ako výlučne na športové účely alebo na výkon práv poľovníctva.</w:t>
      </w:r>
    </w:p>
    <w:p w:rsidR="00447190" w:rsidRPr="005D1338" w:rsidP="005D1338">
      <w:pPr>
        <w:pStyle w:val="Vchodzie"/>
        <w:bidi w:val="0"/>
        <w:ind w:firstLine="720"/>
        <w:jc w:val="both"/>
        <w:rPr>
          <w:rFonts w:ascii="Book Antiqua" w:hAnsi="Book Antiqua" w:cs="Times New Roman"/>
          <w:color w:val="000000"/>
          <w:szCs w:val="24"/>
        </w:rPr>
      </w:pPr>
      <w:r w:rsidRPr="005D1338">
        <w:rPr>
          <w:rFonts w:ascii="Book Antiqua" w:hAnsi="Book Antiqua" w:cs="Times New Roman"/>
          <w:color w:val="000000"/>
          <w:szCs w:val="24"/>
        </w:rPr>
        <w:t xml:space="preserve">Dlhé zbrane poskytujú možnosť efektívnej obrany aj strelcom, ktorí z dôvodu subtílnosti fyzickej stavby tela alebo z dôvodu zlého znášania spätného rázu výkonnejších krátkych zbraní nemôžu na obranu svojho života, zdravia, alebo majetku použiť dostatočne výkonné krátke zbrane. </w:t>
      </w:r>
    </w:p>
    <w:p w:rsidR="000F47B1" w:rsidRPr="005D1338" w:rsidP="005D1338">
      <w:pPr>
        <w:pStyle w:val="Vchodzie"/>
        <w:bidi w:val="0"/>
        <w:ind w:firstLine="720"/>
        <w:jc w:val="both"/>
        <w:rPr>
          <w:rFonts w:ascii="Book Antiqua" w:hAnsi="Book Antiqua" w:cs="Times New Roman"/>
          <w:color w:val="000000"/>
          <w:szCs w:val="24"/>
        </w:rPr>
      </w:pPr>
      <w:r w:rsidRPr="005D1338" w:rsidR="00AB7CDE">
        <w:rPr>
          <w:rFonts w:ascii="Book Antiqua" w:hAnsi="Book Antiqua" w:cs="Times New Roman"/>
          <w:color w:val="000000"/>
          <w:szCs w:val="24"/>
        </w:rPr>
        <w:t>Ľudia aj ich majetok sa môžu</w:t>
      </w:r>
      <w:r w:rsidRPr="005D1338" w:rsidR="0083241A">
        <w:rPr>
          <w:rFonts w:ascii="Book Antiqua" w:hAnsi="Book Antiqua" w:cs="Times New Roman"/>
          <w:color w:val="000000"/>
          <w:szCs w:val="24"/>
        </w:rPr>
        <w:t xml:space="preserve">, a žiaľ aj čoraz častejšie sa stávajú, </w:t>
      </w:r>
      <w:r w:rsidRPr="005D1338" w:rsidR="00AB7CDE">
        <w:rPr>
          <w:rFonts w:ascii="Book Antiqua" w:hAnsi="Book Antiqua" w:cs="Times New Roman"/>
          <w:color w:val="000000"/>
          <w:szCs w:val="24"/>
        </w:rPr>
        <w:t>terčom  útok</w:t>
      </w:r>
      <w:r w:rsidRPr="005D1338" w:rsidR="0083241A">
        <w:rPr>
          <w:rFonts w:ascii="Book Antiqua" w:hAnsi="Book Antiqua" w:cs="Times New Roman"/>
          <w:color w:val="000000"/>
          <w:szCs w:val="24"/>
        </w:rPr>
        <w:t xml:space="preserve">ov páchateľov </w:t>
      </w:r>
      <w:r w:rsidRPr="005D1338" w:rsidR="00AB7CDE">
        <w:rPr>
          <w:rFonts w:ascii="Book Antiqua" w:hAnsi="Book Antiqua" w:cs="Times New Roman"/>
          <w:color w:val="000000"/>
          <w:szCs w:val="24"/>
        </w:rPr>
        <w:t xml:space="preserve">priamo v súkromí </w:t>
      </w:r>
      <w:r w:rsidRPr="005D1338" w:rsidR="0083241A">
        <w:rPr>
          <w:rFonts w:ascii="Book Antiqua" w:hAnsi="Book Antiqua" w:cs="Times New Roman"/>
          <w:color w:val="000000"/>
          <w:szCs w:val="24"/>
        </w:rPr>
        <w:t xml:space="preserve">svojich </w:t>
      </w:r>
      <w:r w:rsidRPr="005D1338" w:rsidR="00AB7CDE">
        <w:rPr>
          <w:rFonts w:ascii="Book Antiqua" w:hAnsi="Book Antiqua" w:cs="Times New Roman"/>
          <w:color w:val="000000"/>
          <w:szCs w:val="24"/>
        </w:rPr>
        <w:t xml:space="preserve">nehnuteľností, </w:t>
      </w:r>
      <w:r w:rsidRPr="005D1338" w:rsidR="0083241A">
        <w:rPr>
          <w:rFonts w:ascii="Book Antiqua" w:hAnsi="Book Antiqua" w:cs="Times New Roman"/>
          <w:color w:val="000000"/>
          <w:szCs w:val="24"/>
        </w:rPr>
        <w:t xml:space="preserve">najčastejšie rekreačných chát a domov lazníckeho typu. </w:t>
      </w:r>
      <w:r w:rsidRPr="005D1338" w:rsidR="0022225F">
        <w:rPr>
          <w:rFonts w:ascii="Book Antiqua" w:hAnsi="Book Antiqua" w:cs="Times New Roman"/>
          <w:color w:val="000000"/>
          <w:szCs w:val="24"/>
        </w:rPr>
        <w:t>Je nepochybné, že každý občan SR má právo na ochranu života, zdravia</w:t>
      </w:r>
      <w:r w:rsidR="005D1338">
        <w:rPr>
          <w:rFonts w:ascii="Book Antiqua" w:hAnsi="Book Antiqua" w:cs="Times New Roman"/>
          <w:color w:val="000000"/>
          <w:szCs w:val="24"/>
        </w:rPr>
        <w:t xml:space="preserve">                   </w:t>
      </w:r>
      <w:r w:rsidRPr="005D1338" w:rsidR="0022225F">
        <w:rPr>
          <w:rFonts w:ascii="Book Antiqua" w:hAnsi="Book Antiqua" w:cs="Times New Roman"/>
          <w:color w:val="000000"/>
          <w:szCs w:val="24"/>
        </w:rPr>
        <w:t xml:space="preserve"> a majetku seb</w:t>
      </w:r>
      <w:r w:rsidR="0028424A">
        <w:rPr>
          <w:rFonts w:ascii="Book Antiqua" w:hAnsi="Book Antiqua" w:cs="Times New Roman"/>
          <w:color w:val="000000"/>
          <w:szCs w:val="24"/>
        </w:rPr>
        <w:t xml:space="preserve">a aj svojich </w:t>
      </w:r>
      <w:r w:rsidRPr="005D1338" w:rsidR="0022225F">
        <w:rPr>
          <w:rFonts w:ascii="Book Antiqua" w:hAnsi="Book Antiqua" w:cs="Times New Roman"/>
          <w:color w:val="000000"/>
          <w:szCs w:val="24"/>
        </w:rPr>
        <w:t xml:space="preserve">blízkych. </w:t>
      </w:r>
      <w:r w:rsidRPr="005D1338">
        <w:rPr>
          <w:rFonts w:ascii="Book Antiqua" w:hAnsi="Book Antiqua" w:cs="Times New Roman"/>
          <w:color w:val="000000"/>
          <w:szCs w:val="24"/>
        </w:rPr>
        <w:t xml:space="preserve">Špecifickým príkladom je použitie opakovacej dlhej zbrane v krajnej núdzi v riedko osídlených oblastiach (napr. pri útoku  divej zveri na záujem chránený </w:t>
      </w:r>
      <w:r w:rsidR="005D1338">
        <w:rPr>
          <w:rFonts w:ascii="Book Antiqua" w:hAnsi="Book Antiqua" w:cs="Times New Roman"/>
          <w:color w:val="000000"/>
          <w:szCs w:val="24"/>
        </w:rPr>
        <w:t xml:space="preserve">  </w:t>
      </w:r>
      <w:r w:rsidRPr="005D1338">
        <w:rPr>
          <w:rFonts w:ascii="Book Antiqua" w:hAnsi="Book Antiqua" w:cs="Times New Roman"/>
          <w:color w:val="000000"/>
          <w:szCs w:val="24"/>
        </w:rPr>
        <w:t>zákonom).</w:t>
      </w:r>
    </w:p>
    <w:p w:rsidR="000F47B1" w:rsidRPr="005D1338" w:rsidP="005D1338">
      <w:pPr>
        <w:pStyle w:val="Vchodzie"/>
        <w:bidi w:val="0"/>
        <w:ind w:firstLine="720"/>
        <w:jc w:val="both"/>
        <w:rPr>
          <w:rFonts w:ascii="Book Antiqua" w:hAnsi="Book Antiqua" w:cs="Times New Roman"/>
          <w:color w:val="000000"/>
          <w:szCs w:val="24"/>
        </w:rPr>
      </w:pPr>
      <w:r w:rsidRPr="005D1338" w:rsidR="0022225F">
        <w:rPr>
          <w:rFonts w:ascii="Book Antiqua" w:hAnsi="Book Antiqua" w:cs="Times New Roman"/>
          <w:color w:val="000000"/>
          <w:szCs w:val="24"/>
        </w:rPr>
        <w:t xml:space="preserve">Z tohto dôvodu by tí, ktorí splnia </w:t>
      </w:r>
      <w:r w:rsidR="0028424A">
        <w:rPr>
          <w:rFonts w:ascii="Book Antiqua" w:hAnsi="Book Antiqua" w:cs="Times New Roman"/>
          <w:color w:val="000000"/>
          <w:szCs w:val="24"/>
        </w:rPr>
        <w:t>zákonom</w:t>
      </w:r>
      <w:r w:rsidRPr="005D1338" w:rsidR="0022225F">
        <w:rPr>
          <w:rFonts w:ascii="Book Antiqua" w:hAnsi="Book Antiqua" w:cs="Times New Roman"/>
          <w:color w:val="000000"/>
          <w:szCs w:val="24"/>
        </w:rPr>
        <w:t xml:space="preserve"> stanovené požiadavky (držitelia zbrojných preukazov príslušnej skupiny), mali mať možnosť disponovať dostatočne účinnou zbraňou, prispôsobenou svojim schopnostiam. Preto nevidíme dôvod na to, aby boli držitelia zbrojného preukazu skupiny B naďalej obmedzovaní v práve držať dlhú strelnú zbraň</w:t>
      </w:r>
      <w:r w:rsidRPr="005D1338">
        <w:rPr>
          <w:rFonts w:ascii="Book Antiqua" w:hAnsi="Book Antiqua" w:cs="Times New Roman"/>
          <w:color w:val="000000"/>
          <w:szCs w:val="24"/>
        </w:rPr>
        <w:t>, a predkladaná novela takúto diskrimináciu a obmedzenie odstraňuje</w:t>
      </w:r>
      <w:r w:rsidRPr="005D1338" w:rsidR="0022225F">
        <w:rPr>
          <w:rFonts w:ascii="Book Antiqua" w:hAnsi="Book Antiqua" w:cs="Times New Roman"/>
          <w:color w:val="000000"/>
          <w:szCs w:val="24"/>
        </w:rPr>
        <w:t>.</w:t>
      </w:r>
    </w:p>
    <w:p w:rsidR="000F47B1" w:rsidRPr="005D1338" w:rsidP="005D1338">
      <w:pPr>
        <w:pStyle w:val="Vchodzie"/>
        <w:bidi w:val="0"/>
        <w:ind w:firstLine="720"/>
        <w:jc w:val="both"/>
        <w:rPr>
          <w:rFonts w:ascii="Book Antiqua" w:hAnsi="Book Antiqua" w:cs="Times New Roman"/>
          <w:color w:val="000000"/>
          <w:szCs w:val="24"/>
        </w:rPr>
      </w:pPr>
      <w:r w:rsidRPr="005D1338" w:rsidR="0022225F">
        <w:rPr>
          <w:rFonts w:ascii="Book Antiqua" w:hAnsi="Book Antiqua" w:cs="Times New Roman"/>
          <w:color w:val="000000"/>
          <w:szCs w:val="24"/>
        </w:rPr>
        <w:t>Zároveň však nami predkladaná novela akceptuje v súčasnosti plat</w:t>
      </w:r>
      <w:r w:rsidR="0028424A">
        <w:rPr>
          <w:rFonts w:ascii="Book Antiqua" w:hAnsi="Book Antiqua" w:cs="Times New Roman"/>
          <w:color w:val="000000"/>
          <w:szCs w:val="24"/>
        </w:rPr>
        <w:t>né obmedzenia</w:t>
      </w:r>
      <w:r w:rsidRPr="005D1338" w:rsidR="0022225F">
        <w:rPr>
          <w:rFonts w:ascii="Book Antiqua" w:hAnsi="Book Antiqua" w:cs="Times New Roman"/>
          <w:color w:val="000000"/>
          <w:szCs w:val="24"/>
        </w:rPr>
        <w:t xml:space="preserve"> týkajúce sa nosenia zbrane podľa oprávnení zbrojného preukazu skupiny A. Novela tiež akceptuje ochranu spoločnosti pred možným zneužitím  vojenských zbraní a zbraní z nich odvodených. Preto</w:t>
      </w:r>
      <w:r w:rsidRPr="005D1338">
        <w:rPr>
          <w:rFonts w:ascii="Book Antiqua" w:hAnsi="Book Antiqua" w:cs="Times New Roman"/>
          <w:color w:val="000000"/>
          <w:szCs w:val="24"/>
        </w:rPr>
        <w:t> </w:t>
      </w:r>
      <w:r w:rsidRPr="005D1338" w:rsidR="0022225F">
        <w:rPr>
          <w:rFonts w:ascii="Book Antiqua" w:hAnsi="Book Antiqua" w:cs="Times New Roman"/>
          <w:color w:val="000000"/>
          <w:szCs w:val="24"/>
        </w:rPr>
        <w:t>sa</w:t>
      </w:r>
      <w:r w:rsidRPr="005D1338">
        <w:rPr>
          <w:rFonts w:ascii="Book Antiqua" w:hAnsi="Book Antiqua" w:cs="Times New Roman"/>
          <w:color w:val="000000"/>
          <w:szCs w:val="24"/>
        </w:rPr>
        <w:t> </w:t>
      </w:r>
      <w:r w:rsidRPr="005D1338" w:rsidR="0022225F">
        <w:rPr>
          <w:rFonts w:ascii="Book Antiqua" w:hAnsi="Book Antiqua" w:cs="Times New Roman"/>
          <w:color w:val="000000"/>
          <w:szCs w:val="24"/>
        </w:rPr>
        <w:t xml:space="preserve">rozšírenie </w:t>
      </w:r>
      <w:r w:rsidRPr="005D1338" w:rsidR="00905817">
        <w:rPr>
          <w:rFonts w:ascii="Book Antiqua" w:hAnsi="Book Antiqua" w:cs="Times New Roman"/>
          <w:color w:val="000000"/>
          <w:szCs w:val="24"/>
        </w:rPr>
        <w:t xml:space="preserve">možnosti držať dlhé zbrane pre držiteľov zbrojného preukazu skupiny B nevzťahuje na </w:t>
      </w:r>
      <w:r w:rsidRPr="005D1338">
        <w:rPr>
          <w:rFonts w:ascii="Book Antiqua" w:hAnsi="Book Antiqua" w:cs="Times New Roman"/>
          <w:color w:val="000000"/>
          <w:szCs w:val="24"/>
        </w:rPr>
        <w:t xml:space="preserve">samonabíjacie </w:t>
      </w:r>
      <w:r w:rsidRPr="005D1338" w:rsidR="00905817">
        <w:rPr>
          <w:rFonts w:ascii="Book Antiqua" w:hAnsi="Book Antiqua" w:cs="Times New Roman"/>
          <w:color w:val="000000"/>
          <w:szCs w:val="24"/>
        </w:rPr>
        <w:t xml:space="preserve">dlhé zbrane, odvodené z vojenských </w:t>
      </w:r>
      <w:r w:rsidRPr="005D1338">
        <w:rPr>
          <w:rFonts w:ascii="Book Antiqua" w:hAnsi="Book Antiqua" w:cs="Times New Roman"/>
          <w:color w:val="000000"/>
          <w:szCs w:val="24"/>
        </w:rPr>
        <w:t>zbraní.</w:t>
      </w:r>
    </w:p>
    <w:p w:rsidR="00AB7CDE" w:rsidRPr="005D1338" w:rsidP="005D1338">
      <w:pPr>
        <w:pStyle w:val="Vchodzie"/>
        <w:bidi w:val="0"/>
        <w:ind w:firstLine="720"/>
        <w:jc w:val="both"/>
        <w:rPr>
          <w:rFonts w:ascii="Book Antiqua" w:hAnsi="Book Antiqua" w:cs="Times New Roman"/>
          <w:sz w:val="20"/>
          <w:szCs w:val="24"/>
        </w:rPr>
      </w:pPr>
      <w:r w:rsidRPr="005D1338">
        <w:rPr>
          <w:rFonts w:ascii="Book Antiqua" w:hAnsi="Book Antiqua" w:cs="Times New Roman"/>
          <w:szCs w:val="24"/>
        </w:rPr>
        <w:t xml:space="preserve">Predložený legislatívny návrh je v  </w:t>
      </w:r>
      <w:r w:rsidRPr="005D1338" w:rsidR="00F6678E">
        <w:rPr>
          <w:rFonts w:ascii="Book Antiqua" w:hAnsi="Book Antiqua" w:cs="Times New Roman"/>
          <w:szCs w:val="24"/>
        </w:rPr>
        <w:t>s</w:t>
      </w:r>
      <w:r w:rsidRPr="005D1338">
        <w:rPr>
          <w:rFonts w:ascii="Book Antiqua" w:hAnsi="Book Antiqua" w:cs="Times New Roman"/>
          <w:szCs w:val="24"/>
        </w:rPr>
        <w:t>úlade s  Ústavo</w:t>
      </w:r>
      <w:r w:rsidR="0028424A">
        <w:rPr>
          <w:rFonts w:ascii="Book Antiqua" w:hAnsi="Book Antiqua" w:cs="Times New Roman"/>
          <w:szCs w:val="24"/>
        </w:rPr>
        <w:t xml:space="preserve">u Slovenskej republiky, s inými </w:t>
      </w:r>
      <w:r w:rsidRPr="005D1338">
        <w:rPr>
          <w:rFonts w:ascii="Book Antiqua" w:hAnsi="Book Antiqua" w:cs="Times New Roman"/>
          <w:szCs w:val="24"/>
        </w:rPr>
        <w:t>zákonmi a  medzinárodnými zmluvami, ktorými je SR viazaná</w:t>
      </w:r>
      <w:r w:rsidR="00FA34EA">
        <w:rPr>
          <w:rFonts w:ascii="Book Antiqua" w:hAnsi="Book Antiqua" w:cs="Times New Roman"/>
          <w:szCs w:val="24"/>
        </w:rPr>
        <w:t xml:space="preserve">. Návrh </w:t>
      </w:r>
      <w:r w:rsidRPr="005D1338">
        <w:rPr>
          <w:rFonts w:ascii="Book Antiqua" w:hAnsi="Book Antiqua" w:cs="Times New Roman"/>
          <w:szCs w:val="24"/>
        </w:rPr>
        <w:t>má</w:t>
      </w:r>
      <w:r w:rsidR="00FA34EA">
        <w:rPr>
          <w:rFonts w:ascii="Book Antiqua" w:hAnsi="Book Antiqua" w:cs="Times New Roman"/>
          <w:szCs w:val="24"/>
        </w:rPr>
        <w:t xml:space="preserve"> pozitívny</w:t>
      </w:r>
      <w:r w:rsidRPr="005D1338">
        <w:rPr>
          <w:rFonts w:ascii="Book Antiqua" w:hAnsi="Book Antiqua" w:cs="Times New Roman"/>
          <w:szCs w:val="24"/>
        </w:rPr>
        <w:t xml:space="preserve"> dopad </w:t>
      </w:r>
      <w:r w:rsidR="00FA34EA">
        <w:rPr>
          <w:rFonts w:ascii="Book Antiqua" w:hAnsi="Book Antiqua" w:cs="Times New Roman"/>
          <w:szCs w:val="24"/>
        </w:rPr>
        <w:t xml:space="preserve">                </w:t>
      </w:r>
      <w:r w:rsidRPr="005D1338">
        <w:rPr>
          <w:rFonts w:ascii="Book Antiqua" w:hAnsi="Book Antiqua" w:cs="Times New Roman"/>
          <w:szCs w:val="24"/>
        </w:rPr>
        <w:t xml:space="preserve">na štátny rozpočet.   </w:t>
      </w:r>
    </w:p>
    <w:p w:rsidR="005D1338" w:rsidRPr="005D1338" w:rsidP="005D1338">
      <w:pPr>
        <w:numPr>
          <w:numId w:val="3"/>
        </w:numPr>
        <w:suppressAutoHyphens/>
        <w:bidi w:val="0"/>
        <w:spacing w:after="200" w:line="276" w:lineRule="auto"/>
        <w:ind w:left="270" w:hanging="270"/>
        <w:rPr>
          <w:rFonts w:ascii="Book Antiqua" w:hAnsi="Book Antiqua" w:cs="Arial"/>
          <w:b/>
          <w:i/>
        </w:rPr>
      </w:pPr>
      <w:r w:rsidRPr="005D1338" w:rsidR="000F47B1">
        <w:rPr>
          <w:rFonts w:ascii="Book Antiqua" w:hAnsi="Book Antiqua"/>
          <w:b/>
        </w:rPr>
        <w:br w:type="page"/>
      </w:r>
      <w:r w:rsidRPr="005D1338">
        <w:rPr>
          <w:rFonts w:ascii="Book Antiqua" w:hAnsi="Book Antiqua" w:cs="Arial"/>
          <w:b/>
          <w:i/>
        </w:rPr>
        <w:t>Osobitná časť</w:t>
      </w:r>
    </w:p>
    <w:p w:rsidR="005D1338" w:rsidRPr="005D1338" w:rsidP="005D1338">
      <w:pPr>
        <w:bidi w:val="0"/>
        <w:ind w:left="360"/>
        <w:jc w:val="both"/>
        <w:rPr>
          <w:rFonts w:ascii="Book Antiqua" w:hAnsi="Book Antiqua" w:cs="Arial"/>
        </w:rPr>
      </w:pPr>
      <w:r>
        <w:rPr>
          <w:rFonts w:ascii="Times New Roman" w:hAnsi="Times New Roman"/>
          <w:noProof/>
        </w:rPr>
        <w:pict>
          <v:shape id="Rovná spojovacia šípka 1" o:spid="_x0000_s1026" type="#_x0000_t32" style="width:455pt;height:0;margin-top:2.75pt;margin-left:-0.35pt;position:absolute;visibility:visible;z-index:251659264" filled="f" stroked="t">
            <v:path arrowok="t"/>
            <o:lock v:ext="edit" aspectratio="f" shapetype="t"/>
          </v:shape>
        </w:pict>
      </w:r>
    </w:p>
    <w:p w:rsidR="005D1338" w:rsidRPr="005D1338" w:rsidP="005D1338">
      <w:pPr>
        <w:pStyle w:val="Vchodzie"/>
        <w:tabs>
          <w:tab w:val="left" w:pos="2835"/>
        </w:tabs>
        <w:bidi w:val="0"/>
        <w:jc w:val="center"/>
        <w:rPr>
          <w:rFonts w:ascii="Book Antiqua" w:hAnsi="Book Antiqua" w:cs="Times New Roman"/>
          <w:szCs w:val="24"/>
        </w:rPr>
      </w:pPr>
    </w:p>
    <w:p w:rsidR="00AB7CDE" w:rsidRPr="005D1338">
      <w:pPr>
        <w:pStyle w:val="Vchodzie"/>
        <w:bidi w:val="0"/>
        <w:rPr>
          <w:rFonts w:ascii="Book Antiqua" w:hAnsi="Book Antiqua" w:cs="Times New Roman"/>
        </w:rPr>
      </w:pPr>
      <w:r w:rsidRPr="005D1338">
        <w:rPr>
          <w:rFonts w:ascii="Book Antiqua" w:hAnsi="Book Antiqua" w:cs="Times New Roman"/>
          <w:b/>
        </w:rPr>
        <w:t>Čl. I</w:t>
      </w:r>
    </w:p>
    <w:p w:rsidR="00AB7CDE" w:rsidRPr="005D1338">
      <w:pPr>
        <w:pStyle w:val="Vchodzie"/>
        <w:bidi w:val="0"/>
        <w:rPr>
          <w:rFonts w:ascii="Book Antiqua" w:hAnsi="Book Antiqua" w:cs="Times New Roman"/>
        </w:rPr>
      </w:pPr>
      <w:r w:rsidRPr="005D1338" w:rsidR="005D1338">
        <w:rPr>
          <w:rFonts w:ascii="Book Antiqua" w:hAnsi="Book Antiqua" w:cs="Times New Roman"/>
          <w:u w:val="single"/>
        </w:rPr>
        <w:t>K</w:t>
      </w:r>
      <w:r w:rsidRPr="005D1338">
        <w:rPr>
          <w:rFonts w:ascii="Book Antiqua" w:hAnsi="Book Antiqua" w:cs="Times New Roman"/>
          <w:u w:val="single"/>
        </w:rPr>
        <w:t xml:space="preserve"> bodu 1</w:t>
      </w:r>
    </w:p>
    <w:p w:rsidR="00AB7CDE" w:rsidRPr="005D1338" w:rsidP="005D1338">
      <w:pPr>
        <w:pStyle w:val="Vchodzie"/>
        <w:bidi w:val="0"/>
        <w:ind w:firstLine="720"/>
        <w:jc w:val="both"/>
        <w:rPr>
          <w:rFonts w:ascii="Book Antiqua" w:hAnsi="Book Antiqua" w:cs="Times New Roman"/>
          <w:color w:val="000000"/>
        </w:rPr>
      </w:pPr>
      <w:r w:rsidR="005D1338">
        <w:rPr>
          <w:rFonts w:ascii="Book Antiqua" w:hAnsi="Book Antiqua" w:cs="Times New Roman"/>
          <w:color w:val="000000"/>
        </w:rPr>
        <w:t xml:space="preserve">Za účelom </w:t>
      </w:r>
      <w:r w:rsidRPr="005D1338" w:rsidR="00F04194">
        <w:rPr>
          <w:rFonts w:ascii="Book Antiqua" w:hAnsi="Book Antiqua" w:cs="Times New Roman"/>
          <w:color w:val="000000"/>
        </w:rPr>
        <w:t xml:space="preserve">zvýšenia úrovne možnosti individuálnej ochrany </w:t>
      </w:r>
      <w:r w:rsidRPr="005D1338">
        <w:rPr>
          <w:rFonts w:ascii="Book Antiqua" w:hAnsi="Book Antiqua" w:cs="Times New Roman"/>
          <w:color w:val="000000"/>
        </w:rPr>
        <w:t xml:space="preserve">osoby a majetku </w:t>
      </w:r>
      <w:r w:rsidRPr="005D1338" w:rsidR="00F04194">
        <w:rPr>
          <w:rFonts w:ascii="Book Antiqua" w:hAnsi="Book Antiqua" w:cs="Times New Roman"/>
          <w:color w:val="000000"/>
        </w:rPr>
        <w:t xml:space="preserve">sa </w:t>
      </w:r>
      <w:r w:rsidR="005D1338">
        <w:rPr>
          <w:rFonts w:ascii="Book Antiqua" w:hAnsi="Book Antiqua" w:cs="Times New Roman"/>
          <w:color w:val="000000"/>
        </w:rPr>
        <w:t xml:space="preserve">                   pre držiteľov</w:t>
      </w:r>
      <w:r w:rsidRPr="005D1338">
        <w:rPr>
          <w:rFonts w:ascii="Book Antiqua" w:hAnsi="Book Antiqua" w:cs="Times New Roman"/>
          <w:color w:val="000000"/>
        </w:rPr>
        <w:t xml:space="preserve"> zbrojného preukazu </w:t>
      </w:r>
      <w:r w:rsidRPr="005D1338" w:rsidR="00F04194">
        <w:rPr>
          <w:rFonts w:ascii="Book Antiqua" w:hAnsi="Book Antiqua" w:cs="Times New Roman"/>
          <w:color w:val="000000"/>
        </w:rPr>
        <w:t xml:space="preserve">skupiny </w:t>
      </w:r>
      <w:r w:rsidRPr="005D1338">
        <w:rPr>
          <w:rFonts w:ascii="Book Antiqua" w:hAnsi="Book Antiqua" w:cs="Times New Roman"/>
          <w:color w:val="000000"/>
        </w:rPr>
        <w:t>B (§ 15 ods. 2 písm. b) zákona č. 190/2003 Z.</w:t>
      </w:r>
      <w:r w:rsidRPr="005D1338" w:rsidR="005D1338">
        <w:rPr>
          <w:rFonts w:ascii="Book Antiqua" w:hAnsi="Book Antiqua" w:cs="Times New Roman"/>
          <w:color w:val="000000"/>
        </w:rPr>
        <w:t xml:space="preserve"> </w:t>
      </w:r>
      <w:r w:rsidRPr="005D1338">
        <w:rPr>
          <w:rFonts w:ascii="Book Antiqua" w:hAnsi="Book Antiqua" w:cs="Times New Roman"/>
          <w:color w:val="000000"/>
        </w:rPr>
        <w:t xml:space="preserve">z.) zavádza </w:t>
      </w:r>
      <w:r w:rsidRPr="005D1338" w:rsidR="00F04194">
        <w:rPr>
          <w:rFonts w:ascii="Book Antiqua" w:hAnsi="Book Antiqua" w:cs="Times New Roman"/>
          <w:color w:val="000000"/>
        </w:rPr>
        <w:t>m</w:t>
      </w:r>
      <w:r w:rsidRPr="005D1338">
        <w:rPr>
          <w:rFonts w:ascii="Book Antiqua" w:hAnsi="Book Antiqua" w:cs="Times New Roman"/>
          <w:color w:val="000000"/>
        </w:rPr>
        <w:t xml:space="preserve">ožnosť držby </w:t>
      </w:r>
      <w:r w:rsidRPr="005D1338" w:rsidR="00F04194">
        <w:rPr>
          <w:rFonts w:ascii="Book Antiqua" w:hAnsi="Book Antiqua" w:cs="Times New Roman"/>
          <w:color w:val="000000"/>
        </w:rPr>
        <w:t xml:space="preserve">všetkých </w:t>
      </w:r>
      <w:r w:rsidRPr="005D1338">
        <w:rPr>
          <w:rFonts w:ascii="Book Antiqua" w:hAnsi="Book Antiqua" w:cs="Times New Roman"/>
          <w:color w:val="000000"/>
        </w:rPr>
        <w:t>dlhých zbraní kategórie B</w:t>
      </w:r>
      <w:r w:rsidRPr="005D1338" w:rsidR="00F04194">
        <w:rPr>
          <w:rFonts w:ascii="Book Antiqua" w:hAnsi="Book Antiqua" w:cs="Times New Roman"/>
          <w:color w:val="000000"/>
        </w:rPr>
        <w:t xml:space="preserve"> okrem zbraní podľa §</w:t>
      </w:r>
      <w:r w:rsidR="005D1338">
        <w:rPr>
          <w:rFonts w:ascii="Book Antiqua" w:hAnsi="Book Antiqua" w:cs="Times New Roman"/>
          <w:color w:val="000000"/>
        </w:rPr>
        <w:t xml:space="preserve"> </w:t>
      </w:r>
      <w:r w:rsidRPr="005D1338" w:rsidR="00F04194">
        <w:rPr>
          <w:rFonts w:ascii="Book Antiqua" w:hAnsi="Book Antiqua" w:cs="Times New Roman"/>
          <w:color w:val="000000"/>
        </w:rPr>
        <w:t xml:space="preserve">5 ods. 1 </w:t>
      </w:r>
      <w:r w:rsidRPr="005D1338" w:rsidR="005D1338">
        <w:rPr>
          <w:rFonts w:ascii="Book Antiqua" w:hAnsi="Book Antiqua" w:cs="Times New Roman"/>
          <w:color w:val="000000"/>
        </w:rPr>
        <w:t xml:space="preserve">           </w:t>
      </w:r>
      <w:r w:rsidRPr="005D1338" w:rsidR="00F04194">
        <w:rPr>
          <w:rFonts w:ascii="Book Antiqua" w:hAnsi="Book Antiqua" w:cs="Times New Roman"/>
          <w:color w:val="000000"/>
        </w:rPr>
        <w:t>písm. f)</w:t>
      </w:r>
      <w:r w:rsidRPr="005D1338">
        <w:rPr>
          <w:rFonts w:ascii="Book Antiqua" w:hAnsi="Book Antiqua" w:cs="Times New Roman"/>
          <w:color w:val="000000"/>
        </w:rPr>
        <w:t xml:space="preserve">, </w:t>
      </w:r>
      <w:r w:rsidRPr="005D1338" w:rsidR="00F04194">
        <w:rPr>
          <w:rFonts w:ascii="Book Antiqua" w:hAnsi="Book Antiqua" w:cs="Times New Roman"/>
          <w:color w:val="000000"/>
        </w:rPr>
        <w:t xml:space="preserve">a tiež možnosť držby všetkých dlhých zbraní </w:t>
      </w:r>
      <w:r w:rsidRPr="005D1338" w:rsidR="001E623E">
        <w:rPr>
          <w:rFonts w:ascii="Book Antiqua" w:hAnsi="Book Antiqua" w:cs="Times New Roman"/>
          <w:color w:val="000000"/>
        </w:rPr>
        <w:t xml:space="preserve">kategórie C. Zavádza sa tiež možnosť držať strelivo do týchto zbraní. </w:t>
      </w:r>
    </w:p>
    <w:p w:rsidR="005D1338" w:rsidRPr="005D1338" w:rsidP="005D1338">
      <w:pPr>
        <w:pStyle w:val="Vchodzie"/>
        <w:bidi w:val="0"/>
        <w:rPr>
          <w:rFonts w:ascii="Book Antiqua" w:hAnsi="Book Antiqua" w:cs="Times New Roman"/>
          <w:b/>
        </w:rPr>
      </w:pPr>
    </w:p>
    <w:p w:rsidR="005D1338" w:rsidRPr="005D1338" w:rsidP="005D1338">
      <w:pPr>
        <w:pStyle w:val="Vchodzie"/>
        <w:bidi w:val="0"/>
        <w:rPr>
          <w:rFonts w:ascii="Book Antiqua" w:hAnsi="Book Antiqua" w:cs="Times New Roman"/>
        </w:rPr>
      </w:pPr>
      <w:r w:rsidRPr="005D1338">
        <w:rPr>
          <w:rFonts w:ascii="Book Antiqua" w:hAnsi="Book Antiqua" w:cs="Times New Roman"/>
          <w:b/>
        </w:rPr>
        <w:t>Čl. II</w:t>
      </w:r>
    </w:p>
    <w:p w:rsidR="005D1338" w:rsidRPr="005D1338" w:rsidP="005D1338">
      <w:pPr>
        <w:pStyle w:val="Default"/>
        <w:bidi w:val="0"/>
        <w:ind w:firstLine="708"/>
        <w:jc w:val="both"/>
        <w:rPr>
          <w:rFonts w:ascii="Book Antiqua" w:hAnsi="Book Antiqua" w:cs="Book Antiqua"/>
          <w:sz w:val="22"/>
          <w:szCs w:val="22"/>
        </w:rPr>
      </w:pPr>
      <w:r w:rsidRPr="005D1338">
        <w:rPr>
          <w:rFonts w:ascii="Book Antiqua" w:hAnsi="Book Antiqua" w:cs="Arial"/>
          <w:sz w:val="22"/>
          <w:szCs w:val="22"/>
        </w:rPr>
        <w:t xml:space="preserve">Navrhuje sa účinnosť ústavného zákona </w:t>
      </w:r>
      <w:r w:rsidRPr="005D1338">
        <w:rPr>
          <w:rFonts w:ascii="Book Antiqua" w:hAnsi="Book Antiqua"/>
          <w:sz w:val="22"/>
          <w:szCs w:val="22"/>
        </w:rPr>
        <w:t>pätnástym dňom po jeho vyhlásení v Zbierke zákonov</w:t>
      </w:r>
      <w:r w:rsidRPr="005D1338">
        <w:rPr>
          <w:rFonts w:ascii="Book Antiqua" w:hAnsi="Book Antiqua" w:cs="Times New Roman"/>
          <w:sz w:val="22"/>
          <w:szCs w:val="22"/>
          <w:lang w:bidi="ar-SA"/>
        </w:rPr>
        <w:t>.</w:t>
      </w:r>
    </w:p>
    <w:p w:rsidR="005D1338" w:rsidRPr="005D1338" w:rsidP="001E623E">
      <w:pPr>
        <w:pStyle w:val="Vchodzie"/>
        <w:bidi w:val="0"/>
        <w:jc w:val="both"/>
        <w:rPr>
          <w:rFonts w:ascii="Book Antiqua" w:hAnsi="Book Antiqua" w:cs="Times New Roman"/>
        </w:rPr>
      </w:pPr>
    </w:p>
    <w:p w:rsidR="005D1338" w:rsidRPr="005D1338">
      <w:pPr>
        <w:pStyle w:val="Vchodzie"/>
        <w:bidi w:val="0"/>
        <w:jc w:val="both"/>
        <w:rPr>
          <w:rFonts w:ascii="Book Antiqua" w:hAnsi="Book Antiqua" w:cs="Times New Roman"/>
        </w:rPr>
      </w:pPr>
    </w:p>
    <w:sectPr w:rsidSect="00602F20">
      <w:type w:val="continuous"/>
      <w:pgSz w:w="12240" w:h="15840"/>
      <w:pgMar w:top="1417" w:right="1417" w:bottom="1276" w:left="1417" w:header="708" w:footer="708" w:gutter="0"/>
      <w:lnNumType w:distance="0"/>
      <w:cols w:space="708"/>
      <w:formProt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OpenSymbol">
    <w:altName w:val="Arial Unicode MS"/>
    <w:panose1 w:val="05010000000000000000"/>
    <w:charset w:val="00"/>
    <w:family w:val="auto"/>
    <w:pitch w:val="variable"/>
    <w:sig w:usb0="00000000" w:usb1="00000000" w:usb2="00000000" w:usb3="00000000" w:csb0="00000001" w:csb1="00000000"/>
  </w:font>
  <w:font w:name="Microsoft YaHei">
    <w:panose1 w:val="00000000000000000000"/>
    <w:charset w:val="86"/>
    <w:family w:val="swiss"/>
    <w:pitch w:val="variable"/>
    <w:sig w:usb0="00000000" w:usb1="00000000" w:usb2="00000000" w:usb3="00000000" w:csb0="0004001F" w:csb1="00000000"/>
  </w:font>
  <w:font w:name="@Microsoft YaHei">
    <w:panose1 w:val="00000000000000000000"/>
    <w:charset w:val="86"/>
    <w:family w:val="swiss"/>
    <w:pitch w:val="variable"/>
    <w:sig w:usb0="00000000" w:usb1="00000000" w:usb2="00000000" w:usb3="00000000" w:csb0="0004001F" w:csb1="00000000"/>
  </w:font>
  <w:font w:name="Book Antiqua">
    <w:altName w:val="Book Antiqua"/>
    <w:panose1 w:val="00000000000000000000"/>
    <w:charset w:val="EE"/>
    <w:family w:val="roman"/>
    <w:pitch w:val="variable"/>
    <w:sig w:usb0="00000000" w:usb1="00000000" w:usb2="00000000" w:usb3="00000000" w:csb0="0000009F" w:csb1="00000000"/>
  </w:font>
  <w:font w:name="Liberation Serif">
    <w:altName w:val="Times New Roman"/>
    <w:panose1 w:val="00000000000000000000"/>
    <w:charset w:val="EE"/>
    <w:family w:val="roman"/>
    <w:pitch w:val="variable"/>
    <w:sig w:usb0="00000000" w:usb1="00000000" w:usb2="00000000" w:usb3="00000000" w:csb0="00000002"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720" w:hanging="360"/>
      </w:pPr>
      <w:rPr>
        <w:rFonts w:ascii="Times New Roman" w:eastAsia="Times New Roman" w:hAnsi="Times New Roman"/>
      </w:rPr>
    </w:lvl>
    <w:lvl w:ilvl="1">
      <w:start w:val="1"/>
      <w:numFmt w:val="bullet"/>
      <w:lvlText w:val="–"/>
      <w:lvlJc w:val="left"/>
      <w:pPr>
        <w:ind w:left="1080" w:hanging="360"/>
      </w:pPr>
      <w:rPr>
        <w:rFonts w:ascii="Times New Roman" w:eastAsia="Times New Roman" w:hAnsi="Times New Roman"/>
      </w:rPr>
    </w:lvl>
    <w:lvl w:ilvl="2">
      <w:start w:val="1"/>
      <w:numFmt w:val="bullet"/>
      <w:lvlText w:val="–"/>
      <w:lvlJc w:val="left"/>
      <w:pPr>
        <w:ind w:left="1440" w:hanging="360"/>
      </w:pPr>
      <w:rPr>
        <w:rFonts w:ascii="Times New Roman" w:eastAsia="Times New Roman" w:hAnsi="Times New Roman"/>
      </w:rPr>
    </w:lvl>
    <w:lvl w:ilvl="3">
      <w:start w:val="1"/>
      <w:numFmt w:val="bullet"/>
      <w:lvlText w:val="–"/>
      <w:lvlJc w:val="left"/>
      <w:pPr>
        <w:ind w:left="1800" w:hanging="360"/>
      </w:pPr>
      <w:rPr>
        <w:rFonts w:ascii="Times New Roman" w:eastAsia="Times New Roman" w:hAnsi="Times New Roman"/>
      </w:rPr>
    </w:lvl>
    <w:lvl w:ilvl="4">
      <w:start w:val="1"/>
      <w:numFmt w:val="bullet"/>
      <w:lvlText w:val="–"/>
      <w:lvlJc w:val="left"/>
      <w:pPr>
        <w:ind w:left="2160" w:hanging="360"/>
      </w:pPr>
      <w:rPr>
        <w:rFonts w:ascii="Times New Roman" w:eastAsia="Times New Roman" w:hAnsi="Times New Roman"/>
      </w:rPr>
    </w:lvl>
    <w:lvl w:ilvl="5">
      <w:start w:val="1"/>
      <w:numFmt w:val="bullet"/>
      <w:lvlText w:val="–"/>
      <w:lvlJc w:val="left"/>
      <w:pPr>
        <w:ind w:left="2520" w:hanging="360"/>
      </w:pPr>
      <w:rPr>
        <w:rFonts w:ascii="Times New Roman" w:eastAsia="Times New Roman" w:hAnsi="Times New Roman"/>
      </w:rPr>
    </w:lvl>
    <w:lvl w:ilvl="6">
      <w:start w:val="1"/>
      <w:numFmt w:val="bullet"/>
      <w:lvlText w:val="–"/>
      <w:lvlJc w:val="left"/>
      <w:pPr>
        <w:ind w:left="2880" w:hanging="360"/>
      </w:pPr>
      <w:rPr>
        <w:rFonts w:ascii="Times New Roman" w:eastAsia="Times New Roman" w:hAnsi="Times New Roman"/>
      </w:rPr>
    </w:lvl>
    <w:lvl w:ilvl="7">
      <w:start w:val="1"/>
      <w:numFmt w:val="bullet"/>
      <w:lvlText w:val="–"/>
      <w:lvlJc w:val="left"/>
      <w:pPr>
        <w:ind w:left="3240" w:hanging="360"/>
      </w:pPr>
      <w:rPr>
        <w:rFonts w:ascii="Times New Roman" w:eastAsia="Times New Roman" w:hAnsi="Times New Roman"/>
      </w:rPr>
    </w:lvl>
    <w:lvl w:ilvl="8">
      <w:start w:val="1"/>
      <w:numFmt w:val="bullet"/>
      <w:lvlText w:val="–"/>
      <w:lvlJc w:val="left"/>
      <w:pPr>
        <w:ind w:left="3600" w:hanging="360"/>
      </w:pPr>
      <w:rPr>
        <w:rFonts w:ascii="Times New Roman" w:eastAsia="Times New Roman" w:hAnsi="Times New Roman"/>
      </w:rPr>
    </w:lvl>
  </w:abstractNum>
  <w:abstractNum w:abstractNumId="1">
    <w:nsid w:val="00000002"/>
    <w:multiLevelType w:val="multilevel"/>
    <w:tmpl w:val="00000002"/>
    <w:lvl w:ilvl="0">
      <w:start w:val="1"/>
      <w:numFmt w:val="decimal"/>
      <w:lvlJc w:val="left"/>
      <w:pPr>
        <w:ind w:left="432" w:hanging="432"/>
      </w:pPr>
      <w:rPr>
        <w:rFonts w:cs="Times New Roman"/>
        <w:rtl w:val="0"/>
        <w:cs w:val="0"/>
      </w:rPr>
    </w:lvl>
    <w:lvl w:ilvl="1">
      <w:start w:val="1"/>
      <w:numFmt w:val="decimal"/>
      <w:lvlJc w:val="left"/>
      <w:pPr>
        <w:ind w:left="576" w:hanging="576"/>
      </w:pPr>
      <w:rPr>
        <w:rFonts w:cs="Times New Roman"/>
        <w:rtl w:val="0"/>
        <w:cs w:val="0"/>
      </w:rPr>
    </w:lvl>
    <w:lvl w:ilvl="2">
      <w:start w:val="1"/>
      <w:numFmt w:val="decimal"/>
      <w:lvlJc w:val="left"/>
      <w:pPr>
        <w:ind w:left="720" w:hanging="720"/>
      </w:pPr>
      <w:rPr>
        <w:rFonts w:cs="Times New Roman"/>
        <w:rtl w:val="0"/>
        <w:cs w:val="0"/>
      </w:rPr>
    </w:lvl>
    <w:lvl w:ilvl="3">
      <w:start w:val="1"/>
      <w:numFmt w:val="decimal"/>
      <w:lvlJc w:val="left"/>
      <w:pPr>
        <w:ind w:left="864" w:hanging="864"/>
      </w:pPr>
      <w:rPr>
        <w:rFonts w:cs="Times New Roman"/>
        <w:rtl w:val="0"/>
        <w:cs w:val="0"/>
      </w:rPr>
    </w:lvl>
    <w:lvl w:ilvl="4">
      <w:start w:val="1"/>
      <w:numFmt w:val="decimal"/>
      <w:lvlJc w:val="left"/>
      <w:pPr>
        <w:ind w:left="1008" w:hanging="1008"/>
      </w:pPr>
      <w:rPr>
        <w:rFonts w:cs="Times New Roman"/>
        <w:rtl w:val="0"/>
        <w:cs w:val="0"/>
      </w:rPr>
    </w:lvl>
    <w:lvl w:ilvl="5">
      <w:start w:val="1"/>
      <w:numFmt w:val="decimal"/>
      <w:lvlJc w:val="left"/>
      <w:pPr>
        <w:ind w:left="1152" w:hanging="1152"/>
      </w:pPr>
      <w:rPr>
        <w:rFonts w:cs="Times New Roman"/>
        <w:rtl w:val="0"/>
        <w:cs w:val="0"/>
      </w:rPr>
    </w:lvl>
    <w:lvl w:ilvl="6">
      <w:start w:val="1"/>
      <w:numFmt w:val="decimal"/>
      <w:lvlJc w:val="left"/>
      <w:pPr>
        <w:ind w:left="1296" w:hanging="1296"/>
      </w:pPr>
      <w:rPr>
        <w:rFonts w:cs="Times New Roman"/>
        <w:rtl w:val="0"/>
        <w:cs w:val="0"/>
      </w:rPr>
    </w:lvl>
    <w:lvl w:ilvl="7">
      <w:start w:val="1"/>
      <w:numFmt w:val="decimal"/>
      <w:lvlJc w:val="left"/>
      <w:pPr>
        <w:ind w:left="1440" w:hanging="1440"/>
      </w:pPr>
      <w:rPr>
        <w:rFonts w:cs="Times New Roman"/>
        <w:rtl w:val="0"/>
        <w:cs w:val="0"/>
      </w:rPr>
    </w:lvl>
    <w:lvl w:ilvl="8">
      <w:start w:val="1"/>
      <w:numFmt w:val="decimal"/>
      <w:lvlJc w:val="left"/>
      <w:pPr>
        <w:ind w:left="1584" w:hanging="1584"/>
      </w:pPr>
      <w:rPr>
        <w:rFonts w:cs="Times New Roman"/>
        <w:rtl w:val="0"/>
        <w:cs w:val="0"/>
      </w:rPr>
    </w:lvl>
  </w:abstractNum>
  <w:abstractNum w:abstractNumId="2">
    <w:nsid w:val="473C0834"/>
    <w:multiLevelType w:val="hybridMultilevel"/>
    <w:tmpl w:val="9F1CA23C"/>
    <w:lvl w:ilvl="0">
      <w:start w:val="1"/>
      <w:numFmt w:val="upperRoman"/>
      <w:lvlText w:val="%1."/>
      <w:lvlJc w:val="left"/>
      <w:pPr>
        <w:ind w:left="1620" w:hanging="720"/>
      </w:pPr>
      <w:rPr>
        <w:rFonts w:cs="Times New Roman" w:hint="default"/>
        <w:rtl w:val="0"/>
        <w:cs w:val="0"/>
      </w:rPr>
    </w:lvl>
    <w:lvl w:ilvl="1">
      <w:start w:val="1"/>
      <w:numFmt w:val="lowerLetter"/>
      <w:lvlText w:val="%2."/>
      <w:lvlJc w:val="left"/>
      <w:pPr>
        <w:ind w:left="1980" w:hanging="360"/>
      </w:pPr>
      <w:rPr>
        <w:rFonts w:cs="Times New Roman"/>
        <w:rtl w:val="0"/>
        <w:cs w:val="0"/>
      </w:rPr>
    </w:lvl>
    <w:lvl w:ilvl="2">
      <w:start w:val="1"/>
      <w:numFmt w:val="lowerRoman"/>
      <w:lvlText w:val="%3."/>
      <w:lvlJc w:val="right"/>
      <w:pPr>
        <w:ind w:left="2700" w:hanging="180"/>
      </w:pPr>
      <w:rPr>
        <w:rFonts w:cs="Times New Roman"/>
        <w:rtl w:val="0"/>
        <w:cs w:val="0"/>
      </w:rPr>
    </w:lvl>
    <w:lvl w:ilvl="3">
      <w:start w:val="1"/>
      <w:numFmt w:val="decimal"/>
      <w:lvlText w:val="%4."/>
      <w:lvlJc w:val="left"/>
      <w:pPr>
        <w:ind w:left="3420" w:hanging="360"/>
      </w:pPr>
      <w:rPr>
        <w:rFonts w:cs="Times New Roman"/>
        <w:rtl w:val="0"/>
        <w:cs w:val="0"/>
      </w:rPr>
    </w:lvl>
    <w:lvl w:ilvl="4">
      <w:start w:val="1"/>
      <w:numFmt w:val="lowerLetter"/>
      <w:lvlText w:val="%5."/>
      <w:lvlJc w:val="left"/>
      <w:pPr>
        <w:ind w:left="4140" w:hanging="360"/>
      </w:pPr>
      <w:rPr>
        <w:rFonts w:cs="Times New Roman"/>
        <w:rtl w:val="0"/>
        <w:cs w:val="0"/>
      </w:rPr>
    </w:lvl>
    <w:lvl w:ilvl="5">
      <w:start w:val="1"/>
      <w:numFmt w:val="lowerRoman"/>
      <w:lvlText w:val="%6."/>
      <w:lvlJc w:val="right"/>
      <w:pPr>
        <w:ind w:left="4860" w:hanging="180"/>
      </w:pPr>
      <w:rPr>
        <w:rFonts w:cs="Times New Roman"/>
        <w:rtl w:val="0"/>
        <w:cs w:val="0"/>
      </w:rPr>
    </w:lvl>
    <w:lvl w:ilvl="6">
      <w:start w:val="1"/>
      <w:numFmt w:val="decimal"/>
      <w:lvlText w:val="%7."/>
      <w:lvlJc w:val="left"/>
      <w:pPr>
        <w:ind w:left="5580" w:hanging="360"/>
      </w:pPr>
      <w:rPr>
        <w:rFonts w:cs="Times New Roman"/>
        <w:rtl w:val="0"/>
        <w:cs w:val="0"/>
      </w:rPr>
    </w:lvl>
    <w:lvl w:ilvl="7">
      <w:start w:val="1"/>
      <w:numFmt w:val="lowerLetter"/>
      <w:lvlText w:val="%8."/>
      <w:lvlJc w:val="left"/>
      <w:pPr>
        <w:ind w:left="6300" w:hanging="360"/>
      </w:pPr>
      <w:rPr>
        <w:rFonts w:cs="Times New Roman"/>
        <w:rtl w:val="0"/>
        <w:cs w:val="0"/>
      </w:rPr>
    </w:lvl>
    <w:lvl w:ilvl="8">
      <w:start w:val="1"/>
      <w:numFmt w:val="lowerRoman"/>
      <w:lvlText w:val="%9."/>
      <w:lvlJc w:val="right"/>
      <w:pPr>
        <w:ind w:left="7020" w:hanging="180"/>
      </w:pPr>
      <w:rPr>
        <w:rFonts w:cs="Times New Roman"/>
        <w:rtl w:val="0"/>
        <w:cs w:val="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B7CDE"/>
    <w:rsid w:val="000F47B1"/>
    <w:rsid w:val="001E623E"/>
    <w:rsid w:val="0022225F"/>
    <w:rsid w:val="0028424A"/>
    <w:rsid w:val="002E0061"/>
    <w:rsid w:val="00350E98"/>
    <w:rsid w:val="00447190"/>
    <w:rsid w:val="00453084"/>
    <w:rsid w:val="005D1338"/>
    <w:rsid w:val="00602F20"/>
    <w:rsid w:val="0083241A"/>
    <w:rsid w:val="00905817"/>
    <w:rsid w:val="00913AC1"/>
    <w:rsid w:val="0097623F"/>
    <w:rsid w:val="00AB2456"/>
    <w:rsid w:val="00AB7CDE"/>
    <w:rsid w:val="00B67AB0"/>
    <w:rsid w:val="00BA50F2"/>
    <w:rsid w:val="00E374E9"/>
    <w:rsid w:val="00F04194"/>
    <w:rsid w:val="00F6678E"/>
    <w:rsid w:val="00FA34E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Vchodzie">
    <w:name w:val="Východzie"/>
    <w:uiPriority w:val="99"/>
    <w:pPr>
      <w:framePr w:wrap="auto"/>
      <w:widowControl w:val="0"/>
      <w:autoSpaceDE/>
      <w:autoSpaceDN w:val="0"/>
      <w:adjustRightInd w:val="0"/>
      <w:spacing w:after="160" w:line="252" w:lineRule="auto"/>
      <w:ind w:left="0" w:right="0"/>
      <w:jc w:val="left"/>
      <w:textAlignment w:val="auto"/>
    </w:pPr>
    <w:rPr>
      <w:rFonts w:ascii="Calibri" w:eastAsia="Times New Roman" w:hAnsi="Times New Roman" w:cs="Calibri"/>
      <w:sz w:val="22"/>
      <w:szCs w:val="22"/>
      <w:rtl w:val="0"/>
      <w:cs w:val="0"/>
      <w:lang w:val="sk-SK" w:eastAsia="sk-SK" w:bidi="hi-IN"/>
    </w:rPr>
  </w:style>
  <w:style w:type="character" w:customStyle="1" w:styleId="RTFNum21">
    <w:name w:val="RTF_Num 2 1"/>
    <w:uiPriority w:val="99"/>
    <w:rPr>
      <w:rFonts w:ascii="OpenSymbol" w:hAnsi="OpenSymbol" w:cs="OpenSymbol"/>
    </w:rPr>
  </w:style>
  <w:style w:type="character" w:customStyle="1" w:styleId="RTFNum22">
    <w:name w:val="RTF_Num 2 2"/>
    <w:uiPriority w:val="99"/>
    <w:rPr>
      <w:rFonts w:ascii="OpenSymbol" w:hAnsi="OpenSymbol" w:cs="OpenSymbol"/>
    </w:rPr>
  </w:style>
  <w:style w:type="character" w:customStyle="1" w:styleId="RTFNum23">
    <w:name w:val="RTF_Num 2 3"/>
    <w:uiPriority w:val="99"/>
    <w:rPr>
      <w:rFonts w:ascii="OpenSymbol" w:hAnsi="OpenSymbol" w:cs="OpenSymbol"/>
    </w:rPr>
  </w:style>
  <w:style w:type="character" w:customStyle="1" w:styleId="RTFNum24">
    <w:name w:val="RTF_Num 2 4"/>
    <w:uiPriority w:val="99"/>
    <w:rPr>
      <w:rFonts w:ascii="OpenSymbol" w:hAnsi="OpenSymbol" w:cs="OpenSymbol"/>
    </w:rPr>
  </w:style>
  <w:style w:type="character" w:customStyle="1" w:styleId="RTFNum25">
    <w:name w:val="RTF_Num 2 5"/>
    <w:uiPriority w:val="99"/>
    <w:rPr>
      <w:rFonts w:ascii="OpenSymbol" w:hAnsi="OpenSymbol" w:cs="OpenSymbol"/>
    </w:rPr>
  </w:style>
  <w:style w:type="character" w:customStyle="1" w:styleId="RTFNum26">
    <w:name w:val="RTF_Num 2 6"/>
    <w:uiPriority w:val="99"/>
    <w:rPr>
      <w:rFonts w:ascii="OpenSymbol" w:hAnsi="OpenSymbol" w:cs="OpenSymbol"/>
    </w:rPr>
  </w:style>
  <w:style w:type="character" w:customStyle="1" w:styleId="RTFNum27">
    <w:name w:val="RTF_Num 2 7"/>
    <w:uiPriority w:val="99"/>
    <w:rPr>
      <w:rFonts w:ascii="OpenSymbol" w:hAnsi="OpenSymbol" w:cs="OpenSymbol"/>
    </w:rPr>
  </w:style>
  <w:style w:type="character" w:customStyle="1" w:styleId="RTFNum28">
    <w:name w:val="RTF_Num 2 8"/>
    <w:uiPriority w:val="99"/>
    <w:rPr>
      <w:rFonts w:ascii="OpenSymbol" w:hAnsi="OpenSymbol" w:cs="OpenSymbol"/>
    </w:rPr>
  </w:style>
  <w:style w:type="character" w:customStyle="1" w:styleId="RTFNum29">
    <w:name w:val="RTF_Num 2 9"/>
    <w:uiPriority w:val="99"/>
    <w:rPr>
      <w:rFonts w:ascii="OpenSymbol" w:hAnsi="OpenSymbol" w:cs="OpenSymbol"/>
    </w:rPr>
  </w:style>
  <w:style w:type="character" w:customStyle="1" w:styleId="RTFNum31">
    <w:name w:val="RTF_Num 3 1"/>
    <w:uiPriority w:val="99"/>
  </w:style>
  <w:style w:type="character" w:customStyle="1" w:styleId="RTFNum32">
    <w:name w:val="RTF_Num 3 2"/>
    <w:uiPriority w:val="99"/>
  </w:style>
  <w:style w:type="character" w:customStyle="1" w:styleId="RTFNum33">
    <w:name w:val="RTF_Num 3 3"/>
    <w:uiPriority w:val="99"/>
  </w:style>
  <w:style w:type="character" w:customStyle="1" w:styleId="RTFNum34">
    <w:name w:val="RTF_Num 3 4"/>
    <w:uiPriority w:val="99"/>
  </w:style>
  <w:style w:type="character" w:customStyle="1" w:styleId="RTFNum35">
    <w:name w:val="RTF_Num 3 5"/>
    <w:uiPriority w:val="99"/>
  </w:style>
  <w:style w:type="character" w:customStyle="1" w:styleId="RTFNum36">
    <w:name w:val="RTF_Num 3 6"/>
    <w:uiPriority w:val="99"/>
  </w:style>
  <w:style w:type="character" w:customStyle="1" w:styleId="RTFNum37">
    <w:name w:val="RTF_Num 3 7"/>
    <w:uiPriority w:val="99"/>
  </w:style>
  <w:style w:type="character" w:customStyle="1" w:styleId="RTFNum38">
    <w:name w:val="RTF_Num 3 8"/>
    <w:uiPriority w:val="99"/>
  </w:style>
  <w:style w:type="character" w:customStyle="1" w:styleId="RTFNum39">
    <w:name w:val="RTF_Num 3 9"/>
    <w:uiPriority w:val="99"/>
  </w:style>
  <w:style w:type="character" w:customStyle="1" w:styleId="Odrky">
    <w:name w:val="Odr??ky"/>
    <w:uiPriority w:val="99"/>
    <w:rPr>
      <w:rFonts w:ascii="OpenSymbol" w:hAnsi="OpenSymbol" w:cs="OpenSymbol"/>
    </w:rPr>
  </w:style>
  <w:style w:type="character" w:customStyle="1" w:styleId="Odrky0">
    <w:name w:val="Odrážky"/>
    <w:uiPriority w:val="99"/>
    <w:rPr>
      <w:rFonts w:ascii="OpenSymbol" w:hAnsi="OpenSymbol" w:cs="OpenSymbol"/>
    </w:rPr>
  </w:style>
  <w:style w:type="paragraph" w:customStyle="1" w:styleId="Nadpis">
    <w:name w:val="Nadpis"/>
    <w:basedOn w:val="Vchodzie"/>
    <w:next w:val="Telotextu"/>
    <w:uiPriority w:val="99"/>
    <w:pPr>
      <w:keepNext/>
      <w:spacing w:before="240" w:after="120"/>
      <w:jc w:val="left"/>
    </w:pPr>
    <w:rPr>
      <w:rFonts w:ascii="Arial" w:hAnsi="Microsoft YaHei" w:cs="Arial"/>
      <w:sz w:val="28"/>
      <w:szCs w:val="28"/>
      <w:lang w:bidi="ar-SA"/>
    </w:rPr>
  </w:style>
  <w:style w:type="paragraph" w:customStyle="1" w:styleId="Telotextu">
    <w:name w:val="Telo textu"/>
    <w:basedOn w:val="Vchodzie"/>
    <w:uiPriority w:val="99"/>
    <w:pPr>
      <w:spacing w:after="120"/>
      <w:jc w:val="left"/>
    </w:pPr>
    <w:rPr>
      <w:lang w:bidi="ar-SA"/>
    </w:rPr>
  </w:style>
  <w:style w:type="paragraph" w:customStyle="1" w:styleId="Nadpis1">
    <w:name w:val="Nadpis1"/>
    <w:basedOn w:val="Nadpis"/>
    <w:next w:val="Podnadpis"/>
    <w:uiPriority w:val="99"/>
    <w:pPr>
      <w:jc w:val="left"/>
    </w:pPr>
  </w:style>
  <w:style w:type="paragraph" w:customStyle="1" w:styleId="Podnadpis">
    <w:name w:val="Podnadpis"/>
    <w:basedOn w:val="Nadpis"/>
    <w:next w:val="Telotextu"/>
    <w:uiPriority w:val="99"/>
    <w:pPr>
      <w:jc w:val="center"/>
    </w:pPr>
    <w:rPr>
      <w:i/>
      <w:iCs/>
    </w:rPr>
  </w:style>
  <w:style w:type="paragraph" w:styleId="List">
    <w:name w:val="List"/>
    <w:basedOn w:val="Telotextu"/>
    <w:uiPriority w:val="99"/>
    <w:pPr>
      <w:jc w:val="left"/>
    </w:pPr>
  </w:style>
  <w:style w:type="paragraph" w:customStyle="1" w:styleId="Popisok">
    <w:name w:val="Popisok"/>
    <w:basedOn w:val="Vchodzie"/>
    <w:uiPriority w:val="99"/>
    <w:pPr>
      <w:spacing w:before="120" w:after="120"/>
      <w:jc w:val="left"/>
    </w:pPr>
    <w:rPr>
      <w:i/>
      <w:iCs/>
      <w:sz w:val="24"/>
      <w:szCs w:val="24"/>
      <w:lang w:bidi="ar-SA"/>
    </w:rPr>
  </w:style>
  <w:style w:type="paragraph" w:customStyle="1" w:styleId="Index">
    <w:name w:val="Index"/>
    <w:basedOn w:val="Vchodzie"/>
    <w:uiPriority w:val="99"/>
    <w:pPr>
      <w:jc w:val="left"/>
    </w:pPr>
    <w:rPr>
      <w:lang w:bidi="ar-SA"/>
    </w:rPr>
  </w:style>
  <w:style w:type="paragraph" w:styleId="NormalWeb">
    <w:name w:val="Normal (Web)"/>
    <w:basedOn w:val="Vchodzie"/>
    <w:uiPriority w:val="99"/>
    <w:pPr>
      <w:spacing w:before="100" w:after="100" w:line="200" w:lineRule="atLeast"/>
      <w:jc w:val="left"/>
    </w:pPr>
    <w:rPr>
      <w:rFonts w:ascii="Times New Roman" w:eastAsia="Times New Roman" w:hAnsi="Times New Roman" w:cs="Times New Roman"/>
      <w:sz w:val="24"/>
      <w:szCs w:val="24"/>
      <w:lang w:bidi="ar-SA"/>
    </w:rPr>
  </w:style>
  <w:style w:type="paragraph" w:customStyle="1" w:styleId="Obsahtabuky">
    <w:name w:val="Obsah tabuľky"/>
    <w:basedOn w:val="Vchodzie"/>
    <w:uiPriority w:val="99"/>
    <w:pPr>
      <w:jc w:val="left"/>
    </w:pPr>
    <w:rPr>
      <w:lang w:bidi="ar-SA"/>
    </w:rPr>
  </w:style>
  <w:style w:type="paragraph" w:customStyle="1" w:styleId="Nadpistabuky">
    <w:name w:val="Nadpis tabuľky"/>
    <w:basedOn w:val="Obsahtabuky"/>
    <w:uiPriority w:val="99"/>
    <w:pPr>
      <w:jc w:val="center"/>
    </w:pPr>
    <w:rPr>
      <w:b/>
      <w:bCs/>
    </w:rPr>
  </w:style>
  <w:style w:type="paragraph" w:customStyle="1" w:styleId="Default">
    <w:name w:val="Default"/>
    <w:rsid w:val="005D1338"/>
    <w:pPr>
      <w:framePr w:wrap="auto"/>
      <w:widowControl w:val="0"/>
      <w:suppressAutoHyphens/>
      <w:autoSpaceDE w:val="0"/>
      <w:autoSpaceDN/>
      <w:adjustRightInd/>
      <w:ind w:left="0" w:right="0"/>
      <w:jc w:val="left"/>
      <w:textAlignment w:val="auto"/>
    </w:pPr>
    <w:rPr>
      <w:rFonts w:ascii="Liberation Serif" w:hAnsi="Liberation Serif" w:cs="Liberation Serif"/>
      <w:color w:val="000000"/>
      <w:kern w:val="2"/>
      <w:sz w:val="24"/>
      <w:szCs w:val="24"/>
      <w:rtl w:val="0"/>
      <w:cs w:val="0"/>
      <w:lang w:val="sk-SK"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134</TotalTime>
  <Pages>3</Pages>
  <Words>576</Words>
  <Characters>3289</Characters>
  <Application>Microsoft Office Word</Application>
  <DocSecurity>0</DocSecurity>
  <Lines>0</Lines>
  <Paragraphs>0</Paragraphs>
  <ScaleCrop>false</ScaleCrop>
  <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 XY</dc:creator>
  <cp:lastModifiedBy>rastislav.schlosar</cp:lastModifiedBy>
  <cp:revision>21</cp:revision>
  <cp:lastPrinted>2016-10-25T08:48:00Z</cp:lastPrinted>
  <dcterms:created xsi:type="dcterms:W3CDTF">2016-09-18T22:50:00Z</dcterms:created>
  <dcterms:modified xsi:type="dcterms:W3CDTF">2016-11-04T12:51:00Z</dcterms:modified>
</cp:coreProperties>
</file>