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3FD0" w:rsidRPr="00B2032E" w:rsidP="00E73FD0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</w:pPr>
      <w:r w:rsidRPr="00B2032E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Dolož</w:t>
      </w:r>
      <w:r w:rsidRPr="00B2032E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ka zluč</w:t>
      </w:r>
      <w:r w:rsidRPr="00B2032E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iteľ</w:t>
      </w:r>
      <w:r w:rsidRPr="00B2032E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nosti</w:t>
      </w:r>
    </w:p>
    <w:p w:rsidR="00E73FD0" w:rsidRPr="00B2032E" w:rsidP="00E73FD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B2032E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nie</w:t>
      </w:r>
      <w:r w:rsidRPr="00B2032E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E73FD0" w:rsidRPr="00B2032E" w:rsidP="00E73FD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B2032E">
        <w:rPr>
          <w:rFonts w:ascii="Times New Roman" w:hAnsi="Times New Roman"/>
          <w:b/>
          <w:bCs/>
          <w:sz w:val="24"/>
          <w:szCs w:val="24"/>
        </w:rPr>
        <w:t>1.</w:t>
        <w:tab/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Predkladateľ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 xml:space="preserve"> 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B2032E">
        <w:rPr>
          <w:rFonts w:ascii="Times New Roman" w:hAnsi="Times New Roman" w:hint="default"/>
          <w:sz w:val="24"/>
          <w:szCs w:val="24"/>
        </w:rPr>
        <w:t xml:space="preserve"> poslanci Ná</w:t>
      </w:r>
      <w:r w:rsidRPr="00B2032E">
        <w:rPr>
          <w:rFonts w:ascii="Times New Roman" w:hAnsi="Times New Roman" w:hint="default"/>
          <w:sz w:val="24"/>
          <w:szCs w:val="24"/>
        </w:rPr>
        <w:t>rodnej rady Slovenskej republiky </w:t>
      </w:r>
    </w:p>
    <w:p w:rsidR="00E73FD0" w:rsidRPr="00B2032E" w:rsidP="00E73FD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2032E">
        <w:rPr>
          <w:rFonts w:ascii="Times New Roman" w:hAnsi="Times New Roman"/>
          <w:sz w:val="24"/>
          <w:szCs w:val="24"/>
        </w:rPr>
        <w:t xml:space="preserve"> </w:t>
      </w:r>
    </w:p>
    <w:p w:rsidR="004F458F" w:rsidP="00E73FD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2032E" w:rsidR="00E73FD0">
        <w:rPr>
          <w:rFonts w:ascii="Times New Roman" w:hAnsi="Times New Roman"/>
          <w:b/>
          <w:bCs/>
          <w:sz w:val="24"/>
          <w:szCs w:val="24"/>
        </w:rPr>
        <w:t>2.</w:t>
        <w:tab/>
      </w:r>
      <w:r w:rsidRPr="00B2032E" w:rsidR="00E73FD0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B2032E" w:rsidR="00E73FD0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B2032E" w:rsidR="00E73FD0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B2032E" w:rsidR="00E73FD0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B2032E" w:rsidR="00E73FD0">
        <w:rPr>
          <w:rFonts w:ascii="Times New Roman" w:hAnsi="Times New Roman"/>
          <w:sz w:val="24"/>
          <w:szCs w:val="24"/>
        </w:rPr>
        <w:t xml:space="preserve"> </w:t>
      </w:r>
      <w:r w:rsidRPr="00A75489">
        <w:rPr>
          <w:rFonts w:ascii="Times New Roman" w:hAnsi="Times New Roman" w:hint="default"/>
          <w:sz w:val="24"/>
          <w:szCs w:val="24"/>
        </w:rPr>
        <w:t>Ná</w:t>
      </w:r>
      <w:r w:rsidRPr="00A75489">
        <w:rPr>
          <w:rFonts w:ascii="Times New Roman" w:hAnsi="Times New Roman" w:hint="default"/>
          <w:sz w:val="24"/>
          <w:szCs w:val="24"/>
        </w:rPr>
        <w:t>vrh zá</w:t>
      </w:r>
      <w:r w:rsidRPr="00A75489">
        <w:rPr>
          <w:rFonts w:ascii="Times New Roman" w:hAnsi="Times New Roman" w:hint="default"/>
          <w:sz w:val="24"/>
          <w:szCs w:val="24"/>
        </w:rPr>
        <w:t>kona, ktorý</w:t>
      </w:r>
      <w:r w:rsidRPr="00A75489">
        <w:rPr>
          <w:rFonts w:ascii="Times New Roman" w:hAnsi="Times New Roman" w:hint="default"/>
          <w:sz w:val="24"/>
          <w:szCs w:val="24"/>
        </w:rPr>
        <w:t>m sa mení</w:t>
      </w:r>
      <w:r w:rsidRPr="00A75489">
        <w:rPr>
          <w:rFonts w:ascii="Times New Roman" w:hAnsi="Times New Roman" w:hint="default"/>
          <w:sz w:val="24"/>
          <w:szCs w:val="24"/>
        </w:rPr>
        <w:t xml:space="preserve"> a </w:t>
      </w:r>
      <w:r w:rsidRPr="00A75489">
        <w:rPr>
          <w:rFonts w:ascii="Times New Roman" w:hAnsi="Times New Roman" w:hint="default"/>
          <w:sz w:val="24"/>
          <w:szCs w:val="24"/>
        </w:rPr>
        <w:t>dopĺň</w:t>
      </w:r>
      <w:r w:rsidRPr="00A75489">
        <w:rPr>
          <w:rFonts w:ascii="Times New Roman" w:hAnsi="Times New Roman" w:hint="default"/>
          <w:sz w:val="24"/>
          <w:szCs w:val="24"/>
        </w:rPr>
        <w:t>a zá</w:t>
      </w:r>
      <w:r w:rsidRPr="00A75489">
        <w:rPr>
          <w:rFonts w:ascii="Times New Roman" w:hAnsi="Times New Roman" w:hint="default"/>
          <w:sz w:val="24"/>
          <w:szCs w:val="24"/>
        </w:rPr>
        <w:t>kon č</w:t>
      </w:r>
      <w:r w:rsidRPr="00A75489">
        <w:rPr>
          <w:rFonts w:ascii="Times New Roman" w:hAnsi="Times New Roman" w:hint="default"/>
          <w:sz w:val="24"/>
          <w:szCs w:val="24"/>
        </w:rPr>
        <w:t xml:space="preserve">. 317/2009 Z. z. o </w:t>
      </w:r>
      <w:r w:rsidRPr="00A75489">
        <w:rPr>
          <w:rFonts w:ascii="Times New Roman" w:hAnsi="Times New Roman" w:hint="default"/>
          <w:sz w:val="24"/>
          <w:szCs w:val="24"/>
        </w:rPr>
        <w:t>pedagogický</w:t>
      </w:r>
      <w:r w:rsidRPr="00A75489">
        <w:rPr>
          <w:rFonts w:ascii="Times New Roman" w:hAnsi="Times New Roman" w:hint="default"/>
          <w:sz w:val="24"/>
          <w:szCs w:val="24"/>
        </w:rPr>
        <w:t>ch zamestnancoch a odborný</w:t>
      </w:r>
      <w:r w:rsidRPr="00A75489">
        <w:rPr>
          <w:rFonts w:ascii="Times New Roman" w:hAnsi="Times New Roman" w:hint="default"/>
          <w:sz w:val="24"/>
          <w:szCs w:val="24"/>
        </w:rPr>
        <w:t>ch zamestnancoch a o zmene a doplnení</w:t>
      </w:r>
      <w:r w:rsidRPr="00A75489">
        <w:rPr>
          <w:rFonts w:ascii="Times New Roman" w:hAnsi="Times New Roman" w:hint="default"/>
          <w:sz w:val="24"/>
          <w:szCs w:val="24"/>
        </w:rPr>
        <w:t xml:space="preserve"> niektorý</w:t>
      </w:r>
      <w:r w:rsidRPr="00A75489">
        <w:rPr>
          <w:rFonts w:ascii="Times New Roman" w:hAnsi="Times New Roman" w:hint="default"/>
          <w:sz w:val="24"/>
          <w:szCs w:val="24"/>
        </w:rPr>
        <w:t>ch zá</w:t>
      </w:r>
      <w:r w:rsidRPr="00A75489">
        <w:rPr>
          <w:rFonts w:ascii="Times New Roman" w:hAnsi="Times New Roman" w:hint="default"/>
          <w:sz w:val="24"/>
          <w:szCs w:val="24"/>
        </w:rPr>
        <w:t>konov v </w:t>
      </w:r>
      <w:r w:rsidRPr="00A75489">
        <w:rPr>
          <w:rFonts w:ascii="Times New Roman" w:hAnsi="Times New Roman" w:hint="default"/>
          <w:sz w:val="24"/>
          <w:szCs w:val="24"/>
        </w:rPr>
        <w:t>znení</w:t>
      </w:r>
      <w:r w:rsidRPr="00A75489">
        <w:rPr>
          <w:rFonts w:ascii="Times New Roman" w:hAnsi="Times New Roman" w:hint="default"/>
          <w:sz w:val="24"/>
          <w:szCs w:val="24"/>
        </w:rPr>
        <w:t xml:space="preserve"> neskorší</w:t>
      </w:r>
      <w:r w:rsidRPr="00A75489">
        <w:rPr>
          <w:rFonts w:ascii="Times New Roman" w:hAnsi="Times New Roman" w:hint="default"/>
          <w:sz w:val="24"/>
          <w:szCs w:val="24"/>
        </w:rPr>
        <w:t>ch predpisov a </w:t>
      </w:r>
      <w:r w:rsidRPr="00A75489">
        <w:rPr>
          <w:rFonts w:ascii="Times New Roman" w:hAnsi="Times New Roman" w:hint="default"/>
          <w:sz w:val="24"/>
          <w:szCs w:val="24"/>
        </w:rPr>
        <w:t>ktorý</w:t>
      </w:r>
      <w:r w:rsidRPr="00A75489">
        <w:rPr>
          <w:rFonts w:ascii="Times New Roman" w:hAnsi="Times New Roman" w:hint="default"/>
          <w:sz w:val="24"/>
          <w:szCs w:val="24"/>
        </w:rPr>
        <w:t>m sa </w:t>
      </w:r>
      <w:r w:rsidRPr="00A75489">
        <w:rPr>
          <w:rFonts w:ascii="Times New Roman" w:hAnsi="Times New Roman" w:hint="default"/>
          <w:sz w:val="24"/>
          <w:szCs w:val="24"/>
        </w:rPr>
        <w:t>dopĺň</w:t>
      </w:r>
      <w:r w:rsidRPr="00A75489">
        <w:rPr>
          <w:rFonts w:ascii="Times New Roman" w:hAnsi="Times New Roman" w:hint="default"/>
          <w:sz w:val="24"/>
          <w:szCs w:val="24"/>
        </w:rPr>
        <w:t>a zá</w:t>
      </w:r>
      <w:r w:rsidRPr="00A75489">
        <w:rPr>
          <w:rFonts w:ascii="Times New Roman" w:hAnsi="Times New Roman" w:hint="default"/>
          <w:sz w:val="24"/>
          <w:szCs w:val="24"/>
        </w:rPr>
        <w:t>kon č</w:t>
      </w:r>
      <w:r w:rsidRPr="00A75489">
        <w:rPr>
          <w:rFonts w:ascii="Times New Roman" w:hAnsi="Times New Roman" w:hint="default"/>
          <w:sz w:val="24"/>
          <w:szCs w:val="24"/>
        </w:rPr>
        <w:t>. 330/2007 Z. z. o registri trestov a o zmene a </w:t>
      </w:r>
      <w:r w:rsidRPr="00A75489">
        <w:rPr>
          <w:rFonts w:ascii="Times New Roman" w:hAnsi="Times New Roman" w:hint="default"/>
          <w:sz w:val="24"/>
          <w:szCs w:val="24"/>
        </w:rPr>
        <w:t>doplnení</w:t>
      </w:r>
      <w:r w:rsidRPr="00A75489">
        <w:rPr>
          <w:rFonts w:ascii="Times New Roman" w:hAnsi="Times New Roman" w:hint="default"/>
          <w:sz w:val="24"/>
          <w:szCs w:val="24"/>
        </w:rPr>
        <w:t xml:space="preserve"> niektorý</w:t>
      </w:r>
      <w:r w:rsidRPr="00A75489">
        <w:rPr>
          <w:rFonts w:ascii="Times New Roman" w:hAnsi="Times New Roman" w:hint="default"/>
          <w:sz w:val="24"/>
          <w:szCs w:val="24"/>
        </w:rPr>
        <w:t>ch zá</w:t>
      </w:r>
      <w:r w:rsidRPr="00A75489">
        <w:rPr>
          <w:rFonts w:ascii="Times New Roman" w:hAnsi="Times New Roman" w:hint="default"/>
          <w:sz w:val="24"/>
          <w:szCs w:val="24"/>
        </w:rPr>
        <w:t>konov v </w:t>
      </w:r>
      <w:r w:rsidRPr="00A75489">
        <w:rPr>
          <w:rFonts w:ascii="Times New Roman" w:hAnsi="Times New Roman" w:hint="default"/>
          <w:sz w:val="24"/>
          <w:szCs w:val="24"/>
        </w:rPr>
        <w:t>znení</w:t>
      </w:r>
      <w:r w:rsidRPr="00A75489">
        <w:rPr>
          <w:rFonts w:ascii="Times New Roman" w:hAnsi="Times New Roman" w:hint="default"/>
          <w:sz w:val="24"/>
          <w:szCs w:val="24"/>
        </w:rPr>
        <w:t xml:space="preserve"> neskorší</w:t>
      </w:r>
      <w:r w:rsidRPr="00A75489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3FD0" w:rsidRPr="00B2032E" w:rsidP="00E73FD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B2032E">
        <w:rPr>
          <w:rFonts w:ascii="Times New Roman" w:hAnsi="Times New Roman"/>
          <w:b/>
          <w:bCs/>
          <w:sz w:val="24"/>
          <w:szCs w:val="24"/>
        </w:rPr>
        <w:t>3.</w:t>
        <w:tab/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Problematika ná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vneho predpisu:</w:t>
      </w: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B2032E">
        <w:rPr>
          <w:rFonts w:ascii="Times New Roman" w:hAnsi="Times New Roman"/>
          <w:sz w:val="24"/>
          <w:szCs w:val="24"/>
        </w:rPr>
        <w:t>a)</w:t>
        <w:tab/>
      </w:r>
      <w:r w:rsidRPr="00B2032E">
        <w:rPr>
          <w:rFonts w:ascii="Times New Roman" w:hAnsi="Times New Roman" w:hint="default"/>
          <w:sz w:val="24"/>
          <w:szCs w:val="24"/>
        </w:rPr>
        <w:t>nie je upravená</w:t>
      </w:r>
      <w:r w:rsidRPr="00B2032E">
        <w:rPr>
          <w:rFonts w:ascii="Times New Roman" w:hAnsi="Times New Roman" w:hint="default"/>
          <w:sz w:val="24"/>
          <w:szCs w:val="24"/>
        </w:rPr>
        <w:t xml:space="preserve"> v </w:t>
      </w:r>
      <w:r w:rsidRPr="00B2032E">
        <w:rPr>
          <w:rFonts w:ascii="Times New Roman" w:hAnsi="Times New Roman" w:hint="default"/>
          <w:sz w:val="24"/>
          <w:szCs w:val="24"/>
        </w:rPr>
        <w:t>prá</w:t>
      </w:r>
      <w:r w:rsidRPr="00B2032E">
        <w:rPr>
          <w:rFonts w:ascii="Times New Roman" w:hAnsi="Times New Roman" w:hint="default"/>
          <w:sz w:val="24"/>
          <w:szCs w:val="24"/>
        </w:rPr>
        <w:t>ve Euró</w:t>
      </w:r>
      <w:r w:rsidRPr="00B2032E">
        <w:rPr>
          <w:rFonts w:ascii="Times New Roman" w:hAnsi="Times New Roman" w:hint="default"/>
          <w:sz w:val="24"/>
          <w:szCs w:val="24"/>
        </w:rPr>
        <w:t>pskej ú</w:t>
      </w:r>
      <w:r w:rsidRPr="00B2032E">
        <w:rPr>
          <w:rFonts w:ascii="Times New Roman" w:hAnsi="Times New Roman" w:hint="default"/>
          <w:sz w:val="24"/>
          <w:szCs w:val="24"/>
        </w:rPr>
        <w:t>nie</w:t>
      </w: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709" w:hanging="349"/>
        <w:rPr>
          <w:rFonts w:ascii="Times New Roman" w:hAnsi="Times New Roman" w:hint="default"/>
          <w:sz w:val="24"/>
          <w:szCs w:val="24"/>
        </w:rPr>
      </w:pPr>
      <w:r w:rsidRPr="00B2032E">
        <w:rPr>
          <w:rFonts w:ascii="Times New Roman" w:hAnsi="Times New Roman"/>
          <w:sz w:val="24"/>
          <w:szCs w:val="24"/>
        </w:rPr>
        <w:t>b)</w:t>
        <w:tab/>
      </w:r>
      <w:r w:rsidRPr="00B2032E">
        <w:rPr>
          <w:rFonts w:ascii="Times New Roman" w:hAnsi="Times New Roman" w:hint="default"/>
          <w:sz w:val="24"/>
          <w:szCs w:val="24"/>
        </w:rPr>
        <w:t>nie je obsiahnutá</w:t>
      </w:r>
      <w:r w:rsidRPr="00B2032E">
        <w:rPr>
          <w:rFonts w:ascii="Times New Roman" w:hAnsi="Times New Roman" w:hint="default"/>
          <w:sz w:val="24"/>
          <w:szCs w:val="24"/>
        </w:rPr>
        <w:t xml:space="preserve"> v judikatú</w:t>
      </w:r>
      <w:r w:rsidRPr="00B2032E">
        <w:rPr>
          <w:rFonts w:ascii="Times New Roman" w:hAnsi="Times New Roman" w:hint="default"/>
          <w:sz w:val="24"/>
          <w:szCs w:val="24"/>
        </w:rPr>
        <w:t>re Sú</w:t>
      </w:r>
      <w:r w:rsidRPr="00B2032E">
        <w:rPr>
          <w:rFonts w:ascii="Times New Roman" w:hAnsi="Times New Roman" w:hint="default"/>
          <w:sz w:val="24"/>
          <w:szCs w:val="24"/>
        </w:rPr>
        <w:t>dneho dvora Euró</w:t>
      </w:r>
      <w:r w:rsidRPr="00B2032E">
        <w:rPr>
          <w:rFonts w:ascii="Times New Roman" w:hAnsi="Times New Roman" w:hint="default"/>
          <w:sz w:val="24"/>
          <w:szCs w:val="24"/>
        </w:rPr>
        <w:t>pskej ú</w:t>
      </w:r>
      <w:r w:rsidRPr="00B2032E">
        <w:rPr>
          <w:rFonts w:ascii="Times New Roman" w:hAnsi="Times New Roman" w:hint="default"/>
          <w:sz w:val="24"/>
          <w:szCs w:val="24"/>
        </w:rPr>
        <w:t>nie.</w:t>
      </w:r>
    </w:p>
    <w:p w:rsidR="00E73FD0" w:rsidRPr="00B2032E" w:rsidP="00E73FD0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B2032E">
        <w:rPr>
          <w:rFonts w:ascii="Times New Roman" w:hAnsi="Times New Roman"/>
          <w:b/>
          <w:bCs/>
          <w:sz w:val="24"/>
          <w:szCs w:val="24"/>
        </w:rPr>
        <w:t>4.</w:t>
        <w:tab/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zky Slovenskej republiky vo vzť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ahu k 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 xml:space="preserve">nii: </w:t>
      </w:r>
    </w:p>
    <w:p w:rsidR="00E73FD0" w:rsidRPr="00B2032E" w:rsidP="00E73FD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B2032E">
        <w:rPr>
          <w:rFonts w:ascii="Times New Roman" w:hAnsi="Times New Roman" w:hint="default"/>
          <w:sz w:val="24"/>
          <w:szCs w:val="24"/>
        </w:rPr>
        <w:t xml:space="preserve">      Bezpredmetné </w:t>
      </w:r>
    </w:p>
    <w:p w:rsidR="00E73FD0" w:rsidRPr="00B2032E" w:rsidP="00E73FD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B2032E">
        <w:rPr>
          <w:rFonts w:ascii="Times New Roman" w:hAnsi="Times New Roman"/>
          <w:b/>
          <w:bCs/>
          <w:sz w:val="24"/>
          <w:szCs w:val="24"/>
        </w:rPr>
        <w:t>5.</w:t>
        <w:tab/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Stupeň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zluč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nosti ná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B2032E">
        <w:rPr>
          <w:rFonts w:ascii="Times New Roman" w:hAnsi="Times New Roman" w:hint="default"/>
          <w:b/>
          <w:bCs/>
          <w:sz w:val="24"/>
          <w:szCs w:val="24"/>
        </w:rPr>
        <w:t>nie:</w:t>
      </w:r>
    </w:p>
    <w:p w:rsidR="00E73FD0" w:rsidRPr="00B2032E" w:rsidP="00E73FD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  <w:r w:rsidRPr="00B2032E">
        <w:rPr>
          <w:rFonts w:ascii="Times New Roman" w:hAnsi="Times New Roman" w:hint="default"/>
          <w:sz w:val="24"/>
          <w:szCs w:val="24"/>
        </w:rPr>
        <w:t>Stupeň</w:t>
      </w:r>
      <w:r w:rsidRPr="00B2032E">
        <w:rPr>
          <w:rFonts w:ascii="Times New Roman" w:hAnsi="Times New Roman" w:hint="default"/>
          <w:sz w:val="24"/>
          <w:szCs w:val="24"/>
        </w:rPr>
        <w:t xml:space="preserve"> zluč</w:t>
      </w:r>
      <w:r w:rsidRPr="00B2032E">
        <w:rPr>
          <w:rFonts w:ascii="Times New Roman" w:hAnsi="Times New Roman" w:hint="default"/>
          <w:sz w:val="24"/>
          <w:szCs w:val="24"/>
        </w:rPr>
        <w:t>iteľ</w:t>
      </w:r>
      <w:r w:rsidRPr="00B2032E">
        <w:rPr>
          <w:rFonts w:ascii="Times New Roman" w:hAnsi="Times New Roman" w:hint="default"/>
          <w:sz w:val="24"/>
          <w:szCs w:val="24"/>
        </w:rPr>
        <w:t>nosti - ú</w:t>
      </w:r>
      <w:r w:rsidRPr="00B2032E">
        <w:rPr>
          <w:rFonts w:ascii="Times New Roman" w:hAnsi="Times New Roman" w:hint="default"/>
          <w:sz w:val="24"/>
          <w:szCs w:val="24"/>
        </w:rPr>
        <w:t>plný </w:t>
      </w: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</w:p>
    <w:p w:rsidR="00E73FD0" w:rsidRPr="00B2032E" w:rsidP="00E73F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FD0" w:rsidP="00E73F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FD0" w:rsidRPr="00B2032E" w:rsidP="00E73F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FD0" w:rsidRPr="00B2032E" w:rsidP="00E73F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2032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E73FD0" w:rsidRPr="00B2032E" w:rsidP="00E73F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1. 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Zá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kladné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ú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Ná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zov materiá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643F44" w:rsidP="00C26443">
            <w:pPr>
              <w:bidi w:val="0"/>
              <w:jc w:val="both"/>
              <w:rPr>
                <w:rFonts w:ascii="Times New Roman" w:hAnsi="Times New Roman"/>
              </w:rPr>
            </w:pPr>
            <w:r w:rsidRPr="00643F44" w:rsidR="00643F44">
              <w:rPr>
                <w:rFonts w:ascii="Times New Roman" w:hAnsi="Times New Roman" w:hint="default"/>
              </w:rPr>
              <w:t>Ná</w:t>
            </w:r>
            <w:r w:rsidRPr="00643F44" w:rsidR="00643F44">
              <w:rPr>
                <w:rFonts w:ascii="Times New Roman" w:hAnsi="Times New Roman" w:hint="default"/>
              </w:rPr>
              <w:t>vrh zá</w:t>
            </w:r>
            <w:r w:rsidRPr="00643F44" w:rsidR="00643F44">
              <w:rPr>
                <w:rFonts w:ascii="Times New Roman" w:hAnsi="Times New Roman" w:hint="default"/>
              </w:rPr>
              <w:t>kona, ktorý</w:t>
            </w:r>
            <w:r w:rsidRPr="00643F44" w:rsidR="00643F44">
              <w:rPr>
                <w:rFonts w:ascii="Times New Roman" w:hAnsi="Times New Roman" w:hint="default"/>
              </w:rPr>
              <w:t>m sa mení</w:t>
            </w:r>
            <w:r w:rsidRPr="00643F44" w:rsidR="00643F44">
              <w:rPr>
                <w:rFonts w:ascii="Times New Roman" w:hAnsi="Times New Roman" w:hint="default"/>
              </w:rPr>
              <w:t xml:space="preserve"> a </w:t>
            </w:r>
            <w:r w:rsidRPr="00643F44" w:rsidR="00643F44">
              <w:rPr>
                <w:rFonts w:ascii="Times New Roman" w:hAnsi="Times New Roman" w:hint="default"/>
              </w:rPr>
              <w:t>dopĺň</w:t>
            </w:r>
            <w:r w:rsidRPr="00643F44" w:rsidR="00643F44">
              <w:rPr>
                <w:rFonts w:ascii="Times New Roman" w:hAnsi="Times New Roman" w:hint="default"/>
              </w:rPr>
              <w:t>a zá</w:t>
            </w:r>
            <w:r w:rsidRPr="00643F44" w:rsidR="00643F44">
              <w:rPr>
                <w:rFonts w:ascii="Times New Roman" w:hAnsi="Times New Roman" w:hint="default"/>
              </w:rPr>
              <w:t>kon č</w:t>
            </w:r>
            <w:r w:rsidRPr="00643F44" w:rsidR="00643F44">
              <w:rPr>
                <w:rFonts w:ascii="Times New Roman" w:hAnsi="Times New Roman" w:hint="default"/>
              </w:rPr>
              <w:t xml:space="preserve">. 317/2009 Z. z. o </w:t>
            </w:r>
            <w:r w:rsidRPr="00643F44" w:rsidR="00643F44">
              <w:rPr>
                <w:rFonts w:ascii="Times New Roman" w:hAnsi="Times New Roman" w:hint="default"/>
              </w:rPr>
              <w:t>pedagogický</w:t>
            </w:r>
            <w:r w:rsidRPr="00643F44" w:rsidR="00643F44">
              <w:rPr>
                <w:rFonts w:ascii="Times New Roman" w:hAnsi="Times New Roman" w:hint="default"/>
              </w:rPr>
              <w:t>ch zamestnancoch a odborný</w:t>
            </w:r>
            <w:r w:rsidRPr="00643F44" w:rsidR="00643F44">
              <w:rPr>
                <w:rFonts w:ascii="Times New Roman" w:hAnsi="Times New Roman" w:hint="default"/>
              </w:rPr>
              <w:t>ch zamestnancoch a o zmene a doplnení</w:t>
            </w:r>
            <w:r w:rsidRPr="00643F44" w:rsidR="00643F44">
              <w:rPr>
                <w:rFonts w:ascii="Times New Roman" w:hAnsi="Times New Roman" w:hint="default"/>
              </w:rPr>
              <w:t xml:space="preserve"> niektorý</w:t>
            </w:r>
            <w:r w:rsidRPr="00643F44" w:rsidR="00643F44">
              <w:rPr>
                <w:rFonts w:ascii="Times New Roman" w:hAnsi="Times New Roman" w:hint="default"/>
              </w:rPr>
              <w:t>ch zá</w:t>
            </w:r>
            <w:r w:rsidRPr="00643F44" w:rsidR="00643F44">
              <w:rPr>
                <w:rFonts w:ascii="Times New Roman" w:hAnsi="Times New Roman" w:hint="default"/>
              </w:rPr>
              <w:t>konov v </w:t>
            </w:r>
            <w:r w:rsidRPr="00643F44" w:rsidR="00643F44">
              <w:rPr>
                <w:rFonts w:ascii="Times New Roman" w:hAnsi="Times New Roman" w:hint="default"/>
              </w:rPr>
              <w:t>znení</w:t>
            </w:r>
            <w:r w:rsidRPr="00643F44" w:rsidR="00643F44">
              <w:rPr>
                <w:rFonts w:ascii="Times New Roman" w:hAnsi="Times New Roman" w:hint="default"/>
              </w:rPr>
              <w:t xml:space="preserve"> neskorší</w:t>
            </w:r>
            <w:r w:rsidRPr="00643F44" w:rsidR="00643F44">
              <w:rPr>
                <w:rFonts w:ascii="Times New Roman" w:hAnsi="Times New Roman" w:hint="default"/>
              </w:rPr>
              <w:t>ch predpisov a </w:t>
            </w:r>
            <w:r w:rsidRPr="00643F44" w:rsidR="00643F44">
              <w:rPr>
                <w:rFonts w:ascii="Times New Roman" w:hAnsi="Times New Roman" w:hint="default"/>
              </w:rPr>
              <w:t>ktorý</w:t>
            </w:r>
            <w:r w:rsidRPr="00643F44" w:rsidR="00643F44">
              <w:rPr>
                <w:rFonts w:ascii="Times New Roman" w:hAnsi="Times New Roman" w:hint="default"/>
              </w:rPr>
              <w:t>m sa </w:t>
            </w:r>
            <w:r w:rsidRPr="00643F44" w:rsidR="00643F44">
              <w:rPr>
                <w:rFonts w:ascii="Times New Roman" w:hAnsi="Times New Roman" w:hint="default"/>
              </w:rPr>
              <w:t>dopĺň</w:t>
            </w:r>
            <w:r w:rsidRPr="00643F44" w:rsidR="00643F44">
              <w:rPr>
                <w:rFonts w:ascii="Times New Roman" w:hAnsi="Times New Roman" w:hint="default"/>
              </w:rPr>
              <w:t>a zá</w:t>
            </w:r>
            <w:r w:rsidRPr="00643F44" w:rsidR="00643F44">
              <w:rPr>
                <w:rFonts w:ascii="Times New Roman" w:hAnsi="Times New Roman" w:hint="default"/>
              </w:rPr>
              <w:t>kon č</w:t>
            </w:r>
            <w:r w:rsidRPr="00643F44" w:rsidR="00643F44">
              <w:rPr>
                <w:rFonts w:ascii="Times New Roman" w:hAnsi="Times New Roman" w:hint="default"/>
              </w:rPr>
              <w:t>. 330/2007 Z. z. o registri trestov a o zmene a </w:t>
            </w:r>
            <w:r w:rsidRPr="00643F44" w:rsidR="00643F44">
              <w:rPr>
                <w:rFonts w:ascii="Times New Roman" w:hAnsi="Times New Roman" w:hint="default"/>
              </w:rPr>
              <w:t>doplnení</w:t>
            </w:r>
            <w:r w:rsidRPr="00643F44" w:rsidR="00643F44">
              <w:rPr>
                <w:rFonts w:ascii="Times New Roman" w:hAnsi="Times New Roman" w:hint="default"/>
              </w:rPr>
              <w:t xml:space="preserve"> niektorý</w:t>
            </w:r>
            <w:r w:rsidRPr="00643F44" w:rsidR="00643F44">
              <w:rPr>
                <w:rFonts w:ascii="Times New Roman" w:hAnsi="Times New Roman" w:hint="default"/>
              </w:rPr>
              <w:t>ch zá</w:t>
            </w:r>
            <w:r w:rsidRPr="00643F44" w:rsidR="00643F44">
              <w:rPr>
                <w:rFonts w:ascii="Times New Roman" w:hAnsi="Times New Roman" w:hint="default"/>
              </w:rPr>
              <w:t>konov v </w:t>
            </w:r>
            <w:r w:rsidRPr="00643F44" w:rsidR="00643F44">
              <w:rPr>
                <w:rFonts w:ascii="Times New Roman" w:hAnsi="Times New Roman" w:hint="default"/>
              </w:rPr>
              <w:t>znení</w:t>
            </w:r>
            <w:r w:rsidRPr="00643F44" w:rsidR="00643F44">
              <w:rPr>
                <w:rFonts w:ascii="Times New Roman" w:hAnsi="Times New Roman" w:hint="default"/>
              </w:rPr>
              <w:t xml:space="preserve"> neskorší</w:t>
            </w:r>
            <w:r w:rsidRPr="00643F44" w:rsidR="00643F44">
              <w:rPr>
                <w:rFonts w:ascii="Times New Roman" w:hAnsi="Times New Roman" w:hint="default"/>
              </w:rPr>
              <w:t>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Predkladateľ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(a spolupredkladateľ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Poslanci Ná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jc w:val="center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Charakter predkladané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ho materiá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Materiá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l nelegislatí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Materiá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l legislatí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Transpozí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cia prá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va EÚ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Termí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n zač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iatku a ukonč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2032E">
              <w:rPr>
                <w:rFonts w:ascii="Times New Roman" w:hAnsi="Times New Roman" w:hint="default"/>
                <w:bCs/>
                <w:sz w:val="20"/>
                <w:szCs w:val="20"/>
              </w:rPr>
              <w:t>Materiá</w:t>
            </w:r>
            <w:r w:rsidRPr="00B2032E">
              <w:rPr>
                <w:rFonts w:ascii="Times New Roman" w:hAnsi="Times New Roman" w:hint="default"/>
                <w:bCs/>
                <w:sz w:val="20"/>
                <w:szCs w:val="20"/>
              </w:rPr>
              <w:t>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Predpokladaný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termí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n predlož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2032E">
              <w:rPr>
                <w:rFonts w:ascii="Times New Roman" w:hAnsi="Times New Roman" w:hint="default"/>
                <w:bCs/>
                <w:sz w:val="20"/>
                <w:szCs w:val="20"/>
              </w:rPr>
              <w:t>Materiá</w:t>
            </w:r>
            <w:r w:rsidRPr="00B2032E">
              <w:rPr>
                <w:rFonts w:ascii="Times New Roman" w:hAnsi="Times New Roman" w:hint="default"/>
                <w:bCs/>
                <w:sz w:val="20"/>
                <w:szCs w:val="20"/>
              </w:rPr>
              <w:t>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Predpokladaný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termí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n predlož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enia na Rokovanie vlá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 New Roman" w:hAnsi="Times New Roman" w:hint="default"/>
                <w:sz w:val="20"/>
                <w:szCs w:val="20"/>
              </w:rPr>
            </w:pPr>
            <w:r w:rsidRPr="00B2032E">
              <w:rPr>
                <w:rFonts w:ascii="Times New Roman" w:hAnsi="Times New Roman" w:hint="default"/>
                <w:sz w:val="20"/>
                <w:szCs w:val="20"/>
              </w:rPr>
              <w:t>Materiá</w:t>
            </w:r>
            <w:r w:rsidRPr="00B2032E">
              <w:rPr>
                <w:rFonts w:ascii="Times New Roman" w:hAnsi="Times New Roman" w:hint="default"/>
                <w:sz w:val="20"/>
                <w:szCs w:val="20"/>
              </w:rPr>
              <w:t>l nebol predkladaný</w:t>
            </w:r>
            <w:r w:rsidRPr="00B2032E">
              <w:rPr>
                <w:rFonts w:ascii="Times New Roman" w:hAnsi="Times New Roman" w:hint="default"/>
                <w:sz w:val="20"/>
                <w:szCs w:val="20"/>
              </w:rPr>
              <w:t xml:space="preserve"> na rokovanie vlá</w:t>
            </w:r>
            <w:r w:rsidRPr="00B2032E">
              <w:rPr>
                <w:rFonts w:ascii="Times New Roman" w:hAnsi="Times New Roman" w:hint="default"/>
                <w:sz w:val="20"/>
                <w:szCs w:val="20"/>
              </w:rPr>
              <w:t>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2. 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Definí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cia problé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643F44">
              <w:rPr>
                <w:rFonts w:ascii="Times" w:hAnsi="Times" w:cs="Times" w:hint="default"/>
                <w:sz w:val="20"/>
                <w:szCs w:val="20"/>
              </w:rPr>
              <w:t>Súč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asný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 xml:space="preserve"> stav nezabraň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uje tomu, aby sa pá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chatelia vybraný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ch deliktov (najmä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 xml:space="preserve"> sexuá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lnych) považ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ovali za bezú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honný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ch   v prí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pade, ž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e im bolo odsú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denie zahladené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>. Navrhovaná</w:t>
            </w:r>
            <w:r w:rsidR="00643F44">
              <w:rPr>
                <w:rFonts w:ascii="Times" w:hAnsi="Times" w:cs="Times" w:hint="default"/>
                <w:sz w:val="20"/>
                <w:szCs w:val="20"/>
              </w:rPr>
              <w:t xml:space="preserve"> novela tento stav mení.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3. 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Ciele a vý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sledný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415A50" w:rsidP="004F458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415A50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Cieľ</w:t>
            </w:r>
            <w:r w:rsidRPr="00415A50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om novely je zavedenie 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nový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ch pravidiel pre posudzovanie bezú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honnosti  osô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b, ktoré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 sa uchá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dzajú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 o 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prá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cu pedagogické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ho zamestnanca alebo odborné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ho zamestnanca podľ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a zá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k. č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. 317/2009 Z. z., tak, aby aj zahladenie odsú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denia v 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prí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pade taxatí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vne vymedzený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ch trestný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ch č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inov u 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tý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chto 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o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sô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b bolo považ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ované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 za prekáž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ku bezú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 xml:space="preserve">honnosti.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4. 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Dotknuté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F458F">
              <w:rPr>
                <w:rFonts w:ascii="Times" w:hAnsi="Times" w:cs="Times" w:hint="default"/>
                <w:sz w:val="20"/>
                <w:szCs w:val="20"/>
              </w:rPr>
              <w:t>Uchá</w:t>
            </w:r>
            <w:r w:rsidR="004F458F">
              <w:rPr>
                <w:rFonts w:ascii="Times" w:hAnsi="Times" w:cs="Times" w:hint="default"/>
                <w:sz w:val="20"/>
                <w:szCs w:val="20"/>
              </w:rPr>
              <w:t>dzač</w:t>
            </w:r>
            <w:r w:rsidR="004F458F">
              <w:rPr>
                <w:rFonts w:ascii="Times" w:hAnsi="Times" w:cs="Times" w:hint="default"/>
                <w:sz w:val="20"/>
                <w:szCs w:val="20"/>
              </w:rPr>
              <w:t>i o </w:t>
            </w:r>
            <w:r w:rsidR="004F458F">
              <w:rPr>
                <w:rFonts w:ascii="Times" w:hAnsi="Times" w:cs="Times" w:hint="default"/>
                <w:sz w:val="20"/>
                <w:szCs w:val="20"/>
              </w:rPr>
              <w:t>prá</w:t>
            </w:r>
            <w:r w:rsidR="004F458F">
              <w:rPr>
                <w:rFonts w:ascii="Times" w:hAnsi="Times" w:cs="Times" w:hint="default"/>
                <w:sz w:val="20"/>
                <w:szCs w:val="20"/>
              </w:rPr>
              <w:t xml:space="preserve">cu 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pedagogické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ho zamestnanca alebo odborné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ho zamestnanca podľ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a zá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k. č</w:t>
            </w:r>
            <w:r w:rsidR="004F458F">
              <w:rPr>
                <w:rFonts w:ascii="Times New Roman" w:hAnsi="Times New Roman" w:hint="default"/>
                <w:bCs/>
                <w:sz w:val="20"/>
                <w:szCs w:val="20"/>
                <w:lang w:eastAsia="sk-SK"/>
              </w:rPr>
              <w:t>. 317/2009 Z. z.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5. 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Alternatí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vne rieš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enia                          -  nepredkladajú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6. 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Vykoná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Predpokladá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sa prijatie/zmena vykoná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vací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ch predpisov?                         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no           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7. 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Transpozí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cia prá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va EÚ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8. 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Preskú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manie úč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9.  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navrhované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ho materiá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rozpoč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et 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verejnej sprá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vy</w:t>
            </w:r>
            <w:r w:rsidRPr="00B2032E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z toho rozpoč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tovo zabezpeč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ené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Č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iastoč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podnikateľ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ské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prostredie</w:t>
            </w:r>
            <w:r w:rsidRPr="00B2032E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Sociá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ivotné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 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informatizá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Vplyvy na služ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by pre obč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ana z toho</w:t>
            </w:r>
            <w:r w:rsidRPr="00B2032E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vplyvy služ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ieb verejnej sprá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vy na obč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ana</w:t>
              <w:br/>
              <w:t>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vplyvy na procesy služ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ieb vo verejnej</w:t>
              <w:br/>
              <w:t>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sprá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br/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Pozití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S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Ž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sz w:val="20"/>
                <w:szCs w:val="20"/>
              </w:rPr>
              <w:t>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B2032E">
              <w:rPr>
                <w:rFonts w:ascii="Wingdings 2" w:hAnsi="Wingdings 2" w:cs="Times" w:hint="default"/>
                <w:sz w:val="20"/>
                <w:szCs w:val="20"/>
              </w:rPr>
              <w:t>*</w:t>
            </w:r>
            <w:r w:rsidRPr="00B2032E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 xml:space="preserve"> Negatí</w:t>
            </w:r>
            <w:r w:rsidRPr="00B2032E">
              <w:rPr>
                <w:rFonts w:ascii="Times" w:hAnsi="Times" w:cs="Times" w:hint="default"/>
                <w:sz w:val="20"/>
                <w:szCs w:val="20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Pozná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41EF2" w:rsidRPr="00441EF2" w:rsidP="00441EF2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41EF2" w:rsidR="004F458F">
              <w:rPr>
                <w:rFonts w:ascii="Times" w:hAnsi="Times" w:cs="Times" w:hint="default"/>
                <w:sz w:val="20"/>
                <w:szCs w:val="20"/>
              </w:rPr>
              <w:t>Zahladenie odsú</w:t>
            </w:r>
            <w:r w:rsidRPr="00441EF2" w:rsidR="004F458F">
              <w:rPr>
                <w:rFonts w:ascii="Times" w:hAnsi="Times" w:cs="Times" w:hint="default"/>
                <w:sz w:val="20"/>
                <w:szCs w:val="20"/>
              </w:rPr>
              <w:t>denia nebude znamenať</w:t>
            </w:r>
            <w:r w:rsidRPr="00441EF2" w:rsidR="004F458F">
              <w:rPr>
                <w:rFonts w:ascii="Times" w:hAnsi="Times" w:cs="Times" w:hint="default"/>
                <w:sz w:val="20"/>
                <w:szCs w:val="20"/>
              </w:rPr>
              <w:t xml:space="preserve"> bezú</w:t>
            </w:r>
            <w:r w:rsidRPr="00441EF2" w:rsidR="004F458F">
              <w:rPr>
                <w:rFonts w:ascii="Times" w:hAnsi="Times" w:cs="Times" w:hint="default"/>
                <w:sz w:val="20"/>
                <w:szCs w:val="20"/>
              </w:rPr>
              <w:t>honnosť</w:t>
            </w:r>
            <w:r w:rsidRPr="00441EF2" w:rsidR="004F458F">
              <w:rPr>
                <w:rFonts w:ascii="Times" w:hAnsi="Times" w:cs="Times" w:hint="default"/>
                <w:sz w:val="20"/>
                <w:szCs w:val="20"/>
              </w:rPr>
              <w:t xml:space="preserve"> 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uchá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dzač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ov o 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prá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cu pedagogické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ho zamestnanca alebo odborné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ho zamestnanca v 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>prí</w:t>
            </w:r>
            <w:r w:rsidRPr="00441EF2">
              <w:rPr>
                <w:rFonts w:ascii="Times" w:hAnsi="Times" w:cs="Times" w:hint="default"/>
                <w:sz w:val="20"/>
                <w:szCs w:val="20"/>
              </w:rPr>
              <w:t xml:space="preserve">pade 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obzvlášť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važ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ú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myselné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prijí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mania ú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platku,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 xml:space="preserve">inu 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podplá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cania,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nepriamej korupcie,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zná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silnenia,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sexuá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lneho ná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silia,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sexuá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lneho zneuží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vania,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tý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rania blí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zkej osoby a zverenej osoby a trestné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ho č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inu vý</w:t>
            </w:r>
            <w:r w:rsidRPr="00441EF2">
              <w:rPr>
                <w:rFonts w:ascii="Times New Roman" w:hAnsi="Times New Roman" w:hint="default"/>
                <w:sz w:val="20"/>
                <w:szCs w:val="20"/>
              </w:rPr>
              <w:t>roby detskej pornografie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11.  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Kontakt na spracovateľ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441EF2" w:rsidP="00C26443">
            <w:pPr>
              <w:bidi w:val="0"/>
              <w:rPr>
                <w:rFonts w:ascii="Times" w:hAnsi="Times" w:cs="Times"/>
                <w:sz w:val="32"/>
                <w:szCs w:val="32"/>
              </w:rPr>
            </w:pPr>
            <w:hyperlink r:id="rId4" w:history="1">
              <w:r w:rsidR="004E2906">
                <w:rPr>
                  <w:rStyle w:val="Hyperlink"/>
                  <w:rFonts w:ascii="Arial" w:hAnsi="Arial" w:cs="Arial"/>
                  <w:b/>
                  <w:bCs/>
                  <w:color w:val="154874"/>
                  <w:sz w:val="17"/>
                  <w:szCs w:val="17"/>
                </w:rPr>
                <w:t>lucia_nicholsonova@nrsr.sk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/>
                <w:bCs/>
                <w:sz w:val="20"/>
                <w:szCs w:val="20"/>
              </w:rPr>
            </w:pP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B2032E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13. 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 xml:space="preserve"> Stanovisko Komisie pre posudzovanie vybraný</w:t>
            </w:r>
            <w:r w:rsidRPr="00B2032E">
              <w:rPr>
                <w:rFonts w:ascii="Times" w:hAnsi="Times" w:cs="Times" w:hint="default"/>
                <w:b/>
                <w:bCs/>
                <w:sz w:val="20"/>
                <w:szCs w:val="20"/>
              </w:rPr>
              <w:t>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E73FD0" w:rsidRPr="00B2032E" w:rsidP="00C26443">
            <w:pPr>
              <w:bidi w:val="0"/>
              <w:rPr>
                <w:rFonts w:ascii="Times" w:hAnsi="Times" w:cs="Times" w:hint="default"/>
                <w:bCs/>
                <w:sz w:val="20"/>
                <w:szCs w:val="20"/>
              </w:rPr>
            </w:pPr>
            <w:r w:rsidRPr="00B2032E">
              <w:rPr>
                <w:rFonts w:ascii="Times" w:hAnsi="Times" w:cs="Times" w:hint="default"/>
                <w:bCs/>
                <w:sz w:val="20"/>
                <w:szCs w:val="20"/>
              </w:rPr>
              <w:t>Materiá</w:t>
            </w:r>
            <w:r w:rsidRPr="00B2032E">
              <w:rPr>
                <w:rFonts w:ascii="Times" w:hAnsi="Times" w:cs="Times" w:hint="default"/>
                <w:bCs/>
                <w:sz w:val="20"/>
                <w:szCs w:val="20"/>
              </w:rPr>
              <w:t>l nebol predmetom PPK</w:t>
            </w:r>
          </w:p>
        </w:tc>
      </w:tr>
    </w:tbl>
    <w:p w:rsidR="00FB26EA" w:rsidRPr="00E73FD0" w:rsidP="004E2906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2D37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A3BFD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6F45"/>
    <w:rsid w:val="00117910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E1BFF"/>
    <w:rsid w:val="001F68A2"/>
    <w:rsid w:val="00206C4F"/>
    <w:rsid w:val="002120E9"/>
    <w:rsid w:val="002164E8"/>
    <w:rsid w:val="002302DF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87555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15A50"/>
    <w:rsid w:val="00423C66"/>
    <w:rsid w:val="00441EF2"/>
    <w:rsid w:val="00445296"/>
    <w:rsid w:val="00450685"/>
    <w:rsid w:val="004576ED"/>
    <w:rsid w:val="00462F78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2906"/>
    <w:rsid w:val="004E3749"/>
    <w:rsid w:val="004F458F"/>
    <w:rsid w:val="004F5E6A"/>
    <w:rsid w:val="004F7271"/>
    <w:rsid w:val="00500B14"/>
    <w:rsid w:val="00512C8C"/>
    <w:rsid w:val="00513C83"/>
    <w:rsid w:val="005348C1"/>
    <w:rsid w:val="005440CE"/>
    <w:rsid w:val="00545B9E"/>
    <w:rsid w:val="00550EB3"/>
    <w:rsid w:val="00552B5C"/>
    <w:rsid w:val="00556626"/>
    <w:rsid w:val="00556997"/>
    <w:rsid w:val="00562F99"/>
    <w:rsid w:val="005734A0"/>
    <w:rsid w:val="005842E4"/>
    <w:rsid w:val="005844CE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43F44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C7EEB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5489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32E"/>
    <w:rsid w:val="00B208D0"/>
    <w:rsid w:val="00B20F14"/>
    <w:rsid w:val="00B27CFE"/>
    <w:rsid w:val="00B42608"/>
    <w:rsid w:val="00B50CCE"/>
    <w:rsid w:val="00B56BBA"/>
    <w:rsid w:val="00B63C3C"/>
    <w:rsid w:val="00B654A6"/>
    <w:rsid w:val="00B71DC8"/>
    <w:rsid w:val="00B7490D"/>
    <w:rsid w:val="00B76536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26443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03A23"/>
    <w:rsid w:val="00E115C1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3FD0"/>
    <w:rsid w:val="00E77FA0"/>
    <w:rsid w:val="00E84139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ucia_nicholsonova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637</Words>
  <Characters>3631</Characters>
  <Application>Microsoft Office Word</Application>
  <DocSecurity>0</DocSecurity>
  <Lines>0</Lines>
  <Paragraphs>0</Paragraphs>
  <ScaleCrop>false</ScaleCrop>
  <Company>MVSR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2016-11-04T11:27:00Z</dcterms:created>
  <dcterms:modified xsi:type="dcterms:W3CDTF">2016-11-04T11:27:00Z</dcterms:modified>
</cp:coreProperties>
</file>