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8025E" w:rsidRPr="000406F6" w:rsidP="009F69E0">
      <w:pPr>
        <w:bidi w:val="0"/>
        <w:spacing w:after="0" w:line="240" w:lineRule="auto"/>
        <w:jc w:val="center"/>
        <w:rPr>
          <w:rFonts w:ascii="Times New Roman" w:hAnsi="Times New Roman"/>
          <w:b/>
          <w:sz w:val="24"/>
          <w:szCs w:val="24"/>
        </w:rPr>
      </w:pPr>
      <w:r w:rsidRPr="000406F6" w:rsidR="00BA6D6D">
        <w:rPr>
          <w:rFonts w:ascii="Times New Roman" w:hAnsi="Times New Roman"/>
          <w:b/>
          <w:sz w:val="24"/>
          <w:szCs w:val="24"/>
        </w:rPr>
        <w:t>Dôvodová správa</w:t>
      </w:r>
    </w:p>
    <w:p w:rsidR="00A634C0" w:rsidRPr="000406F6" w:rsidP="00A634C0">
      <w:pPr>
        <w:widowControl w:val="0"/>
        <w:tabs>
          <w:tab w:val="left" w:pos="708"/>
        </w:tabs>
        <w:bidi w:val="0"/>
        <w:spacing w:after="0" w:line="264" w:lineRule="auto"/>
        <w:rPr>
          <w:rFonts w:ascii="Times New Roman" w:hAnsi="Times New Roman"/>
          <w:b/>
          <w:color w:val="000000"/>
          <w:sz w:val="24"/>
          <w:szCs w:val="24"/>
          <w:lang w:eastAsia="sk-SK"/>
        </w:rPr>
      </w:pPr>
      <w:r w:rsidRPr="000406F6">
        <w:rPr>
          <w:rFonts w:ascii="Times New Roman" w:hAnsi="Times New Roman"/>
          <w:b/>
          <w:color w:val="000000"/>
          <w:sz w:val="24"/>
          <w:szCs w:val="24"/>
          <w:lang w:eastAsia="sk-SK"/>
        </w:rPr>
        <w:t xml:space="preserve">A. Všeobecná časť </w:t>
      </w:r>
    </w:p>
    <w:p w:rsidR="00A634C0" w:rsidRPr="000406F6" w:rsidP="00A634C0">
      <w:pPr>
        <w:widowControl w:val="0"/>
        <w:tabs>
          <w:tab w:val="left" w:pos="708"/>
        </w:tabs>
        <w:bidi w:val="0"/>
        <w:spacing w:after="0" w:line="264" w:lineRule="auto"/>
        <w:jc w:val="both"/>
        <w:rPr>
          <w:rFonts w:ascii="Times New Roman" w:hAnsi="Times New Roman"/>
          <w:color w:val="000000"/>
          <w:sz w:val="24"/>
          <w:szCs w:val="24"/>
          <w:lang w:eastAsia="sk-SK"/>
        </w:rPr>
      </w:pPr>
    </w:p>
    <w:p w:rsidR="008B2BAC" w:rsidRPr="008B2BAC" w:rsidP="008B2BAC">
      <w:pPr>
        <w:widowControl w:val="0"/>
        <w:tabs>
          <w:tab w:val="left" w:pos="708"/>
        </w:tabs>
        <w:bidi w:val="0"/>
        <w:spacing w:after="0" w:line="240" w:lineRule="auto"/>
        <w:jc w:val="both"/>
        <w:rPr>
          <w:rFonts w:ascii="Times New Roman" w:hAnsi="Times New Roman"/>
          <w:szCs w:val="22"/>
        </w:rPr>
      </w:pPr>
      <w:r w:rsidRPr="008B2BAC" w:rsidR="00A634C0">
        <w:rPr>
          <w:rFonts w:ascii="Times New Roman" w:hAnsi="Times New Roman"/>
          <w:szCs w:val="22"/>
        </w:rPr>
        <w:t>Zákon, ktorým sa mení a dopĺňa zákon č. 442/2012 Z. z. o medzinárodnej pomoci a spolupráci pri správe daní</w:t>
      </w:r>
      <w:r w:rsidR="004475E9">
        <w:rPr>
          <w:rFonts w:ascii="Times New Roman" w:hAnsi="Times New Roman"/>
          <w:szCs w:val="22"/>
        </w:rPr>
        <w:t xml:space="preserve"> </w:t>
      </w:r>
      <w:r w:rsidRPr="004475E9" w:rsidR="004475E9">
        <w:rPr>
          <w:rFonts w:ascii="Times New Roman" w:hAnsi="Times New Roman"/>
          <w:szCs w:val="22"/>
        </w:rPr>
        <w:t>v znení neskorších predpisov</w:t>
      </w:r>
      <w:r w:rsidRPr="008B2BAC" w:rsidR="00A634C0">
        <w:rPr>
          <w:rFonts w:ascii="Times New Roman" w:hAnsi="Times New Roman"/>
          <w:szCs w:val="22"/>
        </w:rPr>
        <w:t xml:space="preserve"> (ďalej len „zákon“)</w:t>
      </w:r>
      <w:r w:rsidR="00A02C9B">
        <w:rPr>
          <w:rFonts w:ascii="Times New Roman" w:hAnsi="Times New Roman"/>
          <w:szCs w:val="22"/>
        </w:rPr>
        <w:t>,</w:t>
      </w:r>
      <w:r w:rsidRPr="008B2BAC" w:rsidR="00A634C0">
        <w:rPr>
          <w:rFonts w:ascii="Times New Roman" w:hAnsi="Times New Roman"/>
          <w:szCs w:val="22"/>
        </w:rPr>
        <w:t xml:space="preserve"> je implementačným zákonom k smernici Rady</w:t>
      </w:r>
      <w:r w:rsidR="00FA5CF3">
        <w:rPr>
          <w:rFonts w:ascii="Times New Roman" w:hAnsi="Times New Roman"/>
          <w:szCs w:val="22"/>
        </w:rPr>
        <w:t xml:space="preserve"> (</w:t>
      </w:r>
      <w:r w:rsidRPr="008B2BAC" w:rsidR="00FA5CF3">
        <w:rPr>
          <w:rFonts w:ascii="Times New Roman" w:hAnsi="Times New Roman"/>
          <w:szCs w:val="22"/>
        </w:rPr>
        <w:t>EÚ</w:t>
      </w:r>
      <w:r w:rsidR="00FA5CF3">
        <w:rPr>
          <w:rFonts w:ascii="Times New Roman" w:hAnsi="Times New Roman"/>
          <w:szCs w:val="22"/>
        </w:rPr>
        <w:t>)</w:t>
      </w:r>
      <w:r w:rsidRPr="008B2BAC" w:rsidR="00A634C0">
        <w:rPr>
          <w:rFonts w:ascii="Times New Roman" w:hAnsi="Times New Roman"/>
          <w:szCs w:val="22"/>
        </w:rPr>
        <w:t xml:space="preserve"> 2016/881 z </w:t>
      </w:r>
      <w:r w:rsidR="00AB6FFE">
        <w:rPr>
          <w:rFonts w:ascii="Times New Roman" w:hAnsi="Times New Roman"/>
          <w:szCs w:val="22"/>
        </w:rPr>
        <w:t>25</w:t>
      </w:r>
      <w:r w:rsidRPr="008B2BAC" w:rsidR="00A634C0">
        <w:rPr>
          <w:rFonts w:ascii="Times New Roman" w:hAnsi="Times New Roman"/>
          <w:szCs w:val="22"/>
        </w:rPr>
        <w:t xml:space="preserve">. </w:t>
      </w:r>
      <w:r w:rsidR="00AB6FFE">
        <w:rPr>
          <w:rFonts w:ascii="Times New Roman" w:hAnsi="Times New Roman"/>
          <w:szCs w:val="22"/>
        </w:rPr>
        <w:t>mája</w:t>
      </w:r>
      <w:r w:rsidRPr="008B2BAC" w:rsidR="00A634C0">
        <w:rPr>
          <w:rFonts w:ascii="Times New Roman" w:hAnsi="Times New Roman"/>
          <w:szCs w:val="22"/>
        </w:rPr>
        <w:t xml:space="preserve"> 2016, ktorou sa mení smernica 2011/16/EÚ, pokiaľ ide o povinnú automatickú výmenu informácií v oblasti daní (ďalej len „smernica“). </w:t>
      </w:r>
      <w:r w:rsidR="00F81225">
        <w:rPr>
          <w:rFonts w:ascii="Times New Roman" w:hAnsi="Times New Roman"/>
          <w:szCs w:val="22"/>
        </w:rPr>
        <w:t xml:space="preserve">Táto smernica je ďalším z nástrojov boja </w:t>
      </w:r>
      <w:r w:rsidRPr="008B2BAC">
        <w:rPr>
          <w:rFonts w:ascii="Times New Roman" w:hAnsi="Times New Roman"/>
          <w:szCs w:val="22"/>
        </w:rPr>
        <w:t xml:space="preserve">proti vyhýbaniu sa daňovým povinnostiam a agresívnemu daňovému plánovaniu. </w:t>
      </w:r>
      <w:r w:rsidR="005A0F85">
        <w:rPr>
          <w:rFonts w:ascii="Times New Roman" w:hAnsi="Times New Roman"/>
          <w:szCs w:val="22"/>
        </w:rPr>
        <w:t>Nadnárodným s</w:t>
      </w:r>
      <w:r w:rsidR="00A12504">
        <w:rPr>
          <w:rFonts w:ascii="Times New Roman" w:hAnsi="Times New Roman"/>
          <w:szCs w:val="22"/>
        </w:rPr>
        <w:t xml:space="preserve">kupinám </w:t>
      </w:r>
      <w:r w:rsidR="005A0F85">
        <w:rPr>
          <w:rFonts w:ascii="Times New Roman" w:hAnsi="Times New Roman"/>
          <w:szCs w:val="22"/>
        </w:rPr>
        <w:t xml:space="preserve">podnikov </w:t>
      </w:r>
      <w:r w:rsidR="00A12504">
        <w:rPr>
          <w:rFonts w:ascii="Times New Roman" w:hAnsi="Times New Roman"/>
          <w:szCs w:val="22"/>
        </w:rPr>
        <w:t>sa ukladá povinnosť podávať správcovi dane správu podľa jednotlivých štátov, ktorá</w:t>
      </w:r>
      <w:r w:rsidR="00123DEA">
        <w:rPr>
          <w:rFonts w:ascii="Times New Roman" w:hAnsi="Times New Roman"/>
          <w:szCs w:val="22"/>
        </w:rPr>
        <w:t xml:space="preserve"> okrem iného</w:t>
      </w:r>
      <w:r w:rsidR="00A12504">
        <w:rPr>
          <w:rFonts w:ascii="Times New Roman" w:hAnsi="Times New Roman"/>
          <w:szCs w:val="22"/>
        </w:rPr>
        <w:t xml:space="preserve"> obsahuje informácie umožňujúce získať prehľad o výške daní </w:t>
      </w:r>
      <w:r w:rsidR="00424FE1">
        <w:rPr>
          <w:rFonts w:ascii="Times New Roman" w:hAnsi="Times New Roman"/>
          <w:szCs w:val="22"/>
        </w:rPr>
        <w:t>za</w:t>
      </w:r>
      <w:r w:rsidR="00A12504">
        <w:rPr>
          <w:rFonts w:ascii="Times New Roman" w:hAnsi="Times New Roman"/>
          <w:szCs w:val="22"/>
        </w:rPr>
        <w:t>platených v jednotlivých štátoch. S</w:t>
      </w:r>
      <w:r w:rsidRPr="008B2BAC">
        <w:rPr>
          <w:rFonts w:ascii="Times New Roman" w:hAnsi="Times New Roman"/>
          <w:szCs w:val="22"/>
        </w:rPr>
        <w:t xml:space="preserve">mernica </w:t>
      </w:r>
      <w:r w:rsidR="00123DEA">
        <w:rPr>
          <w:rFonts w:ascii="Times New Roman" w:hAnsi="Times New Roman"/>
          <w:szCs w:val="22"/>
        </w:rPr>
        <w:t>predpokladá</w:t>
      </w:r>
      <w:r w:rsidRPr="008B2BAC">
        <w:rPr>
          <w:rFonts w:ascii="Times New Roman" w:hAnsi="Times New Roman"/>
          <w:szCs w:val="22"/>
        </w:rPr>
        <w:t xml:space="preserve"> automatickú výmenu </w:t>
      </w:r>
      <w:r w:rsidR="00A12504">
        <w:rPr>
          <w:rFonts w:ascii="Times New Roman" w:hAnsi="Times New Roman"/>
          <w:szCs w:val="22"/>
        </w:rPr>
        <w:t xml:space="preserve">správ </w:t>
      </w:r>
      <w:r w:rsidRPr="008B2BAC">
        <w:rPr>
          <w:rFonts w:ascii="Times New Roman" w:hAnsi="Times New Roman"/>
          <w:szCs w:val="22"/>
        </w:rPr>
        <w:t>podľa jednotlivých štátov</w:t>
      </w:r>
      <w:r w:rsidR="008D1C64">
        <w:rPr>
          <w:rFonts w:ascii="Times New Roman" w:hAnsi="Times New Roman"/>
          <w:szCs w:val="22"/>
        </w:rPr>
        <w:t xml:space="preserve"> medzi štátmi, v ktorých sa nachádzajú jednotlivé podniky – členovia nadnárodnej skupiny</w:t>
      </w:r>
      <w:r w:rsidRPr="008B2BAC">
        <w:rPr>
          <w:rFonts w:ascii="Times New Roman" w:hAnsi="Times New Roman"/>
          <w:szCs w:val="22"/>
        </w:rPr>
        <w:t>.</w:t>
      </w:r>
    </w:p>
    <w:p w:rsidR="00123DEA" w:rsidP="008B2BAC">
      <w:pPr>
        <w:widowControl w:val="0"/>
        <w:tabs>
          <w:tab w:val="left" w:pos="708"/>
        </w:tabs>
        <w:bidi w:val="0"/>
        <w:spacing w:after="0" w:line="240" w:lineRule="auto"/>
        <w:jc w:val="both"/>
        <w:rPr>
          <w:rFonts w:ascii="Times New Roman" w:hAnsi="Times New Roman"/>
          <w:szCs w:val="22"/>
        </w:rPr>
      </w:pPr>
    </w:p>
    <w:p w:rsidR="008B2BAC" w:rsidP="008B2BAC">
      <w:pPr>
        <w:widowControl w:val="0"/>
        <w:tabs>
          <w:tab w:val="left" w:pos="708"/>
        </w:tabs>
        <w:bidi w:val="0"/>
        <w:spacing w:after="0" w:line="240" w:lineRule="auto"/>
        <w:jc w:val="both"/>
        <w:rPr>
          <w:rFonts w:ascii="Times New Roman" w:hAnsi="Times New Roman"/>
          <w:szCs w:val="22"/>
        </w:rPr>
      </w:pPr>
      <w:r w:rsidRPr="008B2BAC">
        <w:rPr>
          <w:rFonts w:ascii="Times New Roman" w:hAnsi="Times New Roman"/>
          <w:szCs w:val="22"/>
        </w:rPr>
        <w:t xml:space="preserve">Cieľom predkladaného návrhu </w:t>
      </w:r>
      <w:r w:rsidR="00123DEA">
        <w:rPr>
          <w:rFonts w:ascii="Times New Roman" w:hAnsi="Times New Roman"/>
          <w:szCs w:val="22"/>
        </w:rPr>
        <w:t xml:space="preserve">zákona </w:t>
      </w:r>
      <w:r w:rsidRPr="008B2BAC">
        <w:rPr>
          <w:rFonts w:ascii="Times New Roman" w:hAnsi="Times New Roman"/>
          <w:szCs w:val="22"/>
        </w:rPr>
        <w:t xml:space="preserve">je zabezpečiť komplexnú a účinnú administratívnu spoluprácu medzi daňovými správami </w:t>
      </w:r>
      <w:r w:rsidR="008E3BBB">
        <w:rPr>
          <w:rFonts w:ascii="Times New Roman" w:hAnsi="Times New Roman"/>
          <w:szCs w:val="22"/>
        </w:rPr>
        <w:t xml:space="preserve">rozšírením o </w:t>
      </w:r>
      <w:r w:rsidRPr="008B2BAC">
        <w:rPr>
          <w:rFonts w:ascii="Times New Roman" w:hAnsi="Times New Roman"/>
          <w:szCs w:val="22"/>
        </w:rPr>
        <w:t>ďalší typ povinnej a</w:t>
      </w:r>
      <w:r w:rsidR="00123DEA">
        <w:rPr>
          <w:rFonts w:ascii="Times New Roman" w:hAnsi="Times New Roman"/>
          <w:szCs w:val="22"/>
        </w:rPr>
        <w:t xml:space="preserve">utomatickej výmeny informácií. </w:t>
      </w:r>
      <w:r w:rsidRPr="008B2BAC">
        <w:rPr>
          <w:rFonts w:ascii="Times New Roman" w:hAnsi="Times New Roman"/>
          <w:szCs w:val="22"/>
        </w:rPr>
        <w:t>Návrh zákona ukladá povinnosť nadnárodný</w:t>
      </w:r>
      <w:r w:rsidR="008D1C64">
        <w:rPr>
          <w:rFonts w:ascii="Times New Roman" w:hAnsi="Times New Roman"/>
          <w:szCs w:val="22"/>
        </w:rPr>
        <w:t>m</w:t>
      </w:r>
      <w:r w:rsidRPr="008B2BAC">
        <w:rPr>
          <w:rFonts w:ascii="Times New Roman" w:hAnsi="Times New Roman"/>
          <w:szCs w:val="22"/>
        </w:rPr>
        <w:t xml:space="preserve"> </w:t>
      </w:r>
      <w:r w:rsidRPr="008B2BAC" w:rsidR="008D1C64">
        <w:rPr>
          <w:rFonts w:ascii="Times New Roman" w:hAnsi="Times New Roman"/>
          <w:szCs w:val="22"/>
        </w:rPr>
        <w:t xml:space="preserve">skupinám </w:t>
      </w:r>
      <w:r w:rsidRPr="008B2BAC">
        <w:rPr>
          <w:rFonts w:ascii="Times New Roman" w:hAnsi="Times New Roman"/>
          <w:szCs w:val="22"/>
        </w:rPr>
        <w:t xml:space="preserve">podnikov poskytovať každoročne správu, ktorá obsahuje súhrnné informácie o výnosoch, zisku </w:t>
      </w:r>
      <w:r w:rsidR="00424FE1">
        <w:rPr>
          <w:rFonts w:ascii="Times New Roman" w:hAnsi="Times New Roman"/>
          <w:szCs w:val="22"/>
        </w:rPr>
        <w:t xml:space="preserve">alebo strate </w:t>
      </w:r>
      <w:r w:rsidRPr="008B2BAC">
        <w:rPr>
          <w:rFonts w:ascii="Times New Roman" w:hAnsi="Times New Roman"/>
          <w:szCs w:val="22"/>
        </w:rPr>
        <w:t>pred zdanením, zaplatenej dani z príjmov, splatnej dani z príjmov, zapísanom základnom imaní, nerozdelenom zisku, počte zamestnancov, hmotnom majetku inom než peňažné prostriedky a peňažné ekvivalenty, a to za každý štát rezidencie</w:t>
      </w:r>
      <w:r w:rsidR="005A0F85">
        <w:rPr>
          <w:rFonts w:ascii="Times New Roman" w:hAnsi="Times New Roman"/>
          <w:szCs w:val="22"/>
        </w:rPr>
        <w:t xml:space="preserve"> na daňové účely</w:t>
      </w:r>
      <w:r w:rsidRPr="008B2BAC">
        <w:rPr>
          <w:rFonts w:ascii="Times New Roman" w:hAnsi="Times New Roman"/>
          <w:szCs w:val="22"/>
        </w:rPr>
        <w:t xml:space="preserve">, v ktorom </w:t>
      </w:r>
      <w:r w:rsidR="008D1C64">
        <w:rPr>
          <w:rFonts w:ascii="Times New Roman" w:hAnsi="Times New Roman"/>
          <w:szCs w:val="22"/>
        </w:rPr>
        <w:t>nadnárodná</w:t>
      </w:r>
      <w:r w:rsidRPr="008B2BAC">
        <w:rPr>
          <w:rFonts w:ascii="Times New Roman" w:hAnsi="Times New Roman"/>
          <w:szCs w:val="22"/>
        </w:rPr>
        <w:t xml:space="preserve"> </w:t>
      </w:r>
      <w:r w:rsidRPr="008B2BAC" w:rsidR="008D1C64">
        <w:rPr>
          <w:rFonts w:ascii="Times New Roman" w:hAnsi="Times New Roman"/>
          <w:szCs w:val="22"/>
        </w:rPr>
        <w:t xml:space="preserve">skupina </w:t>
      </w:r>
      <w:r w:rsidRPr="008B2BAC">
        <w:rPr>
          <w:rFonts w:ascii="Times New Roman" w:hAnsi="Times New Roman"/>
          <w:szCs w:val="22"/>
        </w:rPr>
        <w:t>podnikov pôsobí</w:t>
      </w:r>
      <w:r w:rsidR="008E3BBB">
        <w:rPr>
          <w:rFonts w:ascii="Times New Roman" w:hAnsi="Times New Roman"/>
          <w:szCs w:val="22"/>
        </w:rPr>
        <w:t>, vrátane</w:t>
      </w:r>
      <w:r w:rsidRPr="008B2BAC">
        <w:rPr>
          <w:rFonts w:ascii="Times New Roman" w:hAnsi="Times New Roman"/>
          <w:szCs w:val="22"/>
        </w:rPr>
        <w:t xml:space="preserve"> zoznam</w:t>
      </w:r>
      <w:r w:rsidR="008E3BBB">
        <w:rPr>
          <w:rFonts w:ascii="Times New Roman" w:hAnsi="Times New Roman"/>
          <w:szCs w:val="22"/>
        </w:rPr>
        <w:t>u</w:t>
      </w:r>
      <w:r w:rsidRPr="008B2BAC">
        <w:rPr>
          <w:rFonts w:ascii="Times New Roman" w:hAnsi="Times New Roman"/>
          <w:szCs w:val="22"/>
        </w:rPr>
        <w:t xml:space="preserve"> jednotlivých základných subjektov </w:t>
      </w:r>
      <w:r w:rsidR="008D1C64">
        <w:rPr>
          <w:rFonts w:ascii="Times New Roman" w:hAnsi="Times New Roman"/>
          <w:szCs w:val="22"/>
        </w:rPr>
        <w:t>nadnárodnej</w:t>
      </w:r>
      <w:r w:rsidRPr="008B2BAC">
        <w:rPr>
          <w:rFonts w:ascii="Times New Roman" w:hAnsi="Times New Roman"/>
          <w:szCs w:val="22"/>
        </w:rPr>
        <w:t xml:space="preserve"> </w:t>
      </w:r>
      <w:r w:rsidRPr="008B2BAC" w:rsidR="008D1C64">
        <w:rPr>
          <w:rFonts w:ascii="Times New Roman" w:hAnsi="Times New Roman"/>
          <w:szCs w:val="22"/>
        </w:rPr>
        <w:t xml:space="preserve">skupiny </w:t>
      </w:r>
      <w:r w:rsidRPr="008B2BAC">
        <w:rPr>
          <w:rFonts w:ascii="Times New Roman" w:hAnsi="Times New Roman"/>
          <w:szCs w:val="22"/>
        </w:rPr>
        <w:t>podnikov a charakter</w:t>
      </w:r>
      <w:r w:rsidR="008E3BBB">
        <w:rPr>
          <w:rFonts w:ascii="Times New Roman" w:hAnsi="Times New Roman"/>
          <w:szCs w:val="22"/>
        </w:rPr>
        <w:t>u</w:t>
      </w:r>
      <w:r w:rsidRPr="008B2BAC">
        <w:rPr>
          <w:rFonts w:ascii="Times New Roman" w:hAnsi="Times New Roman"/>
          <w:szCs w:val="22"/>
        </w:rPr>
        <w:t xml:space="preserve"> hlavnej ekonomickej činnosti základného subjektu. Tieto informácie </w:t>
      </w:r>
      <w:r w:rsidR="00123DEA">
        <w:rPr>
          <w:rFonts w:ascii="Times New Roman" w:hAnsi="Times New Roman"/>
          <w:szCs w:val="22"/>
        </w:rPr>
        <w:t xml:space="preserve">budú slúžiť na účely správy daní a </w:t>
      </w:r>
      <w:r w:rsidRPr="008B2BAC">
        <w:rPr>
          <w:rFonts w:ascii="Times New Roman" w:hAnsi="Times New Roman"/>
          <w:szCs w:val="22"/>
        </w:rPr>
        <w:t>nebudú zverejňované</w:t>
      </w:r>
      <w:r w:rsidR="00123DEA">
        <w:rPr>
          <w:rFonts w:ascii="Times New Roman" w:hAnsi="Times New Roman"/>
          <w:szCs w:val="22"/>
        </w:rPr>
        <w:t>.</w:t>
      </w:r>
    </w:p>
    <w:p w:rsidR="008D1C64" w:rsidRPr="008B2BAC" w:rsidP="008B2BAC">
      <w:pPr>
        <w:widowControl w:val="0"/>
        <w:tabs>
          <w:tab w:val="left" w:pos="708"/>
        </w:tabs>
        <w:bidi w:val="0"/>
        <w:spacing w:after="0" w:line="240" w:lineRule="auto"/>
        <w:jc w:val="both"/>
        <w:rPr>
          <w:rFonts w:ascii="Times New Roman" w:hAnsi="Times New Roman"/>
          <w:szCs w:val="22"/>
        </w:rPr>
      </w:pPr>
    </w:p>
    <w:p w:rsidR="00123DEA" w:rsidP="00123DEA">
      <w:pPr>
        <w:widowControl w:val="0"/>
        <w:tabs>
          <w:tab w:val="left" w:pos="708"/>
        </w:tabs>
        <w:bidi w:val="0"/>
        <w:spacing w:after="0" w:line="240" w:lineRule="auto"/>
        <w:jc w:val="both"/>
        <w:rPr>
          <w:rFonts w:ascii="Times New Roman" w:hAnsi="Times New Roman"/>
          <w:szCs w:val="22"/>
        </w:rPr>
      </w:pPr>
      <w:r w:rsidR="008E3BBB">
        <w:rPr>
          <w:rFonts w:ascii="Times New Roman" w:hAnsi="Times New Roman"/>
          <w:szCs w:val="22"/>
        </w:rPr>
        <w:t xml:space="preserve">Povinnosť </w:t>
      </w:r>
      <w:r w:rsidR="0049568C">
        <w:rPr>
          <w:rFonts w:ascii="Times New Roman" w:hAnsi="Times New Roman"/>
          <w:szCs w:val="22"/>
        </w:rPr>
        <w:t>podávať</w:t>
      </w:r>
      <w:r>
        <w:rPr>
          <w:rFonts w:ascii="Times New Roman" w:hAnsi="Times New Roman"/>
          <w:szCs w:val="22"/>
        </w:rPr>
        <w:t xml:space="preserve"> správu podľa jedn</w:t>
      </w:r>
      <w:r w:rsidRPr="008B2BAC" w:rsidR="008B2BAC">
        <w:rPr>
          <w:rFonts w:ascii="Times New Roman" w:hAnsi="Times New Roman"/>
          <w:szCs w:val="22"/>
        </w:rPr>
        <w:t xml:space="preserve">otlivých štátov budú mať </w:t>
      </w:r>
      <w:r w:rsidR="008D1C64">
        <w:rPr>
          <w:rFonts w:ascii="Times New Roman" w:hAnsi="Times New Roman"/>
          <w:szCs w:val="22"/>
        </w:rPr>
        <w:t>iba tie nadnárodné</w:t>
      </w:r>
      <w:r w:rsidRPr="008B2BAC" w:rsidR="008B2BAC">
        <w:rPr>
          <w:rFonts w:ascii="Times New Roman" w:hAnsi="Times New Roman"/>
          <w:szCs w:val="22"/>
        </w:rPr>
        <w:t xml:space="preserve"> </w:t>
      </w:r>
      <w:r w:rsidRPr="008B2BAC" w:rsidR="008D1C64">
        <w:rPr>
          <w:rFonts w:ascii="Times New Roman" w:hAnsi="Times New Roman"/>
          <w:szCs w:val="22"/>
        </w:rPr>
        <w:t xml:space="preserve">skupiny </w:t>
      </w:r>
      <w:r w:rsidR="008D1C64">
        <w:rPr>
          <w:rFonts w:ascii="Times New Roman" w:hAnsi="Times New Roman"/>
          <w:szCs w:val="22"/>
        </w:rPr>
        <w:t>podnikov, ktorých</w:t>
      </w:r>
      <w:r w:rsidRPr="008B2BAC" w:rsidR="008B2BAC">
        <w:rPr>
          <w:rFonts w:ascii="Times New Roman" w:hAnsi="Times New Roman"/>
          <w:szCs w:val="22"/>
        </w:rPr>
        <w:t xml:space="preserve"> konsolidovan</w:t>
      </w:r>
      <w:r w:rsidR="008D1C64">
        <w:rPr>
          <w:rFonts w:ascii="Times New Roman" w:hAnsi="Times New Roman"/>
          <w:szCs w:val="22"/>
        </w:rPr>
        <w:t>é</w:t>
      </w:r>
      <w:r w:rsidRPr="008B2BAC" w:rsidR="008B2BAC">
        <w:rPr>
          <w:rFonts w:ascii="Times New Roman" w:hAnsi="Times New Roman"/>
          <w:szCs w:val="22"/>
        </w:rPr>
        <w:t xml:space="preserve"> výnos</w:t>
      </w:r>
      <w:r w:rsidR="008D1C64">
        <w:rPr>
          <w:rFonts w:ascii="Times New Roman" w:hAnsi="Times New Roman"/>
          <w:szCs w:val="22"/>
        </w:rPr>
        <w:t>y za nadnárodnú skupinu</w:t>
      </w:r>
      <w:r w:rsidRPr="008B2BAC" w:rsidR="008B2BAC">
        <w:rPr>
          <w:rFonts w:ascii="Times New Roman" w:hAnsi="Times New Roman"/>
          <w:szCs w:val="22"/>
        </w:rPr>
        <w:t xml:space="preserve"> </w:t>
      </w:r>
      <w:r w:rsidR="008D1C64">
        <w:rPr>
          <w:rFonts w:ascii="Times New Roman" w:hAnsi="Times New Roman"/>
          <w:szCs w:val="22"/>
        </w:rPr>
        <w:t xml:space="preserve">dosiahnu aspoň </w:t>
      </w:r>
      <w:r w:rsidRPr="008B2BAC" w:rsidR="008B2BAC">
        <w:rPr>
          <w:rFonts w:ascii="Times New Roman" w:hAnsi="Times New Roman"/>
          <w:szCs w:val="22"/>
        </w:rPr>
        <w:t xml:space="preserve">750 000 000 EUR. </w:t>
      </w:r>
      <w:r>
        <w:rPr>
          <w:rFonts w:ascii="Times New Roman" w:hAnsi="Times New Roman"/>
          <w:szCs w:val="22"/>
        </w:rPr>
        <w:t>P</w:t>
      </w:r>
      <w:r w:rsidRPr="008B2BAC" w:rsidR="008B2BAC">
        <w:rPr>
          <w:rFonts w:ascii="Times New Roman" w:hAnsi="Times New Roman"/>
          <w:szCs w:val="22"/>
        </w:rPr>
        <w:t xml:space="preserve">ovinnosť </w:t>
      </w:r>
      <w:r>
        <w:rPr>
          <w:rFonts w:ascii="Times New Roman" w:hAnsi="Times New Roman"/>
          <w:szCs w:val="22"/>
        </w:rPr>
        <w:t xml:space="preserve">podávať správu </w:t>
      </w:r>
      <w:r w:rsidRPr="008B2BAC" w:rsidR="008B2BAC">
        <w:rPr>
          <w:rFonts w:ascii="Times New Roman" w:hAnsi="Times New Roman"/>
          <w:szCs w:val="22"/>
        </w:rPr>
        <w:t>vznikne materským spoločnostiam</w:t>
      </w:r>
      <w:r>
        <w:rPr>
          <w:rFonts w:ascii="Times New Roman" w:hAnsi="Times New Roman"/>
          <w:szCs w:val="22"/>
        </w:rPr>
        <w:t xml:space="preserve"> nadnárodných </w:t>
      </w:r>
      <w:r w:rsidR="008D1C64">
        <w:rPr>
          <w:rFonts w:ascii="Times New Roman" w:hAnsi="Times New Roman"/>
          <w:szCs w:val="22"/>
        </w:rPr>
        <w:t xml:space="preserve">skupín </w:t>
      </w:r>
      <w:r>
        <w:rPr>
          <w:rFonts w:ascii="Times New Roman" w:hAnsi="Times New Roman"/>
          <w:szCs w:val="22"/>
        </w:rPr>
        <w:t>podnikov, pričom</w:t>
      </w:r>
      <w:r w:rsidR="008D1C64">
        <w:rPr>
          <w:rFonts w:ascii="Times New Roman" w:hAnsi="Times New Roman"/>
          <w:szCs w:val="22"/>
        </w:rPr>
        <w:t xml:space="preserve"> vzhľadom na výšku celkových konsolidovaných</w:t>
      </w:r>
      <w:r w:rsidRPr="008B2BAC" w:rsidR="008B2BAC">
        <w:rPr>
          <w:rFonts w:ascii="Times New Roman" w:hAnsi="Times New Roman"/>
          <w:szCs w:val="22"/>
        </w:rPr>
        <w:t xml:space="preserve"> výnos</w:t>
      </w:r>
      <w:r w:rsidR="008D1C64">
        <w:rPr>
          <w:rFonts w:ascii="Times New Roman" w:hAnsi="Times New Roman"/>
          <w:szCs w:val="22"/>
        </w:rPr>
        <w:t>ov sa predpokladá minimálny</w:t>
      </w:r>
      <w:r w:rsidRPr="008B2BAC" w:rsidR="008B2BAC">
        <w:rPr>
          <w:rFonts w:ascii="Times New Roman" w:hAnsi="Times New Roman"/>
          <w:szCs w:val="22"/>
        </w:rPr>
        <w:t xml:space="preserve"> </w:t>
      </w:r>
      <w:r>
        <w:rPr>
          <w:rFonts w:ascii="Times New Roman" w:hAnsi="Times New Roman"/>
          <w:szCs w:val="22"/>
        </w:rPr>
        <w:t>dopad na slovenské materské spoločnosti.</w:t>
      </w:r>
      <w:r w:rsidR="00E0302D">
        <w:rPr>
          <w:rFonts w:ascii="Times New Roman" w:hAnsi="Times New Roman"/>
          <w:szCs w:val="22"/>
        </w:rPr>
        <w:t xml:space="preserve"> Oznamovacia povinnosť o identifikácii oznamujúceho subjektu, ktorý bude predkladať správu za skupinu, sa však týka všetkých</w:t>
      </w:r>
      <w:r w:rsidRPr="00A87B9A" w:rsidR="00E0302D">
        <w:rPr>
          <w:rFonts w:ascii="Times New Roman" w:hAnsi="Times New Roman"/>
          <w:szCs w:val="22"/>
        </w:rPr>
        <w:t xml:space="preserve"> právnických  osôb a stálych prevádzkarní, ktoré </w:t>
      </w:r>
      <w:r w:rsidR="00FA5CF3">
        <w:rPr>
          <w:rFonts w:ascii="Times New Roman" w:hAnsi="Times New Roman"/>
          <w:szCs w:val="22"/>
        </w:rPr>
        <w:t xml:space="preserve">sú </w:t>
      </w:r>
      <w:r w:rsidRPr="00A87B9A" w:rsidR="00E0302D">
        <w:rPr>
          <w:rFonts w:ascii="Times New Roman" w:hAnsi="Times New Roman"/>
          <w:szCs w:val="22"/>
        </w:rPr>
        <w:t>rezidentmi na daňové účely na Slovensku a</w:t>
      </w:r>
      <w:r w:rsidR="00F14BC7">
        <w:rPr>
          <w:rFonts w:ascii="Times New Roman" w:hAnsi="Times New Roman"/>
          <w:szCs w:val="22"/>
        </w:rPr>
        <w:t xml:space="preserve"> sú </w:t>
      </w:r>
      <w:r w:rsidRPr="00A87B9A" w:rsidR="00E0302D">
        <w:rPr>
          <w:rFonts w:ascii="Times New Roman" w:hAnsi="Times New Roman"/>
          <w:szCs w:val="22"/>
        </w:rPr>
        <w:t>členmi takejto skupiny nadnárodných spoločností.</w:t>
      </w:r>
    </w:p>
    <w:p w:rsidR="00123DEA" w:rsidP="00123DEA">
      <w:pPr>
        <w:widowControl w:val="0"/>
        <w:tabs>
          <w:tab w:val="left" w:pos="708"/>
        </w:tabs>
        <w:bidi w:val="0"/>
        <w:spacing w:after="0" w:line="240" w:lineRule="auto"/>
        <w:jc w:val="both"/>
        <w:rPr>
          <w:rFonts w:ascii="Times New Roman" w:hAnsi="Times New Roman"/>
          <w:szCs w:val="22"/>
        </w:rPr>
      </w:pPr>
    </w:p>
    <w:p w:rsidR="008B2BAC" w:rsidP="008B2BAC">
      <w:pPr>
        <w:widowControl w:val="0"/>
        <w:tabs>
          <w:tab w:val="left" w:pos="708"/>
        </w:tabs>
        <w:bidi w:val="0"/>
        <w:spacing w:after="0" w:line="240" w:lineRule="auto"/>
        <w:jc w:val="both"/>
        <w:rPr>
          <w:rFonts w:ascii="Times New Roman" w:hAnsi="Times New Roman"/>
          <w:szCs w:val="22"/>
        </w:rPr>
      </w:pPr>
      <w:r w:rsidRPr="008B2BAC">
        <w:rPr>
          <w:rFonts w:ascii="Times New Roman" w:hAnsi="Times New Roman"/>
          <w:szCs w:val="22"/>
        </w:rPr>
        <w:t xml:space="preserve">Návrh umožňuje </w:t>
      </w:r>
      <w:r w:rsidR="008D1C64">
        <w:rPr>
          <w:rFonts w:ascii="Times New Roman" w:hAnsi="Times New Roman"/>
          <w:szCs w:val="22"/>
        </w:rPr>
        <w:t>nadnárodným</w:t>
      </w:r>
      <w:r w:rsidRPr="008B2BAC" w:rsidR="008D1C64">
        <w:rPr>
          <w:rFonts w:ascii="Times New Roman" w:hAnsi="Times New Roman"/>
          <w:szCs w:val="22"/>
        </w:rPr>
        <w:t xml:space="preserve"> </w:t>
      </w:r>
      <w:r w:rsidRPr="008B2BAC">
        <w:rPr>
          <w:rFonts w:ascii="Times New Roman" w:hAnsi="Times New Roman"/>
          <w:szCs w:val="22"/>
        </w:rPr>
        <w:t>skupinám podnikov prenesenie povinnosti podávať správu</w:t>
      </w:r>
      <w:r w:rsidR="005A0F85">
        <w:rPr>
          <w:rFonts w:ascii="Times New Roman" w:hAnsi="Times New Roman"/>
          <w:szCs w:val="22"/>
        </w:rPr>
        <w:t xml:space="preserve"> podľa jednotlivých štátov</w:t>
      </w:r>
      <w:r w:rsidRPr="008B2BAC">
        <w:rPr>
          <w:rFonts w:ascii="Times New Roman" w:hAnsi="Times New Roman"/>
          <w:szCs w:val="22"/>
        </w:rPr>
        <w:t xml:space="preserve"> </w:t>
      </w:r>
      <w:r w:rsidR="008D1C64">
        <w:rPr>
          <w:rFonts w:ascii="Times New Roman" w:hAnsi="Times New Roman"/>
          <w:szCs w:val="22"/>
        </w:rPr>
        <w:t xml:space="preserve">z materskej spoločnosti na </w:t>
      </w:r>
      <w:r w:rsidRPr="008B2BAC">
        <w:rPr>
          <w:rFonts w:ascii="Times New Roman" w:hAnsi="Times New Roman"/>
          <w:szCs w:val="22"/>
        </w:rPr>
        <w:t>náhradn</w:t>
      </w:r>
      <w:r w:rsidR="008D1C64">
        <w:rPr>
          <w:rFonts w:ascii="Times New Roman" w:hAnsi="Times New Roman"/>
          <w:szCs w:val="22"/>
        </w:rPr>
        <w:t>ý</w:t>
      </w:r>
      <w:r w:rsidRPr="008B2BAC">
        <w:rPr>
          <w:rFonts w:ascii="Times New Roman" w:hAnsi="Times New Roman"/>
          <w:szCs w:val="22"/>
        </w:rPr>
        <w:t xml:space="preserve"> matersk</w:t>
      </w:r>
      <w:r w:rsidR="008D1C64">
        <w:rPr>
          <w:rFonts w:ascii="Times New Roman" w:hAnsi="Times New Roman"/>
          <w:szCs w:val="22"/>
        </w:rPr>
        <w:t>ý subjekt</w:t>
      </w:r>
      <w:r w:rsidRPr="008B2BAC">
        <w:rPr>
          <w:rFonts w:ascii="Times New Roman" w:hAnsi="Times New Roman"/>
          <w:szCs w:val="22"/>
        </w:rPr>
        <w:t>, ak sú splnené zákonom ustanovené podmienky. Ďalej návrh upravuje výnimku z</w:t>
      </w:r>
      <w:r w:rsidR="00123DEA">
        <w:rPr>
          <w:rFonts w:ascii="Times New Roman" w:hAnsi="Times New Roman"/>
          <w:szCs w:val="22"/>
        </w:rPr>
        <w:t xml:space="preserve"> povinnosti </w:t>
      </w:r>
      <w:r w:rsidRPr="008B2BAC">
        <w:rPr>
          <w:rFonts w:ascii="Times New Roman" w:hAnsi="Times New Roman"/>
          <w:szCs w:val="22"/>
        </w:rPr>
        <w:t>podáva</w:t>
      </w:r>
      <w:r w:rsidR="00123DEA">
        <w:rPr>
          <w:rFonts w:ascii="Times New Roman" w:hAnsi="Times New Roman"/>
          <w:szCs w:val="22"/>
        </w:rPr>
        <w:t>ť správu</w:t>
      </w:r>
      <w:r w:rsidRPr="008B2BAC">
        <w:rPr>
          <w:rFonts w:ascii="Times New Roman" w:hAnsi="Times New Roman"/>
          <w:szCs w:val="22"/>
        </w:rPr>
        <w:t xml:space="preserve"> </w:t>
      </w:r>
      <w:r w:rsidR="008D1C64">
        <w:rPr>
          <w:rFonts w:ascii="Times New Roman" w:hAnsi="Times New Roman"/>
          <w:szCs w:val="22"/>
        </w:rPr>
        <w:t>materskou spoločnosťou</w:t>
      </w:r>
      <w:r w:rsidRPr="008B2BAC">
        <w:rPr>
          <w:rFonts w:ascii="Times New Roman" w:hAnsi="Times New Roman"/>
          <w:szCs w:val="22"/>
        </w:rPr>
        <w:t xml:space="preserve">, ak </w:t>
      </w:r>
      <w:r w:rsidR="008D1C64">
        <w:rPr>
          <w:rFonts w:ascii="Times New Roman" w:hAnsi="Times New Roman"/>
          <w:szCs w:val="22"/>
        </w:rPr>
        <w:t xml:space="preserve">táto </w:t>
      </w:r>
      <w:r w:rsidRPr="008B2BAC">
        <w:rPr>
          <w:rFonts w:ascii="Times New Roman" w:hAnsi="Times New Roman"/>
          <w:szCs w:val="22"/>
        </w:rPr>
        <w:t xml:space="preserve">je rezidentom na daňové účely </w:t>
      </w:r>
      <w:r w:rsidR="006E23A3">
        <w:rPr>
          <w:rFonts w:ascii="Times New Roman" w:hAnsi="Times New Roman"/>
          <w:szCs w:val="22"/>
        </w:rPr>
        <w:t xml:space="preserve">v </w:t>
      </w:r>
      <w:r w:rsidRPr="008B2BAC">
        <w:rPr>
          <w:rFonts w:ascii="Times New Roman" w:hAnsi="Times New Roman"/>
          <w:szCs w:val="22"/>
        </w:rPr>
        <w:t>inom štáte, ako je členský štát alebo zmluvný štát</w:t>
      </w:r>
      <w:r w:rsidR="00123DEA">
        <w:rPr>
          <w:rFonts w:ascii="Times New Roman" w:hAnsi="Times New Roman"/>
          <w:szCs w:val="22"/>
        </w:rPr>
        <w:t>. I</w:t>
      </w:r>
      <w:r w:rsidRPr="008B2BAC">
        <w:rPr>
          <w:rFonts w:ascii="Times New Roman" w:hAnsi="Times New Roman"/>
          <w:szCs w:val="22"/>
        </w:rPr>
        <w:t>de o tzv. sekundárne oznamovanie</w:t>
      </w:r>
      <w:r w:rsidR="00123DEA">
        <w:rPr>
          <w:rFonts w:ascii="Times New Roman" w:hAnsi="Times New Roman"/>
          <w:szCs w:val="22"/>
        </w:rPr>
        <w:t>,</w:t>
      </w:r>
      <w:r w:rsidRPr="008B2BAC">
        <w:rPr>
          <w:rFonts w:ascii="Times New Roman" w:hAnsi="Times New Roman"/>
          <w:szCs w:val="22"/>
        </w:rPr>
        <w:t xml:space="preserve"> keď povinnosť vzniká základnému subjektu</w:t>
      </w:r>
      <w:r w:rsidR="008D1C64">
        <w:rPr>
          <w:rFonts w:ascii="Times New Roman" w:hAnsi="Times New Roman"/>
          <w:szCs w:val="22"/>
        </w:rPr>
        <w:t>, t.j. podniku v nadnárodnej skupine podnikov, ktorý nie je materskou spoločnosťou.</w:t>
      </w:r>
    </w:p>
    <w:p w:rsidR="009556A3" w:rsidP="008B2BAC">
      <w:pPr>
        <w:widowControl w:val="0"/>
        <w:tabs>
          <w:tab w:val="left" w:pos="708"/>
        </w:tabs>
        <w:bidi w:val="0"/>
        <w:spacing w:after="0" w:line="240" w:lineRule="auto"/>
        <w:jc w:val="both"/>
        <w:rPr>
          <w:rFonts w:ascii="Times New Roman" w:hAnsi="Times New Roman"/>
          <w:szCs w:val="22"/>
        </w:rPr>
      </w:pPr>
    </w:p>
    <w:p w:rsidR="009556A3" w:rsidRPr="009556A3" w:rsidP="009556A3">
      <w:pPr>
        <w:widowControl w:val="0"/>
        <w:tabs>
          <w:tab w:val="left" w:pos="708"/>
        </w:tabs>
        <w:bidi w:val="0"/>
        <w:spacing w:after="0" w:line="240" w:lineRule="auto"/>
        <w:jc w:val="both"/>
        <w:rPr>
          <w:rFonts w:ascii="Times New Roman" w:hAnsi="Times New Roman"/>
          <w:szCs w:val="22"/>
        </w:rPr>
      </w:pPr>
      <w:r w:rsidRPr="009556A3">
        <w:rPr>
          <w:rFonts w:ascii="Times New Roman" w:hAnsi="Times New Roman"/>
          <w:szCs w:val="22"/>
        </w:rPr>
        <w:t>Návrh zákona je v súlade s Ústavou, ústavnými zákonmi, medzinárodnými zmluvami, ktorými je Slovenská republika viazaná a zákonmi a je v súlade s právom Európskej únie.</w:t>
      </w:r>
    </w:p>
    <w:p w:rsidR="009556A3" w:rsidP="008B2BAC">
      <w:pPr>
        <w:widowControl w:val="0"/>
        <w:tabs>
          <w:tab w:val="left" w:pos="708"/>
        </w:tabs>
        <w:bidi w:val="0"/>
        <w:spacing w:after="0" w:line="240" w:lineRule="auto"/>
        <w:jc w:val="both"/>
        <w:rPr>
          <w:rFonts w:ascii="Times New Roman" w:hAnsi="Times New Roman"/>
          <w:szCs w:val="22"/>
        </w:rPr>
      </w:pPr>
    </w:p>
    <w:p w:rsidR="008B2BAC" w:rsidP="008B2BAC">
      <w:pPr>
        <w:pStyle w:val="Normlny1"/>
        <w:bidi w:val="0"/>
        <w:spacing w:before="0" w:beforeAutospacing="0" w:after="0" w:afterAutospacing="0"/>
        <w:jc w:val="both"/>
        <w:rPr>
          <w:rFonts w:ascii="Times New Roman" w:hAnsi="Times New Roman"/>
          <w:sz w:val="22"/>
          <w:szCs w:val="22"/>
          <w:lang w:eastAsia="en-US"/>
        </w:rPr>
      </w:pPr>
    </w:p>
    <w:p w:rsidR="00123DEA" w:rsidP="008B2BAC">
      <w:pPr>
        <w:pStyle w:val="Normlny1"/>
        <w:bidi w:val="0"/>
        <w:spacing w:before="0" w:beforeAutospacing="0" w:after="0" w:afterAutospacing="0"/>
        <w:jc w:val="both"/>
        <w:rPr>
          <w:rStyle w:val="normalchar"/>
          <w:rFonts w:ascii="Times New Roman" w:hAnsi="Times New Roman"/>
        </w:rPr>
      </w:pPr>
    </w:p>
    <w:p w:rsidR="0049568C" w:rsidP="008B2BAC">
      <w:pPr>
        <w:pStyle w:val="Normlny1"/>
        <w:bidi w:val="0"/>
        <w:spacing w:before="0" w:beforeAutospacing="0" w:after="0" w:afterAutospacing="0"/>
        <w:jc w:val="both"/>
        <w:rPr>
          <w:rStyle w:val="normalchar"/>
          <w:rFonts w:ascii="Times New Roman" w:hAnsi="Times New Roman"/>
        </w:rPr>
      </w:pPr>
    </w:p>
    <w:p w:rsidR="00E74ED1" w:rsidP="008B2BAC">
      <w:pPr>
        <w:pStyle w:val="Normlny1"/>
        <w:bidi w:val="0"/>
        <w:spacing w:before="0" w:beforeAutospacing="0" w:after="0" w:afterAutospacing="0"/>
        <w:jc w:val="both"/>
        <w:rPr>
          <w:rStyle w:val="normalchar"/>
          <w:rFonts w:ascii="Times New Roman" w:hAnsi="Times New Roman"/>
        </w:rPr>
      </w:pPr>
    </w:p>
    <w:p w:rsidR="00E74ED1">
      <w:pPr>
        <w:bidi w:val="0"/>
        <w:rPr>
          <w:rStyle w:val="normalchar"/>
          <w:rFonts w:ascii="Times New Roman" w:hAnsi="Times New Roman"/>
          <w:sz w:val="24"/>
          <w:szCs w:val="24"/>
          <w:lang w:eastAsia="sk-SK"/>
        </w:rPr>
      </w:pPr>
      <w:r>
        <w:rPr>
          <w:rStyle w:val="normalchar"/>
        </w:rPr>
        <w:br w:type="page"/>
      </w: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74ED1" w:rsidRPr="006756B1" w:rsidP="00C8566F">
            <w:pPr>
              <w:bidi w:val="0"/>
              <w:spacing w:after="0" w:line="240" w:lineRule="auto"/>
              <w:jc w:val="center"/>
              <w:rPr>
                <w:rFonts w:ascii="Times New Roman" w:hAnsi="Times New Roman"/>
                <w:b/>
                <w:sz w:val="24"/>
              </w:rPr>
            </w:pPr>
            <w:r w:rsidRPr="006756B1">
              <w:rPr>
                <w:rFonts w:ascii="Times New Roman" w:hAnsi="Times New Roman"/>
                <w:b/>
                <w:sz w:val="28"/>
              </w:rPr>
              <w:t xml:space="preserve">Analýza vplyvov na podnikateľské prostredie </w:t>
            </w:r>
          </w:p>
          <w:p w:rsidR="00E74ED1" w:rsidRPr="006756B1" w:rsidP="00C8566F">
            <w:pPr>
              <w:bidi w:val="0"/>
              <w:spacing w:after="0" w:line="240" w:lineRule="auto"/>
              <w:jc w:val="center"/>
              <w:rPr>
                <w:rFonts w:ascii="Times New Roman" w:hAnsi="Times New Roman"/>
                <w:b/>
              </w:rPr>
            </w:pPr>
            <w:r w:rsidRPr="006756B1">
              <w:rPr>
                <w:rFonts w:ascii="Times New Roman" w:hAnsi="Times New Roman"/>
                <w:b/>
                <w:sz w:val="24"/>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74ED1" w:rsidRPr="006756B1" w:rsidP="00C8566F">
            <w:pPr>
              <w:bidi w:val="0"/>
              <w:spacing w:after="0" w:line="240" w:lineRule="auto"/>
              <w:rPr>
                <w:rFonts w:ascii="Times New Roman" w:hAnsi="Times New Roman"/>
                <w:b/>
                <w:sz w:val="24"/>
              </w:rPr>
            </w:pPr>
            <w:r w:rsidRPr="006756B1">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E74ED1" w:rsidRPr="006756B1" w:rsidP="00C8566F">
                  <w:pPr>
                    <w:bidi w:val="0"/>
                    <w:spacing w:after="0" w:line="240" w:lineRule="auto"/>
                    <w:jc w:val="center"/>
                    <w:rPr>
                      <w:rFonts w:ascii="Times New Roman" w:hAnsi="Times New Roman"/>
                    </w:rPr>
                  </w:pPr>
                  <w:r w:rsidRPr="006756B1">
                    <w:rPr>
                      <w:rFonts w:ascii="Segoe UI Symbol" w:eastAsia="MS Mincho" w:hAnsi="Segoe UI Symbol" w:cs="Segoe UI Symbol" w:hint="default"/>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E74ED1" w:rsidRPr="006756B1" w:rsidP="00C8566F">
                  <w:pPr>
                    <w:bidi w:val="0"/>
                    <w:spacing w:after="0" w:line="240" w:lineRule="auto"/>
                    <w:rPr>
                      <w:rFonts w:ascii="Times New Roman" w:hAnsi="Times New Roman"/>
                      <w:b/>
                    </w:rPr>
                  </w:pPr>
                  <w:r w:rsidRPr="006756B1">
                    <w:rPr>
                      <w:rFonts w:ascii="Times New Roman" w:hAnsi="Times New Roman"/>
                      <w:b/>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E74ED1" w:rsidRPr="006756B1" w:rsidP="00C8566F">
                  <w:pPr>
                    <w:bidi w:val="0"/>
                    <w:spacing w:after="0" w:line="240" w:lineRule="auto"/>
                    <w:jc w:val="center"/>
                    <w:rPr>
                      <w:rFonts w:ascii="Times New Roman" w:hAnsi="Times New Roman"/>
                    </w:rPr>
                  </w:pPr>
                  <w:r w:rsidRPr="006756B1">
                    <w:rPr>
                      <w:rFonts w:ascii="Segoe UI Symbol" w:eastAsia="MS Gothic" w:hAnsi="Segoe UI Symbol" w:cs="Segoe UI Symbol" w:hint="default"/>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E74ED1" w:rsidRPr="006756B1" w:rsidP="00C8566F">
                  <w:pPr>
                    <w:bidi w:val="0"/>
                    <w:spacing w:after="0" w:line="240" w:lineRule="auto"/>
                    <w:rPr>
                      <w:rFonts w:ascii="Times New Roman" w:hAnsi="Times New Roman"/>
                      <w:b/>
                    </w:rPr>
                  </w:pPr>
                  <w:r w:rsidRPr="006756B1">
                    <w:rPr>
                      <w:rFonts w:ascii="Times New Roman" w:hAnsi="Times New Roman"/>
                      <w:b/>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E74ED1" w:rsidRPr="006756B1" w:rsidP="00C8566F">
                  <w:pPr>
                    <w:bidi w:val="0"/>
                    <w:spacing w:after="0" w:line="240" w:lineRule="auto"/>
                    <w:jc w:val="center"/>
                    <w:rPr>
                      <w:rFonts w:ascii="Times New Roman" w:hAnsi="Times New Roman"/>
                    </w:rPr>
                  </w:pPr>
                  <w:r w:rsidRPr="006756B1">
                    <w:rPr>
                      <w:rFonts w:ascii="Segoe UI Symbol" w:eastAsia="MS Mincho" w:hAnsi="Segoe UI Symbol" w:cs="Segoe UI Symbol" w:hint="default"/>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E74ED1" w:rsidRPr="006756B1" w:rsidP="00C8566F">
                  <w:pPr>
                    <w:bidi w:val="0"/>
                    <w:spacing w:after="0" w:line="240" w:lineRule="auto"/>
                    <w:rPr>
                      <w:rFonts w:ascii="Times New Roman" w:hAnsi="Times New Roman"/>
                    </w:rPr>
                  </w:pPr>
                  <w:r w:rsidRPr="006756B1">
                    <w:rPr>
                      <w:rFonts w:ascii="Times New Roman" w:hAnsi="Times New Roman"/>
                      <w:b/>
                    </w:rPr>
                    <w:t>na všetky kategórie podnikov</w:t>
                  </w:r>
                </w:p>
              </w:tc>
            </w:tr>
          </w:tbl>
          <w:p w:rsidR="00E74ED1" w:rsidRPr="006756B1" w:rsidP="00C8566F">
            <w:pPr>
              <w:bidi w:val="0"/>
              <w:spacing w:after="0" w:line="240" w:lineRule="auto"/>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74ED1" w:rsidRPr="006756B1" w:rsidP="00C8566F">
            <w:pPr>
              <w:bidi w:val="0"/>
              <w:spacing w:after="0" w:line="240" w:lineRule="auto"/>
              <w:rPr>
                <w:rFonts w:ascii="Times New Roman" w:hAnsi="Times New Roman"/>
                <w:b/>
                <w:sz w:val="24"/>
              </w:rPr>
            </w:pPr>
            <w:r w:rsidRPr="006756B1">
              <w:rPr>
                <w:rFonts w:ascii="Times New Roman" w:hAnsi="Times New Roman"/>
                <w:b/>
                <w:sz w:val="24"/>
              </w:rPr>
              <w:t>3.1 Dotknuté podnikateľské subjekty</w:t>
            </w:r>
          </w:p>
          <w:p w:rsidR="00E74ED1" w:rsidRPr="006756B1" w:rsidP="00C8566F">
            <w:pPr>
              <w:bidi w:val="0"/>
              <w:spacing w:after="0" w:line="240" w:lineRule="auto"/>
              <w:ind w:left="284"/>
              <w:rPr>
                <w:rFonts w:ascii="Times New Roman" w:hAnsi="Times New Roman"/>
                <w:b/>
              </w:rPr>
            </w:pPr>
            <w:r w:rsidRPr="006756B1">
              <w:rPr>
                <w:rFonts w:ascii="Times New Roman" w:hAnsi="Times New Roman"/>
                <w:sz w:val="24"/>
              </w:rPr>
              <w:t xml:space="preserve"> - </w:t>
            </w:r>
            <w:r w:rsidRPr="006756B1">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i/>
              </w:rPr>
            </w:pPr>
            <w:r w:rsidRPr="006756B1">
              <w:rPr>
                <w:rFonts w:ascii="Times New Roman" w:hAnsi="Times New Roman"/>
                <w:i/>
              </w:rPr>
              <w:t>Uveďte, aké podnikateľské subjekty budú predkladaným návrhom ovplyvnené.</w:t>
            </w:r>
          </w:p>
          <w:p w:rsidR="00E74ED1" w:rsidRPr="006756B1" w:rsidP="00C8566F">
            <w:pPr>
              <w:bidi w:val="0"/>
              <w:spacing w:after="0" w:line="240" w:lineRule="auto"/>
              <w:rPr>
                <w:rFonts w:ascii="Times New Roman" w:hAnsi="Times New Roman"/>
                <w:i/>
              </w:rPr>
            </w:pPr>
            <w:r w:rsidRPr="006756B1">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Povinnosť podávať správu podľa jednotlivých štátov budú mať skupiny nadnárodných podnikov, ktoré majú celkový konsolidovaný výnos skupiny rovný alebo vyšší ako 750 000 000 EUR. Táto povinnosť vznikne materským spoločnostiam a  vzhľadom na výšku celkového konsolidovaného výnosu skupiny dopad na slovenské spoločnosti bude minimálny.</w:t>
            </w:r>
          </w:p>
          <w:p w:rsidR="00E74ED1" w:rsidRPr="006756B1" w:rsidP="00C8566F">
            <w:pPr>
              <w:bidi w:val="0"/>
              <w:spacing w:after="0" w:line="240" w:lineRule="auto"/>
              <w:rPr>
                <w:rFonts w:ascii="Times New Roman" w:hAnsi="Times New Roman"/>
                <w:i/>
              </w:rPr>
            </w:pPr>
            <w:r w:rsidRPr="006756B1">
              <w:rPr>
                <w:rFonts w:ascii="Times New Roman" w:hAnsi="Times New Roman"/>
                <w:szCs w:val="22"/>
              </w:rPr>
              <w:t>Oznamovacia povinnosť o identifikácii oznamujúceho subjektu, ktorý bude predkladať správu za skupinu, sa však týka všetkých právnických  osôb a stálych prevádzkarní, ktoré sú rezidentmi na daňové účely na Slovensku a členmi takejto skupiny nadnárodných spoločností.</w:t>
            </w:r>
          </w:p>
          <w:p w:rsidR="00E74ED1" w:rsidRPr="006756B1" w:rsidP="00C8566F">
            <w:pPr>
              <w:bidi w:val="0"/>
              <w:spacing w:after="0" w:line="240" w:lineRule="auto"/>
              <w:rPr>
                <w:rFonts w:ascii="Times New Roman" w:hAnsi="Times New Roman"/>
                <w:i/>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74ED1" w:rsidRPr="006756B1" w:rsidP="00C8566F">
            <w:pPr>
              <w:bidi w:val="0"/>
              <w:spacing w:after="0" w:line="240" w:lineRule="auto"/>
              <w:rPr>
                <w:rFonts w:ascii="Times New Roman" w:hAnsi="Times New Roman"/>
                <w:b/>
                <w:sz w:val="24"/>
              </w:rPr>
            </w:pPr>
            <w:r w:rsidRPr="006756B1">
              <w:rPr>
                <w:rFonts w:ascii="Times New Roman" w:hAnsi="Times New Roman"/>
                <w:b/>
                <w:sz w:val="24"/>
              </w:rPr>
              <w:t>3.2 Vyhodnotenie konzultácií</w:t>
            </w:r>
          </w:p>
          <w:p w:rsidR="00E74ED1" w:rsidRPr="006756B1" w:rsidP="00C8566F">
            <w:pPr>
              <w:bidi w:val="0"/>
              <w:spacing w:after="0" w:line="240" w:lineRule="auto"/>
              <w:rPr>
                <w:rFonts w:ascii="Times New Roman" w:hAnsi="Times New Roman"/>
                <w:b/>
              </w:rPr>
            </w:pPr>
            <w:r w:rsidRPr="006756B1">
              <w:rPr>
                <w:rFonts w:ascii="Times New Roman" w:hAnsi="Times New Roman"/>
                <w:sz w:val="24"/>
              </w:rPr>
              <w:t xml:space="preserve">       - </w:t>
            </w:r>
            <w:r w:rsidRPr="006756B1">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i/>
              </w:rPr>
            </w:pPr>
            <w:r w:rsidRPr="006756B1">
              <w:rPr>
                <w:rFonts w:ascii="Times New Roman" w:hAnsi="Times New Roman"/>
                <w:i/>
              </w:rPr>
              <w:t>Uveďte, akou formou (verejné alebo cielené konzultácie a prečo) a s kým bol návrh konzultovaný.</w:t>
            </w:r>
          </w:p>
          <w:p w:rsidR="00E74ED1" w:rsidRPr="006756B1" w:rsidP="00C8566F">
            <w:pPr>
              <w:bidi w:val="0"/>
              <w:spacing w:after="0" w:line="240" w:lineRule="auto"/>
              <w:rPr>
                <w:rFonts w:ascii="Times New Roman" w:hAnsi="Times New Roman"/>
                <w:i/>
              </w:rPr>
            </w:pPr>
            <w:r w:rsidRPr="006756B1">
              <w:rPr>
                <w:rFonts w:ascii="Times New Roman" w:hAnsi="Times New Roman"/>
                <w:i/>
              </w:rPr>
              <w:t>Ako dlho trvali konzultácie?</w:t>
            </w:r>
          </w:p>
          <w:p w:rsidR="00E74ED1" w:rsidRPr="006756B1" w:rsidP="00C8566F">
            <w:pPr>
              <w:bidi w:val="0"/>
              <w:spacing w:after="0" w:line="240" w:lineRule="auto"/>
              <w:rPr>
                <w:rFonts w:ascii="Times New Roman" w:hAnsi="Times New Roman"/>
                <w:i/>
              </w:rPr>
            </w:pPr>
            <w:r w:rsidRPr="006756B1">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Vzhľadom na cieľovú skupinu ovplyvnených podnikateľských subjektov, konzultácie boli cielené, uskutočnené formou prezentácie v zasadačke MF SR. Pozvanie na konzultácie akceptovali zástupcovia:</w:t>
            </w:r>
          </w:p>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Republikovej únie zamestnávateľov</w:t>
            </w:r>
          </w:p>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Zväzu automobilového priemyslu SR</w:t>
            </w:r>
          </w:p>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Asociácie zamestnávateľských zväzov a združení SR</w:t>
            </w:r>
          </w:p>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 xml:space="preserve">Slovenskej bankovej asociácie   </w:t>
            </w:r>
          </w:p>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 xml:space="preserve">Slovenskej asociácie poisťovní     </w:t>
            </w:r>
          </w:p>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Slovenskej komory daňových poradcov (len zaslaná prezentácia)</w:t>
            </w:r>
          </w:p>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 xml:space="preserve">Americkej obchodnej komory   </w:t>
            </w:r>
          </w:p>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 xml:space="preserve">Francúzsko - slovenskej obchodnej komory  </w:t>
            </w:r>
          </w:p>
          <w:p w:rsidR="00E74ED1" w:rsidRPr="006756B1" w:rsidP="00C8566F">
            <w:pPr>
              <w:bidi w:val="0"/>
              <w:spacing w:after="0" w:line="240" w:lineRule="auto"/>
              <w:jc w:val="both"/>
              <w:rPr>
                <w:rFonts w:ascii="Times New Roman" w:hAnsi="Times New Roman"/>
                <w:szCs w:val="22"/>
              </w:rPr>
            </w:pPr>
          </w:p>
          <w:p w:rsidR="00E74ED1" w:rsidRPr="006756B1" w:rsidP="00C8566F">
            <w:pPr>
              <w:bidi w:val="0"/>
              <w:spacing w:after="0" w:line="240" w:lineRule="auto"/>
              <w:jc w:val="both"/>
              <w:rPr>
                <w:rFonts w:ascii="Times New Roman" w:hAnsi="Times New Roman"/>
                <w:szCs w:val="22"/>
              </w:rPr>
            </w:pPr>
            <w:r w:rsidRPr="006756B1">
              <w:rPr>
                <w:rFonts w:ascii="Times New Roman" w:hAnsi="Times New Roman"/>
                <w:szCs w:val="22"/>
              </w:rPr>
              <w:t>Hlavné body konzultácií:</w:t>
            </w:r>
          </w:p>
          <w:p w:rsidR="00E74ED1" w:rsidRPr="006756B1" w:rsidP="00E74ED1">
            <w:pPr>
              <w:pStyle w:val="ListParagraph"/>
              <w:numPr>
                <w:numId w:val="37"/>
              </w:numPr>
              <w:bidi w:val="0"/>
              <w:spacing w:after="0" w:afterAutospacing="0"/>
              <w:contextualSpacing w:val="0"/>
              <w:rPr>
                <w:rFonts w:ascii="Times New Roman" w:hAnsi="Times New Roman"/>
                <w:sz w:val="20"/>
                <w:szCs w:val="20"/>
              </w:rPr>
            </w:pPr>
            <w:r w:rsidRPr="006756B1">
              <w:rPr>
                <w:rFonts w:ascii="Times New Roman" w:hAnsi="Times New Roman"/>
                <w:sz w:val="20"/>
                <w:szCs w:val="20"/>
              </w:rPr>
              <w:t xml:space="preserve">Transpozícia smernice Rady 2016/881, ktorou sa mení smernica 2011/16/EÚ, pokiaľ ide o povinnú automatickú výmenu informácií , ktorej cieľom je boj proti vyhýbaniu sa daňovým povinnostiam a agresívnemu daňovému plánovaniu, zvýšenie transparentnosti voči daňovým orgánom ako súčasť boja proti narúšaniu základu dane a presunu ziskov, stimulovanie odvádzania daní v tom štáte, kde sa zisk vytvára </w:t>
            </w:r>
          </w:p>
          <w:p w:rsidR="00E74ED1" w:rsidRPr="006756B1" w:rsidP="00E74ED1">
            <w:pPr>
              <w:pStyle w:val="ListParagraph"/>
              <w:numPr>
                <w:numId w:val="37"/>
              </w:numPr>
              <w:bidi w:val="0"/>
              <w:spacing w:after="0" w:afterAutospacing="0"/>
              <w:contextualSpacing w:val="0"/>
              <w:rPr>
                <w:rFonts w:ascii="Times New Roman" w:hAnsi="Times New Roman"/>
                <w:sz w:val="20"/>
                <w:szCs w:val="20"/>
              </w:rPr>
            </w:pPr>
            <w:r w:rsidRPr="006756B1">
              <w:rPr>
                <w:rFonts w:ascii="Times New Roman" w:hAnsi="Times New Roman"/>
                <w:sz w:val="20"/>
                <w:szCs w:val="20"/>
              </w:rPr>
              <w:t xml:space="preserve">Návrh zákona uloží povinnosť skupinám nadnárodných podnikov poskytovať každoročne správu, ktorá obsahuje súhrnné informácie o výnosoch, zisku pred zdanením alebo strate, zaplatenej dani z príjmov, splatnej dani z príjmov, zapísanom základnom imaní, nerozdelenom zisku, počte zamestnancov, hmotnom majetku inom než peňažné prostriedky a peňažné ekvivalenty, a to za každý štát daňovej rezidencie, v ktorom skupina nadnárodných podnikov pôsobí a zoznam jednotlivých základných subjektov skupiny nadnárodných podnikov a charakter hlavnej ekonomickej činnosti základného subjektu. </w:t>
            </w:r>
          </w:p>
          <w:p w:rsidR="00E74ED1" w:rsidRPr="006756B1" w:rsidP="00E74ED1">
            <w:pPr>
              <w:pStyle w:val="ListParagraph"/>
              <w:numPr>
                <w:numId w:val="37"/>
              </w:numPr>
              <w:bidi w:val="0"/>
              <w:spacing w:after="0" w:afterAutospacing="0"/>
              <w:contextualSpacing w:val="0"/>
              <w:jc w:val="left"/>
              <w:rPr>
                <w:rFonts w:ascii="Times New Roman" w:hAnsi="Times New Roman"/>
                <w:sz w:val="20"/>
                <w:szCs w:val="20"/>
              </w:rPr>
            </w:pPr>
            <w:r w:rsidRPr="006756B1">
              <w:rPr>
                <w:rFonts w:ascii="Times New Roman" w:hAnsi="Times New Roman"/>
                <w:sz w:val="20"/>
                <w:szCs w:val="20"/>
              </w:rPr>
              <w:t xml:space="preserve">Informácie </w:t>
            </w:r>
            <w:r w:rsidRPr="006756B1">
              <w:rPr>
                <w:rFonts w:ascii="Times New Roman" w:hAnsi="Times New Roman"/>
                <w:sz w:val="20"/>
                <w:szCs w:val="20"/>
                <w:u w:val="single"/>
              </w:rPr>
              <w:t>nebudú zverejňované</w:t>
            </w:r>
            <w:r w:rsidRPr="006756B1">
              <w:rPr>
                <w:rFonts w:ascii="Times New Roman" w:hAnsi="Times New Roman"/>
                <w:sz w:val="20"/>
                <w:szCs w:val="20"/>
              </w:rPr>
              <w:t>.</w:t>
            </w:r>
          </w:p>
          <w:p w:rsidR="00E74ED1" w:rsidRPr="006756B1" w:rsidP="00E74ED1">
            <w:pPr>
              <w:pStyle w:val="ListParagraph"/>
              <w:numPr>
                <w:numId w:val="37"/>
              </w:numPr>
              <w:bidi w:val="0"/>
              <w:spacing w:after="0" w:afterAutospacing="0"/>
              <w:contextualSpacing w:val="0"/>
              <w:rPr>
                <w:rFonts w:ascii="Times New Roman" w:hAnsi="Times New Roman"/>
                <w:sz w:val="20"/>
                <w:szCs w:val="20"/>
              </w:rPr>
            </w:pPr>
            <w:r w:rsidRPr="006756B1">
              <w:rPr>
                <w:rFonts w:ascii="Times New Roman" w:hAnsi="Times New Roman"/>
                <w:sz w:val="20"/>
                <w:szCs w:val="20"/>
              </w:rPr>
              <w:t xml:space="preserve">Povinnosť podávať správu podľa jednotlivých štátov budú mať len skupiny nadnárodných podnikov, ktoré majú </w:t>
            </w:r>
            <w:r w:rsidRPr="006756B1">
              <w:rPr>
                <w:rFonts w:ascii="Times New Roman" w:hAnsi="Times New Roman"/>
                <w:sz w:val="20"/>
                <w:szCs w:val="20"/>
                <w:u w:val="single"/>
              </w:rPr>
              <w:t>celkový konsolidovaný výnos skupiny rovný alebo vyšší ako 750 000 000 EUR</w:t>
            </w:r>
            <w:r w:rsidRPr="006756B1">
              <w:rPr>
                <w:rFonts w:ascii="Times New Roman" w:hAnsi="Times New Roman"/>
                <w:sz w:val="20"/>
                <w:szCs w:val="20"/>
              </w:rPr>
              <w:t xml:space="preserve">. </w:t>
            </w:r>
          </w:p>
          <w:p w:rsidR="00E74ED1" w:rsidRPr="006756B1" w:rsidP="00C8566F">
            <w:pPr>
              <w:bidi w:val="0"/>
              <w:spacing w:after="0" w:line="240" w:lineRule="auto"/>
              <w:jc w:val="both"/>
              <w:rPr>
                <w:rFonts w:ascii="Times New Roman" w:hAnsi="Times New Roman"/>
                <w:szCs w:val="22"/>
              </w:rPr>
            </w:pPr>
          </w:p>
          <w:p w:rsidR="00E74ED1" w:rsidRPr="006756B1" w:rsidP="00C8566F">
            <w:pPr>
              <w:bidi w:val="0"/>
              <w:spacing w:after="0" w:line="240" w:lineRule="auto"/>
              <w:jc w:val="both"/>
              <w:rPr>
                <w:rFonts w:ascii="Times New Roman" w:hAnsi="Times New Roman"/>
                <w:szCs w:val="22"/>
              </w:rPr>
            </w:pPr>
            <w:r w:rsidRPr="006756B1">
              <w:rPr>
                <w:rFonts w:ascii="Times New Roman" w:hAnsi="Times New Roman"/>
                <w:szCs w:val="22"/>
              </w:rPr>
              <w:t>Výsledky konzultácií:  Otázky účastníkov boli zamerané na termíny a oznamovaciu povinnosť vyplývajúcu zo smernice. Účastníci ocenili získanie informácií pred začatím prípravy legislatívneho materiálu.</w:t>
            </w:r>
          </w:p>
          <w:p w:rsidR="00E74ED1" w:rsidRPr="006756B1" w:rsidP="00C8566F">
            <w:pPr>
              <w:bidi w:val="0"/>
              <w:spacing w:after="0" w:line="240" w:lineRule="auto"/>
              <w:jc w:val="both"/>
              <w:rPr>
                <w:rFonts w:ascii="Times New Roman" w:hAnsi="Times New Roman"/>
                <w:szCs w:val="22"/>
              </w:rPr>
            </w:pPr>
            <w:r w:rsidRPr="006756B1">
              <w:rPr>
                <w:rFonts w:ascii="Times New Roman" w:hAnsi="Times New Roman"/>
                <w:szCs w:val="22"/>
              </w:rPr>
              <w:t>Link na predbežnú informáciu na portáli Slov-lex:</w:t>
            </w:r>
          </w:p>
          <w:p w:rsidR="00E74ED1" w:rsidRPr="006756B1" w:rsidP="006756B1">
            <w:pPr>
              <w:bidi w:val="0"/>
              <w:spacing w:after="0" w:line="240" w:lineRule="auto"/>
              <w:jc w:val="both"/>
              <w:rPr>
                <w:rFonts w:ascii="Times New Roman" w:hAnsi="Times New Roman"/>
                <w:color w:val="1F497D"/>
              </w:rPr>
            </w:pPr>
            <w:hyperlink r:id="rId5" w:history="1">
              <w:r w:rsidRPr="006756B1">
                <w:rPr>
                  <w:rFonts w:ascii="Times New Roman" w:hAnsi="Times New Roman"/>
                  <w:szCs w:val="22"/>
                </w:rPr>
                <w:t>https://www.slov-lex.sk/legislativne-procesy/SK/PI/2016/106</w:t>
              </w:r>
            </w:hyperlink>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74ED1" w:rsidRPr="006756B1" w:rsidP="00C8566F">
            <w:pPr>
              <w:bidi w:val="0"/>
              <w:spacing w:after="0" w:line="240" w:lineRule="auto"/>
              <w:rPr>
                <w:rFonts w:ascii="Times New Roman" w:hAnsi="Times New Roman"/>
                <w:b/>
                <w:sz w:val="24"/>
              </w:rPr>
            </w:pPr>
            <w:r w:rsidRPr="006756B1">
              <w:rPr>
                <w:rFonts w:ascii="Times New Roman" w:hAnsi="Times New Roman"/>
                <w:b/>
                <w:sz w:val="24"/>
              </w:rPr>
              <w:t>3.3 Náklady regulácie</w:t>
            </w:r>
          </w:p>
          <w:p w:rsidR="00E74ED1" w:rsidRPr="006756B1" w:rsidP="00C8566F">
            <w:pPr>
              <w:bidi w:val="0"/>
              <w:spacing w:after="0" w:line="240" w:lineRule="auto"/>
              <w:rPr>
                <w:rFonts w:ascii="Times New Roman" w:hAnsi="Times New Roman"/>
                <w:b/>
              </w:rPr>
            </w:pPr>
            <w:r w:rsidRPr="006756B1">
              <w:rPr>
                <w:rFonts w:ascii="Times New Roman" w:hAnsi="Times New Roman"/>
                <w:sz w:val="24"/>
              </w:rPr>
              <w:t xml:space="preserve">      - </w:t>
            </w:r>
            <w:r w:rsidRPr="006756B1">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b/>
                <w:i/>
              </w:rPr>
            </w:pPr>
            <w:r w:rsidRPr="006756B1">
              <w:rPr>
                <w:rFonts w:ascii="Times New Roman" w:hAnsi="Times New Roman"/>
                <w:b/>
                <w:i/>
              </w:rPr>
              <w:t>3.3.1 Priame finančné náklady</w:t>
            </w:r>
          </w:p>
          <w:p w:rsidR="00E74ED1" w:rsidRPr="006756B1" w:rsidP="00C8566F">
            <w:pPr>
              <w:bidi w:val="0"/>
              <w:spacing w:after="0" w:line="240" w:lineRule="auto"/>
              <w:rPr>
                <w:rFonts w:ascii="Times New Roman" w:hAnsi="Times New Roman"/>
                <w:i/>
              </w:rPr>
            </w:pPr>
            <w:r w:rsidRPr="006756B1">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b/>
                <w:i/>
              </w:rPr>
            </w:pPr>
          </w:p>
          <w:p w:rsidR="00E74ED1" w:rsidRPr="006756B1" w:rsidP="00C8566F">
            <w:pPr>
              <w:bidi w:val="0"/>
              <w:spacing w:after="0" w:line="240" w:lineRule="auto"/>
              <w:rPr>
                <w:rFonts w:ascii="Times New Roman" w:hAnsi="Times New Roman"/>
                <w:b/>
                <w:i/>
              </w:rPr>
            </w:pPr>
            <w:r w:rsidRPr="006756B1">
              <w:rPr>
                <w:rFonts w:ascii="Times New Roman" w:hAnsi="Times New Roman"/>
                <w:b/>
                <w:i/>
              </w:rPr>
              <w:t>N/A</w:t>
            </w:r>
          </w:p>
          <w:p w:rsidR="00E74ED1" w:rsidRPr="006756B1" w:rsidP="00C8566F">
            <w:pPr>
              <w:bidi w:val="0"/>
              <w:spacing w:after="0" w:line="240" w:lineRule="auto"/>
              <w:rPr>
                <w:rFonts w:ascii="Times New Roman" w:hAnsi="Times New Roman"/>
                <w:b/>
                <w:i/>
              </w:rPr>
            </w:pPr>
          </w:p>
          <w:p w:rsidR="00E74ED1" w:rsidRPr="006756B1" w:rsidP="00C8566F">
            <w:pPr>
              <w:bidi w:val="0"/>
              <w:spacing w:after="0" w:line="240" w:lineRule="auto"/>
              <w:rPr>
                <w:rFonts w:ascii="Times New Roman" w:hAnsi="Times New Roman"/>
                <w:b/>
                <w:i/>
              </w:rPr>
            </w:pPr>
          </w:p>
          <w:p w:rsidR="00E74ED1" w:rsidRPr="006756B1" w:rsidP="00C8566F">
            <w:pPr>
              <w:bidi w:val="0"/>
              <w:spacing w:after="0" w:line="240" w:lineRule="auto"/>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b/>
                <w:i/>
              </w:rPr>
            </w:pPr>
            <w:r w:rsidRPr="006756B1">
              <w:rPr>
                <w:rFonts w:ascii="Times New Roman" w:hAnsi="Times New Roman"/>
                <w:b/>
                <w:i/>
              </w:rPr>
              <w:t>3.3.2 Nepriame finančné náklady</w:t>
            </w:r>
          </w:p>
          <w:p w:rsidR="00E74ED1" w:rsidRPr="006756B1" w:rsidP="00C8566F">
            <w:pPr>
              <w:bidi w:val="0"/>
              <w:spacing w:after="0" w:line="240" w:lineRule="auto"/>
              <w:rPr>
                <w:rFonts w:ascii="Times New Roman" w:hAnsi="Times New Roman"/>
                <w:i/>
              </w:rPr>
            </w:pPr>
            <w:r w:rsidRPr="006756B1">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b/>
                <w:i/>
              </w:rPr>
            </w:pPr>
          </w:p>
          <w:p w:rsidR="00E74ED1" w:rsidRPr="006756B1" w:rsidP="00C8566F">
            <w:pPr>
              <w:bidi w:val="0"/>
              <w:spacing w:after="0" w:line="240" w:lineRule="auto"/>
              <w:rPr>
                <w:rFonts w:ascii="Times New Roman" w:hAnsi="Times New Roman"/>
                <w:b/>
                <w:i/>
              </w:rPr>
            </w:pPr>
            <w:r w:rsidRPr="006756B1">
              <w:rPr>
                <w:rFonts w:ascii="Times New Roman" w:hAnsi="Times New Roman"/>
                <w:b/>
                <w:i/>
              </w:rPr>
              <w:t>N/A</w:t>
            </w:r>
          </w:p>
          <w:p w:rsidR="00E74ED1" w:rsidRPr="006756B1" w:rsidP="00C8566F">
            <w:pPr>
              <w:bidi w:val="0"/>
              <w:spacing w:after="0" w:line="240" w:lineRule="auto"/>
              <w:rPr>
                <w:rFonts w:ascii="Times New Roman" w:hAnsi="Times New Roman"/>
                <w:b/>
                <w:i/>
              </w:rPr>
            </w:pPr>
          </w:p>
          <w:p w:rsidR="00E74ED1" w:rsidRPr="006756B1" w:rsidP="00C8566F">
            <w:pPr>
              <w:bidi w:val="0"/>
              <w:spacing w:after="0" w:line="240" w:lineRule="auto"/>
              <w:rPr>
                <w:rFonts w:ascii="Times New Roman" w:hAnsi="Times New Roman"/>
                <w:b/>
                <w:i/>
              </w:rPr>
            </w:pPr>
          </w:p>
          <w:p w:rsidR="00E74ED1" w:rsidRPr="006756B1" w:rsidP="00C8566F">
            <w:pPr>
              <w:bidi w:val="0"/>
              <w:spacing w:after="0" w:line="240" w:lineRule="auto"/>
              <w:rPr>
                <w:rFonts w:ascii="Times New Roman" w:hAnsi="Times New Roman"/>
                <w:b/>
                <w:i/>
              </w:rPr>
            </w:pPr>
          </w:p>
          <w:p w:rsidR="00E74ED1" w:rsidRPr="006756B1" w:rsidP="00C8566F">
            <w:pPr>
              <w:bidi w:val="0"/>
              <w:spacing w:after="0" w:line="240" w:lineRule="auto"/>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b/>
                <w:i/>
              </w:rPr>
            </w:pPr>
            <w:r w:rsidRPr="006756B1">
              <w:rPr>
                <w:rFonts w:ascii="Times New Roman" w:hAnsi="Times New Roman"/>
                <w:b/>
                <w:i/>
              </w:rPr>
              <w:t>3.3.3 Administratívne náklady</w:t>
            </w:r>
          </w:p>
          <w:p w:rsidR="00E74ED1" w:rsidRPr="006756B1" w:rsidP="00C8566F">
            <w:pPr>
              <w:bidi w:val="0"/>
              <w:spacing w:after="0" w:line="240" w:lineRule="auto"/>
              <w:rPr>
                <w:rFonts w:ascii="Times New Roman" w:hAnsi="Times New Roman"/>
                <w:i/>
              </w:rPr>
            </w:pPr>
            <w:r w:rsidRPr="006756B1">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Povinnosť podávať správu – vypracovanie správy: 650 min</w:t>
            </w:r>
          </w:p>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Oznamovacia povinnosť – predloženie dokumentu elektronicky alebo papierovo: 30 min. – 50 min.</w:t>
            </w:r>
          </w:p>
          <w:p w:rsidR="00E74ED1" w:rsidRPr="006756B1" w:rsidP="00C8566F">
            <w:pPr>
              <w:bidi w:val="0"/>
              <w:spacing w:after="0" w:line="240" w:lineRule="auto"/>
              <w:rPr>
                <w:rFonts w:ascii="Times New Roman" w:hAnsi="Times New Roman"/>
                <w:szCs w:val="22"/>
              </w:rPr>
            </w:pPr>
            <w:r w:rsidRPr="006756B1">
              <w:rPr>
                <w:rFonts w:ascii="Times New Roman" w:hAnsi="Times New Roman"/>
                <w:szCs w:val="22"/>
              </w:rPr>
              <w:t>Spôsob výpočtu: Tabuľka štandardných časových náročností typických informačných povinností podľa veľkosti podniku (v minútach) a Malá kalkulačku nákladov povinnosti – slúži na jednoduchú kalkuláciu nákladov ľubovoľnej jednej povinnosti (MS Excel, záložka č. 1 – Malá kalkulačka);</w:t>
            </w:r>
          </w:p>
          <w:p w:rsidR="00E74ED1" w:rsidRPr="006756B1" w:rsidP="00C8566F">
            <w:pPr>
              <w:bidi w:val="0"/>
              <w:spacing w:after="0" w:line="240" w:lineRule="auto"/>
              <w:rPr>
                <w:rFonts w:ascii="Times New Roman" w:hAnsi="Times New Roman"/>
                <w:szCs w:val="22"/>
              </w:rPr>
            </w:pPr>
          </w:p>
          <w:p w:rsidR="00E74ED1" w:rsidRPr="006756B1" w:rsidP="00C8566F">
            <w:pPr>
              <w:bidi w:val="0"/>
              <w:spacing w:after="0" w:line="240" w:lineRule="auto"/>
              <w:rPr>
                <w:rFonts w:ascii="Times New Roman" w:hAnsi="Times New Roman"/>
                <w:b/>
                <w:i/>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i/>
              </w:rPr>
            </w:pPr>
            <w:r w:rsidRPr="006756B1">
              <w:rPr>
                <w:rFonts w:ascii="Times New Roman" w:hAnsi="Times New Roman"/>
                <w:b/>
                <w:i/>
              </w:rPr>
              <w:t>3.3.4 Súhrnná tabuľka nákladov regulácie</w:t>
            </w:r>
          </w:p>
          <w:p w:rsidR="00E74ED1" w:rsidRPr="006756B1" w:rsidP="00C8566F">
            <w:pPr>
              <w:bidi w:val="0"/>
              <w:spacing w:after="0" w:line="240" w:lineRule="auto"/>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jc w:val="center"/>
                    <w:rPr>
                      <w:rFonts w:ascii="Times New Roman" w:hAnsi="Times New Roman"/>
                      <w:i/>
                    </w:rPr>
                  </w:pPr>
                  <w:r w:rsidRPr="006756B1">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jc w:val="center"/>
                    <w:rPr>
                      <w:rFonts w:ascii="Times New Roman" w:hAnsi="Times New Roman"/>
                      <w:i/>
                    </w:rPr>
                  </w:pPr>
                  <w:r w:rsidRPr="006756B1">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i/>
                    </w:rPr>
                  </w:pPr>
                  <w:r w:rsidRPr="006756B1">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jc w:val="center"/>
                    <w:rPr>
                      <w:rFonts w:ascii="Times New Roman" w:hAnsi="Times New Roman"/>
                      <w:i/>
                    </w:rPr>
                  </w:pPr>
                  <w:r w:rsidRPr="006756B1">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jc w:val="center"/>
                    <w:rPr>
                      <w:rFonts w:ascii="Times New Roman" w:hAnsi="Times New Roman"/>
                      <w:i/>
                    </w:rPr>
                  </w:pPr>
                  <w:r w:rsidRPr="006756B1">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i/>
                    </w:rPr>
                  </w:pPr>
                  <w:r w:rsidRPr="006756B1">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jc w:val="center"/>
                    <w:rPr>
                      <w:rFonts w:ascii="Times New Roman" w:hAnsi="Times New Roman"/>
                      <w:i/>
                    </w:rPr>
                  </w:pPr>
                  <w:r w:rsidRPr="006756B1">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jc w:val="center"/>
                    <w:rPr>
                      <w:rFonts w:ascii="Times New Roman" w:hAnsi="Times New Roman"/>
                      <w:i/>
                    </w:rPr>
                  </w:pPr>
                  <w:r w:rsidRPr="006756B1">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i/>
                    </w:rPr>
                  </w:pPr>
                  <w:r w:rsidRPr="006756B1">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jc w:val="center"/>
                    <w:rPr>
                      <w:rFonts w:ascii="Times New Roman" w:hAnsi="Times New Roman"/>
                      <w:i/>
                    </w:rPr>
                  </w:pPr>
                  <w:r w:rsidRPr="006756B1">
                    <w:rPr>
                      <w:rFonts w:ascii="Times New Roman" w:hAnsi="Times New Roman"/>
                      <w:i/>
                    </w:rPr>
                    <w:t>61</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jc w:val="center"/>
                    <w:rPr>
                      <w:rFonts w:ascii="Times New Roman" w:hAnsi="Times New Roman"/>
                      <w:i/>
                    </w:rPr>
                  </w:pPr>
                  <w:r w:rsidRPr="006756B1">
                    <w:rPr>
                      <w:rFonts w:ascii="Times New Roman" w:hAnsi="Times New Roman"/>
                      <w:i/>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b/>
                      <w:i/>
                    </w:rPr>
                  </w:pPr>
                  <w:r w:rsidRPr="006756B1">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jc w:val="center"/>
                    <w:rPr>
                      <w:rFonts w:ascii="Times New Roman" w:hAnsi="Times New Roman"/>
                      <w:b/>
                      <w:i/>
                    </w:rPr>
                  </w:pPr>
                  <w:r w:rsidRPr="006756B1">
                    <w:rPr>
                      <w:rFonts w:ascii="Times New Roman" w:hAnsi="Times New Roman"/>
                      <w:b/>
                      <w:i/>
                    </w:rPr>
                    <w:t>61</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jc w:val="center"/>
                    <w:rPr>
                      <w:rFonts w:ascii="Times New Roman" w:hAnsi="Times New Roman"/>
                      <w:b/>
                      <w:i/>
                    </w:rPr>
                  </w:pPr>
                  <w:r w:rsidRPr="006756B1">
                    <w:rPr>
                      <w:rFonts w:ascii="Times New Roman" w:hAnsi="Times New Roman"/>
                      <w:b/>
                      <w:i/>
                    </w:rPr>
                    <w:t>0</w:t>
                  </w:r>
                </w:p>
              </w:tc>
            </w:tr>
          </w:tbl>
          <w:p w:rsidR="00E74ED1" w:rsidRPr="006756B1" w:rsidP="00C8566F">
            <w:pPr>
              <w:bidi w:val="0"/>
              <w:spacing w:after="0" w:line="240" w:lineRule="auto"/>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74ED1" w:rsidRPr="006756B1" w:rsidP="00C8566F">
            <w:pPr>
              <w:bidi w:val="0"/>
              <w:spacing w:after="0" w:line="240" w:lineRule="auto"/>
              <w:rPr>
                <w:rFonts w:ascii="Times New Roman" w:hAnsi="Times New Roman"/>
                <w:b/>
                <w:sz w:val="24"/>
              </w:rPr>
            </w:pPr>
            <w:r w:rsidRPr="006756B1">
              <w:rPr>
                <w:rFonts w:ascii="Times New Roman" w:hAnsi="Times New Roman"/>
                <w:b/>
                <w:sz w:val="24"/>
              </w:rPr>
              <w:t>3.4 Konkurencieschopnosť a správanie sa podnikov na trhu</w:t>
            </w:r>
          </w:p>
          <w:p w:rsidR="00E74ED1" w:rsidRPr="006756B1" w:rsidP="00C8566F">
            <w:pPr>
              <w:bidi w:val="0"/>
              <w:spacing w:after="0" w:line="240" w:lineRule="auto"/>
              <w:rPr>
                <w:rFonts w:ascii="Times New Roman" w:hAnsi="Times New Roman"/>
              </w:rPr>
            </w:pPr>
            <w:r w:rsidRPr="006756B1">
              <w:rPr>
                <w:rFonts w:ascii="Times New Roman" w:hAnsi="Times New Roman"/>
                <w:b/>
                <w:sz w:val="24"/>
              </w:rPr>
              <w:t xml:space="preserve">       </w:t>
            </w:r>
            <w:r w:rsidRPr="006756B1">
              <w:rPr>
                <w:rFonts w:ascii="Times New Roman" w:hAnsi="Times New Roman"/>
                <w:sz w:val="24"/>
              </w:rPr>
              <w:t xml:space="preserve">- </w:t>
            </w:r>
            <w:r w:rsidRPr="006756B1">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i/>
              </w:rPr>
            </w:pPr>
            <w:r w:rsidRPr="006756B1">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E74ED1" w:rsidRPr="006756B1" w:rsidP="00C8566F">
            <w:pPr>
              <w:bidi w:val="0"/>
              <w:spacing w:after="0" w:line="240" w:lineRule="auto"/>
              <w:rPr>
                <w:rFonts w:ascii="Times New Roman" w:hAnsi="Times New Roman"/>
                <w:i/>
              </w:rPr>
            </w:pPr>
            <w:r w:rsidRPr="006756B1">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E74ED1" w:rsidRPr="006756B1" w:rsidP="00C8566F">
            <w:pPr>
              <w:bidi w:val="0"/>
              <w:spacing w:after="0" w:line="240" w:lineRule="auto"/>
              <w:rPr>
                <w:rFonts w:ascii="Times New Roman" w:hAnsi="Times New Roman"/>
                <w:i/>
              </w:rPr>
            </w:pPr>
            <w:r w:rsidRPr="006756B1">
              <w:rPr>
                <w:rFonts w:ascii="Times New Roman" w:hAnsi="Times New Roman"/>
                <w:i/>
              </w:rPr>
              <w:t>Ako ovplyvní cenu alebo dostupnosť základných zdrojov (suroviny, mechanizmy, pracovná sila, energie atď.)?</w:t>
            </w:r>
          </w:p>
          <w:p w:rsidR="00E74ED1" w:rsidRPr="006756B1" w:rsidP="00C8566F">
            <w:pPr>
              <w:bidi w:val="0"/>
              <w:spacing w:after="0" w:line="240" w:lineRule="auto"/>
              <w:rPr>
                <w:rFonts w:ascii="Times New Roman" w:hAnsi="Times New Roman"/>
                <w:i/>
              </w:rPr>
            </w:pPr>
            <w:r w:rsidRPr="006756B1">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i/>
              </w:rPr>
            </w:pPr>
          </w:p>
          <w:p w:rsidR="00E74ED1" w:rsidRPr="006756B1" w:rsidP="00C8566F">
            <w:pPr>
              <w:bidi w:val="0"/>
              <w:spacing w:after="0" w:line="240" w:lineRule="auto"/>
              <w:rPr>
                <w:rFonts w:ascii="Times New Roman" w:hAnsi="Times New Roman"/>
                <w:b/>
                <w:i/>
              </w:rPr>
            </w:pPr>
            <w:r w:rsidRPr="006756B1">
              <w:rPr>
                <w:rFonts w:ascii="Times New Roman" w:hAnsi="Times New Roman"/>
                <w:b/>
                <w:i/>
              </w:rPr>
              <w:t>N/A</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E74ED1" w:rsidRPr="006756B1" w:rsidP="00C8566F">
            <w:pPr>
              <w:bidi w:val="0"/>
              <w:spacing w:after="0" w:line="240" w:lineRule="auto"/>
              <w:rPr>
                <w:rFonts w:ascii="Times New Roman" w:hAnsi="Times New Roman"/>
                <w:b/>
                <w:sz w:val="24"/>
              </w:rPr>
            </w:pPr>
            <w:r w:rsidRPr="006756B1">
              <w:rPr>
                <w:rFonts w:ascii="Times New Roman" w:hAnsi="Times New Roman"/>
                <w:b/>
                <w:sz w:val="24"/>
              </w:rPr>
              <w:t xml:space="preserve">3.5 Inovácie </w:t>
            </w:r>
          </w:p>
          <w:p w:rsidR="00E74ED1" w:rsidRPr="006756B1" w:rsidP="00C8566F">
            <w:pPr>
              <w:bidi w:val="0"/>
              <w:spacing w:after="0" w:line="240" w:lineRule="auto"/>
              <w:rPr>
                <w:rFonts w:ascii="Times New Roman" w:hAnsi="Times New Roman"/>
                <w:b/>
              </w:rPr>
            </w:pPr>
            <w:r w:rsidRPr="006756B1">
              <w:rPr>
                <w:rFonts w:ascii="Times New Roman" w:hAnsi="Times New Roman"/>
                <w:sz w:val="24"/>
              </w:rPr>
              <w:t xml:space="preserve">       - </w:t>
            </w:r>
            <w:r w:rsidRPr="006756B1">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i/>
              </w:rPr>
            </w:pPr>
            <w:r w:rsidRPr="006756B1">
              <w:rPr>
                <w:rFonts w:ascii="Times New Roman" w:hAnsi="Times New Roman"/>
                <w:i/>
              </w:rPr>
              <w:t>Uveďte, ako podporuje navrhovaná zmena inovácie.</w:t>
            </w:r>
          </w:p>
          <w:p w:rsidR="00E74ED1" w:rsidRPr="006756B1" w:rsidP="00C8566F">
            <w:pPr>
              <w:bidi w:val="0"/>
              <w:spacing w:after="0" w:line="240" w:lineRule="auto"/>
              <w:rPr>
                <w:rFonts w:ascii="Times New Roman" w:hAnsi="Times New Roman"/>
                <w:i/>
              </w:rPr>
            </w:pPr>
            <w:r w:rsidRPr="006756B1">
              <w:rPr>
                <w:rFonts w:ascii="Times New Roman" w:hAnsi="Times New Roman"/>
                <w:i/>
              </w:rPr>
              <w:t>Zjednodušuje uvedenie alebo rozšírenie nových výrobných metód, technológií a výrobkov na trh?</w:t>
            </w:r>
          </w:p>
          <w:p w:rsidR="00E74ED1" w:rsidRPr="006756B1" w:rsidP="00C8566F">
            <w:pPr>
              <w:bidi w:val="0"/>
              <w:spacing w:after="0" w:line="240" w:lineRule="auto"/>
              <w:rPr>
                <w:rFonts w:ascii="Times New Roman" w:hAnsi="Times New Roman"/>
                <w:i/>
              </w:rPr>
            </w:pPr>
            <w:r w:rsidRPr="006756B1">
              <w:rPr>
                <w:rFonts w:ascii="Times New Roman" w:hAnsi="Times New Roman"/>
                <w:i/>
              </w:rPr>
              <w:t>Uveďte, ako vplýva navrhovaná zmena na jednotlivé práva duševného vlastníctva (napr. patenty, ochranné známky, autorské práva, vlastníctvo know-how).</w:t>
            </w:r>
          </w:p>
          <w:p w:rsidR="00E74ED1" w:rsidRPr="006756B1" w:rsidP="00C8566F">
            <w:pPr>
              <w:bidi w:val="0"/>
              <w:spacing w:after="0" w:line="240" w:lineRule="auto"/>
              <w:rPr>
                <w:rFonts w:ascii="Times New Roman" w:hAnsi="Times New Roman"/>
                <w:i/>
              </w:rPr>
            </w:pPr>
            <w:r w:rsidRPr="006756B1">
              <w:rPr>
                <w:rFonts w:ascii="Times New Roman" w:hAnsi="Times New Roman"/>
                <w:i/>
              </w:rPr>
              <w:t>Podporuje vyššiu efektivitu výroby/využívania zdrojov? Ak áno, ako?</w:t>
            </w:r>
          </w:p>
          <w:p w:rsidR="00E74ED1" w:rsidRPr="006756B1" w:rsidP="00C8566F">
            <w:pPr>
              <w:bidi w:val="0"/>
              <w:spacing w:after="0" w:line="240" w:lineRule="auto"/>
              <w:rPr>
                <w:rFonts w:ascii="Times New Roman" w:hAnsi="Times New Roman"/>
              </w:rPr>
            </w:pPr>
            <w:r w:rsidRPr="006756B1">
              <w:rPr>
                <w:rFonts w:ascii="Times New Roman" w:hAnsi="Times New Roman"/>
                <w:i/>
              </w:rPr>
              <w:t>Vytvorí zmena nové pracovné miesta pre zamestnancov výskumu a vývoja v SR?</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E74ED1" w:rsidRPr="006756B1" w:rsidP="00C8566F">
            <w:pPr>
              <w:bidi w:val="0"/>
              <w:spacing w:after="0" w:line="240" w:lineRule="auto"/>
              <w:rPr>
                <w:rFonts w:ascii="Times New Roman" w:hAnsi="Times New Roman"/>
                <w:i/>
              </w:rPr>
            </w:pPr>
          </w:p>
          <w:p w:rsidR="00E74ED1" w:rsidRPr="006756B1" w:rsidP="00C8566F">
            <w:pPr>
              <w:bidi w:val="0"/>
              <w:spacing w:after="0" w:line="240" w:lineRule="auto"/>
              <w:rPr>
                <w:rFonts w:ascii="Times New Roman" w:hAnsi="Times New Roman"/>
                <w:b/>
                <w:i/>
              </w:rPr>
            </w:pPr>
            <w:r w:rsidRPr="006756B1">
              <w:rPr>
                <w:rFonts w:ascii="Times New Roman" w:hAnsi="Times New Roman"/>
                <w:b/>
                <w:i/>
              </w:rPr>
              <w:t>N/A</w:t>
            </w:r>
          </w:p>
          <w:p w:rsidR="00E74ED1" w:rsidRPr="006756B1" w:rsidP="00C8566F">
            <w:pPr>
              <w:bidi w:val="0"/>
              <w:spacing w:after="0" w:line="240" w:lineRule="auto"/>
              <w:rPr>
                <w:rFonts w:ascii="Times New Roman" w:hAnsi="Times New Roman"/>
                <w:i/>
              </w:rPr>
            </w:pPr>
          </w:p>
        </w:tc>
      </w:tr>
    </w:tbl>
    <w:p w:rsidR="00E74ED1" w:rsidRPr="00F04CCD" w:rsidP="00E74ED1">
      <w:pPr>
        <w:bidi w:val="0"/>
      </w:pPr>
    </w:p>
    <w:p w:rsidR="00E74ED1" w:rsidP="00E74ED1">
      <w:pPr>
        <w:bidi w:val="0"/>
      </w:pPr>
    </w:p>
    <w:p w:rsidR="00E74ED1" w:rsidP="00E74ED1">
      <w:pPr>
        <w:bidi w:val="0"/>
      </w:pPr>
    </w:p>
    <w:p w:rsidR="00E74ED1" w:rsidP="00E74ED1">
      <w:pPr>
        <w:bidi w:val="0"/>
      </w:pPr>
    </w:p>
    <w:p w:rsidR="00E74ED1" w:rsidP="00E74ED1">
      <w:pPr>
        <w:bidi w:val="0"/>
      </w:pPr>
    </w:p>
    <w:p w:rsidR="00E74ED1" w:rsidP="00E74ED1">
      <w:pPr>
        <w:bidi w:val="0"/>
      </w:pPr>
    </w:p>
    <w:p w:rsidR="00E74ED1" w:rsidP="00E74ED1">
      <w:pPr>
        <w:bidi w:val="0"/>
      </w:pPr>
    </w:p>
    <w:p w:rsidR="00E74ED1" w:rsidP="00E74ED1">
      <w:pPr>
        <w:bidi w:val="0"/>
      </w:pPr>
    </w:p>
    <w:p w:rsidR="00E74ED1" w:rsidP="00E74ED1">
      <w:pPr>
        <w:bidi w:val="0"/>
        <w:rPr>
          <w:b/>
          <w:sz w:val="24"/>
        </w:rPr>
      </w:pPr>
    </w:p>
    <w:p w:rsidR="00E74ED1" w:rsidP="008B2BAC">
      <w:pPr>
        <w:pStyle w:val="Normlny1"/>
        <w:bidi w:val="0"/>
        <w:spacing w:before="0" w:beforeAutospacing="0" w:after="0" w:afterAutospacing="0"/>
        <w:jc w:val="both"/>
        <w:rPr>
          <w:rStyle w:val="normalchar"/>
          <w:rFonts w:ascii="Times New Roman" w:hAnsi="Times New Roman"/>
        </w:rPr>
      </w:pPr>
    </w:p>
    <w:p w:rsidR="0049568C" w:rsidRPr="006756B1" w:rsidP="006756B1">
      <w:pPr>
        <w:bidi w:val="0"/>
        <w:rPr>
          <w:rStyle w:val="normalchar"/>
          <w:rFonts w:ascii="Times New Roman" w:hAnsi="Times New Roman"/>
          <w:sz w:val="24"/>
          <w:szCs w:val="24"/>
          <w:lang w:eastAsia="sk-SK"/>
        </w:rPr>
      </w:pPr>
      <w:r w:rsidR="00E74ED1">
        <w:rPr>
          <w:rStyle w:val="normalchar"/>
        </w:rPr>
        <w:br w:type="page"/>
      </w:r>
    </w:p>
    <w:p w:rsidR="00233F02" w:rsidRPr="006756B1" w:rsidP="006756B1">
      <w:pPr>
        <w:bidi w:val="0"/>
        <w:jc w:val="center"/>
        <w:rPr>
          <w:rFonts w:ascii="Times New Roman" w:hAnsi="Times New Roman"/>
          <w:b/>
          <w:bCs/>
          <w:sz w:val="28"/>
          <w:szCs w:val="28"/>
        </w:rPr>
      </w:pPr>
      <w:r w:rsidRPr="006756B1">
        <w:rPr>
          <w:rFonts w:ascii="Times New Roman" w:hAnsi="Times New Roman"/>
          <w:b/>
          <w:bCs/>
          <w:sz w:val="28"/>
          <w:szCs w:val="28"/>
        </w:rPr>
        <w:t>Doložka vybraných vplyvov</w:t>
      </w: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bidi w:val="0"/>
              <w:ind w:left="142"/>
              <w:rPr>
                <w:rFonts w:ascii="Times New Roman" w:hAnsi="Times New Roman"/>
                <w:b/>
              </w:rPr>
            </w:pPr>
            <w:r w:rsidRPr="006756B1">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233F02" w:rsidRPr="006756B1" w:rsidP="00233F02">
            <w:pPr>
              <w:pStyle w:val="BodyTextIndent"/>
              <w:bidi w:val="0"/>
              <w:rPr>
                <w:rFonts w:ascii="Times New Roman" w:hAnsi="Times New Roman"/>
                <w:sz w:val="22"/>
                <w:szCs w:val="22"/>
              </w:rPr>
            </w:pPr>
            <w:r w:rsidRPr="006756B1">
              <w:rPr>
                <w:rFonts w:ascii="Times New Roman" w:hAnsi="Times New Roman"/>
                <w:b/>
                <w:bCs/>
              </w:rPr>
              <w:t>Návrh zákona, ktorým  sa mení a  dopĺňa zákon č. 442/2012 Z. z. o medzinárodnej pomoci a spolupráci pri správe daní v znení neskorších predpisov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bidi w:val="0"/>
              <w:ind w:left="142"/>
              <w:rPr>
                <w:rFonts w:ascii="Times New Roman" w:hAnsi="Times New Roman"/>
                <w:b/>
              </w:rPr>
            </w:pPr>
            <w:r w:rsidRPr="006756B1">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Ministerstvo financií Slovenskej republiky</w:t>
            </w:r>
          </w:p>
          <w:p w:rsidR="00233F02" w:rsidRPr="006756B1" w:rsidP="00233F02">
            <w:pPr>
              <w:bidi w:val="0"/>
              <w:spacing w:after="0" w:line="240" w:lineRule="auto"/>
              <w:rPr>
                <w:rFonts w:ascii="Times New Roman" w:hAnsi="Times New Roman"/>
              </w:rPr>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233F02" w:rsidRPr="006756B1" w:rsidP="00233F02">
            <w:pPr>
              <w:pStyle w:val="ListParagraph"/>
              <w:bidi w:val="0"/>
              <w:ind w:left="142"/>
              <w:rPr>
                <w:rFonts w:ascii="Times New Roman" w:hAnsi="Times New Roman"/>
                <w:b/>
              </w:rPr>
            </w:pPr>
            <w:r w:rsidRPr="006756B1">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233F02" w:rsidRPr="006756B1" w:rsidP="00233F02">
            <w:pPr>
              <w:bidi w:val="0"/>
              <w:spacing w:after="0" w:line="240" w:lineRule="auto"/>
              <w:jc w:val="center"/>
              <w:rPr>
                <w:rFonts w:ascii="Times New Roman" w:hAnsi="Times New Roman"/>
              </w:rPr>
            </w:pPr>
            <w:r w:rsidRPr="006756B1">
              <w:rPr>
                <w:rFonts w:ascii="Segoe UI Symbol" w:eastAsia="MS Mincho" w:hAnsi="Segoe UI Symbol" w:cs="Segoe UI Symbol" w:hint="default"/>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233F02" w:rsidRPr="006756B1" w:rsidP="00233F02">
            <w:pPr>
              <w:bidi w:val="0"/>
              <w:spacing w:after="0" w:line="240" w:lineRule="auto"/>
              <w:jc w:val="center"/>
              <w:rPr>
                <w:rFonts w:ascii="Times New Roman" w:hAnsi="Times New Roman"/>
              </w:rPr>
            </w:pPr>
            <w:r w:rsidRPr="006756B1">
              <w:rPr>
                <w:rFonts w:ascii="Times New Roman" w:hAnsi="Times New Roman"/>
              </w:rPr>
              <w:t>x</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233F02" w:rsidRPr="006756B1" w:rsidP="00233F02">
            <w:pPr>
              <w:bidi w:val="0"/>
              <w:spacing w:after="0" w:line="240" w:lineRule="auto"/>
              <w:ind w:left="175" w:hanging="175"/>
              <w:rPr>
                <w:rFonts w:ascii="Times New Roman" w:hAnsi="Times New Roman"/>
                <w:szCs w:val="22"/>
              </w:rPr>
            </w:pPr>
            <w:r w:rsidRPr="006756B1">
              <w:rPr>
                <w:rFonts w:ascii="Times New Roman" w:hAnsi="Times New Roman"/>
                <w:szCs w:val="22"/>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233F02" w:rsidRPr="006756B1" w:rsidP="00233F02">
            <w:pPr>
              <w:bidi w:val="0"/>
              <w:spacing w:after="0" w:line="240" w:lineRule="auto"/>
              <w:rPr>
                <w:rFonts w:ascii="Times New Roman" w:hAnsi="Times New Roman"/>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233F02" w:rsidRPr="006756B1" w:rsidP="00233F02">
            <w:pPr>
              <w:bidi w:val="0"/>
              <w:spacing w:after="0" w:line="240" w:lineRule="auto"/>
              <w:jc w:val="center"/>
              <w:rPr>
                <w:rFonts w:ascii="Times New Roman" w:hAnsi="Times New Roman"/>
              </w:rPr>
            </w:pPr>
            <w:r w:rsidRPr="006756B1">
              <w:rPr>
                <w:rFonts w:ascii="Times New Roman" w:hAnsi="Times New Roman"/>
              </w:rPr>
              <w:t>x</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233F02" w:rsidRPr="006756B1" w:rsidP="00233F02">
            <w:pPr>
              <w:widowControl w:val="0"/>
              <w:autoSpaceDE w:val="0"/>
              <w:autoSpaceDN w:val="0"/>
              <w:bidi w:val="0"/>
              <w:adjustRightInd w:val="0"/>
              <w:spacing w:after="0" w:line="240" w:lineRule="auto"/>
              <w:jc w:val="both"/>
              <w:rPr>
                <w:rFonts w:ascii="Times New Roman" w:hAnsi="Times New Roman"/>
                <w:sz w:val="24"/>
                <w:szCs w:val="24"/>
              </w:rPr>
            </w:pPr>
            <w:r w:rsidRPr="006756B1">
              <w:rPr>
                <w:rFonts w:ascii="Times New Roman" w:hAnsi="Times New Roman"/>
                <w:sz w:val="24"/>
                <w:szCs w:val="24"/>
              </w:rPr>
              <w:t>Smernica Rady 2011/16/EÚ z 15. februára 2011 o administratívnej spolupráci v oblasti daní a zrušení smernice 77/799/EHS v znení smernice Rady 2016/881/EÚ z 25. mája 2016.</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bidi w:val="0"/>
              <w:ind w:left="142"/>
              <w:rPr>
                <w:rFonts w:ascii="Times New Roman" w:hAnsi="Times New Roman"/>
                <w:b/>
              </w:rPr>
            </w:pPr>
            <w:r w:rsidRPr="006756B1">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15.8.2016 – 26.8.2016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bidi w:val="0"/>
              <w:ind w:left="142"/>
              <w:rPr>
                <w:rFonts w:ascii="Times New Roman" w:hAnsi="Times New Roman"/>
                <w:b/>
              </w:rPr>
            </w:pPr>
            <w:r w:rsidRPr="006756B1">
              <w:rPr>
                <w:rFonts w:ascii="Times New Roman"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September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bidi w:val="0"/>
              <w:ind w:left="142"/>
              <w:rPr>
                <w:rFonts w:ascii="Times New Roman" w:hAnsi="Times New Roman"/>
                <w:b/>
              </w:rPr>
            </w:pPr>
            <w:r w:rsidRPr="006756B1">
              <w:rPr>
                <w:rFonts w:ascii="Times New Roman"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November 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233F02" w:rsidRPr="006756B1" w:rsidP="00233F02">
            <w:pPr>
              <w:bidi w:val="0"/>
              <w:spacing w:after="0" w:line="240" w:lineRule="auto"/>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33F02" w:rsidRPr="006756B1" w:rsidP="00233F02">
            <w:pPr>
              <w:bidi w:val="0"/>
              <w:spacing w:after="0" w:line="240" w:lineRule="auto"/>
              <w:rPr>
                <w:rFonts w:ascii="Times New Roman" w:hAnsi="Times New Roman"/>
                <w:b/>
                <w:bCs/>
                <w:szCs w:val="22"/>
              </w:rPr>
            </w:pPr>
            <w:r w:rsidRPr="006756B1">
              <w:rPr>
                <w:rFonts w:ascii="Times New Roman" w:hAnsi="Times New Roman"/>
                <w:sz w:val="24"/>
                <w:szCs w:val="24"/>
              </w:rPr>
              <w:t>Transpozícia smernice EÚ a zavedenie automatickej výmeny správ podľa jednotlivých štátov.</w:t>
            </w:r>
          </w:p>
          <w:p w:rsidR="00233F02" w:rsidRPr="006756B1" w:rsidP="00233F02">
            <w:pPr>
              <w:bidi w:val="0"/>
              <w:spacing w:after="0" w:line="240" w:lineRule="auto"/>
              <w:rPr>
                <w:rFonts w:ascii="Times New Roman" w:hAnsi="Times New Roman"/>
                <w:b/>
                <w:szCs w:val="22"/>
              </w:rPr>
            </w:pP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 w:val="24"/>
                <w:szCs w:val="24"/>
              </w:rPr>
              <w:t>Zabezpečenie automatickej výmeny správ podľa jednotlivých štátov o skupinách nadnárodných spoločností, zvýšenie transparentnosti voči daňovým orgánom ako súčasť boja proti narúšaniu základu dane a presunu ziskov, stimulovanie odvádzania daní v tom štáte, kde sa zisk vytvára.</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233F02" w:rsidRPr="006756B1" w:rsidP="00233F02">
            <w:pPr>
              <w:widowControl w:val="0"/>
              <w:bidi w:val="0"/>
              <w:adjustRightInd w:val="0"/>
              <w:spacing w:after="0" w:line="240" w:lineRule="auto"/>
              <w:jc w:val="both"/>
              <w:rPr>
                <w:rFonts w:ascii="Times New Roman" w:hAnsi="Times New Roman"/>
                <w:sz w:val="24"/>
                <w:szCs w:val="24"/>
              </w:rPr>
            </w:pPr>
            <w:r w:rsidRPr="006756B1">
              <w:rPr>
                <w:rFonts w:ascii="Times New Roman" w:hAnsi="Times New Roman"/>
                <w:sz w:val="24"/>
                <w:szCs w:val="24"/>
              </w:rPr>
              <w:t>Finančná správa SR a skupiny nadnárodných spoločností s ročnými celkovými konsolidovanými výnosmi od 750 mil. EUR, stále prevádzkarne a právnické osoby, ktoré sú rezidentmi na daňové účely na Slovensku a členmi takej skupiny nadnárodných spoločností.</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Neboli posudzované alternatívne riešenia.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233F02" w:rsidRPr="006756B1" w:rsidP="00233F02">
            <w:pPr>
              <w:bidi w:val="0"/>
              <w:spacing w:after="0" w:line="240" w:lineRule="auto"/>
              <w:jc w:val="center"/>
              <w:rPr>
                <w:rFonts w:ascii="Times New Roman" w:hAnsi="Times New Roman"/>
              </w:rPr>
            </w:pPr>
            <w:r w:rsidRPr="006756B1">
              <w:rPr>
                <w:rFonts w:ascii="Segoe UI Symbol" w:eastAsia="MS Gothic" w:hAnsi="Segoe UI Symbol" w:cs="Segoe UI Symbol" w:hint="default"/>
              </w:rPr>
              <w:t>☐</w:t>
            </w:r>
            <w:r w:rsidRPr="006756B1">
              <w:rPr>
                <w:rFonts w:ascii="Times New Roman" w:hAnsi="Times New Roman"/>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233F02" w:rsidRPr="006756B1" w:rsidP="00233F02">
            <w:pPr>
              <w:bidi w:val="0"/>
              <w:spacing w:after="0" w:line="240" w:lineRule="auto"/>
              <w:jc w:val="center"/>
              <w:rPr>
                <w:rFonts w:ascii="Times New Roman" w:hAnsi="Times New Roman"/>
              </w:rPr>
            </w:pPr>
            <w:r w:rsidRPr="006756B1">
              <w:rPr>
                <w:rFonts w:ascii="Times New Roman" w:hAnsi="Times New Roman"/>
              </w:rPr>
              <w:t>x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233F02" w:rsidRPr="006756B1" w:rsidP="00233F02">
            <w:pPr>
              <w:bidi w:val="0"/>
              <w:spacing w:after="0" w:line="240" w:lineRule="auto"/>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Národná právna úprava nejde nad rámec minimálnych požiadaviek EÚ, ide o transpozíciu prijatej smernice EÚ.</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233F02" w:rsidRPr="006756B1" w:rsidP="00233F02">
            <w:pPr>
              <w:bidi w:val="0"/>
              <w:spacing w:after="0" w:line="240" w:lineRule="auto"/>
              <w:jc w:val="center"/>
              <w:rPr>
                <w:rFonts w:ascii="Times New Roman" w:hAnsi="Times New Roman"/>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33F02" w:rsidRPr="006756B1" w:rsidP="00233F02">
            <w:pPr>
              <w:bidi w:val="0"/>
              <w:spacing w:after="0" w:line="240" w:lineRule="auto"/>
              <w:rPr>
                <w:rFonts w:ascii="Times New Roman" w:hAnsi="Times New Roman"/>
                <w:i/>
              </w:rPr>
            </w:pPr>
            <w:r w:rsidRPr="006756B1">
              <w:rPr>
                <w:rFonts w:ascii="Times New Roman" w:hAnsi="Times New Roman"/>
                <w:i/>
              </w:rPr>
              <w:t>Uveďte termín, kedy by malo dôjsť k preskúmaniu účinnosti a účelnosti navrhovaného predpisu.</w:t>
            </w:r>
          </w:p>
          <w:p w:rsidR="00233F02" w:rsidRPr="006756B1" w:rsidP="00233F02">
            <w:pPr>
              <w:bidi w:val="0"/>
              <w:spacing w:after="0" w:line="240" w:lineRule="auto"/>
              <w:rPr>
                <w:rFonts w:ascii="Times New Roman" w:hAnsi="Times New Roman"/>
                <w:i/>
              </w:rPr>
            </w:pPr>
            <w:r w:rsidRPr="006756B1">
              <w:rPr>
                <w:rFonts w:ascii="Times New Roman" w:hAnsi="Times New Roman"/>
                <w:i/>
              </w:rPr>
              <w:t>Uveďte kritériá, na základe ktorých bude preskúmanie vykonané.</w:t>
            </w:r>
          </w:p>
          <w:p w:rsidR="00233F02" w:rsidRPr="006756B1" w:rsidP="00233F02">
            <w:pPr>
              <w:bidi w:val="0"/>
              <w:spacing w:after="0" w:line="240" w:lineRule="auto"/>
              <w:rPr>
                <w:rFonts w:ascii="Times New Roman" w:hAnsi="Times New Roman"/>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233F02" w:rsidRPr="006756B1" w:rsidP="00233F02">
            <w:pPr>
              <w:bidi w:val="0"/>
              <w:spacing w:after="0" w:line="240" w:lineRule="auto"/>
              <w:ind w:left="142" w:hanging="142"/>
              <w:rPr>
                <w:rFonts w:ascii="Times New Roman" w:hAnsi="Times New Roman"/>
              </w:rPr>
            </w:pPr>
            <w:r w:rsidRPr="006756B1">
              <w:rPr>
                <w:rFonts w:ascii="Times New Roman" w:hAnsi="Times New Roman"/>
              </w:rPr>
              <w:t xml:space="preserve">* vyplniť iba v prípade, ak materiál nie je zahrnutý do Plánu práce vlády Slovenskej republiky alebo Plánu        legislatívnych úloh vlády Slovenskej republiky. </w:t>
            </w:r>
          </w:p>
          <w:p w:rsidR="00233F02" w:rsidP="00233F02">
            <w:pPr>
              <w:bidi w:val="0"/>
              <w:spacing w:after="0" w:line="240" w:lineRule="auto"/>
              <w:rPr>
                <w:rFonts w:ascii="Times New Roman" w:hAnsi="Times New Roman"/>
              </w:rPr>
            </w:pPr>
            <w:r w:rsidRPr="006756B1">
              <w:rPr>
                <w:rFonts w:ascii="Times New Roman" w:hAnsi="Times New Roman"/>
              </w:rPr>
              <w:t>** nepovinné</w:t>
            </w:r>
          </w:p>
          <w:p w:rsidR="006756B1" w:rsidRPr="006756B1" w:rsidP="00233F02">
            <w:pPr>
              <w:bidi w:val="0"/>
              <w:spacing w:after="0" w:line="240" w:lineRule="auto"/>
              <w:rPr>
                <w:rFonts w:ascii="Times New Roman" w:hAnsi="Times New Roman"/>
              </w:rPr>
            </w:pP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233F02" w:rsidRPr="006756B1" w:rsidP="00233F02">
            <w:pPr>
              <w:bidi w:val="0"/>
              <w:spacing w:after="0" w:line="240" w:lineRule="auto"/>
              <w:rPr>
                <w:rFonts w:ascii="Times New Roman" w:hAnsi="Times New Roman"/>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233F02" w:rsidRPr="006756B1" w:rsidP="00233F02">
            <w:pPr>
              <w:bidi w:val="0"/>
              <w:spacing w:after="0" w:line="240" w:lineRule="auto"/>
              <w:rPr>
                <w:rFonts w:ascii="Times New Roman" w:hAnsi="Times New Roman"/>
                <w:b/>
              </w:rPr>
            </w:pPr>
            <w:r w:rsidRPr="006756B1">
              <w:rPr>
                <w:rFonts w:ascii="Times New Roman" w:hAnsi="Times New Roman"/>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Times New Roman" w:hAnsi="Times New Roman"/>
                <w:b/>
              </w:rPr>
              <w:t>x</w:t>
            </w:r>
          </w:p>
        </w:tc>
        <w:tc>
          <w:tcPr>
            <w:tcW w:w="1281"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rPr>
                <w:rFonts w:ascii="Times New Roman" w:hAnsi="Times New Roman"/>
                <w:b/>
              </w:rPr>
            </w:pPr>
            <w:r w:rsidRPr="006756B1">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rPr>
                <w:rFonts w:ascii="Times New Roman" w:hAnsi="Times New Roman"/>
                <w:b/>
              </w:rPr>
            </w:pPr>
            <w:r w:rsidRPr="006756B1">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ind w:left="-107" w:right="-108"/>
              <w:jc w:val="center"/>
              <w:rPr>
                <w:rFonts w:ascii="Times New Roman" w:hAnsi="Times New Roman"/>
                <w:b/>
              </w:rPr>
            </w:pPr>
            <w:r w:rsidRPr="006756B1">
              <w:rPr>
                <w:rFonts w:ascii="Times New Roman" w:hAnsi="Times New Roman"/>
                <w:b/>
              </w:rPr>
              <w:t>x</w:t>
            </w:r>
          </w:p>
        </w:tc>
        <w:tc>
          <w:tcPr>
            <w:tcW w:w="1297" w:type="dxa"/>
            <w:tcBorders>
              <w:top w:val="single" w:sz="4" w:space="0" w:color="auto"/>
              <w:left w:val="nil"/>
              <w:bottom w:val="single" w:sz="4" w:space="0" w:color="auto"/>
              <w:right w:val="single" w:sz="4" w:space="0" w:color="auto"/>
            </w:tcBorders>
            <w:textDirection w:val="lrTb"/>
            <w:vAlign w:val="top"/>
          </w:tcPr>
          <w:p w:rsidR="00233F02" w:rsidRPr="006756B1" w:rsidP="00233F02">
            <w:pPr>
              <w:bidi w:val="0"/>
              <w:spacing w:after="0" w:line="240" w:lineRule="auto"/>
              <w:ind w:left="34"/>
              <w:rPr>
                <w:rFonts w:ascii="Times New Roman" w:hAnsi="Times New Roman"/>
                <w:b/>
              </w:rPr>
            </w:pPr>
            <w:r w:rsidRPr="006756B1">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233F02" w:rsidRPr="006756B1" w:rsidP="00233F02">
            <w:pPr>
              <w:bidi w:val="0"/>
              <w:spacing w:after="0" w:line="240" w:lineRule="auto"/>
              <w:rPr>
                <w:rFonts w:ascii="Times New Roman" w:hAnsi="Times New Roman"/>
              </w:rPr>
            </w:pPr>
            <w:r w:rsidRPr="006756B1">
              <w:rPr>
                <w:rFonts w:ascii="Times New Roman" w:hAnsi="Times New Roman"/>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rPr>
            </w:pPr>
            <w:r w:rsidRPr="006756B1">
              <w:rPr>
                <w:rFonts w:ascii="Times New Roman" w:hAnsi="Times New Roman"/>
              </w:rPr>
              <w:t>x</w:t>
            </w:r>
          </w:p>
        </w:tc>
        <w:tc>
          <w:tcPr>
            <w:tcW w:w="1281"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rPr>
                <w:rFonts w:ascii="Times New Roman" w:hAnsi="Times New Roman"/>
              </w:rPr>
            </w:pPr>
            <w:r w:rsidRPr="006756B1">
              <w:rPr>
                <w:rFonts w:ascii="Times New Roman" w:hAnsi="Times New Roman"/>
              </w:rPr>
              <w:t>Áno</w:t>
            </w:r>
          </w:p>
        </w:tc>
        <w:tc>
          <w:tcPr>
            <w:tcW w:w="569"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rPr>
            </w:pPr>
            <w:r w:rsidRPr="006756B1">
              <w:rPr>
                <w:rFonts w:ascii="Segoe UI Symbol" w:eastAsia="MS Mincho" w:hAnsi="Segoe UI Symbol" w:cs="Segoe UI Symbol" w:hint="default"/>
              </w:rPr>
              <w:t>☐</w:t>
            </w:r>
          </w:p>
        </w:tc>
        <w:tc>
          <w:tcPr>
            <w:tcW w:w="1133"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rPr>
                <w:rFonts w:ascii="Times New Roman" w:hAnsi="Times New Roman"/>
              </w:rPr>
            </w:pPr>
            <w:r w:rsidRPr="006756B1">
              <w:rPr>
                <w:rFonts w:ascii="Times New Roman" w:hAnsi="Times New Roman"/>
              </w:rPr>
              <w:t>Nie</w:t>
            </w:r>
          </w:p>
        </w:tc>
        <w:tc>
          <w:tcPr>
            <w:tcW w:w="547"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ind w:left="-107" w:right="-108"/>
              <w:jc w:val="center"/>
              <w:rPr>
                <w:rFonts w:ascii="Times New Roman" w:hAnsi="Times New Roman"/>
              </w:rPr>
            </w:pPr>
            <w:r w:rsidRPr="006756B1">
              <w:rPr>
                <w:rFonts w:ascii="Segoe UI Symbol" w:eastAsia="MS Mincho" w:hAnsi="Segoe UI Symbol" w:cs="Segoe UI Symbol" w:hint="default"/>
              </w:rPr>
              <w:t>☐</w:t>
            </w:r>
          </w:p>
        </w:tc>
        <w:tc>
          <w:tcPr>
            <w:tcW w:w="1297" w:type="dxa"/>
            <w:tcBorders>
              <w:top w:val="single" w:sz="4" w:space="0" w:color="auto"/>
              <w:left w:val="nil"/>
              <w:bottom w:val="single" w:sz="4" w:space="0" w:color="auto"/>
              <w:right w:val="single" w:sz="4" w:space="0" w:color="auto"/>
            </w:tcBorders>
            <w:textDirection w:val="lrTb"/>
            <w:vAlign w:val="top"/>
          </w:tcPr>
          <w:p w:rsidR="00233F02" w:rsidRPr="006756B1" w:rsidP="00233F02">
            <w:pPr>
              <w:bidi w:val="0"/>
              <w:spacing w:after="0" w:line="240" w:lineRule="auto"/>
              <w:ind w:left="34"/>
              <w:rPr>
                <w:rFonts w:ascii="Times New Roman" w:hAnsi="Times New Roman"/>
              </w:rPr>
            </w:pPr>
            <w:r w:rsidRPr="006756B1">
              <w:rPr>
                <w:rFonts w:ascii="Times New Roman" w:hAnsi="Times New Roman"/>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233F02" w:rsidRPr="006756B1" w:rsidP="00233F02">
            <w:pPr>
              <w:bidi w:val="0"/>
              <w:spacing w:after="0" w:line="240" w:lineRule="auto"/>
              <w:rPr>
                <w:rFonts w:ascii="Times New Roman" w:hAnsi="Times New Roman"/>
                <w:b/>
              </w:rPr>
            </w:pPr>
            <w:r w:rsidRPr="006756B1">
              <w:rPr>
                <w:rFonts w:ascii="Times New Roman" w:hAnsi="Times New Roman"/>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ind w:right="-108"/>
              <w:rPr>
                <w:rFonts w:ascii="Times New Roman" w:hAnsi="Times New Roman"/>
                <w:b/>
              </w:rPr>
            </w:pPr>
            <w:r w:rsidRPr="006756B1">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rPr>
                <w:rFonts w:ascii="Times New Roman" w:hAnsi="Times New Roman"/>
                <w:b/>
              </w:rPr>
            </w:pPr>
            <w:r w:rsidRPr="006756B1">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Times New Roman" w:hAnsi="Times New Roman"/>
                <w:b/>
              </w:rPr>
              <w:t>x</w:t>
            </w:r>
          </w:p>
        </w:tc>
        <w:tc>
          <w:tcPr>
            <w:tcW w:w="1297" w:type="dxa"/>
            <w:tcBorders>
              <w:top w:val="single" w:sz="4" w:space="0" w:color="auto"/>
              <w:left w:val="nil"/>
              <w:bottom w:val="single" w:sz="4" w:space="0" w:color="auto"/>
              <w:right w:val="single" w:sz="4" w:space="0" w:color="auto"/>
            </w:tcBorders>
            <w:textDirection w:val="lrTb"/>
            <w:vAlign w:val="top"/>
          </w:tcPr>
          <w:p w:rsidR="00233F02" w:rsidRPr="006756B1" w:rsidP="00233F02">
            <w:pPr>
              <w:bidi w:val="0"/>
              <w:spacing w:after="0" w:line="240" w:lineRule="auto"/>
              <w:ind w:left="54"/>
              <w:rPr>
                <w:rFonts w:ascii="Times New Roman" w:hAnsi="Times New Roman"/>
                <w:b/>
              </w:rPr>
            </w:pPr>
            <w:r w:rsidRPr="006756B1">
              <w:rPr>
                <w:rFonts w:ascii="Times New Roman" w:hAnsi="Times New Roman"/>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233F02" w:rsidRPr="006756B1" w:rsidP="00233F02">
            <w:pPr>
              <w:bidi w:val="0"/>
              <w:spacing w:after="0" w:line="240" w:lineRule="auto"/>
              <w:rPr>
                <w:rFonts w:ascii="Times New Roman" w:hAnsi="Times New Roman"/>
              </w:rPr>
            </w:pPr>
            <w:r w:rsidRPr="006756B1">
              <w:rPr>
                <w:rFonts w:ascii="Times New Roman" w:hAnsi="Times New Roman"/>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rPr>
            </w:pPr>
            <w:r w:rsidRPr="006756B1">
              <w:rPr>
                <w:rFonts w:ascii="Segoe UI Symbol" w:eastAsia="MS Mincho" w:hAnsi="Segoe UI Symbol" w:cs="Segoe UI Symbol" w:hint="default"/>
              </w:rPr>
              <w:t>☐</w:t>
            </w:r>
          </w:p>
        </w:tc>
        <w:tc>
          <w:tcPr>
            <w:tcW w:w="1281"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ind w:right="-108"/>
              <w:rPr>
                <w:rFonts w:ascii="Times New Roman" w:hAnsi="Times New Roman"/>
              </w:rPr>
            </w:pPr>
            <w:r w:rsidRPr="006756B1">
              <w:rPr>
                <w:rFonts w:ascii="Times New Roman" w:hAnsi="Times New Roman"/>
              </w:rPr>
              <w:t>Pozitívne</w:t>
            </w:r>
          </w:p>
        </w:tc>
        <w:tc>
          <w:tcPr>
            <w:tcW w:w="569"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rPr>
            </w:pPr>
            <w:r w:rsidRPr="006756B1">
              <w:rPr>
                <w:rFonts w:ascii="Times New Roman" w:hAnsi="Times New Roman"/>
              </w:rPr>
              <w:t>x</w:t>
            </w:r>
          </w:p>
        </w:tc>
        <w:tc>
          <w:tcPr>
            <w:tcW w:w="1133"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rPr>
                <w:rFonts w:ascii="Times New Roman" w:hAnsi="Times New Roman"/>
              </w:rPr>
            </w:pPr>
            <w:r w:rsidRPr="006756B1">
              <w:rPr>
                <w:rFonts w:ascii="Times New Roman" w:hAnsi="Times New Roman"/>
              </w:rPr>
              <w:t>Žiadne</w:t>
            </w:r>
          </w:p>
        </w:tc>
        <w:tc>
          <w:tcPr>
            <w:tcW w:w="547"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rPr>
            </w:pPr>
            <w:r w:rsidRPr="006756B1">
              <w:rPr>
                <w:rFonts w:ascii="Segoe UI Symbol" w:eastAsia="MS Mincho" w:hAnsi="Segoe UI Symbol" w:cs="Segoe UI Symbol" w:hint="default"/>
              </w:rPr>
              <w:t>☐</w:t>
            </w:r>
          </w:p>
        </w:tc>
        <w:tc>
          <w:tcPr>
            <w:tcW w:w="1297" w:type="dxa"/>
            <w:tcBorders>
              <w:top w:val="single" w:sz="4" w:space="0" w:color="auto"/>
              <w:left w:val="nil"/>
              <w:bottom w:val="single" w:sz="4" w:space="0" w:color="auto"/>
              <w:right w:val="single" w:sz="4" w:space="0" w:color="auto"/>
            </w:tcBorders>
            <w:textDirection w:val="lrTb"/>
            <w:vAlign w:val="top"/>
          </w:tcPr>
          <w:p w:rsidR="00233F02" w:rsidRPr="006756B1" w:rsidP="00233F02">
            <w:pPr>
              <w:bidi w:val="0"/>
              <w:spacing w:after="0" w:line="240" w:lineRule="auto"/>
              <w:ind w:left="54"/>
              <w:rPr>
                <w:rFonts w:ascii="Times New Roman" w:hAnsi="Times New Roman"/>
              </w:rPr>
            </w:pPr>
            <w:r w:rsidRPr="006756B1">
              <w:rPr>
                <w:rFonts w:ascii="Times New Roman" w:hAnsi="Times New Roman"/>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233F02" w:rsidRPr="006756B1" w:rsidP="00233F02">
            <w:pPr>
              <w:bidi w:val="0"/>
              <w:spacing w:after="0" w:line="240" w:lineRule="auto"/>
              <w:rPr>
                <w:rFonts w:ascii="Times New Roman" w:hAnsi="Times New Roman"/>
                <w:b/>
              </w:rPr>
            </w:pPr>
            <w:r w:rsidRPr="006756B1">
              <w:rPr>
                <w:rFonts w:ascii="Times New Roman" w:hAnsi="Times New Roman"/>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ind w:right="-108"/>
              <w:rPr>
                <w:rFonts w:ascii="Times New Roman" w:hAnsi="Times New Roman"/>
                <w:b/>
              </w:rPr>
            </w:pPr>
            <w:r w:rsidRPr="006756B1">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Times New Roman" w:eastAsia="MS Mincho" w:hAnsi="Times New Roman"/>
                <w:b/>
              </w:rPr>
              <w:t>x</w:t>
            </w:r>
          </w:p>
        </w:tc>
        <w:tc>
          <w:tcPr>
            <w:tcW w:w="1133"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rPr>
                <w:rFonts w:ascii="Times New Roman" w:hAnsi="Times New Roman"/>
                <w:b/>
              </w:rPr>
            </w:pPr>
            <w:r w:rsidRPr="006756B1">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233F02" w:rsidRPr="006756B1" w:rsidP="00233F02">
            <w:pPr>
              <w:bidi w:val="0"/>
              <w:spacing w:after="0" w:line="240" w:lineRule="auto"/>
              <w:ind w:left="54"/>
              <w:rPr>
                <w:rFonts w:ascii="Times New Roman" w:hAnsi="Times New Roman"/>
                <w:b/>
              </w:rPr>
            </w:pPr>
            <w:r w:rsidRPr="006756B1">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233F02" w:rsidRPr="006756B1" w:rsidP="00233F02">
            <w:pPr>
              <w:bidi w:val="0"/>
              <w:spacing w:after="0" w:line="240" w:lineRule="auto"/>
              <w:rPr>
                <w:rFonts w:ascii="Times New Roman" w:hAnsi="Times New Roman"/>
                <w:b/>
              </w:rPr>
            </w:pPr>
            <w:r w:rsidRPr="006756B1">
              <w:rPr>
                <w:rFonts w:ascii="Times New Roman" w:hAnsi="Times New Roman"/>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Segoe UI Symbol" w:eastAsia="MS Mincho" w:hAnsi="Segoe UI Symbol" w:cs="Segoe UI Symbol" w:hint="default"/>
                <w:b/>
              </w:rPr>
              <w:t>☐</w:t>
            </w:r>
          </w:p>
        </w:tc>
        <w:tc>
          <w:tcPr>
            <w:tcW w:w="1281"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ind w:right="-108"/>
              <w:rPr>
                <w:rFonts w:ascii="Times New Roman" w:hAnsi="Times New Roman"/>
                <w:b/>
              </w:rPr>
            </w:pPr>
            <w:r w:rsidRPr="006756B1">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Times New Roman" w:eastAsia="MS Mincho" w:hAnsi="Times New Roman"/>
                <w:b/>
              </w:rPr>
              <w:t>x</w:t>
            </w:r>
          </w:p>
        </w:tc>
        <w:tc>
          <w:tcPr>
            <w:tcW w:w="1133"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rPr>
                <w:rFonts w:ascii="Times New Roman" w:hAnsi="Times New Roman"/>
                <w:b/>
              </w:rPr>
            </w:pPr>
            <w:r w:rsidRPr="006756B1">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233F02" w:rsidRPr="006756B1" w:rsidP="00233F02">
            <w:pPr>
              <w:bidi w:val="0"/>
              <w:spacing w:after="0" w:line="240" w:lineRule="auto"/>
              <w:ind w:left="54"/>
              <w:rPr>
                <w:rFonts w:ascii="Times New Roman" w:hAnsi="Times New Roman"/>
                <w:b/>
              </w:rPr>
            </w:pPr>
            <w:r w:rsidRPr="006756B1">
              <w:rPr>
                <w:rFonts w:ascii="Times New Roman" w:hAnsi="Times New Roman"/>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233F02" w:rsidRPr="006756B1" w:rsidP="00233F02">
            <w:pPr>
              <w:bidi w:val="0"/>
              <w:spacing w:after="0" w:line="240" w:lineRule="auto"/>
              <w:rPr>
                <w:rFonts w:ascii="Times New Roman" w:hAnsi="Times New Roman"/>
                <w:b/>
              </w:rPr>
            </w:pPr>
            <w:r w:rsidRPr="006756B1">
              <w:rPr>
                <w:rFonts w:ascii="Times New Roman" w:hAnsi="Times New Roman"/>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Times New Roman" w:hAnsi="Times New Roman"/>
              </w:rPr>
              <w:t>x</w:t>
            </w:r>
          </w:p>
        </w:tc>
        <w:tc>
          <w:tcPr>
            <w:tcW w:w="1281"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ind w:right="-108"/>
              <w:rPr>
                <w:rFonts w:ascii="Times New Roman" w:hAnsi="Times New Roman"/>
                <w:b/>
              </w:rPr>
            </w:pPr>
            <w:r w:rsidRPr="006756B1">
              <w:rPr>
                <w:rFonts w:ascii="Times New Roman" w:hAnsi="Times New Roman"/>
                <w:b/>
              </w:rPr>
              <w:t>Pozitívne</w:t>
            </w:r>
          </w:p>
        </w:tc>
        <w:tc>
          <w:tcPr>
            <w:tcW w:w="569"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Segoe UI Symbol" w:eastAsia="MS Mincho" w:hAnsi="Segoe UI Symbol" w:cs="Segoe UI Symbol" w:hint="default"/>
                <w:b/>
              </w:rPr>
              <w:t>☐</w:t>
            </w:r>
          </w:p>
        </w:tc>
        <w:tc>
          <w:tcPr>
            <w:tcW w:w="1133" w:type="dxa"/>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rPr>
                <w:rFonts w:ascii="Times New Roman" w:hAnsi="Times New Roman"/>
                <w:b/>
              </w:rPr>
            </w:pPr>
            <w:r w:rsidRPr="006756B1">
              <w:rPr>
                <w:rFonts w:ascii="Times New Roman" w:hAnsi="Times New Roman"/>
                <w:b/>
              </w:rPr>
              <w:t>Žiadne</w:t>
            </w:r>
          </w:p>
        </w:tc>
        <w:tc>
          <w:tcPr>
            <w:tcW w:w="547" w:type="dxa"/>
            <w:gridSpan w:val="2"/>
            <w:tcBorders>
              <w:top w:val="single" w:sz="4" w:space="0" w:color="auto"/>
              <w:left w:val="nil"/>
              <w:bottom w:val="single" w:sz="4" w:space="0" w:color="auto"/>
              <w:right w:val="nil"/>
            </w:tcBorders>
            <w:textDirection w:val="lrTb"/>
            <w:vAlign w:val="top"/>
          </w:tcPr>
          <w:p w:rsidR="00233F02" w:rsidRPr="006756B1" w:rsidP="00233F02">
            <w:pPr>
              <w:bidi w:val="0"/>
              <w:spacing w:after="0" w:line="240" w:lineRule="auto"/>
              <w:jc w:val="center"/>
              <w:rPr>
                <w:rFonts w:ascii="Times New Roman" w:hAnsi="Times New Roman"/>
                <w:b/>
              </w:rPr>
            </w:pPr>
            <w:r w:rsidRPr="006756B1">
              <w:rPr>
                <w:rFonts w:ascii="Segoe UI Symbol" w:eastAsia="MS Mincho" w:hAnsi="Segoe UI Symbol" w:cs="Segoe UI Symbol" w:hint="default"/>
                <w:b/>
              </w:rPr>
              <w:t>☐</w:t>
            </w:r>
          </w:p>
        </w:tc>
        <w:tc>
          <w:tcPr>
            <w:tcW w:w="1297" w:type="dxa"/>
            <w:tcBorders>
              <w:top w:val="single" w:sz="4" w:space="0" w:color="auto"/>
              <w:left w:val="nil"/>
              <w:bottom w:val="single" w:sz="4" w:space="0" w:color="auto"/>
              <w:right w:val="single" w:sz="4" w:space="0" w:color="auto"/>
            </w:tcBorders>
            <w:textDirection w:val="lrTb"/>
            <w:vAlign w:val="top"/>
          </w:tcPr>
          <w:p w:rsidR="00233F02" w:rsidRPr="006756B1" w:rsidP="00233F02">
            <w:pPr>
              <w:bidi w:val="0"/>
              <w:spacing w:after="0" w:line="240" w:lineRule="auto"/>
              <w:ind w:left="54"/>
              <w:rPr>
                <w:rFonts w:ascii="Times New Roman" w:hAnsi="Times New Roman"/>
                <w:b/>
              </w:rPr>
            </w:pPr>
            <w:r w:rsidRPr="006756B1">
              <w:rPr>
                <w:rFonts w:ascii="Times New Roman" w:hAnsi="Times New Roman"/>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233F02" w:rsidRPr="006756B1" w:rsidP="00233F02">
            <w:pPr>
              <w:bidi w:val="0"/>
              <w:rPr>
                <w:rFonts w:ascii="Times New Roman" w:hAnsi="Times New Roman"/>
                <w:b/>
              </w:rPr>
            </w:pPr>
            <w:r w:rsidRPr="006756B1">
              <w:rPr>
                <w:rFonts w:ascii="Times New Roman" w:hAnsi="Times New Roman"/>
                <w:b/>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233F02" w:rsidRPr="006756B1" w:rsidP="00233F02">
            <w:pPr>
              <w:bidi w:val="0"/>
              <w:jc w:val="center"/>
              <w:rPr>
                <w:rFonts w:ascii="Times New Roman" w:eastAsia="MS Mincho" w:hAnsi="Times New Roman"/>
                <w:b/>
              </w:rPr>
            </w:pPr>
          </w:p>
        </w:tc>
        <w:tc>
          <w:tcPr>
            <w:tcW w:w="1281" w:type="dxa"/>
            <w:tcBorders>
              <w:top w:val="single" w:sz="4" w:space="0" w:color="auto"/>
              <w:left w:val="nil"/>
              <w:bottom w:val="nil"/>
              <w:right w:val="nil"/>
            </w:tcBorders>
            <w:textDirection w:val="lrTb"/>
            <w:vAlign w:val="top"/>
          </w:tcPr>
          <w:p w:rsidR="00233F02" w:rsidRPr="006756B1" w:rsidP="00233F02">
            <w:pPr>
              <w:bidi w:val="0"/>
              <w:ind w:right="-108"/>
              <w:rPr>
                <w:rFonts w:ascii="Times New Roman" w:hAnsi="Times New Roman"/>
                <w:b/>
              </w:rPr>
            </w:pPr>
          </w:p>
        </w:tc>
        <w:tc>
          <w:tcPr>
            <w:tcW w:w="569" w:type="dxa"/>
            <w:tcBorders>
              <w:top w:val="single" w:sz="4" w:space="0" w:color="auto"/>
              <w:left w:val="nil"/>
              <w:bottom w:val="nil"/>
              <w:right w:val="nil"/>
            </w:tcBorders>
            <w:textDirection w:val="lrTb"/>
            <w:vAlign w:val="top"/>
          </w:tcPr>
          <w:p w:rsidR="00233F02" w:rsidRPr="006756B1" w:rsidP="00233F02">
            <w:pPr>
              <w:bidi w:val="0"/>
              <w:jc w:val="center"/>
              <w:rPr>
                <w:rFonts w:ascii="Times New Roman" w:eastAsia="MS Mincho" w:hAnsi="Times New Roman"/>
                <w:b/>
              </w:rPr>
            </w:pPr>
          </w:p>
        </w:tc>
        <w:tc>
          <w:tcPr>
            <w:tcW w:w="1133" w:type="dxa"/>
            <w:tcBorders>
              <w:top w:val="single" w:sz="4" w:space="0" w:color="auto"/>
              <w:left w:val="nil"/>
              <w:bottom w:val="nil"/>
              <w:right w:val="nil"/>
            </w:tcBorders>
            <w:textDirection w:val="lrTb"/>
            <w:vAlign w:val="top"/>
          </w:tcPr>
          <w:p w:rsidR="00233F02" w:rsidRPr="006756B1" w:rsidP="00233F02">
            <w:pPr>
              <w:bidi w:val="0"/>
              <w:rPr>
                <w:rFonts w:ascii="Times New Roman" w:hAnsi="Times New Roman"/>
                <w:b/>
              </w:rPr>
            </w:pPr>
          </w:p>
        </w:tc>
        <w:tc>
          <w:tcPr>
            <w:tcW w:w="547" w:type="dxa"/>
            <w:tcBorders>
              <w:top w:val="single" w:sz="4" w:space="0" w:color="auto"/>
              <w:left w:val="nil"/>
              <w:bottom w:val="nil"/>
              <w:right w:val="nil"/>
            </w:tcBorders>
            <w:textDirection w:val="lrTb"/>
            <w:vAlign w:val="top"/>
          </w:tcPr>
          <w:p w:rsidR="00233F02" w:rsidRPr="006756B1" w:rsidP="00233F02">
            <w:pPr>
              <w:bidi w:val="0"/>
              <w:jc w:val="center"/>
              <w:rPr>
                <w:rFonts w:ascii="Times New Roman" w:eastAsia="MS Mincho" w:hAnsi="Times New Roman"/>
                <w:b/>
              </w:rPr>
            </w:pPr>
          </w:p>
        </w:tc>
        <w:tc>
          <w:tcPr>
            <w:tcW w:w="1297" w:type="dxa"/>
            <w:tcBorders>
              <w:top w:val="single" w:sz="4" w:space="0" w:color="auto"/>
              <w:left w:val="nil"/>
              <w:bottom w:val="nil"/>
              <w:right w:val="single" w:sz="4" w:space="0" w:color="auto"/>
            </w:tcBorders>
            <w:textDirection w:val="lrTb"/>
            <w:vAlign w:val="top"/>
          </w:tcPr>
          <w:p w:rsidR="00233F02" w:rsidRPr="006756B1" w:rsidP="00233F02">
            <w:pPr>
              <w:bidi w:val="0"/>
              <w:ind w:left="54"/>
              <w:rPr>
                <w:rFonts w:ascii="Times New Roman" w:hAnsi="Times New Roman"/>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233F02" w:rsidRPr="006756B1" w:rsidP="00233F02">
            <w:pPr>
              <w:bidi w:val="0"/>
              <w:ind w:left="196" w:hanging="196"/>
              <w:rPr>
                <w:rFonts w:ascii="Times New Roman" w:hAnsi="Times New Roman"/>
                <w:b/>
              </w:rPr>
            </w:pPr>
            <w:r w:rsidRPr="006756B1">
              <w:rPr>
                <w:rFonts w:ascii="Times New Roman" w:hAnsi="Times New Roman"/>
                <w:b/>
              </w:rPr>
              <w:t xml:space="preserve">    vplyvy služieb verejnej správy na občana</w:t>
            </w:r>
          </w:p>
        </w:tc>
        <w:tc>
          <w:tcPr>
            <w:tcW w:w="541" w:type="dxa"/>
            <w:tcBorders>
              <w:top w:val="nil"/>
              <w:left w:val="single" w:sz="4" w:space="0" w:color="auto"/>
              <w:bottom w:val="nil"/>
              <w:right w:val="nil"/>
            </w:tcBorders>
            <w:textDirection w:val="lrTb"/>
            <w:vAlign w:val="top"/>
          </w:tcPr>
          <w:p w:rsidR="00233F02" w:rsidRPr="006756B1" w:rsidP="00233F02">
            <w:pPr>
              <w:bidi w:val="0"/>
              <w:jc w:val="center"/>
              <w:rPr>
                <w:rFonts w:ascii="Times New Roman" w:hAnsi="Times New Roman"/>
                <w:b/>
              </w:rPr>
            </w:pPr>
            <w:r w:rsidRPr="006756B1">
              <w:rPr>
                <w:rFonts w:ascii="Segoe UI Symbol" w:eastAsia="MS Gothic" w:hAnsi="Segoe UI Symbol" w:cs="Segoe UI Symbol" w:hint="default"/>
                <w:b/>
              </w:rPr>
              <w:t>☐</w:t>
            </w:r>
          </w:p>
        </w:tc>
        <w:tc>
          <w:tcPr>
            <w:tcW w:w="1281" w:type="dxa"/>
            <w:tcBorders>
              <w:top w:val="nil"/>
              <w:left w:val="nil"/>
              <w:bottom w:val="nil"/>
              <w:right w:val="nil"/>
            </w:tcBorders>
            <w:textDirection w:val="lrTb"/>
            <w:vAlign w:val="top"/>
          </w:tcPr>
          <w:p w:rsidR="00233F02" w:rsidRPr="006756B1" w:rsidP="00233F02">
            <w:pPr>
              <w:bidi w:val="0"/>
              <w:ind w:right="-108"/>
              <w:rPr>
                <w:rFonts w:ascii="Times New Roman" w:hAnsi="Times New Roman"/>
                <w:b/>
              </w:rPr>
            </w:pPr>
            <w:r w:rsidRPr="006756B1">
              <w:rPr>
                <w:rFonts w:ascii="Times New Roman" w:hAnsi="Times New Roman"/>
                <w:b/>
              </w:rPr>
              <w:t>Pozitívne</w:t>
            </w:r>
          </w:p>
        </w:tc>
        <w:tc>
          <w:tcPr>
            <w:tcW w:w="569" w:type="dxa"/>
            <w:tcBorders>
              <w:top w:val="nil"/>
              <w:left w:val="nil"/>
              <w:bottom w:val="nil"/>
              <w:right w:val="nil"/>
            </w:tcBorders>
            <w:textDirection w:val="lrTb"/>
            <w:vAlign w:val="top"/>
          </w:tcPr>
          <w:p w:rsidR="00233F02" w:rsidRPr="006756B1" w:rsidP="00233F02">
            <w:pPr>
              <w:bidi w:val="0"/>
              <w:jc w:val="center"/>
              <w:rPr>
                <w:rFonts w:ascii="Times New Roman" w:hAnsi="Times New Roman"/>
                <w:b/>
              </w:rPr>
            </w:pPr>
            <w:r w:rsidRPr="006756B1">
              <w:rPr>
                <w:rFonts w:ascii="Times New Roman" w:hAnsi="Times New Roman"/>
                <w:b/>
              </w:rPr>
              <w:t>x</w:t>
            </w:r>
          </w:p>
        </w:tc>
        <w:tc>
          <w:tcPr>
            <w:tcW w:w="1133" w:type="dxa"/>
            <w:tcBorders>
              <w:top w:val="nil"/>
              <w:left w:val="nil"/>
              <w:bottom w:val="nil"/>
              <w:right w:val="nil"/>
            </w:tcBorders>
            <w:textDirection w:val="lrTb"/>
            <w:vAlign w:val="top"/>
          </w:tcPr>
          <w:p w:rsidR="00233F02" w:rsidRPr="006756B1" w:rsidP="00233F02">
            <w:pPr>
              <w:bidi w:val="0"/>
              <w:rPr>
                <w:rFonts w:ascii="Times New Roman" w:hAnsi="Times New Roman"/>
                <w:b/>
              </w:rPr>
            </w:pPr>
            <w:r w:rsidRPr="006756B1">
              <w:rPr>
                <w:rFonts w:ascii="Times New Roman" w:hAnsi="Times New Roman"/>
                <w:b/>
              </w:rPr>
              <w:t>Žiadne</w:t>
            </w:r>
          </w:p>
        </w:tc>
        <w:tc>
          <w:tcPr>
            <w:tcW w:w="547" w:type="dxa"/>
            <w:tcBorders>
              <w:top w:val="nil"/>
              <w:left w:val="nil"/>
              <w:bottom w:val="nil"/>
              <w:right w:val="nil"/>
            </w:tcBorders>
            <w:textDirection w:val="lrTb"/>
            <w:vAlign w:val="top"/>
          </w:tcPr>
          <w:p w:rsidR="00233F02" w:rsidRPr="006756B1" w:rsidP="00233F02">
            <w:pPr>
              <w:bidi w:val="0"/>
              <w:jc w:val="center"/>
              <w:rPr>
                <w:rFonts w:ascii="Times New Roman" w:hAnsi="Times New Roman"/>
                <w:b/>
              </w:rPr>
            </w:pPr>
            <w:r w:rsidRPr="006756B1">
              <w:rPr>
                <w:rFonts w:ascii="Segoe UI Symbol" w:eastAsia="MS Mincho" w:hAnsi="Segoe UI Symbol" w:cs="Segoe UI Symbol" w:hint="default"/>
                <w:b/>
              </w:rPr>
              <w:t>☐</w:t>
            </w:r>
          </w:p>
        </w:tc>
        <w:tc>
          <w:tcPr>
            <w:tcW w:w="1297" w:type="dxa"/>
            <w:tcBorders>
              <w:top w:val="nil"/>
              <w:left w:val="nil"/>
              <w:bottom w:val="nil"/>
              <w:right w:val="single" w:sz="4" w:space="0" w:color="auto"/>
            </w:tcBorders>
            <w:textDirection w:val="lrTb"/>
            <w:vAlign w:val="top"/>
          </w:tcPr>
          <w:p w:rsidR="00233F02" w:rsidRPr="006756B1" w:rsidP="00233F02">
            <w:pPr>
              <w:bidi w:val="0"/>
              <w:ind w:left="54"/>
              <w:rPr>
                <w:rFonts w:ascii="Times New Roman" w:hAnsi="Times New Roman"/>
                <w:b/>
              </w:rPr>
            </w:pPr>
            <w:r w:rsidRPr="006756B1">
              <w:rPr>
                <w:rFonts w:ascii="Times New Roman" w:hAnsi="Times New Roman"/>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233F02" w:rsidRPr="006756B1" w:rsidP="00233F02">
            <w:pPr>
              <w:bidi w:val="0"/>
              <w:ind w:left="168" w:hanging="168"/>
              <w:rPr>
                <w:rFonts w:ascii="Times New Roman" w:hAnsi="Times New Roman"/>
                <w:b/>
              </w:rPr>
            </w:pPr>
            <w:r w:rsidRPr="006756B1">
              <w:rPr>
                <w:rFonts w:ascii="Times New Roman" w:hAnsi="Times New Roman"/>
                <w:b/>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233F02" w:rsidRPr="006756B1" w:rsidP="00233F02">
            <w:pPr>
              <w:bidi w:val="0"/>
              <w:jc w:val="center"/>
              <w:rPr>
                <w:rFonts w:ascii="Times New Roman" w:hAnsi="Times New Roman"/>
                <w:b/>
              </w:rPr>
            </w:pPr>
            <w:r w:rsidRPr="006756B1">
              <w:rPr>
                <w:rFonts w:ascii="Segoe UI Symbol" w:eastAsia="MS Mincho" w:hAnsi="Segoe UI Symbol" w:cs="Segoe UI Symbol" w:hint="default"/>
                <w:b/>
              </w:rPr>
              <w:t>☐</w:t>
            </w:r>
          </w:p>
        </w:tc>
        <w:tc>
          <w:tcPr>
            <w:tcW w:w="1281" w:type="dxa"/>
            <w:tcBorders>
              <w:top w:val="nil"/>
              <w:left w:val="nil"/>
              <w:bottom w:val="single" w:sz="4" w:space="0" w:color="auto"/>
              <w:right w:val="nil"/>
            </w:tcBorders>
            <w:textDirection w:val="lrTb"/>
            <w:vAlign w:val="top"/>
          </w:tcPr>
          <w:p w:rsidR="00233F02" w:rsidRPr="006756B1" w:rsidP="00233F02">
            <w:pPr>
              <w:bidi w:val="0"/>
              <w:ind w:right="-108"/>
              <w:rPr>
                <w:rFonts w:ascii="Times New Roman" w:hAnsi="Times New Roman"/>
                <w:b/>
              </w:rPr>
            </w:pPr>
            <w:r w:rsidRPr="006756B1">
              <w:rPr>
                <w:rFonts w:ascii="Times New Roman" w:hAnsi="Times New Roman"/>
                <w:b/>
              </w:rPr>
              <w:t>Pozitívne</w:t>
            </w:r>
          </w:p>
        </w:tc>
        <w:tc>
          <w:tcPr>
            <w:tcW w:w="569" w:type="dxa"/>
            <w:tcBorders>
              <w:top w:val="nil"/>
              <w:left w:val="nil"/>
              <w:bottom w:val="single" w:sz="4" w:space="0" w:color="auto"/>
              <w:right w:val="nil"/>
            </w:tcBorders>
            <w:textDirection w:val="lrTb"/>
            <w:vAlign w:val="top"/>
          </w:tcPr>
          <w:p w:rsidR="00233F02" w:rsidRPr="006756B1" w:rsidP="00233F02">
            <w:pPr>
              <w:bidi w:val="0"/>
              <w:jc w:val="center"/>
              <w:rPr>
                <w:rFonts w:ascii="Times New Roman" w:hAnsi="Times New Roman"/>
                <w:b/>
              </w:rPr>
            </w:pPr>
            <w:r w:rsidRPr="006756B1">
              <w:rPr>
                <w:rFonts w:ascii="Times New Roman" w:hAnsi="Times New Roman"/>
                <w:b/>
              </w:rPr>
              <w:t>x</w:t>
            </w:r>
          </w:p>
        </w:tc>
        <w:tc>
          <w:tcPr>
            <w:tcW w:w="1133" w:type="dxa"/>
            <w:tcBorders>
              <w:top w:val="nil"/>
              <w:left w:val="nil"/>
              <w:bottom w:val="single" w:sz="4" w:space="0" w:color="auto"/>
              <w:right w:val="nil"/>
            </w:tcBorders>
            <w:textDirection w:val="lrTb"/>
            <w:vAlign w:val="top"/>
          </w:tcPr>
          <w:p w:rsidR="00233F02" w:rsidRPr="006756B1" w:rsidP="00233F02">
            <w:pPr>
              <w:bidi w:val="0"/>
              <w:rPr>
                <w:rFonts w:ascii="Times New Roman" w:hAnsi="Times New Roman"/>
                <w:b/>
              </w:rPr>
            </w:pPr>
            <w:r w:rsidRPr="006756B1">
              <w:rPr>
                <w:rFonts w:ascii="Times New Roman" w:hAnsi="Times New Roman"/>
                <w:b/>
              </w:rPr>
              <w:t>Žiadne</w:t>
            </w:r>
          </w:p>
        </w:tc>
        <w:tc>
          <w:tcPr>
            <w:tcW w:w="547" w:type="dxa"/>
            <w:tcBorders>
              <w:top w:val="nil"/>
              <w:left w:val="nil"/>
              <w:bottom w:val="single" w:sz="4" w:space="0" w:color="auto"/>
              <w:right w:val="nil"/>
            </w:tcBorders>
            <w:textDirection w:val="lrTb"/>
            <w:vAlign w:val="top"/>
          </w:tcPr>
          <w:p w:rsidR="00233F02" w:rsidRPr="006756B1" w:rsidP="00233F02">
            <w:pPr>
              <w:bidi w:val="0"/>
              <w:jc w:val="center"/>
              <w:rPr>
                <w:rFonts w:ascii="Times New Roman" w:hAnsi="Times New Roman"/>
                <w:b/>
              </w:rPr>
            </w:pPr>
            <w:r w:rsidRPr="006756B1">
              <w:rPr>
                <w:rFonts w:ascii="Segoe UI Symbol" w:eastAsia="MS Mincho" w:hAnsi="Segoe UI Symbol" w:cs="Segoe UI Symbol" w:hint="default"/>
                <w:b/>
              </w:rPr>
              <w:t>☐</w:t>
            </w:r>
          </w:p>
        </w:tc>
        <w:tc>
          <w:tcPr>
            <w:tcW w:w="1297" w:type="dxa"/>
            <w:tcBorders>
              <w:top w:val="nil"/>
              <w:left w:val="nil"/>
              <w:bottom w:val="single" w:sz="4" w:space="0" w:color="auto"/>
              <w:right w:val="single" w:sz="4" w:space="0" w:color="auto"/>
            </w:tcBorders>
            <w:textDirection w:val="lrTb"/>
            <w:vAlign w:val="top"/>
          </w:tcPr>
          <w:p w:rsidR="00233F02" w:rsidRPr="006756B1" w:rsidP="00233F02">
            <w:pPr>
              <w:bidi w:val="0"/>
              <w:ind w:left="54"/>
              <w:rPr>
                <w:rFonts w:ascii="Times New Roman" w:hAnsi="Times New Roman"/>
                <w:b/>
              </w:rPr>
            </w:pPr>
            <w:r w:rsidRPr="006756B1">
              <w:rPr>
                <w:rFonts w:ascii="Times New Roman" w:hAnsi="Times New Roman"/>
                <w:b/>
              </w:rPr>
              <w:t>Negatívne</w:t>
            </w:r>
          </w:p>
        </w:tc>
      </w:tr>
    </w:tbl>
    <w:p w:rsidR="00233F02" w:rsidRPr="006756B1" w:rsidP="00233F02">
      <w:pPr>
        <w:bidi w:val="0"/>
        <w:ind w:right="141"/>
        <w:rPr>
          <w:rFonts w:ascii="Times New Roman" w:hAnsi="Times New Roman"/>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233F02" w:rsidRPr="006756B1" w:rsidP="00233F02">
            <w:pPr>
              <w:bidi w:val="0"/>
              <w:spacing w:after="0" w:line="240" w:lineRule="auto"/>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33F02" w:rsidRPr="006756B1" w:rsidP="00233F02">
            <w:pPr>
              <w:widowControl w:val="0"/>
              <w:bidi w:val="0"/>
              <w:adjustRightInd w:val="0"/>
              <w:spacing w:after="0" w:line="240" w:lineRule="auto"/>
              <w:rPr>
                <w:rFonts w:ascii="Times New Roman" w:hAnsi="Times New Roman"/>
                <w:szCs w:val="22"/>
              </w:rPr>
            </w:pPr>
            <w:r w:rsidRPr="006756B1">
              <w:rPr>
                <w:rFonts w:ascii="Times New Roman" w:hAnsi="Times New Roman"/>
                <w:szCs w:val="22"/>
              </w:rPr>
              <w:t>Ing. Iveta Grossová, Oddelenie medzinárodných daňových vzťahov, Odbor priamych daní, Sekcia daňová a colná MF SR</w:t>
            </w:r>
          </w:p>
          <w:p w:rsidR="00233F02" w:rsidRPr="006756B1" w:rsidP="00233F02">
            <w:pPr>
              <w:bidi w:val="0"/>
              <w:spacing w:after="0" w:line="240" w:lineRule="auto"/>
              <w:rPr>
                <w:rFonts w:ascii="Times New Roman" w:hAnsi="Times New Roman"/>
                <w:szCs w:val="22"/>
              </w:rPr>
            </w:pPr>
            <w:hyperlink r:id="rId6" w:history="1">
              <w:r w:rsidRPr="006756B1">
                <w:rPr>
                  <w:rStyle w:val="Hyperlink"/>
                  <w:rFonts w:ascii="Times New Roman" w:hAnsi="Times New Roman"/>
                  <w:szCs w:val="22"/>
                </w:rPr>
                <w:t>iveta.grossova</w:t>
              </w:r>
              <w:r w:rsidRPr="006756B1">
                <w:rPr>
                  <w:rStyle w:val="Hyperlink"/>
                  <w:rFonts w:ascii="Times New Roman" w:hAnsi="Times New Roman"/>
                  <w:szCs w:val="22"/>
                  <w:lang w:val="en-US"/>
                </w:rPr>
                <w:t>@</w:t>
              </w:r>
              <w:r w:rsidRPr="006756B1">
                <w:rPr>
                  <w:rStyle w:val="Hyperlink"/>
                  <w:rFonts w:ascii="Times New Roman" w:hAnsi="Times New Roman"/>
                  <w:szCs w:val="22"/>
                </w:rPr>
                <w:t>mfsr.sk</w:t>
              </w:r>
            </w:hyperlink>
          </w:p>
          <w:p w:rsidR="00233F02" w:rsidRPr="006756B1" w:rsidP="00233F02">
            <w:pPr>
              <w:bidi w:val="0"/>
              <w:spacing w:after="0" w:line="240" w:lineRule="auto"/>
              <w:rPr>
                <w:rFonts w:ascii="Times New Roman" w:hAnsi="Times New Roman"/>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Informácie od nadnárodných skupín podnikov.</w:t>
            </w:r>
          </w:p>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Sekcia informatiky, oddelenie riadenia rozvoja FR SR</w:t>
            </w:r>
          </w:p>
          <w:p w:rsidR="00233F02" w:rsidRPr="006756B1" w:rsidP="00233F02">
            <w:pPr>
              <w:bidi w:val="0"/>
              <w:spacing w:after="0" w:line="240" w:lineRule="auto"/>
              <w:rPr>
                <w:rFonts w:ascii="Times New Roman" w:hAnsi="Times New Roman"/>
                <w:szCs w:val="22"/>
              </w:rPr>
            </w:pPr>
          </w:p>
          <w:p w:rsidR="00233F02" w:rsidRPr="006756B1" w:rsidP="00233F02">
            <w:pPr>
              <w:bidi w:val="0"/>
              <w:spacing w:after="0" w:line="240" w:lineRule="auto"/>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233F02" w:rsidRPr="006756B1" w:rsidP="00233F02">
            <w:pPr>
              <w:pStyle w:val="ListParagraph"/>
              <w:numPr>
                <w:numId w:val="36"/>
              </w:numPr>
              <w:bidi w:val="0"/>
              <w:spacing w:after="0" w:afterAutospacing="0"/>
              <w:ind w:left="426"/>
              <w:jc w:val="left"/>
              <w:rPr>
                <w:rFonts w:ascii="Times New Roman" w:hAnsi="Times New Roman"/>
                <w:b/>
              </w:rPr>
            </w:pPr>
            <w:r w:rsidRPr="006756B1">
              <w:rPr>
                <w:rFonts w:ascii="Times New Roman" w:hAnsi="Times New Roman"/>
                <w:b/>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233F02" w:rsidRPr="006756B1" w:rsidP="00233F02">
            <w:pPr>
              <w:bidi w:val="0"/>
              <w:spacing w:after="0" w:line="240" w:lineRule="auto"/>
              <w:rPr>
                <w:rFonts w:ascii="Times New Roman" w:hAnsi="Times New Roman"/>
                <w:szCs w:val="22"/>
              </w:rPr>
            </w:pPr>
            <w:r w:rsidRPr="006756B1">
              <w:rPr>
                <w:rFonts w:ascii="Times New Roman" w:hAnsi="Times New Roman"/>
                <w:szCs w:val="22"/>
              </w:rPr>
              <w:t>Komisia vyjadrila nesúhlasné stanovisko s možnosťou dopracovať materiál podľa pripomienok a zaslať ho na opätovné schválenie Komisie. Do MPK predkladáme materiál s dopracovanými pripomienkami.</w:t>
            </w:r>
          </w:p>
          <w:p w:rsidR="00233F02" w:rsidRPr="006756B1" w:rsidP="00233F02">
            <w:pPr>
              <w:bidi w:val="0"/>
              <w:spacing w:after="0" w:line="240" w:lineRule="auto"/>
              <w:rPr>
                <w:rFonts w:ascii="Times New Roman" w:hAnsi="Times New Roman"/>
                <w:b/>
              </w:rPr>
            </w:pPr>
          </w:p>
          <w:p w:rsidR="00233F02" w:rsidRPr="006756B1" w:rsidP="00233F02">
            <w:pPr>
              <w:bidi w:val="0"/>
              <w:spacing w:after="0" w:line="240" w:lineRule="auto"/>
              <w:rPr>
                <w:rFonts w:ascii="Times New Roman" w:hAnsi="Times New Roman"/>
                <w:b/>
              </w:rPr>
            </w:pPr>
          </w:p>
        </w:tc>
      </w:tr>
    </w:tbl>
    <w:p w:rsidR="00233F02" w:rsidRPr="006756B1" w:rsidP="00233F02">
      <w:pPr>
        <w:bidi w:val="0"/>
        <w:rPr>
          <w:rFonts w:ascii="Times New Roman" w:hAnsi="Times New Roman"/>
          <w:b/>
        </w:rPr>
      </w:pPr>
    </w:p>
    <w:p w:rsidR="00233F02" w:rsidRPr="006756B1" w:rsidP="00233F02">
      <w:pPr>
        <w:bidi w:val="0"/>
        <w:rPr>
          <w:rFonts w:ascii="Times New Roman" w:hAnsi="Times New Roman"/>
          <w:b/>
        </w:rPr>
      </w:pPr>
    </w:p>
    <w:p w:rsidR="00233F02" w:rsidRPr="006756B1" w:rsidP="00233F02">
      <w:pPr>
        <w:bidi w:val="0"/>
        <w:rPr>
          <w:rFonts w:ascii="Times New Roman" w:hAnsi="Times New Roman"/>
        </w:rPr>
      </w:pPr>
    </w:p>
    <w:p w:rsidR="00233F02" w:rsidRPr="006756B1" w:rsidP="00233F02">
      <w:pPr>
        <w:bidi w:val="0"/>
        <w:rPr>
          <w:rFonts w:ascii="Times New Roman" w:hAnsi="Times New Roman"/>
        </w:rPr>
      </w:pPr>
    </w:p>
    <w:p w:rsidR="00233F02" w:rsidRPr="006756B1" w:rsidP="00233F02">
      <w:pPr>
        <w:bidi w:val="0"/>
        <w:rPr>
          <w:rFonts w:ascii="Times New Roman" w:hAnsi="Times New Roman"/>
        </w:rPr>
      </w:pPr>
    </w:p>
    <w:p w:rsidR="00233F02" w:rsidRPr="006756B1" w:rsidP="00233F02">
      <w:pPr>
        <w:bidi w:val="0"/>
        <w:rPr>
          <w:rFonts w:ascii="Times New Roman" w:hAnsi="Times New Roman"/>
        </w:rPr>
      </w:pPr>
    </w:p>
    <w:p w:rsidR="00233F02" w:rsidRPr="006756B1" w:rsidP="00E74ED1">
      <w:pPr>
        <w:bidi w:val="0"/>
        <w:spacing w:after="0"/>
        <w:jc w:val="center"/>
        <w:rPr>
          <w:rFonts w:ascii="Times New Roman" w:hAnsi="Times New Roman"/>
          <w:b/>
          <w:bCs/>
          <w:sz w:val="28"/>
          <w:szCs w:val="28"/>
        </w:rPr>
      </w:pPr>
      <w:r w:rsidRPr="006756B1">
        <w:rPr>
          <w:rFonts w:ascii="Times New Roman" w:hAnsi="Times New Roman"/>
          <w:b/>
          <w:bCs/>
          <w:sz w:val="28"/>
          <w:szCs w:val="28"/>
        </w:rPr>
        <w:t>Analýza vplyvov na rozpočet verejnej správy,</w:t>
      </w:r>
    </w:p>
    <w:p w:rsidR="00233F02" w:rsidRPr="006756B1" w:rsidP="00233F02">
      <w:pPr>
        <w:bidi w:val="0"/>
        <w:jc w:val="center"/>
        <w:rPr>
          <w:rFonts w:ascii="Times New Roman" w:hAnsi="Times New Roman"/>
          <w:b/>
          <w:bCs/>
          <w:sz w:val="28"/>
          <w:szCs w:val="28"/>
        </w:rPr>
      </w:pPr>
      <w:r w:rsidRPr="006756B1">
        <w:rPr>
          <w:rFonts w:ascii="Times New Roman" w:hAnsi="Times New Roman"/>
          <w:b/>
          <w:bCs/>
          <w:sz w:val="28"/>
          <w:szCs w:val="28"/>
        </w:rPr>
        <w:t>na zamestnanosť vo verejnej správe a financovanie návrhu</w:t>
      </w:r>
    </w:p>
    <w:p w:rsidR="00233F02" w:rsidRPr="006756B1" w:rsidP="00233F02">
      <w:pPr>
        <w:bidi w:val="0"/>
        <w:rPr>
          <w:rFonts w:ascii="Times New Roman" w:hAnsi="Times New Roman"/>
          <w:b/>
          <w:bCs/>
          <w:sz w:val="24"/>
          <w:szCs w:val="24"/>
        </w:rPr>
      </w:pPr>
      <w:r w:rsidRPr="006756B1">
        <w:rPr>
          <w:rFonts w:ascii="Times New Roman" w:hAnsi="Times New Roman"/>
          <w:b/>
          <w:bCs/>
          <w:sz w:val="24"/>
          <w:szCs w:val="24"/>
        </w:rPr>
        <w:t>2.1 Zhrnutie vplyvov na rozpočet verejnej správy v návrhu</w:t>
      </w:r>
    </w:p>
    <w:p w:rsidR="00233F02" w:rsidRPr="006756B1" w:rsidP="00233F02">
      <w:pPr>
        <w:bidi w:val="0"/>
        <w:jc w:val="right"/>
        <w:rPr>
          <w:rFonts w:ascii="Times New Roman" w:hAnsi="Times New Roman"/>
        </w:rPr>
      </w:pPr>
      <w:r w:rsidRPr="006756B1">
        <w:rPr>
          <w:rFonts w:ascii="Times New Roman" w:hAnsi="Times New Roman"/>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E74ED1">
            <w:pPr>
              <w:bidi w:val="0"/>
              <w:spacing w:after="0"/>
              <w:jc w:val="center"/>
              <w:rPr>
                <w:rFonts w:ascii="Times New Roman" w:hAnsi="Times New Roman"/>
                <w:b/>
                <w:bCs/>
                <w:sz w:val="24"/>
                <w:szCs w:val="24"/>
              </w:rPr>
            </w:pPr>
            <w:bookmarkStart w:id="0" w:name="OLE_LINK1"/>
            <w:r w:rsidRPr="006756B1">
              <w:rPr>
                <w:rFonts w:ascii="Times New Roman" w:hAnsi="Times New Roman"/>
                <w:b/>
                <w:bCs/>
                <w:sz w:val="24"/>
                <w:szCs w:val="24"/>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E74ED1">
            <w:pPr>
              <w:bidi w:val="0"/>
              <w:spacing w:after="0"/>
              <w:jc w:val="center"/>
              <w:rPr>
                <w:rFonts w:ascii="Times New Roman" w:hAnsi="Times New Roman"/>
                <w:b/>
                <w:bCs/>
                <w:sz w:val="24"/>
                <w:szCs w:val="24"/>
              </w:rPr>
            </w:pPr>
            <w:r w:rsidRPr="006756B1">
              <w:rPr>
                <w:rFonts w:ascii="Times New Roman" w:hAnsi="Times New Roman"/>
                <w:b/>
                <w:bCs/>
                <w:sz w:val="24"/>
                <w:szCs w:val="24"/>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E74ED1">
            <w:pPr>
              <w:bidi w:val="0"/>
              <w:spacing w:after="0"/>
              <w:jc w:val="center"/>
              <w:rPr>
                <w:rFonts w:ascii="Times New Roman" w:hAnsi="Times New Roman"/>
                <w:b/>
                <w:bCs/>
                <w:sz w:val="24"/>
                <w:szCs w:val="24"/>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E74ED1">
            <w:pPr>
              <w:bidi w:val="0"/>
              <w:spacing w:after="0"/>
              <w:jc w:val="center"/>
              <w:rPr>
                <w:rFonts w:ascii="Times New Roman" w:hAnsi="Times New Roman"/>
                <w:b/>
                <w:bCs/>
                <w:sz w:val="24"/>
                <w:szCs w:val="24"/>
              </w:rPr>
            </w:pPr>
            <w:r w:rsidRPr="006756B1">
              <w:rPr>
                <w:rFonts w:ascii="Times New Roman" w:hAnsi="Times New Roman"/>
                <w:b/>
                <w:bCs/>
                <w:sz w:val="24"/>
                <w:szCs w:val="24"/>
              </w:rPr>
              <w:t>2016</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E74ED1">
            <w:pPr>
              <w:bidi w:val="0"/>
              <w:spacing w:after="0"/>
              <w:jc w:val="center"/>
              <w:rPr>
                <w:rFonts w:ascii="Times New Roman" w:hAnsi="Times New Roman"/>
                <w:b/>
                <w:bCs/>
                <w:sz w:val="24"/>
                <w:szCs w:val="24"/>
              </w:rPr>
            </w:pPr>
            <w:r w:rsidRPr="006756B1">
              <w:rPr>
                <w:rFonts w:ascii="Times New Roman" w:hAnsi="Times New Roman"/>
                <w:b/>
                <w:bCs/>
                <w:sz w:val="24"/>
                <w:szCs w:val="24"/>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E74ED1">
            <w:pPr>
              <w:bidi w:val="0"/>
              <w:spacing w:after="0"/>
              <w:jc w:val="center"/>
              <w:rPr>
                <w:rFonts w:ascii="Times New Roman" w:hAnsi="Times New Roman"/>
                <w:b/>
                <w:bCs/>
                <w:sz w:val="24"/>
                <w:szCs w:val="24"/>
              </w:rPr>
            </w:pPr>
            <w:r w:rsidRPr="006756B1">
              <w:rPr>
                <w:rFonts w:ascii="Times New Roman" w:hAnsi="Times New Roman"/>
                <w:b/>
                <w:bCs/>
                <w:sz w:val="24"/>
                <w:szCs w:val="24"/>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E74ED1">
            <w:pPr>
              <w:bidi w:val="0"/>
              <w:spacing w:after="0"/>
              <w:jc w:val="center"/>
              <w:rPr>
                <w:rFonts w:ascii="Times New Roman" w:hAnsi="Times New Roman"/>
                <w:b/>
                <w:bCs/>
                <w:sz w:val="24"/>
                <w:szCs w:val="24"/>
              </w:rPr>
            </w:pPr>
            <w:r w:rsidRPr="006756B1">
              <w:rPr>
                <w:rFonts w:ascii="Times New Roman" w:hAnsi="Times New Roman"/>
                <w:b/>
                <w:bCs/>
                <w:sz w:val="24"/>
                <w:szCs w:val="24"/>
              </w:rPr>
              <w:t>2019</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33F02" w:rsidRPr="006756B1" w:rsidP="00E74ED1">
            <w:pPr>
              <w:bidi w:val="0"/>
              <w:spacing w:after="0"/>
              <w:rPr>
                <w:rFonts w:ascii="Times New Roman" w:hAnsi="Times New Roman"/>
                <w:sz w:val="24"/>
                <w:szCs w:val="24"/>
              </w:rPr>
            </w:pPr>
            <w:r w:rsidRPr="006756B1">
              <w:rPr>
                <w:rFonts w:ascii="Times New Roman" w:hAnsi="Times New Roman"/>
                <w:b/>
                <w:bCs/>
                <w:sz w:val="24"/>
                <w:szCs w:val="24"/>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sz w:val="24"/>
                <w:szCs w:val="24"/>
              </w:rPr>
            </w:pPr>
            <w:r w:rsidRPr="006756B1">
              <w:rPr>
                <w:rFonts w:ascii="Times New Roman" w:hAnsi="Times New Roman"/>
                <w:sz w:val="24"/>
                <w:szCs w:val="24"/>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ind w:left="259"/>
              <w:rPr>
                <w:rFonts w:ascii="Times New Roman" w:hAnsi="Times New Roman"/>
                <w:b/>
                <w:bCs/>
                <w:i/>
                <w:iCs/>
                <w:sz w:val="24"/>
                <w:szCs w:val="24"/>
              </w:rPr>
            </w:pPr>
            <w:r w:rsidRPr="006756B1">
              <w:rPr>
                <w:rFonts w:ascii="Times New Roman" w:hAnsi="Times New Roman"/>
                <w:bCs/>
                <w:i/>
                <w:iCs/>
                <w:sz w:val="24"/>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ind w:left="259"/>
              <w:rPr>
                <w:rFonts w:ascii="Times New Roman" w:hAnsi="Times New Roman"/>
                <w:bCs/>
                <w:i/>
                <w:iCs/>
                <w:sz w:val="24"/>
                <w:szCs w:val="24"/>
              </w:rPr>
            </w:pPr>
            <w:r w:rsidRPr="006756B1">
              <w:rPr>
                <w:rFonts w:ascii="Times New Roman" w:hAnsi="Times New Roman"/>
                <w:bCs/>
                <w:i/>
                <w:iCs/>
                <w:sz w:val="24"/>
                <w:szCs w:val="24"/>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33F02" w:rsidRPr="006756B1" w:rsidP="00E74ED1">
            <w:pPr>
              <w:bidi w:val="0"/>
              <w:spacing w:after="0"/>
              <w:rPr>
                <w:rFonts w:ascii="Times New Roman" w:hAnsi="Times New Roman"/>
                <w:b/>
                <w:bCs/>
                <w:sz w:val="24"/>
                <w:szCs w:val="24"/>
              </w:rPr>
            </w:pPr>
            <w:r w:rsidRPr="006756B1">
              <w:rPr>
                <w:rFonts w:ascii="Times New Roman" w:hAnsi="Times New Roman"/>
                <w:b/>
                <w:bCs/>
                <w:sz w:val="24"/>
                <w:szCs w:val="24"/>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33F02" w:rsidRPr="006756B1" w:rsidP="00E74ED1">
            <w:pPr>
              <w:widowControl w:val="0"/>
              <w:bidi w:val="0"/>
              <w:adjustRightInd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33F02" w:rsidRPr="006756B1" w:rsidP="00E74ED1">
            <w:pPr>
              <w:widowControl w:val="0"/>
              <w:bidi w:val="0"/>
              <w:adjustRightInd w:val="0"/>
              <w:spacing w:after="0"/>
              <w:jc w:val="right"/>
              <w:rPr>
                <w:rFonts w:ascii="Times New Roman" w:hAnsi="Times New Roman"/>
                <w:b/>
                <w:bCs/>
                <w:sz w:val="24"/>
                <w:szCs w:val="24"/>
              </w:rPr>
            </w:pPr>
            <w:r w:rsidRPr="006756B1">
              <w:rPr>
                <w:rFonts w:ascii="Times New Roman" w:hAnsi="Times New Roman"/>
                <w:b/>
                <w:bCs/>
                <w:sz w:val="24"/>
                <w:szCs w:val="24"/>
              </w:rPr>
              <w:t>+2.500.000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33F02" w:rsidRPr="006756B1" w:rsidP="00E74ED1">
            <w:pPr>
              <w:widowControl w:val="0"/>
              <w:bidi w:val="0"/>
              <w:adjustRightInd w:val="0"/>
              <w:spacing w:after="0"/>
              <w:jc w:val="right"/>
              <w:rPr>
                <w:rFonts w:ascii="Times New Roman" w:hAnsi="Times New Roman"/>
                <w:b/>
                <w:bCs/>
                <w:sz w:val="24"/>
                <w:szCs w:val="24"/>
              </w:rPr>
            </w:pPr>
            <w:r w:rsidRPr="006756B1">
              <w:rPr>
                <w:rFonts w:ascii="Times New Roman" w:hAnsi="Times New Roman"/>
                <w:b/>
                <w:bCs/>
                <w:sz w:val="24"/>
                <w:szCs w:val="24"/>
              </w:rPr>
              <w:t>+1.000.000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33F02" w:rsidRPr="006756B1" w:rsidP="00E74ED1">
            <w:pPr>
              <w:widowControl w:val="0"/>
              <w:bidi w:val="0"/>
              <w:adjustRightInd w:val="0"/>
              <w:spacing w:after="0"/>
              <w:jc w:val="right"/>
              <w:rPr>
                <w:rFonts w:ascii="Times New Roman" w:hAnsi="Times New Roman"/>
                <w:b/>
                <w:bCs/>
                <w:sz w:val="24"/>
                <w:szCs w:val="24"/>
              </w:rPr>
            </w:pPr>
            <w:r w:rsidRPr="006756B1">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sz w:val="24"/>
                <w:szCs w:val="24"/>
              </w:rPr>
            </w:pPr>
            <w:r w:rsidRPr="006756B1">
              <w:rPr>
                <w:rFonts w:ascii="Times New Roman" w:hAnsi="Times New Roman"/>
                <w:sz w:val="24"/>
                <w:szCs w:val="24"/>
              </w:rPr>
              <w:t>v tom: kapitola MF SR/072 Výber daní a cla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widowControl w:val="0"/>
              <w:bidi w:val="0"/>
              <w:adjustRightInd w:val="0"/>
              <w:spacing w:after="0"/>
              <w:jc w:val="right"/>
              <w:rPr>
                <w:rFonts w:ascii="Times New Roman" w:hAnsi="Times New Roman"/>
                <w:bCs/>
                <w:sz w:val="24"/>
                <w:szCs w:val="24"/>
              </w:rPr>
            </w:pPr>
            <w:r w:rsidRPr="006756B1">
              <w:rPr>
                <w:rFonts w:ascii="Times New Roman" w:hAnsi="Times New Roman"/>
                <w:b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widowControl w:val="0"/>
              <w:bidi w:val="0"/>
              <w:adjustRightInd w:val="0"/>
              <w:spacing w:after="0"/>
              <w:jc w:val="right"/>
              <w:rPr>
                <w:rFonts w:ascii="Times New Roman" w:hAnsi="Times New Roman"/>
                <w:bCs/>
                <w:sz w:val="24"/>
                <w:szCs w:val="24"/>
              </w:rPr>
            </w:pPr>
            <w:r w:rsidRPr="006756B1">
              <w:rPr>
                <w:rFonts w:ascii="Times New Roman" w:hAnsi="Times New Roman"/>
                <w:bCs/>
                <w:sz w:val="24"/>
                <w:szCs w:val="24"/>
              </w:rPr>
              <w:t>+2.500.000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widowControl w:val="0"/>
              <w:bidi w:val="0"/>
              <w:adjustRightInd w:val="0"/>
              <w:spacing w:after="0"/>
              <w:jc w:val="right"/>
              <w:rPr>
                <w:rFonts w:ascii="Times New Roman" w:hAnsi="Times New Roman"/>
                <w:bCs/>
                <w:sz w:val="24"/>
                <w:szCs w:val="24"/>
              </w:rPr>
            </w:pPr>
            <w:r w:rsidRPr="006756B1">
              <w:rPr>
                <w:rFonts w:ascii="Times New Roman" w:hAnsi="Times New Roman"/>
                <w:bCs/>
                <w:sz w:val="24"/>
                <w:szCs w:val="24"/>
              </w:rPr>
              <w:t>+1.000.000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widowControl w:val="0"/>
              <w:bidi w:val="0"/>
              <w:adjustRightInd w:val="0"/>
              <w:spacing w:after="0"/>
              <w:jc w:val="right"/>
              <w:rPr>
                <w:rFonts w:ascii="Times New Roman" w:hAnsi="Times New Roman"/>
                <w:bCs/>
                <w:sz w:val="24"/>
                <w:szCs w:val="24"/>
              </w:rPr>
            </w:pPr>
            <w:r w:rsidRPr="006756B1">
              <w:rPr>
                <w:rFonts w:ascii="Times New Roman" w:hAnsi="Times New Roman"/>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widowControl w:val="0"/>
              <w:bidi w:val="0"/>
              <w:adjustRightInd w:val="0"/>
              <w:spacing w:after="0"/>
              <w:jc w:val="right"/>
              <w:rPr>
                <w:rFonts w:ascii="Times New Roman" w:hAnsi="Times New Roman"/>
                <w:b/>
                <w:bCs/>
                <w:sz w:val="24"/>
                <w:szCs w:val="24"/>
              </w:rPr>
            </w:pPr>
            <w:r w:rsidRPr="006756B1">
              <w:rPr>
                <w:rFonts w:ascii="Times New Roman" w:hAnsi="Times New Roman"/>
                <w:b/>
                <w:bCs/>
                <w:sz w:val="24"/>
                <w:szCs w:val="24"/>
              </w:rPr>
              <w:t>+2.500.000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widowControl w:val="0"/>
              <w:bidi w:val="0"/>
              <w:adjustRightInd w:val="0"/>
              <w:spacing w:after="0"/>
              <w:jc w:val="right"/>
              <w:rPr>
                <w:rFonts w:ascii="Times New Roman" w:hAnsi="Times New Roman"/>
                <w:b/>
                <w:bCs/>
                <w:sz w:val="24"/>
                <w:szCs w:val="24"/>
              </w:rPr>
            </w:pPr>
            <w:r w:rsidRPr="006756B1">
              <w:rPr>
                <w:rFonts w:ascii="Times New Roman" w:hAnsi="Times New Roman"/>
                <w:b/>
                <w:bCs/>
                <w:sz w:val="24"/>
                <w:szCs w:val="24"/>
              </w:rPr>
              <w:t>+1.000.000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widowControl w:val="0"/>
              <w:bidi w:val="0"/>
              <w:adjustRightInd w:val="0"/>
              <w:spacing w:after="0"/>
              <w:jc w:val="right"/>
              <w:rPr>
                <w:rFonts w:ascii="Times New Roman" w:hAnsi="Times New Roman"/>
                <w:b/>
                <w:bCs/>
                <w:sz w:val="24"/>
                <w:szCs w:val="24"/>
              </w:rPr>
            </w:pPr>
            <w:r w:rsidRPr="006756B1">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ind w:left="259"/>
              <w:rPr>
                <w:rFonts w:ascii="Times New Roman" w:hAnsi="Times New Roman"/>
                <w:b/>
                <w:bCs/>
                <w:i/>
                <w:iCs/>
                <w:sz w:val="24"/>
                <w:szCs w:val="24"/>
              </w:rPr>
            </w:pPr>
            <w:r w:rsidRPr="006756B1">
              <w:rPr>
                <w:rFonts w:ascii="Times New Roman" w:hAnsi="Times New Roman"/>
                <w:bCs/>
                <w:i/>
                <w:iCs/>
                <w:sz w:val="24"/>
                <w:szCs w:val="24"/>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Cs/>
                <w:iCs/>
                <w:sz w:val="24"/>
                <w:szCs w:val="24"/>
              </w:rPr>
            </w:pPr>
            <w:r w:rsidRPr="006756B1">
              <w:rPr>
                <w:rFonts w:ascii="Times New Roman" w:hAnsi="Times New Roman"/>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widowControl w:val="0"/>
              <w:bidi w:val="0"/>
              <w:adjustRightInd w:val="0"/>
              <w:spacing w:after="0"/>
              <w:jc w:val="right"/>
              <w:rPr>
                <w:rFonts w:ascii="Times New Roman" w:hAnsi="Times New Roman"/>
                <w:bCs/>
                <w:sz w:val="24"/>
                <w:szCs w:val="24"/>
              </w:rPr>
            </w:pPr>
            <w:r w:rsidRPr="006756B1">
              <w:rPr>
                <w:rFonts w:ascii="Times New Roman" w:hAnsi="Times New Roman"/>
                <w:bCs/>
                <w:sz w:val="24"/>
                <w:szCs w:val="24"/>
              </w:rPr>
              <w:t>+2.500.000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widowControl w:val="0"/>
              <w:bidi w:val="0"/>
              <w:adjustRightInd w:val="0"/>
              <w:spacing w:after="0"/>
              <w:jc w:val="right"/>
              <w:rPr>
                <w:rFonts w:ascii="Times New Roman" w:hAnsi="Times New Roman"/>
                <w:bCs/>
                <w:sz w:val="24"/>
                <w:szCs w:val="24"/>
              </w:rPr>
            </w:pPr>
            <w:r w:rsidRPr="006756B1">
              <w:rPr>
                <w:rFonts w:ascii="Times New Roman" w:hAnsi="Times New Roman"/>
                <w:bCs/>
                <w:sz w:val="24"/>
                <w:szCs w:val="24"/>
              </w:rPr>
              <w:t>+1.000.000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widowControl w:val="0"/>
              <w:bidi w:val="0"/>
              <w:adjustRightInd w:val="0"/>
              <w:spacing w:after="0"/>
              <w:jc w:val="right"/>
              <w:rPr>
                <w:rFonts w:ascii="Times New Roman" w:hAnsi="Times New Roman"/>
                <w:bCs/>
                <w:sz w:val="24"/>
                <w:szCs w:val="24"/>
              </w:rPr>
            </w:pPr>
            <w:r w:rsidRPr="006756B1">
              <w:rPr>
                <w:rFonts w:ascii="Times New Roman" w:hAnsi="Times New Roman"/>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Cs/>
                <w:i/>
                <w:iCs/>
                <w:sz w:val="24"/>
                <w:szCs w:val="24"/>
              </w:rPr>
            </w:pPr>
            <w:r w:rsidRPr="006756B1">
              <w:rPr>
                <w:rFonts w:ascii="Times New Roman" w:hAnsi="Times New Roman"/>
                <w:bCs/>
                <w:i/>
                <w:iCs/>
                <w:sz w:val="24"/>
                <w:szCs w:val="24"/>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Cs/>
                <w:i/>
                <w:iCs/>
                <w:sz w:val="24"/>
                <w:szCs w:val="24"/>
              </w:rPr>
            </w:pPr>
            <w:r w:rsidRPr="006756B1">
              <w:rPr>
                <w:rFonts w:ascii="Times New Roman" w:hAnsi="Times New Roman"/>
                <w:bCs/>
                <w:i/>
                <w:iCs/>
                <w:sz w:val="24"/>
                <w:szCs w:val="24"/>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sz w:val="24"/>
                <w:szCs w:val="24"/>
              </w:rPr>
            </w:pPr>
            <w:r w:rsidRPr="006756B1">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rPr>
                <w:rFonts w:ascii="Times New Roman" w:hAnsi="Times New Roman"/>
                <w:b/>
                <w:bCs/>
                <w:sz w:val="24"/>
                <w:szCs w:val="24"/>
              </w:rPr>
            </w:pPr>
            <w:r w:rsidRPr="006756B1">
              <w:rPr>
                <w:rFonts w:ascii="Times New Roman" w:hAnsi="Times New Roman"/>
                <w:b/>
                <w:bCs/>
                <w:sz w:val="24"/>
                <w:szCs w:val="24"/>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rPr>
                <w:rFonts w:ascii="Times New Roman" w:hAnsi="Times New Roman"/>
                <w:b/>
                <w:sz w:val="24"/>
                <w:szCs w:val="24"/>
              </w:rPr>
            </w:pPr>
            <w:r w:rsidRPr="006756B1">
              <w:rPr>
                <w:rFonts w:ascii="Times New Roman" w:hAnsi="Times New Roman"/>
                <w:b/>
                <w:sz w:val="24"/>
                <w:szCs w:val="24"/>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sz w:val="24"/>
                <w:szCs w:val="24"/>
              </w:rPr>
            </w:pPr>
            <w:r w:rsidRPr="006756B1">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sz w:val="24"/>
                <w:szCs w:val="24"/>
              </w:rPr>
            </w:pPr>
            <w:r w:rsidRPr="006756B1">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sz w:val="24"/>
                <w:szCs w:val="24"/>
              </w:rPr>
            </w:pPr>
            <w:r w:rsidRPr="006756B1">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sz w:val="24"/>
                <w:szCs w:val="24"/>
              </w:rPr>
            </w:pPr>
            <w:r w:rsidRPr="006756B1">
              <w:rPr>
                <w:rFonts w:ascii="Times New Roman" w:hAnsi="Times New Roman"/>
                <w:b/>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sz w:val="24"/>
                <w:szCs w:val="24"/>
              </w:rPr>
            </w:pPr>
            <w:r w:rsidRPr="006756B1">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sz w:val="24"/>
                <w:szCs w:val="24"/>
              </w:rPr>
            </w:pPr>
            <w:r w:rsidRPr="006756B1">
              <w:rPr>
                <w:rFonts w:ascii="Times New Roman" w:hAnsi="Times New Roman"/>
                <w:b/>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sz w:val="24"/>
                <w:szCs w:val="24"/>
              </w:rPr>
            </w:pPr>
            <w:r w:rsidRPr="006756B1">
              <w:rPr>
                <w:rFonts w:ascii="Times New Roman" w:hAnsi="Times New Roman"/>
                <w:b/>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i/>
                <w:iCs/>
                <w:sz w:val="24"/>
                <w:szCs w:val="24"/>
              </w:rPr>
            </w:pPr>
            <w:r w:rsidRPr="006756B1">
              <w:rPr>
                <w:rFonts w:ascii="Times New Roman" w:hAnsi="Times New Roman"/>
                <w:b/>
                <w:bCs/>
                <w:i/>
                <w:iCs/>
                <w:sz w:val="24"/>
                <w:szCs w:val="24"/>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39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b/>
                <w:bCs/>
                <w:sz w:val="24"/>
                <w:szCs w:val="24"/>
              </w:rPr>
            </w:pPr>
            <w:r w:rsidRPr="006756B1">
              <w:rPr>
                <w:rFonts w:ascii="Times New Roman" w:hAnsi="Times New Roman"/>
                <w:b/>
                <w:bCs/>
                <w:i/>
                <w:iCs/>
                <w:sz w:val="24"/>
                <w:szCs w:val="24"/>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b/>
                <w:bCs/>
                <w:iCs/>
                <w:sz w:val="24"/>
                <w:szCs w:val="24"/>
              </w:rPr>
            </w:pPr>
            <w:r w:rsidRPr="006756B1">
              <w:rPr>
                <w:rFonts w:ascii="Times New Roman" w:hAnsi="Times New Roman"/>
                <w:b/>
                <w:bCs/>
                <w:i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33F02" w:rsidRPr="006756B1" w:rsidP="00E74ED1">
            <w:pPr>
              <w:bidi w:val="0"/>
              <w:spacing w:after="0"/>
              <w:rPr>
                <w:rFonts w:ascii="Times New Roman" w:hAnsi="Times New Roman"/>
                <w:b/>
                <w:bCs/>
                <w:sz w:val="24"/>
                <w:szCs w:val="24"/>
              </w:rPr>
            </w:pPr>
            <w:r w:rsidRPr="006756B1">
              <w:rPr>
                <w:rFonts w:ascii="Times New Roman" w:hAnsi="Times New Roman"/>
                <w:b/>
                <w:bCs/>
                <w:sz w:val="24"/>
                <w:szCs w:val="24"/>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+2.500.000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+1.000.000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rPr>
                <w:rFonts w:ascii="Times New Roman" w:hAnsi="Times New Roman"/>
                <w:sz w:val="24"/>
                <w:szCs w:val="24"/>
              </w:rPr>
            </w:pPr>
            <w:r w:rsidRPr="006756B1">
              <w:rPr>
                <w:rFonts w:ascii="Times New Roman" w:hAnsi="Times New Roman"/>
                <w:sz w:val="24"/>
                <w:szCs w:val="24"/>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33F02" w:rsidRPr="006756B1" w:rsidP="00E74ED1">
            <w:pPr>
              <w:bidi w:val="0"/>
              <w:spacing w:after="0"/>
              <w:jc w:val="right"/>
              <w:rPr>
                <w:rFonts w:ascii="Times New Roman" w:hAnsi="Times New Roman"/>
                <w:sz w:val="24"/>
                <w:szCs w:val="24"/>
              </w:rPr>
            </w:pPr>
            <w:r w:rsidRPr="006756B1">
              <w:rPr>
                <w:rFonts w:ascii="Times New Roman" w:hAnsi="Times New Roman"/>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rPr>
                <w:rFonts w:ascii="Times New Roman" w:hAnsi="Times New Roman"/>
                <w:b/>
                <w:sz w:val="24"/>
                <w:szCs w:val="24"/>
              </w:rPr>
            </w:pPr>
            <w:r w:rsidRPr="006756B1">
              <w:rPr>
                <w:rFonts w:ascii="Times New Roman" w:hAnsi="Times New Roman"/>
                <w:b/>
                <w:sz w:val="24"/>
                <w:szCs w:val="24"/>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E74ED1">
            <w:pPr>
              <w:bidi w:val="0"/>
              <w:spacing w:after="0"/>
              <w:jc w:val="right"/>
              <w:rPr>
                <w:rFonts w:ascii="Times New Roman" w:hAnsi="Times New Roman"/>
                <w:b/>
                <w:bCs/>
                <w:sz w:val="24"/>
                <w:szCs w:val="24"/>
              </w:rPr>
            </w:pPr>
            <w:r w:rsidRPr="006756B1">
              <w:rPr>
                <w:rFonts w:ascii="Times New Roman" w:hAnsi="Times New Roman"/>
                <w:b/>
                <w:bCs/>
                <w:sz w:val="24"/>
                <w:szCs w:val="24"/>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33F02" w:rsidRPr="006756B1" w:rsidP="00233F02">
            <w:pPr>
              <w:bidi w:val="0"/>
              <w:rPr>
                <w:rFonts w:ascii="Times New Roman" w:hAnsi="Times New Roman"/>
                <w:b/>
                <w:bCs/>
                <w:sz w:val="24"/>
                <w:szCs w:val="24"/>
              </w:rPr>
            </w:pPr>
            <w:r w:rsidRPr="006756B1">
              <w:rPr>
                <w:rFonts w:ascii="Times New Roman" w:hAnsi="Times New Roman"/>
                <w:b/>
                <w:bCs/>
                <w:sz w:val="24"/>
                <w:szCs w:val="24"/>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33F02" w:rsidRPr="006756B1" w:rsidP="00233F02">
            <w:pPr>
              <w:bidi w:val="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33F02" w:rsidRPr="006756B1" w:rsidP="00233F02">
            <w:pPr>
              <w:widowControl w:val="0"/>
              <w:bidi w:val="0"/>
              <w:adjustRightInd w:val="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33F02" w:rsidRPr="006756B1" w:rsidP="00233F02">
            <w:pPr>
              <w:widowControl w:val="0"/>
              <w:bidi w:val="0"/>
              <w:adjustRightInd w:val="0"/>
              <w:jc w:val="right"/>
              <w:rPr>
                <w:rFonts w:ascii="Times New Roman" w:hAnsi="Times New Roman"/>
                <w:b/>
                <w:bCs/>
                <w:sz w:val="24"/>
                <w:szCs w:val="24"/>
              </w:rPr>
            </w:pPr>
            <w:r w:rsidRPr="006756B1">
              <w:rPr>
                <w:rFonts w:ascii="Times New Roman" w:hAnsi="Times New Roman"/>
                <w:b/>
                <w:bCs/>
                <w:sz w:val="24"/>
                <w:szCs w:val="24"/>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233F02" w:rsidRPr="006756B1" w:rsidP="00233F02">
            <w:pPr>
              <w:widowControl w:val="0"/>
              <w:bidi w:val="0"/>
              <w:adjustRightInd w:val="0"/>
              <w:jc w:val="right"/>
              <w:rPr>
                <w:rFonts w:ascii="Times New Roman" w:hAnsi="Times New Roman"/>
                <w:b/>
                <w:bCs/>
                <w:sz w:val="24"/>
                <w:szCs w:val="24"/>
              </w:rPr>
            </w:pPr>
            <w:r w:rsidRPr="006756B1">
              <w:rPr>
                <w:rFonts w:ascii="Times New Roman" w:hAnsi="Times New Roman"/>
                <w:b/>
                <w:bCs/>
                <w:sz w:val="24"/>
                <w:szCs w:val="24"/>
              </w:rPr>
              <w:t>0</w:t>
            </w:r>
          </w:p>
        </w:tc>
      </w:tr>
    </w:tbl>
    <w:p w:rsidR="00233F02" w:rsidRPr="006756B1" w:rsidP="00E74ED1">
      <w:pPr>
        <w:bidi w:val="0"/>
        <w:spacing w:after="0"/>
        <w:jc w:val="both"/>
        <w:rPr>
          <w:rFonts w:ascii="Times New Roman" w:hAnsi="Times New Roman"/>
          <w:b/>
          <w:bCs/>
          <w:sz w:val="24"/>
          <w:szCs w:val="24"/>
        </w:rPr>
      </w:pPr>
      <w:bookmarkEnd w:id="0"/>
      <w:r w:rsidRPr="006756B1">
        <w:rPr>
          <w:rFonts w:ascii="Times New Roman" w:hAnsi="Times New Roman"/>
          <w:b/>
          <w:bCs/>
          <w:sz w:val="24"/>
          <w:szCs w:val="24"/>
        </w:rPr>
        <w:t>2.1.1. Financovanie návrhu - Návrh na riešenie úbytku príjmov alebo zvýšených výdavkov podľa § 33 ods. 1 zákona č. 523/2004 Z. z. o rozpočtových pravidlách verejnej správy:</w:t>
      </w:r>
    </w:p>
    <w:p w:rsidR="00233F02" w:rsidRPr="006756B1" w:rsidP="00E74ED1">
      <w:pPr>
        <w:pBdr>
          <w:top w:val="single" w:sz="4" w:space="1" w:color="auto"/>
          <w:left w:val="single" w:sz="4" w:space="4" w:color="auto"/>
          <w:bottom w:val="single" w:sz="4" w:space="0" w:color="auto"/>
          <w:right w:val="single" w:sz="4" w:space="4" w:color="auto"/>
        </w:pBdr>
        <w:bidi w:val="0"/>
        <w:spacing w:after="0"/>
        <w:jc w:val="both"/>
        <w:rPr>
          <w:rFonts w:ascii="Times New Roman" w:hAnsi="Times New Roman"/>
          <w:b/>
          <w:bCs/>
          <w:sz w:val="24"/>
          <w:szCs w:val="24"/>
        </w:rPr>
      </w:pPr>
      <w:r w:rsidRPr="006756B1">
        <w:rPr>
          <w:rFonts w:ascii="Times New Roman" w:hAnsi="Times New Roman"/>
          <w:b/>
          <w:bCs/>
          <w:color w:val="000000"/>
          <w:sz w:val="24"/>
          <w:szCs w:val="24"/>
        </w:rPr>
        <w:t>Kvantifikované vplyvy budú rozpočtovo zabezpečené v rámci schválených limitov rozpočtu verejnej správy na príslušné rozpočtové roky.</w:t>
      </w:r>
    </w:p>
    <w:p w:rsidR="00233F02" w:rsidRPr="006756B1" w:rsidP="00E74ED1">
      <w:pPr>
        <w:pBdr>
          <w:top w:val="single" w:sz="4" w:space="1" w:color="auto"/>
          <w:left w:val="single" w:sz="4" w:space="4" w:color="auto"/>
          <w:bottom w:val="single" w:sz="4" w:space="0" w:color="auto"/>
          <w:right w:val="single" w:sz="4" w:space="4" w:color="auto"/>
        </w:pBdr>
        <w:bidi w:val="0"/>
        <w:spacing w:after="0"/>
        <w:rPr>
          <w:rFonts w:ascii="Times New Roman" w:hAnsi="Times New Roman"/>
          <w:b/>
          <w:bCs/>
          <w:sz w:val="24"/>
          <w:szCs w:val="24"/>
        </w:rPr>
      </w:pPr>
    </w:p>
    <w:p w:rsidR="00233F02" w:rsidRPr="006756B1" w:rsidP="00E74ED1">
      <w:pPr>
        <w:pBdr>
          <w:top w:val="single" w:sz="4" w:space="1" w:color="auto"/>
          <w:left w:val="single" w:sz="4" w:space="4" w:color="auto"/>
          <w:bottom w:val="single" w:sz="4" w:space="0" w:color="auto"/>
          <w:right w:val="single" w:sz="4" w:space="4" w:color="auto"/>
        </w:pBdr>
        <w:bidi w:val="0"/>
        <w:spacing w:after="0"/>
        <w:rPr>
          <w:rFonts w:ascii="Times New Roman" w:hAnsi="Times New Roman"/>
          <w:b/>
          <w:bCs/>
          <w:sz w:val="24"/>
          <w:szCs w:val="24"/>
        </w:rPr>
      </w:pPr>
    </w:p>
    <w:p w:rsidR="00233F02" w:rsidRPr="006756B1" w:rsidP="00E74ED1">
      <w:pPr>
        <w:bidi w:val="0"/>
        <w:spacing w:after="0"/>
        <w:rPr>
          <w:rFonts w:ascii="Times New Roman" w:hAnsi="Times New Roman"/>
          <w:b/>
          <w:bCs/>
          <w:sz w:val="24"/>
          <w:szCs w:val="24"/>
        </w:rPr>
      </w:pPr>
      <w:r w:rsidRPr="006756B1">
        <w:rPr>
          <w:rFonts w:ascii="Times New Roman" w:hAnsi="Times New Roman"/>
          <w:b/>
          <w:bCs/>
          <w:sz w:val="24"/>
          <w:szCs w:val="24"/>
        </w:rPr>
        <w:t>2.2. Popis a charakteristika návrhu</w:t>
      </w:r>
    </w:p>
    <w:p w:rsidR="00E74ED1" w:rsidRPr="006756B1" w:rsidP="00E74ED1">
      <w:pPr>
        <w:bidi w:val="0"/>
        <w:spacing w:after="0"/>
        <w:jc w:val="both"/>
        <w:rPr>
          <w:rFonts w:ascii="Times New Roman" w:hAnsi="Times New Roman"/>
          <w:b/>
          <w:bCs/>
          <w:sz w:val="24"/>
          <w:szCs w:val="24"/>
        </w:rPr>
      </w:pPr>
    </w:p>
    <w:p w:rsidR="00233F02" w:rsidRPr="006756B1" w:rsidP="00E74ED1">
      <w:pPr>
        <w:bidi w:val="0"/>
        <w:spacing w:after="0"/>
        <w:jc w:val="both"/>
        <w:rPr>
          <w:rFonts w:ascii="Times New Roman" w:hAnsi="Times New Roman"/>
          <w:b/>
          <w:bCs/>
          <w:sz w:val="24"/>
          <w:szCs w:val="24"/>
        </w:rPr>
      </w:pPr>
      <w:r w:rsidRPr="006756B1">
        <w:rPr>
          <w:rFonts w:ascii="Times New Roman" w:hAnsi="Times New Roman"/>
          <w:b/>
          <w:bCs/>
          <w:sz w:val="24"/>
          <w:szCs w:val="24"/>
        </w:rPr>
        <w:t>2.2.1. Popis návrhu:</w:t>
      </w:r>
    </w:p>
    <w:p w:rsidR="00E74ED1" w:rsidRPr="006756B1" w:rsidP="00E74ED1">
      <w:pPr>
        <w:bidi w:val="0"/>
        <w:spacing w:after="0"/>
        <w:ind w:firstLine="708"/>
        <w:jc w:val="both"/>
        <w:rPr>
          <w:rFonts w:ascii="Times New Roman" w:hAnsi="Times New Roman"/>
          <w:sz w:val="24"/>
          <w:szCs w:val="24"/>
        </w:rPr>
      </w:pPr>
    </w:p>
    <w:p w:rsidR="00233F02" w:rsidRPr="006756B1" w:rsidP="00E74ED1">
      <w:pPr>
        <w:bidi w:val="0"/>
        <w:spacing w:after="0"/>
        <w:ind w:firstLine="708"/>
        <w:jc w:val="both"/>
        <w:rPr>
          <w:rFonts w:ascii="Times New Roman" w:hAnsi="Times New Roman"/>
          <w:sz w:val="24"/>
          <w:szCs w:val="24"/>
        </w:rPr>
      </w:pPr>
      <w:r w:rsidRPr="006756B1">
        <w:rPr>
          <w:rFonts w:ascii="Times New Roman" w:hAnsi="Times New Roman"/>
          <w:sz w:val="24"/>
          <w:szCs w:val="24"/>
        </w:rPr>
        <w:t>Akú problematiku návrh rieši? Kto bude návrh implementovať? Kde sa budú služby poskytovať?</w:t>
      </w:r>
    </w:p>
    <w:p w:rsidR="00E74ED1" w:rsidRPr="006756B1" w:rsidP="00E74ED1">
      <w:pPr>
        <w:bidi w:val="0"/>
        <w:spacing w:after="0"/>
        <w:jc w:val="both"/>
        <w:rPr>
          <w:rFonts w:ascii="Times New Roman" w:hAnsi="Times New Roman"/>
          <w:sz w:val="24"/>
          <w:szCs w:val="24"/>
        </w:rPr>
      </w:pPr>
    </w:p>
    <w:p w:rsidR="00233F02" w:rsidRPr="006756B1" w:rsidP="00E74ED1">
      <w:pPr>
        <w:bidi w:val="0"/>
        <w:spacing w:after="0"/>
        <w:jc w:val="both"/>
        <w:rPr>
          <w:rFonts w:ascii="Times New Roman" w:hAnsi="Times New Roman"/>
          <w:sz w:val="24"/>
          <w:szCs w:val="24"/>
        </w:rPr>
      </w:pPr>
      <w:r w:rsidRPr="006756B1">
        <w:rPr>
          <w:rFonts w:ascii="Times New Roman" w:hAnsi="Times New Roman"/>
          <w:sz w:val="24"/>
          <w:szCs w:val="24"/>
        </w:rPr>
        <w:t xml:space="preserve">Návrhom zákona sa implementuje smernica Rady 2016/881, ktorou sa rozširuje automatická výmena informácií o kategóriu správ o nadnárodných spoločnostiach podľa štátov ich pôsobnosti. Praktickú automatickú výmenu informácií bude zabezpečovať príslušný orgán SR (FR SR). </w:t>
      </w:r>
    </w:p>
    <w:p w:rsidR="00E74ED1" w:rsidRPr="006756B1" w:rsidP="00E74ED1">
      <w:pPr>
        <w:bidi w:val="0"/>
        <w:spacing w:after="0"/>
        <w:rPr>
          <w:rFonts w:ascii="Times New Roman" w:hAnsi="Times New Roman"/>
          <w:b/>
          <w:bCs/>
          <w:sz w:val="24"/>
          <w:szCs w:val="24"/>
        </w:rPr>
      </w:pPr>
    </w:p>
    <w:p w:rsidR="00233F02" w:rsidRPr="006756B1" w:rsidP="00E74ED1">
      <w:pPr>
        <w:bidi w:val="0"/>
        <w:spacing w:after="0"/>
        <w:rPr>
          <w:rFonts w:ascii="Times New Roman" w:hAnsi="Times New Roman"/>
          <w:b/>
          <w:bCs/>
          <w:sz w:val="24"/>
          <w:szCs w:val="24"/>
        </w:rPr>
      </w:pPr>
      <w:r w:rsidRPr="006756B1">
        <w:rPr>
          <w:rFonts w:ascii="Times New Roman" w:hAnsi="Times New Roman"/>
          <w:b/>
          <w:bCs/>
          <w:sz w:val="24"/>
          <w:szCs w:val="24"/>
        </w:rPr>
        <w:t>2.2.2. Charakteristika návrhu:</w:t>
      </w:r>
    </w:p>
    <w:p w:rsidR="00233F02" w:rsidRPr="006756B1" w:rsidP="00E74ED1">
      <w:pPr>
        <w:bidi w:val="0"/>
        <w:spacing w:after="0"/>
        <w:rPr>
          <w:rFonts w:ascii="Times New Roman" w:hAnsi="Times New Roman"/>
          <w:sz w:val="24"/>
          <w:szCs w:val="24"/>
        </w:rPr>
      </w:pPr>
      <w:r w:rsidRPr="006756B1">
        <w:rPr>
          <w:rFonts w:ascii="Times New Roman" w:hAnsi="Times New Roman"/>
          <w:b/>
          <w:sz w:val="24"/>
          <w:szCs w:val="24"/>
          <w:bdr w:val="single" w:sz="4" w:space="0" w:color="auto"/>
        </w:rPr>
        <w:t xml:space="preserve">     </w:t>
      </w:r>
      <w:r w:rsidRPr="006756B1">
        <w:rPr>
          <w:rFonts w:ascii="Times New Roman" w:hAnsi="Times New Roman"/>
          <w:b/>
          <w:sz w:val="24"/>
          <w:szCs w:val="24"/>
        </w:rPr>
        <w:t xml:space="preserve">  </w:t>
      </w:r>
      <w:r w:rsidRPr="006756B1">
        <w:rPr>
          <w:rFonts w:ascii="Times New Roman" w:hAnsi="Times New Roman"/>
          <w:sz w:val="24"/>
          <w:szCs w:val="24"/>
        </w:rPr>
        <w:t>zmena sadzby</w:t>
      </w:r>
    </w:p>
    <w:p w:rsidR="00233F02" w:rsidRPr="006756B1" w:rsidP="00E74ED1">
      <w:pPr>
        <w:bidi w:val="0"/>
        <w:spacing w:after="0"/>
        <w:rPr>
          <w:rFonts w:ascii="Times New Roman" w:hAnsi="Times New Roman"/>
          <w:sz w:val="24"/>
          <w:szCs w:val="24"/>
        </w:rPr>
      </w:pPr>
      <w:r w:rsidRPr="006756B1">
        <w:rPr>
          <w:rFonts w:ascii="Times New Roman" w:hAnsi="Times New Roman"/>
          <w:sz w:val="24"/>
          <w:szCs w:val="24"/>
          <w:bdr w:val="single" w:sz="4" w:space="0" w:color="auto"/>
        </w:rPr>
        <w:t xml:space="preserve">     </w:t>
      </w:r>
      <w:r w:rsidRPr="006756B1">
        <w:rPr>
          <w:rFonts w:ascii="Times New Roman" w:hAnsi="Times New Roman"/>
          <w:sz w:val="24"/>
          <w:szCs w:val="24"/>
        </w:rPr>
        <w:t xml:space="preserve">  zmena v nároku</w:t>
      </w:r>
    </w:p>
    <w:p w:rsidR="00233F02" w:rsidRPr="006756B1" w:rsidP="00E74ED1">
      <w:pPr>
        <w:bidi w:val="0"/>
        <w:spacing w:after="0"/>
        <w:rPr>
          <w:rFonts w:ascii="Times New Roman" w:hAnsi="Times New Roman"/>
          <w:sz w:val="24"/>
          <w:szCs w:val="24"/>
        </w:rPr>
      </w:pPr>
      <w:r w:rsidRPr="006756B1">
        <w:rPr>
          <w:rFonts w:ascii="Times New Roman" w:hAnsi="Times New Roman"/>
          <w:sz w:val="24"/>
          <w:szCs w:val="24"/>
          <w:bdr w:val="single" w:sz="4" w:space="0" w:color="auto"/>
        </w:rPr>
        <w:t xml:space="preserve">     </w:t>
      </w:r>
      <w:r w:rsidRPr="006756B1">
        <w:rPr>
          <w:rFonts w:ascii="Times New Roman" w:hAnsi="Times New Roman"/>
          <w:sz w:val="24"/>
          <w:szCs w:val="24"/>
        </w:rPr>
        <w:t xml:space="preserve">  nová služba alebo nariadenie (alebo ich zrušenie)</w:t>
      </w:r>
    </w:p>
    <w:p w:rsidR="00233F02" w:rsidRPr="006756B1" w:rsidP="00E74ED1">
      <w:pPr>
        <w:bidi w:val="0"/>
        <w:spacing w:after="0"/>
        <w:rPr>
          <w:rFonts w:ascii="Times New Roman" w:hAnsi="Times New Roman"/>
          <w:sz w:val="24"/>
          <w:szCs w:val="24"/>
        </w:rPr>
      </w:pPr>
      <w:r w:rsidRPr="006756B1">
        <w:rPr>
          <w:rFonts w:ascii="Times New Roman" w:hAnsi="Times New Roman"/>
          <w:sz w:val="24"/>
          <w:szCs w:val="24"/>
          <w:bdr w:val="single" w:sz="4" w:space="0" w:color="auto"/>
        </w:rPr>
        <w:t xml:space="preserve">     </w:t>
      </w:r>
      <w:r w:rsidRPr="006756B1">
        <w:rPr>
          <w:rFonts w:ascii="Times New Roman" w:hAnsi="Times New Roman"/>
          <w:sz w:val="24"/>
          <w:szCs w:val="24"/>
        </w:rPr>
        <w:t xml:space="preserve">  kombinovaný návrh</w:t>
      </w:r>
    </w:p>
    <w:p w:rsidR="00233F02" w:rsidRPr="006756B1" w:rsidP="00E74ED1">
      <w:pPr>
        <w:bidi w:val="0"/>
        <w:spacing w:after="0"/>
        <w:rPr>
          <w:rFonts w:ascii="Times New Roman" w:hAnsi="Times New Roman"/>
          <w:sz w:val="24"/>
          <w:szCs w:val="24"/>
        </w:rPr>
      </w:pPr>
      <w:r w:rsidRPr="006756B1">
        <w:rPr>
          <w:rFonts w:ascii="Times New Roman" w:hAnsi="Times New Roman"/>
          <w:sz w:val="24"/>
          <w:szCs w:val="24"/>
          <w:bdr w:val="single" w:sz="4" w:space="0" w:color="auto"/>
        </w:rPr>
        <w:t xml:space="preserve">     </w:t>
      </w:r>
      <w:r w:rsidRPr="006756B1">
        <w:rPr>
          <w:rFonts w:ascii="Times New Roman" w:hAnsi="Times New Roman"/>
          <w:sz w:val="24"/>
          <w:szCs w:val="24"/>
        </w:rPr>
        <w:t xml:space="preserve">  iné </w:t>
      </w:r>
    </w:p>
    <w:p w:rsidR="00233F02" w:rsidRPr="006756B1" w:rsidP="00E74ED1">
      <w:pPr>
        <w:bidi w:val="0"/>
        <w:spacing w:after="0"/>
        <w:rPr>
          <w:rFonts w:ascii="Times New Roman" w:hAnsi="Times New Roman"/>
          <w:sz w:val="24"/>
          <w:szCs w:val="24"/>
        </w:rPr>
      </w:pPr>
    </w:p>
    <w:p w:rsidR="00233F02" w:rsidRPr="006756B1" w:rsidP="00E74ED1">
      <w:pPr>
        <w:bidi w:val="0"/>
        <w:spacing w:after="0"/>
        <w:rPr>
          <w:rFonts w:ascii="Times New Roman" w:hAnsi="Times New Roman"/>
          <w:sz w:val="24"/>
          <w:szCs w:val="24"/>
        </w:rPr>
      </w:pPr>
      <w:r w:rsidRPr="006756B1">
        <w:rPr>
          <w:rFonts w:ascii="Times New Roman" w:hAnsi="Times New Roman"/>
          <w:b/>
          <w:bCs/>
          <w:sz w:val="24"/>
          <w:szCs w:val="24"/>
        </w:rPr>
        <w:t>2.2.3. Predpoklady vývoja objemu aktivít:</w:t>
      </w:r>
    </w:p>
    <w:p w:rsidR="00233F02" w:rsidRPr="006756B1" w:rsidP="00E74ED1">
      <w:pPr>
        <w:bidi w:val="0"/>
        <w:spacing w:after="0"/>
        <w:rPr>
          <w:rFonts w:ascii="Times New Roman" w:hAnsi="Times New Roman"/>
          <w:sz w:val="24"/>
          <w:szCs w:val="24"/>
        </w:rPr>
      </w:pPr>
    </w:p>
    <w:p w:rsidR="00233F02" w:rsidRPr="006756B1" w:rsidP="00E74ED1">
      <w:pPr>
        <w:bidi w:val="0"/>
        <w:spacing w:after="0"/>
        <w:ind w:firstLine="708"/>
        <w:jc w:val="both"/>
        <w:rPr>
          <w:rFonts w:ascii="Times New Roman" w:hAnsi="Times New Roman"/>
          <w:sz w:val="24"/>
          <w:szCs w:val="24"/>
        </w:rPr>
      </w:pPr>
      <w:r w:rsidRPr="006756B1">
        <w:rPr>
          <w:rFonts w:ascii="Times New Roman" w:hAnsi="Times New Roman"/>
          <w:sz w:val="24"/>
          <w:szCs w:val="24"/>
        </w:rPr>
        <w:t>Jasne popíšte, v prípade potreby použite nižšie uvedenú tabuľku. Uveďte aj odhady základov daní a/alebo poplatkov, ak sa ich táto zmena týka.</w:t>
      </w:r>
    </w:p>
    <w:p w:rsidR="00233F02" w:rsidRPr="006756B1" w:rsidP="00233F02">
      <w:pPr>
        <w:bidi w:val="0"/>
        <w:jc w:val="right"/>
        <w:rPr>
          <w:rFonts w:ascii="Times New Roman" w:hAnsi="Times New Roman"/>
        </w:rPr>
      </w:pPr>
      <w:r w:rsidRPr="006756B1">
        <w:rPr>
          <w:rFonts w:ascii="Times New Roman" w:hAnsi="Times New Roman"/>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233F02">
            <w:pPr>
              <w:autoSpaceDE w:val="0"/>
              <w:autoSpaceDN w:val="0"/>
              <w:bidi w:val="0"/>
              <w:adjustRightInd w:val="0"/>
              <w:jc w:val="center"/>
              <w:rPr>
                <w:rFonts w:ascii="Times New Roman" w:hAnsi="Times New Roman"/>
                <w:b/>
                <w:bCs/>
                <w:sz w:val="24"/>
                <w:szCs w:val="24"/>
              </w:rPr>
            </w:pPr>
            <w:r w:rsidRPr="006756B1">
              <w:rPr>
                <w:rFonts w:ascii="Times New Roman" w:hAnsi="Times New Roman"/>
                <w:b/>
                <w:bCs/>
                <w:sz w:val="24"/>
                <w:szCs w:val="24"/>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233F02">
            <w:pPr>
              <w:autoSpaceDE w:val="0"/>
              <w:autoSpaceDN w:val="0"/>
              <w:bidi w:val="0"/>
              <w:adjustRightInd w:val="0"/>
              <w:jc w:val="center"/>
              <w:rPr>
                <w:rFonts w:ascii="Times New Roman" w:hAnsi="Times New Roman"/>
                <w:b/>
                <w:bCs/>
                <w:sz w:val="24"/>
                <w:szCs w:val="24"/>
              </w:rPr>
            </w:pPr>
            <w:r w:rsidRPr="006756B1">
              <w:rPr>
                <w:rFonts w:ascii="Times New Roman" w:hAnsi="Times New Roman"/>
                <w:b/>
                <w:bCs/>
                <w:sz w:val="24"/>
                <w:szCs w:val="24"/>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33F02" w:rsidRPr="006756B1" w:rsidP="00233F02">
            <w:pPr>
              <w:autoSpaceDE w:val="0"/>
              <w:autoSpaceDN w:val="0"/>
              <w:bidi w:val="0"/>
              <w:adjustRightInd w:val="0"/>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233F02">
            <w:pPr>
              <w:autoSpaceDE w:val="0"/>
              <w:autoSpaceDN w:val="0"/>
              <w:bidi w:val="0"/>
              <w:adjustRightInd w:val="0"/>
              <w:jc w:val="center"/>
              <w:rPr>
                <w:rFonts w:ascii="Times New Roman" w:hAnsi="Times New Roman"/>
                <w:b/>
                <w:bCs/>
                <w:sz w:val="24"/>
                <w:szCs w:val="24"/>
              </w:rPr>
            </w:pPr>
            <w:r w:rsidRPr="006756B1">
              <w:rPr>
                <w:rFonts w:ascii="Times New Roman" w:hAnsi="Times New Roman"/>
                <w:b/>
                <w:bCs/>
                <w:sz w:val="24"/>
                <w:szCs w:val="24"/>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233F02">
            <w:pPr>
              <w:autoSpaceDE w:val="0"/>
              <w:autoSpaceDN w:val="0"/>
              <w:bidi w:val="0"/>
              <w:adjustRightInd w:val="0"/>
              <w:jc w:val="center"/>
              <w:rPr>
                <w:rFonts w:ascii="Times New Roman" w:hAnsi="Times New Roman"/>
                <w:b/>
                <w:bCs/>
                <w:sz w:val="24"/>
                <w:szCs w:val="24"/>
              </w:rPr>
            </w:pPr>
            <w:r w:rsidRPr="006756B1">
              <w:rPr>
                <w:rFonts w:ascii="Times New Roman" w:hAnsi="Times New Roman"/>
                <w:b/>
                <w:bCs/>
                <w:sz w:val="24"/>
                <w:szCs w:val="24"/>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233F02">
            <w:pPr>
              <w:autoSpaceDE w:val="0"/>
              <w:autoSpaceDN w:val="0"/>
              <w:bidi w:val="0"/>
              <w:adjustRightInd w:val="0"/>
              <w:jc w:val="center"/>
              <w:rPr>
                <w:rFonts w:ascii="Times New Roman" w:hAnsi="Times New Roman"/>
                <w:b/>
                <w:bCs/>
                <w:sz w:val="24"/>
                <w:szCs w:val="24"/>
              </w:rPr>
            </w:pPr>
            <w:r w:rsidRPr="006756B1">
              <w:rPr>
                <w:rFonts w:ascii="Times New Roman" w:hAnsi="Times New Roman"/>
                <w:b/>
                <w:bCs/>
                <w:sz w:val="24"/>
                <w:szCs w:val="24"/>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233F02">
            <w:pPr>
              <w:autoSpaceDE w:val="0"/>
              <w:autoSpaceDN w:val="0"/>
              <w:bidi w:val="0"/>
              <w:adjustRightInd w:val="0"/>
              <w:jc w:val="center"/>
              <w:rPr>
                <w:rFonts w:ascii="Times New Roman" w:hAnsi="Times New Roman"/>
                <w:b/>
                <w:bCs/>
                <w:sz w:val="24"/>
                <w:szCs w:val="24"/>
              </w:rPr>
            </w:pPr>
            <w:r w:rsidRPr="006756B1">
              <w:rPr>
                <w:rFonts w:ascii="Times New Roman" w:hAnsi="Times New Roman"/>
                <w:b/>
                <w:bCs/>
                <w:sz w:val="24"/>
                <w:szCs w:val="24"/>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rPr>
                <w:rFonts w:ascii="Times New Roman" w:hAnsi="Times New Roman"/>
                <w:color w:val="000000"/>
                <w:sz w:val="24"/>
                <w:szCs w:val="24"/>
              </w:rPr>
            </w:pPr>
            <w:r w:rsidRPr="006756B1">
              <w:rPr>
                <w:rFonts w:ascii="Times New Roman" w:hAnsi="Times New Roman"/>
                <w:color w:val="000000"/>
                <w:sz w:val="24"/>
                <w:szCs w:val="24"/>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rPr>
                <w:rFonts w:ascii="Times New Roman" w:hAnsi="Times New Roman"/>
                <w:color w:val="000000"/>
                <w:sz w:val="24"/>
                <w:szCs w:val="24"/>
              </w:rPr>
            </w:pPr>
            <w:r w:rsidRPr="006756B1">
              <w:rPr>
                <w:rFonts w:ascii="Times New Roman" w:hAnsi="Times New Roman"/>
                <w:color w:val="000000"/>
                <w:sz w:val="24"/>
                <w:szCs w:val="24"/>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rPr>
                <w:rFonts w:ascii="Times New Roman" w:hAnsi="Times New Roman"/>
                <w:color w:val="000000"/>
                <w:sz w:val="24"/>
                <w:szCs w:val="24"/>
              </w:rPr>
            </w:pPr>
            <w:r w:rsidRPr="006756B1">
              <w:rPr>
                <w:rFonts w:ascii="Times New Roman" w:hAnsi="Times New Roman"/>
                <w:color w:val="000000"/>
                <w:sz w:val="24"/>
                <w:szCs w:val="24"/>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33F02" w:rsidRPr="006756B1" w:rsidP="00233F02">
            <w:pPr>
              <w:autoSpaceDE w:val="0"/>
              <w:autoSpaceDN w:val="0"/>
              <w:bidi w:val="0"/>
              <w:adjustRightInd w:val="0"/>
              <w:jc w:val="right"/>
              <w:rPr>
                <w:rFonts w:ascii="Times New Roman" w:hAnsi="Times New Roman"/>
                <w:color w:val="000000"/>
                <w:sz w:val="24"/>
                <w:szCs w:val="24"/>
              </w:rPr>
            </w:pPr>
          </w:p>
        </w:tc>
      </w:tr>
    </w:tbl>
    <w:p w:rsidR="00E74ED1" w:rsidRPr="006756B1" w:rsidP="00233F02">
      <w:pPr>
        <w:bidi w:val="0"/>
        <w:rPr>
          <w:rFonts w:ascii="Times New Roman" w:hAnsi="Times New Roman"/>
          <w:b/>
          <w:bCs/>
          <w:sz w:val="24"/>
          <w:szCs w:val="24"/>
        </w:rPr>
      </w:pPr>
    </w:p>
    <w:p w:rsidR="00233F02" w:rsidRPr="006756B1" w:rsidP="00233F02">
      <w:pPr>
        <w:bidi w:val="0"/>
        <w:rPr>
          <w:rFonts w:ascii="Times New Roman" w:hAnsi="Times New Roman"/>
          <w:b/>
          <w:bCs/>
          <w:sz w:val="24"/>
          <w:szCs w:val="24"/>
        </w:rPr>
      </w:pPr>
      <w:r w:rsidRPr="006756B1">
        <w:rPr>
          <w:rFonts w:ascii="Times New Roman" w:hAnsi="Times New Roman"/>
          <w:b/>
          <w:bCs/>
          <w:sz w:val="24"/>
          <w:szCs w:val="24"/>
        </w:rPr>
        <w:t>2.2.4. Výpočty vplyvov na verejné financie</w:t>
      </w:r>
    </w:p>
    <w:p w:rsidR="00233F02" w:rsidRPr="006756B1" w:rsidP="00233F02">
      <w:pPr>
        <w:bidi w:val="0"/>
        <w:ind w:firstLine="708"/>
        <w:jc w:val="both"/>
        <w:rPr>
          <w:rFonts w:ascii="Times New Roman" w:hAnsi="Times New Roman"/>
          <w:sz w:val="24"/>
          <w:szCs w:val="24"/>
        </w:rPr>
      </w:pPr>
      <w:r w:rsidRPr="006756B1">
        <w:rPr>
          <w:rFonts w:ascii="Times New Roman" w:hAnsi="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233F02" w:rsidRPr="006756B1" w:rsidP="00233F02">
      <w:pPr>
        <w:bidi w:val="0"/>
        <w:jc w:val="both"/>
        <w:rPr>
          <w:rFonts w:ascii="Times New Roman" w:hAnsi="Times New Roman"/>
          <w:color w:val="000000"/>
          <w:sz w:val="24"/>
          <w:szCs w:val="24"/>
          <w:u w:val="single"/>
        </w:rPr>
      </w:pPr>
      <w:r w:rsidRPr="006756B1">
        <w:rPr>
          <w:rFonts w:ascii="Times New Roman" w:hAnsi="Times New Roman"/>
          <w:color w:val="000000"/>
          <w:sz w:val="24"/>
          <w:szCs w:val="24"/>
          <w:u w:val="single"/>
        </w:rPr>
        <w:t>Kvantifikácia kapitálových výdavkov:</w:t>
      </w:r>
    </w:p>
    <w:p w:rsidR="00233F02" w:rsidRPr="006756B1" w:rsidP="00233F02">
      <w:pPr>
        <w:bidi w:val="0"/>
        <w:jc w:val="both"/>
        <w:rPr>
          <w:rFonts w:ascii="Times New Roman" w:hAnsi="Times New Roman"/>
          <w:b/>
          <w:bCs/>
          <w:sz w:val="24"/>
          <w:szCs w:val="24"/>
        </w:rPr>
      </w:pPr>
      <w:r w:rsidRPr="006756B1">
        <w:rPr>
          <w:rFonts w:ascii="Times New Roman" w:hAnsi="Times New Roman"/>
          <w:sz w:val="24"/>
          <w:szCs w:val="24"/>
        </w:rPr>
        <w:t>Na základe predbežného popisu požadovaných funkcionalít na systém zabezpečujúci automatickú výmenu nadväzne na implementovanú smernicu Rady 2016/881 a porovnania s nákladmi na implementáciu doterajších modulov automatickej výmeny informácií (zahŕňajúcich výmenu podľa pôvodnej smernice 2011/16/EÚ a automatickú výmenu informácií o finančných účtoch) sú odhadované náklady na systém vo výške 3,5 mil. eur (rozdelené na roky 2017 a 2018).</w:t>
      </w:r>
    </w:p>
    <w:p w:rsidR="00233F02" w:rsidRPr="006756B1" w:rsidP="00233F02">
      <w:pPr>
        <w:widowControl w:val="0"/>
        <w:tabs>
          <w:tab w:val="num" w:pos="1080"/>
        </w:tabs>
        <w:bidi w:val="0"/>
        <w:adjustRightInd w:val="0"/>
        <w:jc w:val="both"/>
        <w:rPr>
          <w:rFonts w:ascii="Times New Roman" w:hAnsi="Times New Roman"/>
          <w:b/>
          <w:bCs/>
          <w:sz w:val="24"/>
          <w:szCs w:val="24"/>
        </w:rPr>
      </w:pPr>
    </w:p>
    <w:p w:rsidR="00233F02" w:rsidRPr="006756B1" w:rsidP="00233F02">
      <w:pPr>
        <w:widowControl w:val="0"/>
        <w:tabs>
          <w:tab w:val="num" w:pos="1080"/>
        </w:tabs>
        <w:bidi w:val="0"/>
        <w:adjustRightInd w:val="0"/>
        <w:jc w:val="both"/>
        <w:rPr>
          <w:rFonts w:ascii="Times New Roman" w:hAnsi="Times New Roman"/>
          <w:b/>
          <w:bCs/>
          <w:sz w:val="24"/>
          <w:szCs w:val="24"/>
        </w:rPr>
      </w:pPr>
    </w:p>
    <w:p w:rsidR="00233F02" w:rsidRPr="006756B1" w:rsidP="00233F02">
      <w:pPr>
        <w:widowControl w:val="0"/>
        <w:tabs>
          <w:tab w:val="num" w:pos="1080"/>
        </w:tabs>
        <w:bidi w:val="0"/>
        <w:adjustRightInd w:val="0"/>
        <w:jc w:val="both"/>
        <w:rPr>
          <w:rFonts w:ascii="Times New Roman" w:hAnsi="Times New Roman"/>
          <w:bCs/>
          <w:sz w:val="24"/>
          <w:szCs w:val="24"/>
          <w:u w:val="single"/>
        </w:rPr>
      </w:pPr>
      <w:r w:rsidRPr="006756B1">
        <w:rPr>
          <w:rFonts w:ascii="Times New Roman" w:hAnsi="Times New Roman"/>
          <w:bCs/>
          <w:sz w:val="24"/>
          <w:szCs w:val="24"/>
          <w:u w:val="single"/>
        </w:rPr>
        <w:t>Kvantifikácia pozitívneho vplyvu na rozpočet verejnej správy:</w:t>
      </w:r>
    </w:p>
    <w:p w:rsidR="00233F02" w:rsidRPr="006756B1" w:rsidP="00233F02">
      <w:pPr>
        <w:tabs>
          <w:tab w:val="num" w:pos="1080"/>
        </w:tabs>
        <w:bidi w:val="0"/>
        <w:jc w:val="both"/>
        <w:rPr>
          <w:rFonts w:ascii="Times New Roman" w:hAnsi="Times New Roman"/>
          <w:bCs/>
          <w:sz w:val="24"/>
        </w:rPr>
      </w:pPr>
      <w:r w:rsidRPr="006756B1">
        <w:rPr>
          <w:rFonts w:ascii="Times New Roman" w:hAnsi="Times New Roman"/>
          <w:bCs/>
          <w:sz w:val="24"/>
          <w:szCs w:val="24"/>
        </w:rPr>
        <w:t>V závislosti od využívania a analýzy automaticky prijatých informácií sa predpokladá pozitívny vplyv na príjmy štátneho rozpočtu, ktorý v súčasnosti nie je možné presne kvantifikovať, keďže k prvej recipročnej výmene informácií dôjde v júni  2018.</w:t>
      </w:r>
    </w:p>
    <w:p w:rsidR="00233F02" w:rsidRPr="006756B1" w:rsidP="00233F02">
      <w:pPr>
        <w:tabs>
          <w:tab w:val="num" w:pos="1080"/>
        </w:tabs>
        <w:bidi w:val="0"/>
        <w:jc w:val="both"/>
        <w:rPr>
          <w:rFonts w:ascii="Times New Roman" w:hAnsi="Times New Roman"/>
          <w:bCs/>
          <w:sz w:val="24"/>
        </w:rPr>
      </w:pPr>
    </w:p>
    <w:p w:rsidR="00233F02" w:rsidRPr="006756B1" w:rsidP="00233F02">
      <w:pPr>
        <w:tabs>
          <w:tab w:val="num" w:pos="1080"/>
        </w:tabs>
        <w:bidi w:val="0"/>
        <w:jc w:val="both"/>
        <w:rPr>
          <w:rFonts w:ascii="Times New Roman" w:hAnsi="Times New Roman"/>
          <w:bCs/>
          <w:sz w:val="24"/>
        </w:rPr>
      </w:pPr>
    </w:p>
    <w:p w:rsidR="00233F02" w:rsidRPr="006756B1" w:rsidP="00233F02">
      <w:pPr>
        <w:tabs>
          <w:tab w:val="num" w:pos="1080"/>
        </w:tabs>
        <w:bidi w:val="0"/>
        <w:jc w:val="both"/>
        <w:rPr>
          <w:rFonts w:ascii="Times New Roman" w:hAnsi="Times New Roman"/>
          <w:bCs/>
          <w:sz w:val="24"/>
        </w:rPr>
        <w:sectPr w:rsidSect="00233F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lnNumType w:distance="0"/>
          <w:pgNumType w:start="1"/>
          <w:cols w:space="708"/>
          <w:noEndnote w:val="0"/>
          <w:bidi w:val="0"/>
          <w:docGrid w:linePitch="360"/>
        </w:sectPr>
      </w:pPr>
    </w:p>
    <w:p w:rsidR="00233F02" w:rsidRPr="006756B1" w:rsidP="00233F02">
      <w:pPr>
        <w:tabs>
          <w:tab w:val="num" w:pos="1080"/>
        </w:tabs>
        <w:bidi w:val="0"/>
        <w:jc w:val="right"/>
        <w:rPr>
          <w:rFonts w:ascii="Times New Roman" w:hAnsi="Times New Roman"/>
          <w:bCs/>
          <w:sz w:val="24"/>
          <w:szCs w:val="24"/>
        </w:rPr>
      </w:pPr>
      <w:r w:rsidRPr="006756B1">
        <w:rPr>
          <w:rFonts w:ascii="Times New Roman" w:hAnsi="Times New Roman"/>
          <w:bCs/>
          <w:sz w:val="24"/>
          <w:szCs w:val="24"/>
        </w:rPr>
        <w:t xml:space="preserve">Tabuľka č. 3 </w:t>
      </w: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233F02" w:rsidRPr="006756B1" w:rsidP="006756B1">
            <w:pPr>
              <w:bidi w:val="0"/>
              <w:spacing w:after="0"/>
              <w:rPr>
                <w:rFonts w:ascii="Times New Roman" w:hAnsi="Times New Roman"/>
                <w:b/>
                <w:bCs/>
                <w:color w:val="FFFFFF"/>
                <w:sz w:val="24"/>
                <w:szCs w:val="24"/>
              </w:rPr>
            </w:pPr>
          </w:p>
        </w:tc>
        <w:tc>
          <w:tcPr>
            <w:tcW w:w="150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2016</w:t>
            </w:r>
          </w:p>
        </w:tc>
        <w:tc>
          <w:tcPr>
            <w:tcW w:w="150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2018</w:t>
            </w:r>
          </w:p>
        </w:tc>
        <w:tc>
          <w:tcPr>
            <w:tcW w:w="150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2018</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233F02" w:rsidRPr="006756B1" w:rsidP="006756B1">
            <w:pPr>
              <w:bidi w:val="0"/>
              <w:spacing w:after="0"/>
              <w:rPr>
                <w:rFonts w:ascii="Times New Roman" w:hAnsi="Times New Roman"/>
                <w:b/>
                <w:bCs/>
                <w:color w:val="FFFFFF"/>
                <w:sz w:val="24"/>
                <w:szCs w:val="24"/>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sz w:val="24"/>
                <w:szCs w:val="24"/>
                <w:vertAlign w:val="superscript"/>
              </w:rPr>
            </w:pPr>
            <w:r w:rsidRPr="006756B1">
              <w:rPr>
                <w:rFonts w:ascii="Times New Roman" w:hAnsi="Times New Roman"/>
                <w:b/>
                <w:bCs/>
                <w:sz w:val="24"/>
                <w:szCs w:val="24"/>
              </w:rPr>
              <w:t>Daňové príjmy (100)</w:t>
            </w:r>
            <w:r w:rsidRPr="006756B1">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Nedaňové príjmy (200)</w:t>
            </w:r>
            <w:r w:rsidRPr="006756B1">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Granty a transfery (300)</w:t>
            </w:r>
            <w:r w:rsidRPr="006756B1">
              <w:rPr>
                <w:rFonts w:ascii="Times New Roman" w:hAnsi="Times New Roman"/>
                <w:b/>
                <w:bCs/>
                <w:sz w:val="24"/>
                <w:szCs w:val="24"/>
                <w:vertAlign w:val="superscript"/>
              </w:rPr>
              <w:t>1</w:t>
            </w: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150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p>
        </w:tc>
        <w:tc>
          <w:tcPr>
            <w:tcW w:w="300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3950" w:type="dxa"/>
          <w:tblCellMar>
            <w:left w:w="70" w:type="dxa"/>
            <w:right w:w="70" w:type="dxa"/>
          </w:tblCellMar>
        </w:tblPrEx>
        <w:trPr>
          <w:trHeight w:val="416"/>
        </w:trPr>
        <w:tc>
          <w:tcPr>
            <w:tcW w:w="495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 </w:t>
            </w:r>
          </w:p>
        </w:tc>
        <w:tc>
          <w:tcPr>
            <w:tcW w:w="300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3950" w:type="dxa"/>
          <w:tblCellMar>
            <w:left w:w="70" w:type="dxa"/>
            <w:right w:w="70" w:type="dxa"/>
          </w:tblCellMar>
        </w:tblPrEx>
        <w:trPr>
          <w:trHeight w:val="2902"/>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50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233F02" w:rsidRPr="006756B1" w:rsidP="006756B1">
            <w:pPr>
              <w:tabs>
                <w:tab w:val="num" w:pos="1080"/>
              </w:tabs>
              <w:bidi w:val="0"/>
              <w:spacing w:after="0" w:line="240" w:lineRule="auto"/>
              <w:rPr>
                <w:rFonts w:ascii="Times New Roman" w:hAnsi="Times New Roman"/>
                <w:bCs/>
                <w:sz w:val="24"/>
              </w:rPr>
            </w:pPr>
            <w:r w:rsidRPr="006756B1">
              <w:rPr>
                <w:rFonts w:ascii="Times New Roman" w:hAnsi="Times New Roman"/>
                <w:sz w:val="24"/>
                <w:szCs w:val="24"/>
              </w:rPr>
              <w:t> </w:t>
            </w:r>
            <w:r w:rsidRPr="006756B1">
              <w:rPr>
                <w:rFonts w:ascii="Times New Roman" w:hAnsi="Times New Roman"/>
                <w:bCs/>
                <w:sz w:val="24"/>
                <w:szCs w:val="24"/>
              </w:rPr>
              <w:t>V závislosti od využívania a analýzy automaticky prijatých informácií sa predpokladá pozitívny vplyv na príjmy štátneho rozpočtu, ktorý v súčasnosti nie je možné presne kvantifikovať, keďže k prvej recipročnej výmene informácií dôjde v júni 2018.</w:t>
            </w:r>
          </w:p>
          <w:p w:rsidR="00233F02" w:rsidRPr="006756B1" w:rsidP="006756B1">
            <w:pPr>
              <w:bidi w:val="0"/>
              <w:spacing w:after="0"/>
              <w:rPr>
                <w:rFonts w:ascii="Times New Roman" w:hAnsi="Times New Roman"/>
                <w:sz w:val="24"/>
                <w:szCs w:val="24"/>
              </w:rPr>
            </w:pPr>
          </w:p>
        </w:tc>
      </w:tr>
    </w:tbl>
    <w:p w:rsidR="006756B1" w:rsidP="006756B1">
      <w:pPr>
        <w:tabs>
          <w:tab w:val="num" w:pos="1080"/>
        </w:tabs>
        <w:bidi w:val="0"/>
        <w:spacing w:after="0"/>
        <w:jc w:val="both"/>
        <w:rPr>
          <w:rFonts w:ascii="Times New Roman" w:hAnsi="Times New Roman"/>
          <w:bCs/>
        </w:rPr>
      </w:pPr>
    </w:p>
    <w:p w:rsidR="00E74ED1" w:rsidRPr="006756B1" w:rsidP="006756B1">
      <w:pPr>
        <w:tabs>
          <w:tab w:val="num" w:pos="1080"/>
        </w:tabs>
        <w:bidi w:val="0"/>
        <w:spacing w:after="0"/>
        <w:jc w:val="both"/>
        <w:rPr>
          <w:rFonts w:ascii="Times New Roman" w:hAnsi="Times New Roman"/>
          <w:bCs/>
        </w:rPr>
      </w:pPr>
      <w:r w:rsidRPr="006756B1" w:rsidR="00233F02">
        <w:rPr>
          <w:rFonts w:ascii="Times New Roman" w:hAnsi="Times New Roman"/>
          <w:bCs/>
        </w:rPr>
        <w:t>1 –  príjmy rozpísať až do položiek platnej ekonomickej klasifikácie</w:t>
      </w:r>
    </w:p>
    <w:p w:rsidR="006756B1" w:rsidP="006756B1">
      <w:pPr>
        <w:tabs>
          <w:tab w:val="num" w:pos="1080"/>
        </w:tabs>
        <w:bidi w:val="0"/>
        <w:spacing w:after="0"/>
        <w:jc w:val="both"/>
        <w:rPr>
          <w:rFonts w:ascii="Times New Roman" w:hAnsi="Times New Roman"/>
          <w:b/>
          <w:bCs/>
          <w:sz w:val="24"/>
        </w:rPr>
      </w:pPr>
    </w:p>
    <w:p w:rsidR="00233F02" w:rsidRPr="006756B1" w:rsidP="006756B1">
      <w:pPr>
        <w:tabs>
          <w:tab w:val="num" w:pos="1080"/>
        </w:tabs>
        <w:bidi w:val="0"/>
        <w:spacing w:after="0"/>
        <w:jc w:val="both"/>
        <w:rPr>
          <w:rFonts w:ascii="Times New Roman" w:hAnsi="Times New Roman"/>
          <w:bCs/>
        </w:rPr>
      </w:pPr>
      <w:r w:rsidRPr="006756B1">
        <w:rPr>
          <w:rFonts w:ascii="Times New Roman" w:hAnsi="Times New Roman"/>
          <w:b/>
          <w:bCs/>
          <w:sz w:val="24"/>
        </w:rPr>
        <w:t>Poznámka:</w:t>
      </w:r>
    </w:p>
    <w:p w:rsidR="00233F02" w:rsidRPr="006756B1" w:rsidP="00233F02">
      <w:pPr>
        <w:tabs>
          <w:tab w:val="num" w:pos="1080"/>
        </w:tabs>
        <w:bidi w:val="0"/>
        <w:jc w:val="both"/>
        <w:rPr>
          <w:rFonts w:ascii="Times New Roman" w:hAnsi="Times New Roman"/>
          <w:bCs/>
          <w:sz w:val="24"/>
        </w:rPr>
      </w:pPr>
      <w:r w:rsidRPr="006756B1">
        <w:rPr>
          <w:rFonts w:ascii="Times New Roman" w:hAnsi="Times New Roman"/>
          <w:bCs/>
          <w:sz w:val="24"/>
        </w:rPr>
        <w:t>Ak sa vplyv týka viacerých subjektov verejnej správy, vypĺňa sa samostatná tabuľka za každý subjekt.</w:t>
      </w:r>
    </w:p>
    <w:p w:rsidR="006756B1">
      <w:pPr>
        <w:bidi w:val="0"/>
        <w:rPr>
          <w:rFonts w:ascii="Times New Roman" w:hAnsi="Times New Roman"/>
          <w:bCs/>
          <w:sz w:val="24"/>
          <w:szCs w:val="24"/>
        </w:rPr>
      </w:pPr>
      <w:r>
        <w:rPr>
          <w:rFonts w:ascii="Times New Roman" w:hAnsi="Times New Roman"/>
          <w:bCs/>
          <w:sz w:val="24"/>
          <w:szCs w:val="24"/>
        </w:rPr>
        <w:br w:type="page"/>
      </w:r>
    </w:p>
    <w:p w:rsidR="00233F02" w:rsidRPr="006756B1" w:rsidP="00233F02">
      <w:pPr>
        <w:tabs>
          <w:tab w:val="num" w:pos="1080"/>
        </w:tabs>
        <w:bidi w:val="0"/>
        <w:ind w:right="-32"/>
        <w:jc w:val="right"/>
        <w:rPr>
          <w:rFonts w:ascii="Times New Roman" w:hAnsi="Times New Roman"/>
          <w:bCs/>
          <w:sz w:val="24"/>
          <w:szCs w:val="24"/>
        </w:rPr>
      </w:pPr>
      <w:r w:rsidRPr="006756B1">
        <w:rPr>
          <w:rFonts w:ascii="Times New Roman" w:hAnsi="Times New Roman"/>
          <w:bCs/>
          <w:sz w:val="24"/>
          <w:szCs w:val="24"/>
        </w:rPr>
        <w:t xml:space="preserve">Tabuľka č. 4 </w:t>
      </w: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extDirection w:val="lrTb"/>
            <w:vAlign w:val="center"/>
          </w:tcPr>
          <w:p w:rsidR="00233F02" w:rsidRPr="006756B1" w:rsidP="006756B1">
            <w:pPr>
              <w:bidi w:val="0"/>
              <w:spacing w:after="0"/>
              <w:jc w:val="center"/>
              <w:rPr>
                <w:rFonts w:ascii="Times New Roman" w:hAnsi="Times New Roman"/>
                <w:b/>
                <w:bCs/>
              </w:rPr>
            </w:pPr>
            <w:r w:rsidRPr="006756B1">
              <w:rPr>
                <w:rFonts w:ascii="Times New Roman" w:hAnsi="Times New Roman"/>
                <w:b/>
                <w:bCs/>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233F02" w:rsidRPr="006756B1" w:rsidP="006756B1">
            <w:pPr>
              <w:bidi w:val="0"/>
              <w:spacing w:after="0"/>
              <w:rPr>
                <w:rFonts w:ascii="Times New Roman" w:hAnsi="Times New Roman"/>
                <w:b/>
                <w:bCs/>
                <w:color w:val="FFFFFF"/>
              </w:rPr>
            </w:pPr>
          </w:p>
        </w:tc>
        <w:tc>
          <w:tcPr>
            <w:tcW w:w="154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2016</w:t>
            </w:r>
          </w:p>
        </w:tc>
        <w:tc>
          <w:tcPr>
            <w:tcW w:w="154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2017</w:t>
            </w:r>
          </w:p>
        </w:tc>
        <w:tc>
          <w:tcPr>
            <w:tcW w:w="154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2018</w:t>
            </w:r>
          </w:p>
        </w:tc>
        <w:tc>
          <w:tcPr>
            <w:tcW w:w="1540"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2019</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233F02" w:rsidRPr="006756B1" w:rsidP="006756B1">
            <w:pPr>
              <w:bidi w:val="0"/>
              <w:spacing w:after="0"/>
              <w:rPr>
                <w:rFonts w:ascii="Times New Roman" w:hAnsi="Times New Roman"/>
                <w:b/>
                <w:bCs/>
                <w:color w:val="FFFFFF"/>
                <w:sz w:val="24"/>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rPr>
            </w:pPr>
            <w:r w:rsidRPr="006756B1">
              <w:rPr>
                <w:rFonts w:ascii="Times New Roman" w:hAnsi="Times New Roman"/>
                <w:b/>
                <w:bCs/>
              </w:rPr>
              <w:t>Bežné výdavky (600)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0</w:t>
            </w:r>
          </w:p>
        </w:tc>
        <w:tc>
          <w:tcPr>
            <w:tcW w:w="222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rPr>
            </w:pPr>
            <w:r w:rsidRPr="006756B1">
              <w:rPr>
                <w:rFonts w:ascii="Times New Roman" w:hAnsi="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r w:rsidRPr="006756B1">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r w:rsidRPr="006756B1">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r w:rsidRPr="006756B1">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r w:rsidRPr="006756B1">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vertAlign w:val="superscript"/>
              </w:rPr>
            </w:pPr>
            <w:r w:rsidRPr="006756B1">
              <w:rPr>
                <w:rFonts w:ascii="Times New Roman" w:hAnsi="Times New Roman"/>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r w:rsidRPr="006756B1">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r w:rsidRPr="006756B1">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r w:rsidRPr="006756B1">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r w:rsidRPr="006756B1">
              <w:rPr>
                <w:rFonts w:ascii="Times New Roman" w:hAnsi="Times New Roman"/>
              </w:rPr>
              <w:t>0</w:t>
            </w:r>
          </w:p>
        </w:tc>
        <w:tc>
          <w:tcPr>
            <w:tcW w:w="222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vertAlign w:val="superscript"/>
              </w:rPr>
            </w:pPr>
            <w:r w:rsidRPr="006756B1">
              <w:rPr>
                <w:rFonts w:ascii="Times New Roman" w:hAnsi="Times New Roman"/>
              </w:rPr>
              <w:t xml:space="preserve">  Tovary a služby (630)</w:t>
            </w:r>
            <w:r w:rsidRPr="006756B1">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rPr>
            </w:pPr>
            <w:r w:rsidRPr="006756B1">
              <w:rPr>
                <w:rFonts w:ascii="Times New Roman" w:hAnsi="Times New Roman"/>
              </w:rPr>
              <w:t xml:space="preserve">  Bežné transfery (640)</w:t>
            </w:r>
            <w:r w:rsidRPr="006756B1">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233F02" w:rsidRPr="006756B1" w:rsidP="006756B1">
            <w:pPr>
              <w:bidi w:val="0"/>
              <w:spacing w:after="0"/>
              <w:rPr>
                <w:rFonts w:ascii="Times New Roman" w:hAnsi="Times New Roman"/>
              </w:rPr>
            </w:pPr>
            <w:r w:rsidRPr="006756B1">
              <w:rPr>
                <w:rFonts w:ascii="Times New Roman" w:hAnsi="Times New Roman"/>
              </w:rPr>
              <w:t xml:space="preserve">  Splácanie úrokov a ostatné platby súvisiace s  úverom, pôžičkou, návratnou finančnou výpomocou a finančným prenájmom (650)</w:t>
            </w:r>
            <w:r w:rsidRPr="006756B1">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rPr>
            </w:pPr>
            <w:r w:rsidRPr="006756B1">
              <w:rPr>
                <w:rFonts w:ascii="Times New Roman" w:hAnsi="Times New Roman"/>
                <w:b/>
                <w:bCs/>
              </w:rPr>
              <w:t>Kapitálové výdavky (700)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+2.500.000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+1.000.000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0</w:t>
            </w:r>
          </w:p>
        </w:tc>
        <w:tc>
          <w:tcPr>
            <w:tcW w:w="222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rPr>
            </w:pPr>
            <w:r w:rsidRPr="006756B1">
              <w:rPr>
                <w:rFonts w:ascii="Times New Roman" w:hAnsi="Times New Roman"/>
              </w:rPr>
              <w:t xml:space="preserve">  Obstarávanie kapitálových aktív (710)</w:t>
            </w:r>
            <w:r w:rsidRPr="006756B1">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r w:rsidRPr="006756B1">
              <w:rPr>
                <w:rFonts w:ascii="Times New Roman" w:hAnsi="Times New Roman"/>
              </w:rPr>
              <w:t>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r w:rsidRPr="006756B1">
              <w:rPr>
                <w:rFonts w:ascii="Times New Roman" w:hAnsi="Times New Roman"/>
              </w:rPr>
              <w:t>+2.500.000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r w:rsidRPr="006756B1">
              <w:rPr>
                <w:rFonts w:ascii="Times New Roman" w:hAnsi="Times New Roman"/>
              </w:rPr>
              <w:t>+1.000.000</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rPr>
            </w:pPr>
            <w:r w:rsidRPr="006756B1">
              <w:rPr>
                <w:rFonts w:ascii="Times New Roman" w:hAnsi="Times New Roman"/>
              </w:rPr>
              <w:t xml:space="preserve">  Kapitálové transfery (720)</w:t>
            </w:r>
            <w:r w:rsidRPr="006756B1">
              <w:rPr>
                <w:rFonts w:ascii="Times New Roman" w:hAnsi="Times New Roman"/>
                <w:vertAlign w:val="superscript"/>
              </w:rPr>
              <w:t>2</w:t>
            </w: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rPr>
            </w:pPr>
          </w:p>
        </w:tc>
        <w:tc>
          <w:tcPr>
            <w:tcW w:w="1540"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p>
        </w:tc>
        <w:tc>
          <w:tcPr>
            <w:tcW w:w="222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rPr>
            </w:pPr>
            <w:r w:rsidRPr="006756B1">
              <w:rPr>
                <w:rFonts w:ascii="Times New Roman" w:hAnsi="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 </w:t>
            </w:r>
          </w:p>
        </w:tc>
        <w:tc>
          <w:tcPr>
            <w:tcW w:w="2220" w:type="dxa"/>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233F02" w:rsidRPr="006756B1" w:rsidP="006756B1">
            <w:pPr>
              <w:bidi w:val="0"/>
              <w:spacing w:after="0"/>
              <w:rPr>
                <w:rFonts w:ascii="Times New Roman" w:hAnsi="Times New Roman"/>
                <w:b/>
                <w:bCs/>
              </w:rPr>
            </w:pPr>
            <w:r w:rsidRPr="006756B1">
              <w:rPr>
                <w:rFonts w:ascii="Times New Roman" w:hAnsi="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+2.500.000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rPr>
            </w:pPr>
            <w:r w:rsidRPr="006756B1">
              <w:rPr>
                <w:rFonts w:ascii="Times New Roman" w:hAnsi="Times New Roman"/>
                <w:b/>
                <w:bCs/>
              </w:rPr>
              <w:t>+1.000.000</w:t>
            </w:r>
          </w:p>
        </w:tc>
        <w:tc>
          <w:tcPr>
            <w:tcW w:w="1540" w:type="dxa"/>
            <w:tcBorders>
              <w:top w:val="single" w:sz="4" w:space="0" w:color="auto"/>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Cs w:val="24"/>
              </w:rPr>
              <w:t>0</w:t>
            </w:r>
          </w:p>
        </w:tc>
        <w:tc>
          <w:tcPr>
            <w:tcW w:w="2220" w:type="dxa"/>
            <w:tcBorders>
              <w:top w:val="single" w:sz="4" w:space="0" w:color="auto"/>
              <w:left w:val="nil"/>
              <w:bottom w:val="single" w:sz="4" w:space="0" w:color="auto"/>
              <w:right w:val="single" w:sz="4" w:space="0" w:color="auto"/>
            </w:tcBorders>
            <w:shd w:val="clear" w:color="auto" w:fill="BFBFBF"/>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bl>
    <w:p w:rsidR="00233F02" w:rsidRPr="006756B1" w:rsidP="006756B1">
      <w:pPr>
        <w:tabs>
          <w:tab w:val="num" w:pos="1080"/>
        </w:tabs>
        <w:bidi w:val="0"/>
        <w:spacing w:after="0"/>
        <w:ind w:left="-900"/>
        <w:jc w:val="both"/>
        <w:rPr>
          <w:rFonts w:ascii="Times New Roman" w:hAnsi="Times New Roman"/>
          <w:bCs/>
        </w:rPr>
      </w:pPr>
      <w:r w:rsidRPr="006756B1">
        <w:rPr>
          <w:rFonts w:ascii="Times New Roman" w:hAnsi="Times New Roman"/>
          <w:bCs/>
        </w:rPr>
        <w:t>2 –  výdavky rozpísať až do položiek platnej ekonomickej klasifikácie</w:t>
      </w:r>
    </w:p>
    <w:p w:rsidR="006756B1" w:rsidP="00E74ED1">
      <w:pPr>
        <w:tabs>
          <w:tab w:val="num" w:pos="1080"/>
        </w:tabs>
        <w:bidi w:val="0"/>
        <w:spacing w:after="0"/>
        <w:ind w:left="-900"/>
        <w:jc w:val="both"/>
        <w:rPr>
          <w:rFonts w:ascii="Times New Roman" w:hAnsi="Times New Roman"/>
          <w:b/>
          <w:bCs/>
          <w:sz w:val="24"/>
        </w:rPr>
      </w:pPr>
    </w:p>
    <w:p w:rsidR="00233F02" w:rsidRPr="006756B1" w:rsidP="00E74ED1">
      <w:pPr>
        <w:tabs>
          <w:tab w:val="num" w:pos="1080"/>
        </w:tabs>
        <w:bidi w:val="0"/>
        <w:spacing w:after="0"/>
        <w:ind w:left="-900"/>
        <w:jc w:val="both"/>
        <w:rPr>
          <w:rFonts w:ascii="Times New Roman" w:hAnsi="Times New Roman"/>
          <w:b/>
          <w:bCs/>
        </w:rPr>
      </w:pPr>
      <w:r w:rsidRPr="006756B1">
        <w:rPr>
          <w:rFonts w:ascii="Times New Roman" w:hAnsi="Times New Roman"/>
          <w:b/>
          <w:bCs/>
          <w:sz w:val="24"/>
        </w:rPr>
        <w:t>Poznámka:</w:t>
      </w:r>
    </w:p>
    <w:p w:rsidR="00233F02" w:rsidRPr="006756B1" w:rsidP="00233F02">
      <w:pPr>
        <w:tabs>
          <w:tab w:val="num" w:pos="1080"/>
        </w:tabs>
        <w:bidi w:val="0"/>
        <w:ind w:left="-900"/>
        <w:jc w:val="both"/>
        <w:rPr>
          <w:rFonts w:ascii="Times New Roman" w:hAnsi="Times New Roman"/>
          <w:bCs/>
        </w:rPr>
      </w:pPr>
      <w:r w:rsidRPr="006756B1">
        <w:rPr>
          <w:rFonts w:ascii="Times New Roman" w:hAnsi="Times New Roman"/>
          <w:bCs/>
          <w:sz w:val="24"/>
        </w:rPr>
        <w:t>Ak sa vplyv týka viacerých subjektov verejnej správy, vypĺňa sa samostatná tabuľka za každý subjekt.</w:t>
      </w:r>
    </w:p>
    <w:p w:rsidR="006756B1">
      <w:pPr>
        <w:bidi w:val="0"/>
        <w:rPr>
          <w:rFonts w:ascii="Times New Roman" w:hAnsi="Times New Roman"/>
          <w:bCs/>
          <w:sz w:val="24"/>
          <w:szCs w:val="24"/>
        </w:rPr>
      </w:pPr>
      <w:r>
        <w:rPr>
          <w:rFonts w:ascii="Times New Roman" w:hAnsi="Times New Roman"/>
          <w:bCs/>
          <w:sz w:val="24"/>
          <w:szCs w:val="24"/>
        </w:rPr>
        <w:br w:type="page"/>
      </w:r>
    </w:p>
    <w:p w:rsidR="00233F02" w:rsidRPr="006756B1" w:rsidP="00233F02">
      <w:pPr>
        <w:tabs>
          <w:tab w:val="num" w:pos="1080"/>
        </w:tabs>
        <w:bidi w:val="0"/>
        <w:jc w:val="right"/>
        <w:rPr>
          <w:rFonts w:ascii="Times New Roman" w:hAnsi="Times New Roman"/>
          <w:bCs/>
          <w:sz w:val="24"/>
          <w:szCs w:val="24"/>
        </w:rPr>
      </w:pPr>
      <w:r w:rsidRPr="006756B1">
        <w:rPr>
          <w:rFonts w:ascii="Times New Roman" w:hAnsi="Times New Roman"/>
          <w:bCs/>
          <w:sz w:val="24"/>
          <w:szCs w:val="24"/>
        </w:rPr>
        <w:t xml:space="preserve"> Tabuľka č. 5 </w:t>
      </w:r>
    </w:p>
    <w:tbl>
      <w:tblPr>
        <w:tblStyle w:val="TableNormal"/>
        <w:tblW w:w="15434" w:type="dxa"/>
        <w:tblInd w:w="-789" w:type="dxa"/>
        <w:tblCellMar>
          <w:left w:w="70" w:type="dxa"/>
          <w:right w:w="70" w:type="dxa"/>
        </w:tblCellMar>
      </w:tblPr>
      <w:tblGrid>
        <w:gridCol w:w="6188"/>
        <w:gridCol w:w="1698"/>
        <w:gridCol w:w="1788"/>
        <w:gridCol w:w="720"/>
        <w:gridCol w:w="1698"/>
        <w:gridCol w:w="1722"/>
        <w:gridCol w:w="630"/>
        <w:gridCol w:w="990"/>
      </w:tblGrid>
      <w:tr>
        <w:tblPrEx>
          <w:tblW w:w="15434" w:type="dxa"/>
          <w:tblInd w:w="-789"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poznámka</w:t>
            </w:r>
          </w:p>
        </w:tc>
      </w:tr>
      <w:tr>
        <w:tblPrEx>
          <w:tblW w:w="15434" w:type="dxa"/>
          <w:tblInd w:w="-789"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6756B1">
            <w:pPr>
              <w:bidi w:val="0"/>
              <w:spacing w:after="0"/>
              <w:rPr>
                <w:rFonts w:ascii="Times New Roman" w:hAnsi="Times New Roman"/>
                <w:b/>
                <w:bCs/>
                <w:sz w:val="24"/>
                <w:szCs w:val="24"/>
              </w:rPr>
            </w:pPr>
          </w:p>
        </w:tc>
        <w:tc>
          <w:tcPr>
            <w:tcW w:w="1698"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2016</w:t>
            </w:r>
          </w:p>
        </w:tc>
        <w:tc>
          <w:tcPr>
            <w:tcW w:w="1788"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2017</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2018</w:t>
            </w:r>
          </w:p>
        </w:tc>
        <w:tc>
          <w:tcPr>
            <w:tcW w:w="1722"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2019</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233F02" w:rsidRPr="006756B1" w:rsidP="006756B1">
            <w:pPr>
              <w:bidi w:val="0"/>
              <w:spacing w:after="0"/>
              <w:rPr>
                <w:rFonts w:ascii="Times New Roman" w:hAnsi="Times New Roman"/>
                <w:b/>
                <w:bCs/>
                <w:color w:val="FFFFFF"/>
                <w:sz w:val="24"/>
                <w:szCs w:val="24"/>
              </w:rPr>
            </w:pP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Počet zamestnancov celkom</w:t>
            </w:r>
          </w:p>
        </w:tc>
        <w:tc>
          <w:tcPr>
            <w:tcW w:w="1698"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88"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2418" w:type="dxa"/>
            <w:gridSpan w:val="2"/>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22"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88" w:type="dxa"/>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2418" w:type="dxa"/>
            <w:gridSpan w:val="2"/>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22" w:type="dxa"/>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88" w:type="dxa"/>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2418" w:type="dxa"/>
            <w:gridSpan w:val="2"/>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22" w:type="dxa"/>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sz w:val="24"/>
                <w:szCs w:val="24"/>
              </w:rPr>
            </w:pPr>
            <w:r w:rsidRPr="006756B1">
              <w:rPr>
                <w:rFonts w:ascii="Times New Roman" w:hAnsi="Times New Roman"/>
                <w:b/>
                <w:bCs/>
                <w:sz w:val="24"/>
                <w:szCs w:val="24"/>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r w:rsidRPr="006756B1">
              <w:rPr>
                <w:rFonts w:ascii="Times New Roman" w:hAnsi="Times New Roman"/>
                <w:sz w:val="24"/>
                <w:szCs w:val="24"/>
              </w:rPr>
              <w:t> 0</w:t>
            </w:r>
          </w:p>
        </w:tc>
        <w:tc>
          <w:tcPr>
            <w:tcW w:w="1788" w:type="dxa"/>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r w:rsidRPr="006756B1">
              <w:rPr>
                <w:rFonts w:ascii="Times New Roman" w:hAnsi="Times New Roman"/>
                <w:sz w:val="24"/>
                <w:szCs w:val="24"/>
              </w:rPr>
              <w:t>0 </w:t>
            </w:r>
          </w:p>
        </w:tc>
        <w:tc>
          <w:tcPr>
            <w:tcW w:w="2418" w:type="dxa"/>
            <w:gridSpan w:val="2"/>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r w:rsidRPr="006756B1">
              <w:rPr>
                <w:rFonts w:ascii="Times New Roman" w:hAnsi="Times New Roman"/>
                <w:sz w:val="24"/>
                <w:szCs w:val="24"/>
              </w:rPr>
              <w:t>0 </w:t>
            </w:r>
          </w:p>
        </w:tc>
        <w:tc>
          <w:tcPr>
            <w:tcW w:w="1722" w:type="dxa"/>
            <w:tcBorders>
              <w:top w:val="single" w:sz="4" w:space="0" w:color="auto"/>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r w:rsidRPr="006756B1">
              <w:rPr>
                <w:rFonts w:ascii="Times New Roman" w:hAnsi="Times New Roman"/>
                <w:sz w:val="24"/>
                <w:szCs w:val="24"/>
              </w:rPr>
              <w:t>0 </w:t>
            </w:r>
          </w:p>
        </w:tc>
        <w:tc>
          <w:tcPr>
            <w:tcW w:w="1620" w:type="dxa"/>
            <w:gridSpan w:val="2"/>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BFBFBF"/>
            <w:textDirection w:val="lrTb"/>
            <w:vAlign w:val="top"/>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Osobné výdavky celkom (v eurách)</w:t>
            </w:r>
          </w:p>
        </w:tc>
        <w:tc>
          <w:tcPr>
            <w:tcW w:w="1698"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88"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2418" w:type="dxa"/>
            <w:gridSpan w:val="2"/>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22" w:type="dxa"/>
            <w:tcBorders>
              <w:top w:val="nil"/>
              <w:left w:val="nil"/>
              <w:bottom w:val="single" w:sz="4" w:space="0" w:color="auto"/>
              <w:right w:val="single" w:sz="4" w:space="0" w:color="auto"/>
            </w:tcBorders>
            <w:shd w:val="clear" w:color="auto" w:fill="BFBFBF"/>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shd w:val="clear" w:color="auto" w:fill="BFBFBF"/>
            <w:noWrap/>
            <w:textDirection w:val="lrTb"/>
            <w:vAlign w:val="bottom"/>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Mzdy, platy, služobné príjmy a ostatné osobné vyrovnania (610)</w:t>
            </w:r>
          </w:p>
        </w:tc>
        <w:tc>
          <w:tcPr>
            <w:tcW w:w="1698"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88"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2418" w:type="dxa"/>
            <w:gridSpan w:val="2"/>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22"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sz w:val="24"/>
                <w:szCs w:val="24"/>
              </w:rPr>
            </w:pPr>
            <w:r w:rsidRPr="006756B1">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r w:rsidRPr="006756B1">
              <w:rPr>
                <w:rFonts w:ascii="Times New Roman" w:hAnsi="Times New Roman"/>
                <w:sz w:val="24"/>
                <w:szCs w:val="24"/>
              </w:rPr>
              <w:t>0</w:t>
            </w:r>
          </w:p>
        </w:tc>
        <w:tc>
          <w:tcPr>
            <w:tcW w:w="1788"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r w:rsidRPr="006756B1">
              <w:rPr>
                <w:rFonts w:ascii="Times New Roman" w:hAnsi="Times New Roman"/>
                <w:sz w:val="24"/>
                <w:szCs w:val="24"/>
              </w:rPr>
              <w:t>0</w:t>
            </w:r>
          </w:p>
        </w:tc>
        <w:tc>
          <w:tcPr>
            <w:tcW w:w="2418" w:type="dxa"/>
            <w:gridSpan w:val="2"/>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r w:rsidRPr="006756B1">
              <w:rPr>
                <w:rFonts w:ascii="Times New Roman" w:hAnsi="Times New Roman"/>
                <w:sz w:val="24"/>
                <w:szCs w:val="24"/>
              </w:rPr>
              <w:t>0</w:t>
            </w:r>
          </w:p>
        </w:tc>
        <w:tc>
          <w:tcPr>
            <w:tcW w:w="1722"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r w:rsidRPr="006756B1">
              <w:rPr>
                <w:rFonts w:ascii="Times New Roman" w:hAnsi="Times New Roman"/>
                <w:sz w:val="24"/>
                <w:szCs w:val="24"/>
              </w:rPr>
              <w:t>0</w:t>
            </w:r>
          </w:p>
        </w:tc>
        <w:tc>
          <w:tcPr>
            <w:tcW w:w="1620" w:type="dxa"/>
            <w:gridSpan w:val="2"/>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88"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2418" w:type="dxa"/>
            <w:gridSpan w:val="2"/>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722"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0</w:t>
            </w:r>
          </w:p>
        </w:tc>
        <w:tc>
          <w:tcPr>
            <w:tcW w:w="1620" w:type="dxa"/>
            <w:gridSpan w:val="2"/>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b/>
                <w:bCs/>
                <w:sz w:val="24"/>
                <w:szCs w:val="24"/>
              </w:rPr>
            </w:pPr>
            <w:r w:rsidRPr="006756B1">
              <w:rPr>
                <w:rFonts w:ascii="Times New Roman" w:hAnsi="Times New Roman"/>
                <w:b/>
                <w:bCs/>
                <w:sz w:val="24"/>
                <w:szCs w:val="24"/>
              </w:rPr>
              <w:t> </w:t>
            </w:r>
          </w:p>
        </w:tc>
      </w:tr>
      <w:tr>
        <w:tblPrEx>
          <w:tblW w:w="15434" w:type="dxa"/>
          <w:tblInd w:w="-789"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33F02" w:rsidRPr="006756B1" w:rsidP="006756B1">
            <w:pPr>
              <w:bidi w:val="0"/>
              <w:spacing w:after="0"/>
              <w:rPr>
                <w:rFonts w:ascii="Times New Roman" w:hAnsi="Times New Roman"/>
                <w:sz w:val="24"/>
                <w:szCs w:val="24"/>
              </w:rPr>
            </w:pPr>
            <w:r w:rsidRPr="006756B1">
              <w:rPr>
                <w:rFonts w:ascii="Times New Roman" w:hAnsi="Times New Roman"/>
                <w:b/>
                <w:bCs/>
                <w:sz w:val="24"/>
                <w:szCs w:val="24"/>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sz w:val="24"/>
                <w:szCs w:val="24"/>
              </w:rPr>
            </w:pPr>
            <w:r w:rsidRPr="006756B1">
              <w:rPr>
                <w:rFonts w:ascii="Times New Roman" w:hAnsi="Times New Roman"/>
                <w:sz w:val="24"/>
                <w:szCs w:val="24"/>
              </w:rPr>
              <w:t>0</w:t>
            </w:r>
          </w:p>
        </w:tc>
        <w:tc>
          <w:tcPr>
            <w:tcW w:w="1788"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Cs/>
                <w:sz w:val="24"/>
                <w:szCs w:val="24"/>
              </w:rPr>
            </w:pPr>
            <w:r w:rsidRPr="006756B1">
              <w:rPr>
                <w:rFonts w:ascii="Times New Roman" w:hAnsi="Times New Roman"/>
                <w:bCs/>
                <w:sz w:val="24"/>
                <w:szCs w:val="24"/>
              </w:rPr>
              <w:t>0</w:t>
            </w:r>
          </w:p>
        </w:tc>
        <w:tc>
          <w:tcPr>
            <w:tcW w:w="2418" w:type="dxa"/>
            <w:gridSpan w:val="2"/>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Cs/>
                <w:sz w:val="24"/>
                <w:szCs w:val="24"/>
              </w:rPr>
            </w:pPr>
            <w:r w:rsidRPr="006756B1">
              <w:rPr>
                <w:rFonts w:ascii="Times New Roman" w:hAnsi="Times New Roman"/>
                <w:bCs/>
                <w:sz w:val="24"/>
                <w:szCs w:val="24"/>
              </w:rPr>
              <w:t>0</w:t>
            </w:r>
          </w:p>
        </w:tc>
        <w:tc>
          <w:tcPr>
            <w:tcW w:w="1722" w:type="dxa"/>
            <w:tcBorders>
              <w:top w:val="nil"/>
              <w:left w:val="nil"/>
              <w:bottom w:val="single" w:sz="4" w:space="0" w:color="auto"/>
              <w:right w:val="single" w:sz="4" w:space="0" w:color="auto"/>
            </w:tcBorders>
            <w:textDirection w:val="lrTb"/>
            <w:vAlign w:val="top"/>
          </w:tcPr>
          <w:p w:rsidR="00233F02" w:rsidRPr="006756B1" w:rsidP="006756B1">
            <w:pPr>
              <w:bidi w:val="0"/>
              <w:spacing w:after="0"/>
              <w:jc w:val="center"/>
              <w:rPr>
                <w:rFonts w:ascii="Times New Roman" w:hAnsi="Times New Roman"/>
                <w:bCs/>
                <w:sz w:val="24"/>
                <w:szCs w:val="24"/>
              </w:rPr>
            </w:pPr>
            <w:r w:rsidRPr="006756B1">
              <w:rPr>
                <w:rFonts w:ascii="Times New Roman" w:hAnsi="Times New Roman"/>
                <w:bCs/>
                <w:sz w:val="24"/>
                <w:szCs w:val="24"/>
              </w:rPr>
              <w:t>0</w:t>
            </w:r>
          </w:p>
        </w:tc>
        <w:tc>
          <w:tcPr>
            <w:tcW w:w="1620" w:type="dxa"/>
            <w:gridSpan w:val="2"/>
            <w:tcBorders>
              <w:top w:val="nil"/>
              <w:left w:val="nil"/>
              <w:bottom w:val="single" w:sz="4" w:space="0" w:color="auto"/>
              <w:right w:val="single" w:sz="4" w:space="0" w:color="auto"/>
            </w:tcBorders>
            <w:noWrap/>
            <w:textDirection w:val="lrTb"/>
            <w:vAlign w:val="bottom"/>
          </w:tcPr>
          <w:p w:rsidR="00233F02" w:rsidRPr="006756B1" w:rsidP="006756B1">
            <w:pPr>
              <w:bidi w:val="0"/>
              <w:spacing w:after="0"/>
              <w:rPr>
                <w:rFonts w:ascii="Times New Roman" w:hAnsi="Times New Roman"/>
                <w:sz w:val="24"/>
                <w:szCs w:val="24"/>
              </w:rPr>
            </w:pPr>
            <w:r w:rsidRPr="006756B1">
              <w:rPr>
                <w:rFonts w:ascii="Times New Roman" w:hAnsi="Times New Roman"/>
                <w:sz w:val="24"/>
                <w:szCs w:val="24"/>
              </w:rPr>
              <w:t> </w:t>
            </w:r>
          </w:p>
        </w:tc>
      </w:tr>
      <w:tr>
        <w:tblPrEx>
          <w:tblW w:w="15434" w:type="dxa"/>
          <w:tblInd w:w="-789"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c>
          <w:tcPr>
            <w:tcW w:w="1698" w:type="dxa"/>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c>
          <w:tcPr>
            <w:tcW w:w="1788" w:type="dxa"/>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c>
          <w:tcPr>
            <w:tcW w:w="2418" w:type="dxa"/>
            <w:gridSpan w:val="2"/>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c>
          <w:tcPr>
            <w:tcW w:w="1722" w:type="dxa"/>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c>
          <w:tcPr>
            <w:tcW w:w="1620" w:type="dxa"/>
            <w:gridSpan w:val="2"/>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r>
      <w:tr>
        <w:tblPrEx>
          <w:tblW w:w="15434" w:type="dxa"/>
          <w:tblInd w:w="-789"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233F02" w:rsidRPr="006756B1" w:rsidP="00E74ED1">
            <w:pPr>
              <w:bidi w:val="0"/>
              <w:spacing w:after="0"/>
              <w:rPr>
                <w:rFonts w:ascii="Times New Roman" w:hAnsi="Times New Roman"/>
                <w:b/>
                <w:bCs/>
                <w:sz w:val="24"/>
                <w:szCs w:val="24"/>
              </w:rPr>
            </w:pPr>
            <w:r w:rsidRPr="006756B1">
              <w:rPr>
                <w:rFonts w:ascii="Times New Roman" w:hAnsi="Times New Roman"/>
                <w:b/>
                <w:bCs/>
                <w:sz w:val="24"/>
                <w:szCs w:val="24"/>
              </w:rPr>
              <w:t>Poznámky:</w:t>
            </w:r>
          </w:p>
        </w:tc>
        <w:tc>
          <w:tcPr>
            <w:tcW w:w="1698" w:type="dxa"/>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c>
          <w:tcPr>
            <w:tcW w:w="1788" w:type="dxa"/>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c>
          <w:tcPr>
            <w:tcW w:w="2418" w:type="dxa"/>
            <w:gridSpan w:val="2"/>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c>
          <w:tcPr>
            <w:tcW w:w="1722" w:type="dxa"/>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c>
          <w:tcPr>
            <w:tcW w:w="1620" w:type="dxa"/>
            <w:gridSpan w:val="2"/>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r>
      <w:tr>
        <w:tblPrEx>
          <w:tblW w:w="15434" w:type="dxa"/>
          <w:tblInd w:w="-789"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233F02" w:rsidRPr="006756B1" w:rsidP="00E74ED1">
            <w:pPr>
              <w:tabs>
                <w:tab w:val="num" w:pos="1080"/>
              </w:tabs>
              <w:bidi w:val="0"/>
              <w:spacing w:after="0" w:line="240" w:lineRule="auto"/>
              <w:jc w:val="both"/>
              <w:rPr>
                <w:rFonts w:ascii="Times New Roman" w:hAnsi="Times New Roman"/>
                <w:bCs/>
                <w:sz w:val="24"/>
              </w:rPr>
            </w:pPr>
            <w:r w:rsidRPr="006756B1">
              <w:rPr>
                <w:rFonts w:ascii="Times New Roman" w:hAnsi="Times New Roman"/>
                <w:bCs/>
                <w:sz w:val="24"/>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233F02" w:rsidRPr="006756B1" w:rsidP="00E74ED1">
            <w:pPr>
              <w:bidi w:val="0"/>
              <w:spacing w:after="0" w:line="240" w:lineRule="auto"/>
              <w:rPr>
                <w:rFonts w:ascii="Times New Roman" w:hAnsi="Times New Roman"/>
                <w:sz w:val="24"/>
                <w:szCs w:val="24"/>
              </w:rPr>
            </w:pPr>
            <w:r w:rsidRPr="006756B1">
              <w:rPr>
                <w:rFonts w:ascii="Times New Roman" w:hAnsi="Times New Roman"/>
                <w:sz w:val="24"/>
                <w:szCs w:val="24"/>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r>
      <w:tr>
        <w:tblPrEx>
          <w:tblW w:w="15434" w:type="dxa"/>
          <w:tblInd w:w="-789"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233F02" w:rsidRPr="006756B1" w:rsidP="00E74ED1">
            <w:pPr>
              <w:bidi w:val="0"/>
              <w:spacing w:line="240" w:lineRule="auto"/>
              <w:rPr>
                <w:rFonts w:ascii="Times New Roman" w:hAnsi="Times New Roman"/>
                <w:sz w:val="24"/>
                <w:szCs w:val="24"/>
              </w:rPr>
            </w:pPr>
            <w:r w:rsidRPr="006756B1">
              <w:rPr>
                <w:rFonts w:ascii="Times New Roman" w:hAnsi="Times New Roman"/>
                <w:sz w:val="24"/>
                <w:szCs w:val="24"/>
              </w:rPr>
              <w:t>Kategórie 610 a 620 sú z tejto prílohy prenášané do príslušných kategórií prílohy „výdavky“.</w:t>
            </w:r>
          </w:p>
        </w:tc>
        <w:tc>
          <w:tcPr>
            <w:tcW w:w="1698" w:type="dxa"/>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c>
          <w:tcPr>
            <w:tcW w:w="2352" w:type="dxa"/>
            <w:gridSpan w:val="2"/>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c>
          <w:tcPr>
            <w:tcW w:w="990" w:type="dxa"/>
            <w:tcBorders>
              <w:top w:val="nil"/>
              <w:left w:val="nil"/>
              <w:bottom w:val="nil"/>
              <w:right w:val="nil"/>
            </w:tcBorders>
            <w:noWrap/>
            <w:textDirection w:val="lrTb"/>
            <w:vAlign w:val="bottom"/>
          </w:tcPr>
          <w:p w:rsidR="00233F02" w:rsidRPr="006756B1" w:rsidP="00233F02">
            <w:pPr>
              <w:bidi w:val="0"/>
              <w:rPr>
                <w:rFonts w:ascii="Times New Roman" w:hAnsi="Times New Roman"/>
                <w:sz w:val="24"/>
                <w:szCs w:val="24"/>
              </w:rPr>
            </w:pPr>
          </w:p>
        </w:tc>
      </w:tr>
    </w:tbl>
    <w:p w:rsidR="00233F02" w:rsidRPr="006756B1" w:rsidP="00233F02">
      <w:pPr>
        <w:bidi w:val="0"/>
        <w:rPr>
          <w:rFonts w:ascii="Times New Roman" w:hAnsi="Times New Roman"/>
          <w:b/>
          <w:bCs/>
          <w:sz w:val="24"/>
          <w:szCs w:val="24"/>
        </w:rPr>
        <w:sectPr w:rsidSect="00233F02">
          <w:pgSz w:w="16838" w:h="11906" w:orient="landscape"/>
          <w:pgMar w:top="1418" w:right="1418" w:bottom="1418" w:left="1418" w:header="709" w:footer="709" w:gutter="0"/>
          <w:lnNumType w:distance="0"/>
          <w:cols w:space="708"/>
          <w:noEndnote w:val="0"/>
          <w:bidi w:val="0"/>
          <w:docGrid w:linePitch="360"/>
        </w:sectPr>
      </w:pPr>
    </w:p>
    <w:p w:rsidR="006756B1" w:rsidRPr="006756B1" w:rsidP="006756B1">
      <w:pPr>
        <w:bidi w:val="0"/>
        <w:spacing w:after="0"/>
        <w:jc w:val="center"/>
        <w:rPr>
          <w:rFonts w:ascii="Times New Roman" w:hAnsi="Times New Roman"/>
          <w:b/>
          <w:bCs/>
          <w:sz w:val="24"/>
          <w:szCs w:val="24"/>
        </w:rPr>
      </w:pPr>
      <w:r w:rsidRPr="006756B1">
        <w:rPr>
          <w:rFonts w:ascii="Times New Roman" w:hAnsi="Times New Roman"/>
          <w:b/>
          <w:bCs/>
          <w:sz w:val="24"/>
          <w:szCs w:val="24"/>
        </w:rPr>
        <w:t>DOLOŽKA ZLUČITEĽNOSTI</w:t>
      </w:r>
    </w:p>
    <w:p w:rsidR="006756B1" w:rsidRPr="006756B1" w:rsidP="006756B1">
      <w:pPr>
        <w:pBdr>
          <w:bottom w:val="single" w:sz="12" w:space="1" w:color="auto"/>
        </w:pBdr>
        <w:bidi w:val="0"/>
        <w:spacing w:after="0"/>
        <w:jc w:val="center"/>
        <w:rPr>
          <w:rFonts w:ascii="Times New Roman" w:hAnsi="Times New Roman"/>
          <w:b/>
          <w:sz w:val="24"/>
          <w:szCs w:val="24"/>
        </w:rPr>
      </w:pPr>
      <w:r w:rsidRPr="006756B1">
        <w:rPr>
          <w:rFonts w:ascii="Times New Roman" w:hAnsi="Times New Roman"/>
          <w:b/>
          <w:sz w:val="24"/>
          <w:szCs w:val="24"/>
        </w:rPr>
        <w:t>návrhu zákona, ktorým sa mení a dopĺňa zákon č. 442/2012 Z.z. o medzinárodnej pomoci a spolupráci pri správe daní v znení neskorších predpisov</w:t>
      </w:r>
    </w:p>
    <w:p w:rsidR="006756B1" w:rsidRPr="006756B1" w:rsidP="006756B1">
      <w:pPr>
        <w:pBdr>
          <w:bottom w:val="single" w:sz="12" w:space="1" w:color="auto"/>
        </w:pBdr>
        <w:bidi w:val="0"/>
        <w:spacing w:after="0"/>
        <w:jc w:val="center"/>
        <w:rPr>
          <w:rFonts w:ascii="Times New Roman" w:hAnsi="Times New Roman"/>
          <w:b/>
          <w:bCs/>
          <w:sz w:val="24"/>
          <w:szCs w:val="24"/>
        </w:rPr>
      </w:pPr>
      <w:r w:rsidRPr="006756B1">
        <w:rPr>
          <w:rFonts w:ascii="Times New Roman" w:hAnsi="Times New Roman"/>
          <w:b/>
          <w:sz w:val="24"/>
          <w:szCs w:val="24"/>
        </w:rPr>
        <w:t>s právom Európskej únie</w:t>
      </w:r>
    </w:p>
    <w:p w:rsidR="006756B1" w:rsidRPr="006756B1" w:rsidP="006756B1">
      <w:pPr>
        <w:bidi w:val="0"/>
        <w:spacing w:after="0"/>
        <w:jc w:val="center"/>
        <w:rPr>
          <w:rFonts w:ascii="Times New Roman" w:hAnsi="Times New Roman"/>
          <w:b/>
          <w:sz w:val="24"/>
          <w:szCs w:val="24"/>
        </w:rPr>
      </w:pPr>
    </w:p>
    <w:p w:rsidR="006756B1" w:rsidRPr="006756B1" w:rsidP="006756B1">
      <w:pPr>
        <w:numPr>
          <w:numId w:val="38"/>
        </w:numPr>
        <w:autoSpaceDE w:val="0"/>
        <w:bidi w:val="0"/>
        <w:spacing w:after="0" w:line="240" w:lineRule="auto"/>
        <w:jc w:val="both"/>
        <w:rPr>
          <w:rFonts w:ascii="Times New Roman" w:hAnsi="Times New Roman"/>
          <w:sz w:val="24"/>
          <w:szCs w:val="24"/>
        </w:rPr>
      </w:pPr>
      <w:r w:rsidRPr="006756B1">
        <w:rPr>
          <w:rFonts w:ascii="Times New Roman" w:hAnsi="Times New Roman"/>
          <w:b/>
          <w:bCs/>
          <w:sz w:val="24"/>
          <w:szCs w:val="24"/>
        </w:rPr>
        <w:t>Predkladateľ návrhu zákona:</w:t>
      </w:r>
    </w:p>
    <w:p w:rsidR="006756B1" w:rsidRPr="006756B1" w:rsidP="006756B1">
      <w:pPr>
        <w:autoSpaceDE w:val="0"/>
        <w:autoSpaceDN w:val="0"/>
        <w:bidi w:val="0"/>
        <w:spacing w:after="0"/>
        <w:ind w:firstLine="425"/>
        <w:jc w:val="both"/>
        <w:rPr>
          <w:rFonts w:ascii="Times New Roman" w:hAnsi="Times New Roman"/>
          <w:sz w:val="24"/>
          <w:szCs w:val="24"/>
        </w:rPr>
      </w:pPr>
      <w:r w:rsidRPr="006756B1">
        <w:rPr>
          <w:rFonts w:ascii="Times New Roman" w:hAnsi="Times New Roman"/>
          <w:sz w:val="24"/>
          <w:szCs w:val="24"/>
        </w:rPr>
        <w:t xml:space="preserve">Vláda Slovenskej republiky. </w:t>
      </w:r>
    </w:p>
    <w:p w:rsidR="006756B1" w:rsidRPr="006756B1" w:rsidP="006756B1">
      <w:pPr>
        <w:autoSpaceDE w:val="0"/>
        <w:autoSpaceDN w:val="0"/>
        <w:bidi w:val="0"/>
        <w:spacing w:after="0"/>
        <w:jc w:val="both"/>
        <w:rPr>
          <w:rFonts w:ascii="Times New Roman" w:hAnsi="Times New Roman"/>
          <w:b/>
          <w:bCs/>
          <w:sz w:val="24"/>
          <w:szCs w:val="24"/>
        </w:rPr>
      </w:pPr>
    </w:p>
    <w:p w:rsidR="006756B1" w:rsidRPr="006756B1" w:rsidP="006756B1">
      <w:pPr>
        <w:numPr>
          <w:numId w:val="38"/>
        </w:numPr>
        <w:autoSpaceDE w:val="0"/>
        <w:bidi w:val="0"/>
        <w:spacing w:after="0" w:line="240" w:lineRule="auto"/>
        <w:jc w:val="both"/>
        <w:rPr>
          <w:rFonts w:ascii="Times New Roman" w:hAnsi="Times New Roman"/>
          <w:b/>
          <w:bCs/>
          <w:sz w:val="24"/>
          <w:szCs w:val="24"/>
        </w:rPr>
      </w:pPr>
      <w:r w:rsidRPr="006756B1">
        <w:rPr>
          <w:rFonts w:ascii="Times New Roman" w:hAnsi="Times New Roman"/>
          <w:b/>
          <w:bCs/>
          <w:sz w:val="24"/>
          <w:szCs w:val="24"/>
        </w:rPr>
        <w:t>Názov návrhu zákona:</w:t>
      </w:r>
    </w:p>
    <w:p w:rsidR="006756B1" w:rsidRPr="006756B1" w:rsidP="006756B1">
      <w:pPr>
        <w:autoSpaceDE w:val="0"/>
        <w:autoSpaceDN w:val="0"/>
        <w:bidi w:val="0"/>
        <w:spacing w:after="0"/>
        <w:ind w:left="425"/>
        <w:jc w:val="both"/>
        <w:rPr>
          <w:rFonts w:ascii="Times New Roman" w:hAnsi="Times New Roman"/>
          <w:sz w:val="24"/>
          <w:szCs w:val="24"/>
        </w:rPr>
      </w:pPr>
      <w:r w:rsidRPr="006756B1">
        <w:rPr>
          <w:rFonts w:ascii="Times New Roman" w:hAnsi="Times New Roman"/>
          <w:sz w:val="24"/>
          <w:szCs w:val="24"/>
        </w:rPr>
        <w:t>Návrh zákona, ktorým sa mení a dopĺňa zákon č. 442/2012 Z.z. o medzinárodnej pomoci a spolupráci pri správe daní v znení neskorších predpisov</w:t>
      </w:r>
      <w:r w:rsidRPr="006756B1">
        <w:rPr>
          <w:rFonts w:ascii="Times New Roman" w:hAnsi="Times New Roman"/>
          <w:bCs/>
          <w:sz w:val="24"/>
          <w:szCs w:val="24"/>
        </w:rPr>
        <w:t>.</w:t>
      </w:r>
    </w:p>
    <w:p w:rsidR="006756B1" w:rsidRPr="006756B1" w:rsidP="006756B1">
      <w:pPr>
        <w:autoSpaceDE w:val="0"/>
        <w:autoSpaceDN w:val="0"/>
        <w:bidi w:val="0"/>
        <w:spacing w:after="0"/>
        <w:ind w:left="425"/>
        <w:jc w:val="both"/>
        <w:rPr>
          <w:rFonts w:ascii="Times New Roman" w:hAnsi="Times New Roman"/>
          <w:bCs/>
          <w:sz w:val="24"/>
          <w:szCs w:val="24"/>
        </w:rPr>
      </w:pPr>
    </w:p>
    <w:p w:rsidR="006756B1" w:rsidRPr="006756B1" w:rsidP="006756B1">
      <w:pPr>
        <w:numPr>
          <w:numId w:val="38"/>
        </w:numPr>
        <w:autoSpaceDE w:val="0"/>
        <w:bidi w:val="0"/>
        <w:spacing w:after="0" w:line="240" w:lineRule="auto"/>
        <w:ind w:left="426"/>
        <w:jc w:val="both"/>
        <w:rPr>
          <w:rFonts w:ascii="Times New Roman" w:hAnsi="Times New Roman"/>
          <w:b/>
          <w:bCs/>
          <w:sz w:val="24"/>
          <w:szCs w:val="24"/>
        </w:rPr>
      </w:pPr>
      <w:r w:rsidRPr="006756B1">
        <w:rPr>
          <w:rFonts w:ascii="Times New Roman" w:hAnsi="Times New Roman"/>
          <w:b/>
          <w:bCs/>
          <w:sz w:val="24"/>
          <w:szCs w:val="24"/>
        </w:rPr>
        <w:t xml:space="preserve">Problematika návrhu zákona: </w:t>
      </w:r>
    </w:p>
    <w:p w:rsidR="006756B1" w:rsidRPr="006756B1" w:rsidP="006756B1">
      <w:pPr>
        <w:numPr>
          <w:ilvl w:val="1"/>
          <w:numId w:val="38"/>
        </w:numPr>
        <w:bidi w:val="0"/>
        <w:spacing w:after="0" w:line="240" w:lineRule="auto"/>
        <w:rPr>
          <w:rFonts w:ascii="Times New Roman" w:hAnsi="Times New Roman"/>
          <w:sz w:val="24"/>
          <w:szCs w:val="24"/>
          <w:lang w:eastAsia="cs-CZ"/>
        </w:rPr>
      </w:pPr>
      <w:r w:rsidRPr="006756B1">
        <w:rPr>
          <w:rFonts w:ascii="Times New Roman" w:hAnsi="Times New Roman"/>
          <w:sz w:val="24"/>
          <w:szCs w:val="24"/>
          <w:lang w:eastAsia="cs-CZ"/>
        </w:rPr>
        <w:t>je upravená v práve Európskej únie:</w:t>
      </w:r>
    </w:p>
    <w:p w:rsidR="006756B1" w:rsidRPr="006756B1" w:rsidP="006756B1">
      <w:pPr>
        <w:bidi w:val="0"/>
        <w:spacing w:after="0"/>
        <w:ind w:left="900" w:hanging="425"/>
        <w:rPr>
          <w:rFonts w:ascii="Times New Roman" w:hAnsi="Times New Roman"/>
          <w:b/>
          <w:bCs/>
          <w:iCs/>
          <w:sz w:val="24"/>
          <w:szCs w:val="24"/>
          <w:lang w:eastAsia="cs-CZ"/>
        </w:rPr>
      </w:pPr>
      <w:r w:rsidRPr="006756B1">
        <w:rPr>
          <w:rFonts w:ascii="Times New Roman" w:hAnsi="Times New Roman"/>
          <w:b/>
          <w:bCs/>
          <w:iCs/>
          <w:sz w:val="24"/>
          <w:szCs w:val="24"/>
          <w:lang w:eastAsia="cs-CZ"/>
        </w:rPr>
        <w:t xml:space="preserve">Primárne právo: </w:t>
      </w:r>
    </w:p>
    <w:p w:rsidR="006756B1" w:rsidRPr="006756B1" w:rsidP="006756B1">
      <w:pPr>
        <w:numPr>
          <w:numId w:val="40"/>
        </w:numPr>
        <w:bidi w:val="0"/>
        <w:spacing w:after="0" w:line="240" w:lineRule="auto"/>
        <w:rPr>
          <w:rFonts w:ascii="Times New Roman" w:hAnsi="Times New Roman"/>
          <w:sz w:val="24"/>
          <w:szCs w:val="24"/>
          <w:lang w:eastAsia="cs-CZ"/>
        </w:rPr>
      </w:pPr>
      <w:r w:rsidRPr="006756B1">
        <w:rPr>
          <w:rFonts w:ascii="Times New Roman" w:hAnsi="Times New Roman"/>
          <w:sz w:val="24"/>
          <w:szCs w:val="24"/>
          <w:lang w:eastAsia="cs-CZ"/>
        </w:rPr>
        <w:t>čl. 110 a 113 Zmluvy o fungovaní Európskej únie</w:t>
      </w:r>
      <w:r w:rsidRPr="006756B1">
        <w:rPr>
          <w:rFonts w:ascii="Times New Roman" w:hAnsi="Times New Roman"/>
          <w:sz w:val="24"/>
          <w:szCs w:val="24"/>
        </w:rPr>
        <w:t>.</w:t>
      </w:r>
    </w:p>
    <w:p w:rsidR="006756B1" w:rsidRPr="006756B1" w:rsidP="006756B1">
      <w:pPr>
        <w:autoSpaceDE w:val="0"/>
        <w:autoSpaceDN w:val="0"/>
        <w:bidi w:val="0"/>
        <w:adjustRightInd w:val="0"/>
        <w:spacing w:after="0"/>
        <w:ind w:left="510"/>
        <w:jc w:val="both"/>
        <w:rPr>
          <w:rFonts w:ascii="Times New Roman" w:hAnsi="Times New Roman"/>
          <w:b/>
          <w:bCs/>
          <w:i/>
          <w:iCs/>
          <w:sz w:val="24"/>
          <w:szCs w:val="24"/>
        </w:rPr>
      </w:pPr>
      <w:r w:rsidRPr="006756B1">
        <w:rPr>
          <w:rFonts w:ascii="Times New Roman" w:hAnsi="Times New Roman"/>
          <w:b/>
          <w:bCs/>
          <w:iCs/>
          <w:sz w:val="24"/>
          <w:szCs w:val="24"/>
        </w:rPr>
        <w:t>Sekundárne právo</w:t>
      </w:r>
      <w:r w:rsidRPr="006756B1">
        <w:rPr>
          <w:rFonts w:ascii="Times New Roman" w:hAnsi="Times New Roman"/>
          <w:b/>
          <w:bCs/>
          <w:i/>
          <w:iCs/>
          <w:sz w:val="24"/>
          <w:szCs w:val="24"/>
        </w:rPr>
        <w:t xml:space="preserve"> </w:t>
      </w:r>
      <w:r w:rsidRPr="006756B1">
        <w:rPr>
          <w:rFonts w:ascii="Times New Roman" w:hAnsi="Times New Roman"/>
          <w:sz w:val="24"/>
          <w:szCs w:val="24"/>
        </w:rPr>
        <w:t>(prijaté po nadobudnutí platnosti Lisabonskej zmluvy, ktorou sa mení a dopĺňa Zmluva o Európskej únii a Zmluva o založení Európskeho spoločenstva - po 30. novembri 2009):</w:t>
      </w:r>
    </w:p>
    <w:p w:rsidR="006756B1" w:rsidRPr="006756B1" w:rsidP="006756B1">
      <w:pPr>
        <w:numPr>
          <w:numId w:val="42"/>
        </w:numPr>
        <w:autoSpaceDE w:val="0"/>
        <w:autoSpaceDN w:val="0"/>
        <w:bidi w:val="0"/>
        <w:adjustRightInd w:val="0"/>
        <w:spacing w:before="120" w:after="0" w:line="240" w:lineRule="auto"/>
        <w:ind w:left="782" w:hanging="357"/>
        <w:jc w:val="both"/>
        <w:rPr>
          <w:rFonts w:ascii="Times New Roman" w:hAnsi="Times New Roman"/>
          <w:bCs/>
          <w:iCs/>
          <w:sz w:val="24"/>
          <w:szCs w:val="24"/>
          <w:u w:val="single"/>
        </w:rPr>
      </w:pPr>
      <w:r w:rsidRPr="006756B1">
        <w:rPr>
          <w:rFonts w:ascii="Times New Roman" w:hAnsi="Times New Roman"/>
          <w:bCs/>
          <w:iCs/>
          <w:sz w:val="24"/>
          <w:szCs w:val="24"/>
          <w:u w:val="single"/>
        </w:rPr>
        <w:t>legislatívne akty:</w:t>
      </w:r>
    </w:p>
    <w:p w:rsidR="006756B1" w:rsidRPr="006756B1" w:rsidP="006756B1">
      <w:pPr>
        <w:numPr>
          <w:numId w:val="40"/>
        </w:numPr>
        <w:autoSpaceDE w:val="0"/>
        <w:autoSpaceDN w:val="0"/>
        <w:bidi w:val="0"/>
        <w:adjustRightInd w:val="0"/>
        <w:spacing w:before="120" w:after="0" w:line="240" w:lineRule="auto"/>
        <w:ind w:left="709" w:hanging="283"/>
        <w:jc w:val="both"/>
        <w:rPr>
          <w:rStyle w:val="Emphasis"/>
          <w:rFonts w:ascii="Times New Roman" w:hAnsi="Times New Roman"/>
          <w:bCs/>
          <w:sz w:val="24"/>
          <w:szCs w:val="24"/>
        </w:rPr>
      </w:pPr>
      <w:r w:rsidRPr="006756B1">
        <w:rPr>
          <w:rFonts w:ascii="Times New Roman" w:hAnsi="Times New Roman"/>
          <w:bCs/>
          <w:iCs/>
          <w:sz w:val="24"/>
          <w:szCs w:val="24"/>
        </w:rPr>
        <w:t xml:space="preserve">smernica </w:t>
      </w:r>
      <w:r w:rsidRPr="006756B1">
        <w:rPr>
          <w:rFonts w:ascii="Times New Roman" w:hAnsi="Times New Roman"/>
          <w:bCs/>
          <w:sz w:val="24"/>
          <w:szCs w:val="24"/>
        </w:rPr>
        <w:t xml:space="preserve">Rady </w:t>
      </w:r>
      <w:r w:rsidRPr="006756B1">
        <w:rPr>
          <w:rFonts w:ascii="Times New Roman" w:hAnsi="Times New Roman"/>
          <w:bCs/>
          <w:sz w:val="24"/>
          <w:szCs w:val="24"/>
          <w:u w:val="single"/>
        </w:rPr>
        <w:t>2011/16/EÚ</w:t>
      </w:r>
      <w:r w:rsidRPr="006756B1">
        <w:rPr>
          <w:rFonts w:ascii="Times New Roman" w:hAnsi="Times New Roman"/>
          <w:bCs/>
          <w:sz w:val="24"/>
          <w:szCs w:val="24"/>
        </w:rPr>
        <w:t xml:space="preserve"> z 15. februára 2011 o administratívnej spolupráci v oblasti daní a zrušení smernice 77/799/EHS</w:t>
      </w:r>
      <w:r w:rsidRPr="006756B1">
        <w:rPr>
          <w:rFonts w:ascii="Times New Roman" w:hAnsi="Times New Roman"/>
          <w:b/>
          <w:bCs/>
          <w:sz w:val="24"/>
          <w:szCs w:val="24"/>
        </w:rPr>
        <w:t xml:space="preserve"> </w:t>
      </w:r>
      <w:r w:rsidRPr="006756B1">
        <w:rPr>
          <w:rFonts w:ascii="Times New Roman" w:hAnsi="Times New Roman"/>
          <w:bCs/>
          <w:sz w:val="24"/>
          <w:szCs w:val="24"/>
        </w:rPr>
        <w:t>(</w:t>
      </w:r>
      <w:r w:rsidRPr="006756B1">
        <w:rPr>
          <w:rStyle w:val="Emphasis"/>
          <w:rFonts w:ascii="Times New Roman" w:hAnsi="Times New Roman"/>
          <w:i w:val="0"/>
          <w:sz w:val="24"/>
          <w:szCs w:val="24"/>
        </w:rPr>
        <w:t>Ú. v. EÚ L 64, 11.3.2011) v platnom znení.</w:t>
      </w:r>
    </w:p>
    <w:p w:rsidR="006756B1" w:rsidRPr="006756B1" w:rsidP="006756B1">
      <w:pPr>
        <w:numPr>
          <w:numId w:val="42"/>
        </w:numPr>
        <w:autoSpaceDE w:val="0"/>
        <w:autoSpaceDN w:val="0"/>
        <w:bidi w:val="0"/>
        <w:adjustRightInd w:val="0"/>
        <w:spacing w:before="120" w:after="0" w:line="240" w:lineRule="auto"/>
        <w:ind w:left="782" w:hanging="357"/>
        <w:jc w:val="both"/>
        <w:rPr>
          <w:rFonts w:ascii="Times New Roman" w:hAnsi="Times New Roman"/>
          <w:bCs/>
          <w:iCs/>
          <w:sz w:val="24"/>
          <w:szCs w:val="24"/>
          <w:u w:val="single"/>
        </w:rPr>
      </w:pPr>
      <w:r w:rsidRPr="006756B1">
        <w:rPr>
          <w:rFonts w:ascii="Times New Roman" w:hAnsi="Times New Roman"/>
          <w:bCs/>
          <w:iCs/>
          <w:sz w:val="24"/>
          <w:szCs w:val="24"/>
          <w:u w:val="single"/>
        </w:rPr>
        <w:t>nelegislatívne akty:</w:t>
      </w:r>
    </w:p>
    <w:p w:rsidR="006756B1" w:rsidRPr="006756B1" w:rsidP="006756B1">
      <w:pPr>
        <w:numPr>
          <w:numId w:val="40"/>
        </w:numPr>
        <w:autoSpaceDE w:val="0"/>
        <w:autoSpaceDN w:val="0"/>
        <w:bidi w:val="0"/>
        <w:adjustRightInd w:val="0"/>
        <w:spacing w:before="120" w:after="0" w:line="240" w:lineRule="auto"/>
        <w:ind w:left="709"/>
        <w:jc w:val="both"/>
        <w:rPr>
          <w:rStyle w:val="Emphasis"/>
          <w:rFonts w:ascii="Times New Roman" w:hAnsi="Times New Roman"/>
          <w:bCs/>
          <w:sz w:val="24"/>
          <w:szCs w:val="24"/>
        </w:rPr>
      </w:pPr>
      <w:r w:rsidRPr="006756B1">
        <w:rPr>
          <w:rStyle w:val="Strong"/>
          <w:rFonts w:ascii="Times New Roman" w:hAnsi="Times New Roman"/>
          <w:b w:val="0"/>
          <w:bCs/>
          <w:sz w:val="24"/>
          <w:szCs w:val="24"/>
          <w:bdr w:val="nil"/>
          <w:shd w:val="clear" w:color="auto" w:fill="FFFFFF"/>
        </w:rPr>
        <w:t xml:space="preserve">smernica Rady (EÚ) </w:t>
      </w:r>
      <w:r w:rsidRPr="006756B1">
        <w:rPr>
          <w:rStyle w:val="Strong"/>
          <w:rFonts w:ascii="Times New Roman" w:hAnsi="Times New Roman"/>
          <w:b w:val="0"/>
          <w:bCs/>
          <w:sz w:val="24"/>
          <w:szCs w:val="24"/>
          <w:u w:val="single"/>
          <w:bdr w:val="nil"/>
          <w:shd w:val="clear" w:color="auto" w:fill="FFFFFF"/>
        </w:rPr>
        <w:t>2016/881</w:t>
      </w:r>
      <w:r w:rsidRPr="006756B1">
        <w:rPr>
          <w:rStyle w:val="Strong"/>
          <w:rFonts w:ascii="Times New Roman" w:hAnsi="Times New Roman"/>
          <w:b w:val="0"/>
          <w:bCs/>
          <w:sz w:val="24"/>
          <w:szCs w:val="24"/>
          <w:bdr w:val="nil"/>
          <w:shd w:val="clear" w:color="auto" w:fill="FFFFFF"/>
        </w:rPr>
        <w:t xml:space="preserve"> z 25. mája 2016, ktorou sa mení smernica 2011/16/EÚ, pokiaľ ide o povinnú automatickú výmenu informácií v oblasti daní (</w:t>
      </w:r>
      <w:r w:rsidRPr="006756B1">
        <w:rPr>
          <w:rFonts w:ascii="Times New Roman" w:hAnsi="Times New Roman"/>
          <w:iCs/>
          <w:sz w:val="24"/>
          <w:szCs w:val="24"/>
        </w:rPr>
        <w:t>Ú. v. EÚ L 146, 3.6.2016).</w:t>
      </w:r>
    </w:p>
    <w:p w:rsidR="006756B1" w:rsidP="006756B1">
      <w:pPr>
        <w:autoSpaceDE w:val="0"/>
        <w:autoSpaceDN w:val="0"/>
        <w:bidi w:val="0"/>
        <w:adjustRightInd w:val="0"/>
        <w:spacing w:after="0"/>
        <w:ind w:left="454"/>
        <w:jc w:val="both"/>
        <w:rPr>
          <w:rFonts w:ascii="Times New Roman" w:hAnsi="Times New Roman"/>
          <w:b/>
          <w:bCs/>
          <w:iCs/>
          <w:sz w:val="24"/>
          <w:szCs w:val="24"/>
        </w:rPr>
      </w:pPr>
    </w:p>
    <w:p w:rsidR="006756B1" w:rsidRPr="006756B1" w:rsidP="006756B1">
      <w:pPr>
        <w:autoSpaceDE w:val="0"/>
        <w:autoSpaceDN w:val="0"/>
        <w:bidi w:val="0"/>
        <w:adjustRightInd w:val="0"/>
        <w:spacing w:after="0"/>
        <w:ind w:left="454"/>
        <w:jc w:val="both"/>
        <w:rPr>
          <w:rFonts w:ascii="Times New Roman" w:hAnsi="Times New Roman"/>
          <w:sz w:val="24"/>
          <w:szCs w:val="24"/>
        </w:rPr>
      </w:pPr>
      <w:r w:rsidRPr="006756B1">
        <w:rPr>
          <w:rFonts w:ascii="Times New Roman" w:hAnsi="Times New Roman"/>
          <w:b/>
          <w:bCs/>
          <w:iCs/>
          <w:sz w:val="24"/>
          <w:szCs w:val="24"/>
        </w:rPr>
        <w:t xml:space="preserve">Sekundárne právo </w:t>
      </w:r>
      <w:r w:rsidRPr="006756B1">
        <w:rPr>
          <w:rFonts w:ascii="Times New Roman" w:hAnsi="Times New Roman"/>
          <w:sz w:val="24"/>
          <w:szCs w:val="24"/>
        </w:rPr>
        <w:t>(prijaté pred nadobudnutím platnosti Lisabonskej zmluvy, ktorou sa mení a dopĺňa Zmluva o Európskej únii a Zmluva o založení Európskeho spoločenstva - do 30. novembra 2009):</w:t>
      </w:r>
    </w:p>
    <w:p w:rsidR="006756B1" w:rsidRPr="006756B1" w:rsidP="006756B1">
      <w:pPr>
        <w:autoSpaceDE w:val="0"/>
        <w:autoSpaceDN w:val="0"/>
        <w:bidi w:val="0"/>
        <w:adjustRightInd w:val="0"/>
        <w:spacing w:after="0"/>
        <w:ind w:left="454"/>
        <w:rPr>
          <w:rFonts w:ascii="Times New Roman" w:hAnsi="Times New Roman"/>
          <w:b/>
          <w:bCs/>
          <w:iCs/>
          <w:sz w:val="24"/>
          <w:szCs w:val="24"/>
        </w:rPr>
      </w:pPr>
    </w:p>
    <w:p w:rsidR="006756B1" w:rsidP="006756B1">
      <w:pPr>
        <w:numPr>
          <w:numId w:val="39"/>
        </w:numPr>
        <w:tabs>
          <w:tab w:val="num" w:pos="709"/>
          <w:tab w:val="clear" w:pos="900"/>
        </w:tabs>
        <w:bidi w:val="0"/>
        <w:adjustRightInd w:val="0"/>
        <w:spacing w:after="0" w:line="240" w:lineRule="auto"/>
        <w:ind w:left="709" w:hanging="283"/>
        <w:jc w:val="both"/>
        <w:rPr>
          <w:rFonts w:ascii="Times New Roman" w:hAnsi="Times New Roman"/>
          <w:sz w:val="24"/>
          <w:szCs w:val="24"/>
        </w:rPr>
      </w:pPr>
      <w:r w:rsidRPr="006756B1">
        <w:rPr>
          <w:rFonts w:ascii="Times New Roman" w:hAnsi="Times New Roman"/>
          <w:sz w:val="24"/>
          <w:szCs w:val="24"/>
        </w:rPr>
        <w:t xml:space="preserve">smernica Rady </w:t>
      </w:r>
      <w:r w:rsidRPr="006756B1">
        <w:rPr>
          <w:rFonts w:ascii="Times New Roman" w:hAnsi="Times New Roman"/>
          <w:bCs/>
          <w:sz w:val="24"/>
          <w:szCs w:val="24"/>
          <w:u w:val="single"/>
        </w:rPr>
        <w:t>83/182/EHS</w:t>
      </w:r>
      <w:r w:rsidRPr="006756B1">
        <w:rPr>
          <w:rFonts w:ascii="Times New Roman" w:hAnsi="Times New Roman"/>
          <w:bCs/>
          <w:sz w:val="24"/>
          <w:szCs w:val="24"/>
        </w:rPr>
        <w:t xml:space="preserve"> z 28. marca 1983 o oslobodení od daní, ktoré platia v rámci spoločenstva pre dočasný dovoz určitých dopravných prostriedkov</w:t>
      </w:r>
      <w:r w:rsidRPr="006756B1">
        <w:rPr>
          <w:rFonts w:ascii="Times New Roman" w:hAnsi="Times New Roman"/>
          <w:sz w:val="24"/>
          <w:szCs w:val="24"/>
        </w:rPr>
        <w:t xml:space="preserve"> (Mimoriadne vydanie Ú. v. EÚ kap. 9/zv.1, </w:t>
      </w:r>
      <w:r w:rsidRPr="006756B1">
        <w:rPr>
          <w:rFonts w:ascii="Times New Roman" w:hAnsi="Times New Roman"/>
          <w:iCs/>
          <w:sz w:val="24"/>
          <w:szCs w:val="24"/>
        </w:rPr>
        <w:t>Ú. v. ES L 105, 23.4.1983</w:t>
      </w:r>
      <w:r w:rsidRPr="006756B1">
        <w:rPr>
          <w:rFonts w:ascii="Times New Roman" w:hAnsi="Times New Roman"/>
          <w:sz w:val="24"/>
          <w:szCs w:val="24"/>
        </w:rPr>
        <w:t>) v platnom znení.</w:t>
      </w:r>
    </w:p>
    <w:p w:rsidR="006756B1" w:rsidRPr="006756B1" w:rsidP="006756B1">
      <w:pPr>
        <w:bidi w:val="0"/>
        <w:adjustRightInd w:val="0"/>
        <w:spacing w:after="0" w:line="240" w:lineRule="auto"/>
        <w:ind w:left="709"/>
        <w:jc w:val="both"/>
        <w:rPr>
          <w:rFonts w:ascii="Times New Roman" w:hAnsi="Times New Roman"/>
          <w:sz w:val="24"/>
          <w:szCs w:val="24"/>
        </w:rPr>
      </w:pPr>
    </w:p>
    <w:p w:rsidR="006756B1" w:rsidRPr="006756B1" w:rsidP="006756B1">
      <w:pPr>
        <w:numPr>
          <w:ilvl w:val="1"/>
          <w:numId w:val="38"/>
        </w:numPr>
        <w:bidi w:val="0"/>
        <w:spacing w:after="0" w:line="240" w:lineRule="auto"/>
        <w:rPr>
          <w:rFonts w:ascii="Times New Roman" w:hAnsi="Times New Roman"/>
          <w:sz w:val="24"/>
          <w:szCs w:val="24"/>
          <w:lang w:eastAsia="cs-CZ"/>
        </w:rPr>
      </w:pPr>
      <w:r w:rsidRPr="006756B1">
        <w:rPr>
          <w:rFonts w:ascii="Times New Roman" w:hAnsi="Times New Roman"/>
          <w:sz w:val="24"/>
          <w:szCs w:val="24"/>
          <w:lang w:eastAsia="cs-CZ"/>
        </w:rPr>
        <w:t>je obsiahnutá v judikatúre Súdneho dvora Európskej únie:</w:t>
      </w:r>
    </w:p>
    <w:p w:rsidR="006756B1" w:rsidRPr="006756B1" w:rsidP="006756B1">
      <w:pPr>
        <w:pStyle w:val="BodyText"/>
        <w:numPr>
          <w:numId w:val="43"/>
        </w:numPr>
        <w:bidi w:val="0"/>
        <w:spacing w:after="0"/>
        <w:ind w:left="709" w:hanging="283"/>
        <w:jc w:val="both"/>
        <w:rPr>
          <w:rFonts w:ascii="Times New Roman" w:hAnsi="Times New Roman"/>
        </w:rPr>
      </w:pPr>
      <w:r w:rsidRPr="006756B1">
        <w:rPr>
          <w:rFonts w:ascii="Times New Roman" w:hAnsi="Times New Roman"/>
        </w:rPr>
        <w:t>v rozhodnutí Súdneho dvora vo veci C - 533</w:t>
      </w:r>
      <w:r w:rsidRPr="006756B1">
        <w:rPr>
          <w:rFonts w:ascii="Times New Roman" w:hAnsi="Times New Roman"/>
          <w:lang w:val="et-EE"/>
        </w:rPr>
        <w:t>/03</w:t>
      </w:r>
      <w:r w:rsidRPr="006756B1">
        <w:rPr>
          <w:rFonts w:ascii="Times New Roman" w:hAnsi="Times New Roman"/>
        </w:rPr>
        <w:t>, EK proti Rade EÚ, [2006],</w:t>
      </w:r>
    </w:p>
    <w:p w:rsidR="006756B1" w:rsidRPr="006756B1" w:rsidP="006756B1">
      <w:pPr>
        <w:pStyle w:val="BodyText"/>
        <w:numPr>
          <w:numId w:val="43"/>
        </w:numPr>
        <w:bidi w:val="0"/>
        <w:spacing w:after="0"/>
        <w:ind w:left="709" w:hanging="283"/>
        <w:jc w:val="both"/>
        <w:rPr>
          <w:rFonts w:ascii="Times New Roman" w:hAnsi="Times New Roman"/>
        </w:rPr>
      </w:pPr>
      <w:r w:rsidRPr="006756B1">
        <w:rPr>
          <w:rFonts w:ascii="Times New Roman" w:hAnsi="Times New Roman"/>
        </w:rPr>
        <w:t>v rozhodnutí Súdneho dvora vo veci C - 422</w:t>
      </w:r>
      <w:r w:rsidRPr="006756B1">
        <w:rPr>
          <w:rFonts w:ascii="Times New Roman" w:hAnsi="Times New Roman"/>
          <w:lang w:val="et-EE"/>
        </w:rPr>
        <w:t>/01</w:t>
      </w:r>
      <w:r w:rsidRPr="006756B1">
        <w:rPr>
          <w:rFonts w:ascii="Times New Roman" w:hAnsi="Times New Roman"/>
        </w:rPr>
        <w:t xml:space="preserve">, </w:t>
      </w:r>
      <w:r w:rsidRPr="006756B1">
        <w:rPr>
          <w:rFonts w:ascii="Times New Roman" w:hAnsi="Times New Roman"/>
          <w:bCs/>
        </w:rPr>
        <w:t>Försäkringsaktiebolaget Skandia (publ) a Ola Ramstedt proti Riksskatteverket,</w:t>
      </w:r>
      <w:r w:rsidRPr="006756B1">
        <w:rPr>
          <w:rFonts w:ascii="Times New Roman" w:hAnsi="Times New Roman"/>
        </w:rPr>
        <w:t xml:space="preserve"> [2003].</w:t>
      </w:r>
    </w:p>
    <w:p w:rsidR="006756B1" w:rsidRPr="006756B1" w:rsidP="006756B1">
      <w:pPr>
        <w:autoSpaceDE w:val="0"/>
        <w:autoSpaceDN w:val="0"/>
        <w:bidi w:val="0"/>
        <w:adjustRightInd w:val="0"/>
        <w:spacing w:before="120" w:after="0"/>
        <w:ind w:left="709"/>
        <w:jc w:val="both"/>
        <w:rPr>
          <w:rFonts w:ascii="Times New Roman" w:hAnsi="Times New Roman"/>
          <w:bCs/>
          <w:i/>
          <w:iCs/>
          <w:sz w:val="24"/>
          <w:szCs w:val="24"/>
        </w:rPr>
      </w:pPr>
    </w:p>
    <w:p w:rsidR="006756B1" w:rsidRPr="006756B1" w:rsidP="006756B1">
      <w:pPr>
        <w:numPr>
          <w:numId w:val="38"/>
        </w:numPr>
        <w:autoSpaceDE w:val="0"/>
        <w:bidi w:val="0"/>
        <w:spacing w:after="0" w:line="240" w:lineRule="auto"/>
        <w:jc w:val="both"/>
        <w:rPr>
          <w:rFonts w:ascii="Times New Roman" w:hAnsi="Times New Roman"/>
          <w:b/>
          <w:bCs/>
          <w:sz w:val="24"/>
          <w:szCs w:val="24"/>
        </w:rPr>
      </w:pPr>
      <w:r w:rsidRPr="006756B1">
        <w:rPr>
          <w:rFonts w:ascii="Times New Roman" w:hAnsi="Times New Roman"/>
          <w:b/>
          <w:bCs/>
          <w:sz w:val="24"/>
          <w:szCs w:val="24"/>
        </w:rPr>
        <w:t>Záväzky Slovenskej republiky vo vzťahu k Európskej únii:</w:t>
      </w:r>
    </w:p>
    <w:p w:rsidR="006756B1" w:rsidRPr="006756B1" w:rsidP="006756B1">
      <w:pPr>
        <w:numPr>
          <w:numId w:val="41"/>
        </w:numPr>
        <w:tabs>
          <w:tab w:val="left" w:pos="425"/>
          <w:tab w:val="clear" w:pos="720"/>
        </w:tabs>
        <w:bidi w:val="0"/>
        <w:spacing w:after="0" w:line="240" w:lineRule="auto"/>
        <w:ind w:left="425" w:hanging="425"/>
        <w:jc w:val="both"/>
        <w:rPr>
          <w:rFonts w:ascii="Times New Roman" w:hAnsi="Times New Roman"/>
          <w:sz w:val="24"/>
          <w:szCs w:val="24"/>
          <w:lang w:eastAsia="cs-CZ"/>
        </w:rPr>
      </w:pPr>
      <w:r w:rsidRPr="006756B1">
        <w:rPr>
          <w:rFonts w:ascii="Times New Roman" w:hAnsi="Times New Roman"/>
          <w:sz w:val="24"/>
          <w:szCs w:val="24"/>
          <w:lang w:eastAsia="cs-CZ"/>
        </w:rPr>
        <w:t xml:space="preserve">Lehota na prebratie smernice Rady (EÚ) 2016/881 je stanovená do 4.6. 2017. </w:t>
      </w:r>
    </w:p>
    <w:p w:rsidR="006756B1" w:rsidP="006756B1">
      <w:pPr>
        <w:numPr>
          <w:numId w:val="41"/>
        </w:numPr>
        <w:tabs>
          <w:tab w:val="left" w:pos="425"/>
          <w:tab w:val="clear" w:pos="720"/>
        </w:tabs>
        <w:bidi w:val="0"/>
        <w:spacing w:after="0" w:line="240" w:lineRule="auto"/>
        <w:ind w:left="425" w:hanging="425"/>
        <w:jc w:val="both"/>
        <w:rPr>
          <w:rFonts w:ascii="Times New Roman" w:hAnsi="Times New Roman"/>
          <w:sz w:val="24"/>
          <w:szCs w:val="24"/>
          <w:lang w:eastAsia="cs-CZ"/>
        </w:rPr>
      </w:pPr>
      <w:r w:rsidRPr="006756B1">
        <w:rPr>
          <w:rFonts w:ascii="Times New Roman" w:hAnsi="Times New Roman"/>
          <w:sz w:val="24"/>
          <w:szCs w:val="24"/>
          <w:lang w:eastAsia="cs-CZ"/>
        </w:rPr>
        <w:t>Lehota na predloženie návrhu právneho predpisu na rokovanie vlády, ktorým sa zabezpečí prebratie smernice Rady (EÚ) 2016/881 podľa určenia gestorských ústredných orgánov štátnej správy zodpovedných za transpozíciu smerníc a vypracovanie tabuliek zhody k návrhom všeobecne záväzných právnych predpisov zatiaľ nebola určená.</w:t>
      </w:r>
    </w:p>
    <w:p w:rsidR="006756B1" w:rsidRPr="006756B1" w:rsidP="006756B1">
      <w:pPr>
        <w:tabs>
          <w:tab w:val="left" w:pos="425"/>
        </w:tabs>
        <w:bidi w:val="0"/>
        <w:spacing w:after="0" w:line="240" w:lineRule="auto"/>
        <w:ind w:left="425"/>
        <w:jc w:val="both"/>
        <w:rPr>
          <w:rFonts w:ascii="Times New Roman" w:hAnsi="Times New Roman"/>
          <w:sz w:val="24"/>
          <w:szCs w:val="24"/>
          <w:lang w:eastAsia="cs-CZ"/>
        </w:rPr>
      </w:pPr>
    </w:p>
    <w:p w:rsidR="006756B1" w:rsidP="006756B1">
      <w:pPr>
        <w:numPr>
          <w:numId w:val="41"/>
        </w:numPr>
        <w:tabs>
          <w:tab w:val="left" w:pos="425"/>
          <w:tab w:val="clear" w:pos="720"/>
        </w:tabs>
        <w:bidi w:val="0"/>
        <w:spacing w:after="0" w:line="240" w:lineRule="auto"/>
        <w:ind w:left="425" w:hanging="425"/>
        <w:jc w:val="both"/>
        <w:rPr>
          <w:rFonts w:ascii="Times New Roman" w:hAnsi="Times New Roman"/>
          <w:sz w:val="24"/>
          <w:szCs w:val="24"/>
          <w:lang w:eastAsia="cs-CZ"/>
        </w:rPr>
      </w:pPr>
      <w:r w:rsidRPr="006756B1">
        <w:rPr>
          <w:rFonts w:ascii="Times New Roman" w:hAnsi="Times New Roman"/>
          <w:sz w:val="24"/>
          <w:szCs w:val="24"/>
          <w:lang w:eastAsia="cs-CZ"/>
        </w:rPr>
        <w:t>Proti SR bolo začaté konanie č. 151/2016 o porušení Zmluvy o fungovaní Európskej únie podľa čl. 258 až 260.</w:t>
      </w:r>
    </w:p>
    <w:p w:rsidR="006756B1" w:rsidRPr="006756B1" w:rsidP="006756B1">
      <w:pPr>
        <w:tabs>
          <w:tab w:val="left" w:pos="425"/>
        </w:tabs>
        <w:bidi w:val="0"/>
        <w:spacing w:after="0" w:line="240" w:lineRule="auto"/>
        <w:jc w:val="both"/>
        <w:rPr>
          <w:rFonts w:ascii="Times New Roman" w:hAnsi="Times New Roman"/>
          <w:sz w:val="24"/>
          <w:szCs w:val="24"/>
          <w:lang w:eastAsia="cs-CZ"/>
        </w:rPr>
      </w:pPr>
    </w:p>
    <w:p w:rsidR="006756B1" w:rsidP="006756B1">
      <w:pPr>
        <w:numPr>
          <w:numId w:val="41"/>
        </w:numPr>
        <w:tabs>
          <w:tab w:val="left" w:pos="425"/>
          <w:tab w:val="clear" w:pos="720"/>
        </w:tabs>
        <w:bidi w:val="0"/>
        <w:spacing w:after="0" w:line="240" w:lineRule="auto"/>
        <w:ind w:left="425" w:hanging="425"/>
        <w:jc w:val="both"/>
        <w:rPr>
          <w:rFonts w:ascii="Times New Roman" w:hAnsi="Times New Roman"/>
          <w:sz w:val="24"/>
          <w:szCs w:val="24"/>
          <w:lang w:eastAsia="cs-CZ"/>
        </w:rPr>
      </w:pPr>
      <w:r w:rsidRPr="006756B1">
        <w:rPr>
          <w:rFonts w:ascii="Times New Roman" w:hAnsi="Times New Roman"/>
          <w:sz w:val="24"/>
          <w:szCs w:val="24"/>
        </w:rPr>
        <w:t xml:space="preserve">Smernica </w:t>
      </w:r>
      <w:r w:rsidRPr="006756B1">
        <w:rPr>
          <w:rFonts w:ascii="Times New Roman" w:hAnsi="Times New Roman"/>
          <w:sz w:val="24"/>
          <w:szCs w:val="24"/>
          <w:lang w:eastAsia="cs-CZ"/>
        </w:rPr>
        <w:t>Rady (EÚ) 2016/881 bola prebratá do z</w:t>
      </w:r>
      <w:r w:rsidRPr="006756B1">
        <w:rPr>
          <w:rFonts w:ascii="Times New Roman" w:hAnsi="Times New Roman"/>
          <w:sz w:val="24"/>
          <w:szCs w:val="24"/>
        </w:rPr>
        <w:t>ákona č.</w:t>
      </w:r>
      <w:r w:rsidRPr="006756B1">
        <w:rPr>
          <w:rFonts w:ascii="Times New Roman" w:hAnsi="Times New Roman"/>
          <w:bCs/>
          <w:color w:val="000000"/>
          <w:sz w:val="24"/>
          <w:szCs w:val="24"/>
          <w:shd w:val="clear" w:color="auto" w:fill="FFFFFF"/>
        </w:rPr>
        <w:t xml:space="preserve"> 359/2015 Z.z. o automatickej výmene informácií o finančných účtoch na účely správy daní a o zmene a doplnení niektorých zákonov</w:t>
      </w:r>
      <w:r w:rsidRPr="006756B1">
        <w:rPr>
          <w:rFonts w:ascii="Times New Roman" w:hAnsi="Times New Roman"/>
          <w:sz w:val="24"/>
          <w:szCs w:val="24"/>
        </w:rPr>
        <w:t>.</w:t>
      </w:r>
    </w:p>
    <w:p w:rsidR="006756B1" w:rsidRPr="006756B1" w:rsidP="006756B1">
      <w:pPr>
        <w:tabs>
          <w:tab w:val="left" w:pos="425"/>
        </w:tabs>
        <w:bidi w:val="0"/>
        <w:spacing w:after="0" w:line="240" w:lineRule="auto"/>
        <w:jc w:val="both"/>
        <w:rPr>
          <w:rFonts w:ascii="Times New Roman" w:hAnsi="Times New Roman"/>
          <w:sz w:val="24"/>
          <w:szCs w:val="24"/>
          <w:lang w:eastAsia="cs-CZ"/>
        </w:rPr>
      </w:pPr>
    </w:p>
    <w:p w:rsidR="006756B1" w:rsidRPr="006756B1" w:rsidP="006756B1">
      <w:pPr>
        <w:autoSpaceDE w:val="0"/>
        <w:bidi w:val="0"/>
        <w:spacing w:after="0"/>
        <w:jc w:val="both"/>
        <w:rPr>
          <w:rFonts w:ascii="Times New Roman" w:hAnsi="Times New Roman"/>
          <w:b/>
          <w:bCs/>
          <w:sz w:val="24"/>
          <w:szCs w:val="24"/>
        </w:rPr>
      </w:pPr>
      <w:r w:rsidRPr="006756B1">
        <w:rPr>
          <w:rFonts w:ascii="Times New Roman" w:hAnsi="Times New Roman"/>
          <w:b/>
          <w:bCs/>
          <w:sz w:val="24"/>
          <w:szCs w:val="24"/>
        </w:rPr>
        <w:t>5.     Stupeň zlučiteľnosti návrhu zákona s právom Európskej únie:</w:t>
      </w:r>
    </w:p>
    <w:p w:rsidR="006756B1" w:rsidP="006756B1">
      <w:pPr>
        <w:autoSpaceDE w:val="0"/>
        <w:autoSpaceDN w:val="0"/>
        <w:bidi w:val="0"/>
        <w:spacing w:after="0"/>
        <w:ind w:left="360"/>
        <w:jc w:val="both"/>
        <w:rPr>
          <w:rFonts w:ascii="Times New Roman" w:hAnsi="Times New Roman"/>
          <w:sz w:val="24"/>
          <w:szCs w:val="24"/>
        </w:rPr>
      </w:pPr>
      <w:r w:rsidRPr="006756B1">
        <w:rPr>
          <w:rFonts w:ascii="Times New Roman" w:hAnsi="Times New Roman"/>
          <w:sz w:val="24"/>
          <w:szCs w:val="24"/>
        </w:rPr>
        <w:t xml:space="preserve">  Úplný.</w:t>
      </w:r>
    </w:p>
    <w:p w:rsidR="006756B1" w:rsidRPr="006756B1" w:rsidP="006756B1">
      <w:pPr>
        <w:autoSpaceDE w:val="0"/>
        <w:autoSpaceDN w:val="0"/>
        <w:bidi w:val="0"/>
        <w:spacing w:after="0"/>
        <w:ind w:left="360"/>
        <w:jc w:val="both"/>
        <w:rPr>
          <w:rFonts w:ascii="Times New Roman" w:hAnsi="Times New Roman"/>
          <w:b/>
          <w:bCs/>
          <w:sz w:val="24"/>
          <w:szCs w:val="24"/>
        </w:rPr>
      </w:pPr>
    </w:p>
    <w:p w:rsidR="006756B1" w:rsidRPr="006756B1" w:rsidP="006756B1">
      <w:pPr>
        <w:tabs>
          <w:tab w:val="left" w:pos="360"/>
        </w:tabs>
        <w:autoSpaceDE w:val="0"/>
        <w:bidi w:val="0"/>
        <w:spacing w:after="0"/>
        <w:jc w:val="both"/>
        <w:rPr>
          <w:rFonts w:ascii="Times New Roman" w:hAnsi="Times New Roman"/>
          <w:b/>
          <w:bCs/>
          <w:sz w:val="24"/>
          <w:szCs w:val="24"/>
        </w:rPr>
      </w:pPr>
      <w:r w:rsidRPr="006756B1">
        <w:rPr>
          <w:rFonts w:ascii="Times New Roman" w:hAnsi="Times New Roman"/>
          <w:b/>
          <w:bCs/>
          <w:sz w:val="24"/>
          <w:szCs w:val="24"/>
        </w:rPr>
        <w:t xml:space="preserve">6.     Gestor a spolupracujúce rezorty: </w:t>
      </w:r>
    </w:p>
    <w:p w:rsidR="006756B1" w:rsidP="006756B1">
      <w:pPr>
        <w:autoSpaceDE w:val="0"/>
        <w:autoSpaceDN w:val="0"/>
        <w:bidi w:val="0"/>
        <w:spacing w:after="0"/>
        <w:ind w:left="360"/>
        <w:jc w:val="both"/>
        <w:rPr>
          <w:rFonts w:ascii="Times New Roman" w:hAnsi="Times New Roman"/>
          <w:sz w:val="24"/>
          <w:szCs w:val="24"/>
        </w:rPr>
      </w:pPr>
      <w:r w:rsidRPr="006756B1">
        <w:rPr>
          <w:rFonts w:ascii="Times New Roman" w:hAnsi="Times New Roman"/>
          <w:sz w:val="24"/>
          <w:szCs w:val="24"/>
        </w:rPr>
        <w:t xml:space="preserve">  Ministerstvo financií Slovenskej republiky.</w:t>
      </w:r>
    </w:p>
    <w:p w:rsidR="00C30F45">
      <w:pPr>
        <w:bidi w:val="0"/>
        <w:rPr>
          <w:rFonts w:ascii="Times New Roman" w:hAnsi="Times New Roman"/>
          <w:sz w:val="24"/>
          <w:szCs w:val="24"/>
        </w:rPr>
      </w:pPr>
      <w:r>
        <w:rPr>
          <w:rFonts w:ascii="Times New Roman" w:hAnsi="Times New Roman"/>
          <w:sz w:val="24"/>
          <w:szCs w:val="24"/>
        </w:rPr>
        <w:br w:type="page"/>
      </w:r>
    </w:p>
    <w:p w:rsidR="00C30F45" w:rsidRPr="000406F6" w:rsidP="00C30F45">
      <w:pPr>
        <w:bidi w:val="0"/>
        <w:spacing w:after="0" w:line="240" w:lineRule="auto"/>
        <w:jc w:val="center"/>
        <w:rPr>
          <w:rFonts w:ascii="Times New Roman" w:hAnsi="Times New Roman"/>
          <w:b/>
          <w:sz w:val="24"/>
          <w:szCs w:val="24"/>
        </w:rPr>
      </w:pPr>
      <w:r w:rsidRPr="000406F6">
        <w:rPr>
          <w:rFonts w:ascii="Times New Roman" w:hAnsi="Times New Roman"/>
          <w:b/>
          <w:sz w:val="24"/>
          <w:szCs w:val="24"/>
        </w:rPr>
        <w:t>Dôvodová správa</w:t>
      </w:r>
    </w:p>
    <w:p w:rsidR="00C30F45" w:rsidRPr="000406F6" w:rsidP="00C30F45">
      <w:pPr>
        <w:bidi w:val="0"/>
        <w:spacing w:after="0" w:line="264" w:lineRule="auto"/>
        <w:jc w:val="both"/>
        <w:rPr>
          <w:rFonts w:ascii="Times New Roman" w:hAnsi="Times New Roman"/>
          <w:color w:val="000000"/>
          <w:sz w:val="24"/>
          <w:szCs w:val="24"/>
          <w:lang w:eastAsia="sk-SK"/>
        </w:rPr>
      </w:pPr>
    </w:p>
    <w:p w:rsidR="00C30F45" w:rsidRPr="000406F6" w:rsidP="00C30F45">
      <w:pPr>
        <w:widowControl w:val="0"/>
        <w:tabs>
          <w:tab w:val="left" w:pos="708"/>
        </w:tabs>
        <w:bidi w:val="0"/>
        <w:spacing w:after="0" w:line="264" w:lineRule="auto"/>
        <w:rPr>
          <w:rFonts w:ascii="Times New Roman" w:hAnsi="Times New Roman"/>
          <w:b/>
          <w:color w:val="000000"/>
          <w:sz w:val="24"/>
          <w:szCs w:val="24"/>
          <w:lang w:eastAsia="sk-SK"/>
        </w:rPr>
      </w:pPr>
      <w:r w:rsidRPr="000406F6">
        <w:rPr>
          <w:rFonts w:ascii="Times New Roman" w:hAnsi="Times New Roman"/>
          <w:b/>
          <w:color w:val="000000"/>
          <w:sz w:val="24"/>
          <w:szCs w:val="24"/>
          <w:lang w:eastAsia="sk-SK"/>
        </w:rPr>
        <w:t xml:space="preserve">B. Osobitná časť </w:t>
      </w:r>
    </w:p>
    <w:p w:rsidR="00C30F45" w:rsidRPr="000406F6" w:rsidP="00C30F45">
      <w:pPr>
        <w:widowControl w:val="0"/>
        <w:tabs>
          <w:tab w:val="left" w:pos="708"/>
        </w:tabs>
        <w:bidi w:val="0"/>
        <w:spacing w:after="0" w:line="264" w:lineRule="auto"/>
        <w:rPr>
          <w:rFonts w:ascii="Times New Roman" w:hAnsi="Times New Roman"/>
          <w:color w:val="000000"/>
          <w:sz w:val="24"/>
          <w:szCs w:val="24"/>
          <w:lang w:eastAsia="sk-SK"/>
        </w:rPr>
      </w:pPr>
    </w:p>
    <w:p w:rsidR="00C30F45" w:rsidRPr="000406F6" w:rsidP="00C30F45">
      <w:pPr>
        <w:widowControl w:val="0"/>
        <w:tabs>
          <w:tab w:val="left" w:pos="708"/>
        </w:tabs>
        <w:bidi w:val="0"/>
        <w:spacing w:after="0" w:line="264" w:lineRule="auto"/>
        <w:rPr>
          <w:rFonts w:ascii="Times New Roman" w:hAnsi="Times New Roman"/>
          <w:b/>
          <w:bCs/>
          <w:color w:val="000000"/>
          <w:sz w:val="24"/>
          <w:szCs w:val="24"/>
          <w:lang w:eastAsia="sk-SK"/>
        </w:rPr>
      </w:pPr>
      <w:r w:rsidRPr="000406F6">
        <w:rPr>
          <w:rFonts w:ascii="Times New Roman" w:hAnsi="Times New Roman"/>
          <w:b/>
          <w:bCs/>
          <w:color w:val="000000"/>
          <w:sz w:val="24"/>
          <w:szCs w:val="24"/>
          <w:lang w:eastAsia="sk-SK"/>
        </w:rPr>
        <w:t>Čl. I</w:t>
      </w:r>
    </w:p>
    <w:p w:rsidR="00C30F45" w:rsidRPr="00BD63F4" w:rsidP="00C30F45">
      <w:pPr>
        <w:widowControl w:val="0"/>
        <w:tabs>
          <w:tab w:val="left" w:pos="708"/>
        </w:tabs>
        <w:bidi w:val="0"/>
        <w:spacing w:after="0" w:line="264" w:lineRule="auto"/>
        <w:jc w:val="both"/>
        <w:rPr>
          <w:rFonts w:ascii="Times New Roman" w:hAnsi="Times New Roman"/>
          <w:b/>
          <w:color w:val="000000"/>
          <w:sz w:val="24"/>
          <w:szCs w:val="24"/>
          <w:u w:val="single"/>
          <w:lang w:eastAsia="sk-SK"/>
        </w:rPr>
      </w:pPr>
      <w:r w:rsidRPr="000406F6">
        <w:rPr>
          <w:rFonts w:ascii="Times New Roman" w:hAnsi="Times New Roman"/>
          <w:b/>
          <w:color w:val="000000"/>
          <w:sz w:val="24"/>
          <w:szCs w:val="24"/>
          <w:u w:val="single"/>
          <w:lang w:eastAsia="sk-SK"/>
        </w:rPr>
        <w:t xml:space="preserve">K bodu 1, </w:t>
      </w:r>
      <w:r>
        <w:rPr>
          <w:rFonts w:ascii="Times New Roman" w:hAnsi="Times New Roman"/>
          <w:b/>
          <w:color w:val="000000"/>
          <w:sz w:val="24"/>
          <w:szCs w:val="24"/>
          <w:u w:val="single"/>
          <w:lang w:eastAsia="sk-SK"/>
        </w:rPr>
        <w:t>§ 1</w:t>
      </w:r>
    </w:p>
    <w:p w:rsidR="00C30F45" w:rsidRPr="0036763E" w:rsidP="00C30F45">
      <w:pPr>
        <w:widowControl w:val="0"/>
        <w:tabs>
          <w:tab w:val="left" w:pos="708"/>
        </w:tabs>
        <w:bidi w:val="0"/>
        <w:spacing w:after="0" w:line="264" w:lineRule="auto"/>
        <w:jc w:val="both"/>
        <w:rPr>
          <w:rFonts w:ascii="Times New Roman" w:hAnsi="Times New Roman"/>
          <w:szCs w:val="22"/>
        </w:rPr>
      </w:pPr>
      <w:r>
        <w:rPr>
          <w:rFonts w:ascii="Times New Roman" w:hAnsi="Times New Roman"/>
          <w:szCs w:val="22"/>
        </w:rPr>
        <w:t xml:space="preserve">Predmet zákona sa rozširuje o povinnosti, ktoré sú uložené daňovým subjektom.  Ide o povinnosť poskytovať správcovi dane informácie, ktoré sú predmetom výmeny informácií v súvislosti s týmto </w:t>
      </w:r>
      <w:r w:rsidRPr="0036763E">
        <w:rPr>
          <w:rFonts w:ascii="Times New Roman" w:hAnsi="Times New Roman"/>
          <w:szCs w:val="22"/>
        </w:rPr>
        <w:t>zákonom.</w:t>
      </w:r>
    </w:p>
    <w:p w:rsidR="00C30F45" w:rsidRPr="0036763E" w:rsidP="00C30F45">
      <w:pPr>
        <w:widowControl w:val="0"/>
        <w:tabs>
          <w:tab w:val="left" w:pos="708"/>
        </w:tabs>
        <w:bidi w:val="0"/>
        <w:spacing w:after="0" w:line="264" w:lineRule="auto"/>
        <w:jc w:val="both"/>
        <w:rPr>
          <w:rFonts w:ascii="Times New Roman" w:hAnsi="Times New Roman"/>
          <w:b/>
          <w:color w:val="000000"/>
          <w:sz w:val="24"/>
          <w:szCs w:val="24"/>
          <w:u w:val="single"/>
          <w:lang w:eastAsia="sk-SK"/>
        </w:rPr>
      </w:pPr>
    </w:p>
    <w:p w:rsidR="00C30F45" w:rsidRPr="0036763E" w:rsidP="00C30F45">
      <w:pPr>
        <w:widowControl w:val="0"/>
        <w:tabs>
          <w:tab w:val="left" w:pos="708"/>
        </w:tabs>
        <w:bidi w:val="0"/>
        <w:spacing w:after="0" w:line="264" w:lineRule="auto"/>
        <w:jc w:val="both"/>
        <w:rPr>
          <w:rFonts w:ascii="Times New Roman" w:hAnsi="Times New Roman"/>
          <w:b/>
          <w:color w:val="000000"/>
          <w:sz w:val="24"/>
          <w:szCs w:val="24"/>
          <w:u w:val="single"/>
          <w:lang w:eastAsia="sk-SK"/>
        </w:rPr>
      </w:pPr>
      <w:r w:rsidRPr="0036763E">
        <w:rPr>
          <w:rFonts w:ascii="Times New Roman" w:hAnsi="Times New Roman"/>
          <w:b/>
          <w:color w:val="000000"/>
          <w:sz w:val="24"/>
          <w:szCs w:val="24"/>
          <w:u w:val="single"/>
          <w:lang w:eastAsia="sk-SK"/>
        </w:rPr>
        <w:t>K bodu 2</w:t>
      </w:r>
    </w:p>
    <w:p w:rsidR="00C30F45" w:rsidRPr="00CB04EE" w:rsidP="00C30F45">
      <w:pPr>
        <w:widowControl w:val="0"/>
        <w:autoSpaceDE w:val="0"/>
        <w:autoSpaceDN w:val="0"/>
        <w:bidi w:val="0"/>
        <w:adjustRightInd w:val="0"/>
        <w:spacing w:after="0" w:line="240" w:lineRule="auto"/>
        <w:jc w:val="both"/>
        <w:rPr>
          <w:rFonts w:ascii="Times New Roman" w:hAnsi="Times New Roman"/>
          <w:szCs w:val="22"/>
        </w:rPr>
      </w:pPr>
      <w:r w:rsidRPr="0036763E">
        <w:rPr>
          <w:rFonts w:ascii="Times New Roman" w:hAnsi="Times New Roman"/>
          <w:szCs w:val="22"/>
        </w:rPr>
        <w:t>Príslušný orgán Slovenskej republiky pri poskytovaní, požadovaní alebo prijímaní medzinárodnej pomoci a spolupráce</w:t>
      </w:r>
      <w:r w:rsidRPr="00CB04EE">
        <w:rPr>
          <w:rFonts w:ascii="Times New Roman" w:hAnsi="Times New Roman"/>
          <w:szCs w:val="22"/>
        </w:rPr>
        <w:t xml:space="preserve"> pri správe daní postupuje podľa </w:t>
      </w:r>
      <w:r>
        <w:rPr>
          <w:rFonts w:ascii="Times New Roman" w:hAnsi="Times New Roman"/>
          <w:szCs w:val="22"/>
        </w:rPr>
        <w:t xml:space="preserve">daňového poriadku pri všetkých ustanoveniach tohto zákona, ak </w:t>
      </w:r>
      <w:r w:rsidRPr="00CB04EE">
        <w:rPr>
          <w:rFonts w:ascii="Times New Roman" w:hAnsi="Times New Roman"/>
          <w:szCs w:val="22"/>
        </w:rPr>
        <w:t xml:space="preserve">nie je ustanovené inak. </w:t>
      </w:r>
      <w:r>
        <w:rPr>
          <w:rFonts w:ascii="Times New Roman" w:hAnsi="Times New Roman"/>
          <w:szCs w:val="22"/>
        </w:rPr>
        <w:t>Príslušným orgánom Slovenskej republiky je Finančné riaditeľstvo SR na základe poverenia Ministerstva financií SR.</w:t>
      </w:r>
    </w:p>
    <w:p w:rsidR="00C30F45" w:rsidRPr="00CB04EE" w:rsidP="00C30F45">
      <w:pPr>
        <w:widowControl w:val="0"/>
        <w:tabs>
          <w:tab w:val="left" w:pos="708"/>
        </w:tabs>
        <w:bidi w:val="0"/>
        <w:spacing w:after="0" w:line="264" w:lineRule="auto"/>
        <w:jc w:val="both"/>
        <w:rPr>
          <w:rFonts w:ascii="Times New Roman" w:hAnsi="Times New Roman"/>
          <w:szCs w:val="22"/>
        </w:rPr>
      </w:pPr>
    </w:p>
    <w:p w:rsidR="00C30F45" w:rsidP="00C30F45">
      <w:pPr>
        <w:widowControl w:val="0"/>
        <w:tabs>
          <w:tab w:val="left" w:pos="708"/>
        </w:tabs>
        <w:bidi w:val="0"/>
        <w:spacing w:after="0" w:line="264" w:lineRule="auto"/>
        <w:jc w:val="both"/>
        <w:rPr>
          <w:rFonts w:ascii="Times New Roman" w:hAnsi="Times New Roman"/>
          <w:b/>
          <w:color w:val="000000"/>
          <w:sz w:val="24"/>
          <w:szCs w:val="24"/>
          <w:u w:val="single"/>
          <w:lang w:eastAsia="sk-SK"/>
        </w:rPr>
      </w:pPr>
      <w:r>
        <w:rPr>
          <w:rFonts w:ascii="Times New Roman" w:hAnsi="Times New Roman"/>
          <w:b/>
          <w:color w:val="000000"/>
          <w:sz w:val="24"/>
          <w:szCs w:val="24"/>
          <w:u w:val="single"/>
          <w:lang w:eastAsia="sk-SK"/>
        </w:rPr>
        <w:t>K bodu 3</w:t>
      </w:r>
    </w:p>
    <w:p w:rsidR="00C30F45" w:rsidRPr="000406F6" w:rsidP="00C30F45">
      <w:pPr>
        <w:widowControl w:val="0"/>
        <w:tabs>
          <w:tab w:val="left" w:pos="708"/>
        </w:tabs>
        <w:bidi w:val="0"/>
        <w:spacing w:after="0" w:line="264" w:lineRule="auto"/>
        <w:jc w:val="both"/>
        <w:rPr>
          <w:rFonts w:ascii="Times New Roman" w:hAnsi="Times New Roman"/>
          <w:b/>
          <w:color w:val="000000"/>
          <w:sz w:val="24"/>
          <w:szCs w:val="24"/>
          <w:u w:val="single"/>
          <w:lang w:eastAsia="sk-SK"/>
        </w:rPr>
      </w:pPr>
      <w:r w:rsidRPr="000406F6">
        <w:rPr>
          <w:rFonts w:ascii="Times New Roman" w:hAnsi="Times New Roman"/>
          <w:b/>
          <w:color w:val="000000"/>
          <w:sz w:val="24"/>
          <w:szCs w:val="24"/>
          <w:u w:val="single"/>
          <w:lang w:eastAsia="sk-SK"/>
        </w:rPr>
        <w:t xml:space="preserve">§ </w:t>
      </w:r>
      <w:r>
        <w:rPr>
          <w:rFonts w:ascii="Times New Roman" w:hAnsi="Times New Roman"/>
          <w:b/>
          <w:color w:val="000000"/>
          <w:sz w:val="24"/>
          <w:szCs w:val="24"/>
          <w:u w:val="single"/>
          <w:lang w:eastAsia="sk-SK"/>
        </w:rPr>
        <w:t>22a</w:t>
      </w:r>
      <w:r w:rsidRPr="000406F6">
        <w:rPr>
          <w:rFonts w:ascii="Times New Roman" w:hAnsi="Times New Roman"/>
          <w:b/>
          <w:color w:val="000000"/>
          <w:sz w:val="24"/>
          <w:szCs w:val="24"/>
          <w:u w:val="single"/>
          <w:lang w:eastAsia="sk-SK"/>
        </w:rPr>
        <w:t xml:space="preserve"> </w:t>
      </w:r>
    </w:p>
    <w:p w:rsidR="00C30F45" w:rsidP="00C30F45">
      <w:pPr>
        <w:widowControl w:val="0"/>
        <w:tabs>
          <w:tab w:val="left" w:pos="708"/>
        </w:tabs>
        <w:bidi w:val="0"/>
        <w:spacing w:after="0" w:line="240" w:lineRule="auto"/>
        <w:jc w:val="both"/>
        <w:rPr>
          <w:rFonts w:ascii="Times New Roman" w:hAnsi="Times New Roman"/>
          <w:szCs w:val="22"/>
        </w:rPr>
      </w:pPr>
      <w:r>
        <w:rPr>
          <w:rFonts w:ascii="Times New Roman" w:hAnsi="Times New Roman"/>
          <w:szCs w:val="22"/>
        </w:rPr>
        <w:t>Na účely automatickej výmeny správ sú definované základné pojmy.</w:t>
      </w:r>
    </w:p>
    <w:p w:rsidR="00C30F45" w:rsidP="00C30F45">
      <w:pPr>
        <w:widowControl w:val="0"/>
        <w:tabs>
          <w:tab w:val="left" w:pos="708"/>
        </w:tabs>
        <w:bidi w:val="0"/>
        <w:spacing w:after="0" w:line="240" w:lineRule="auto"/>
        <w:jc w:val="both"/>
        <w:rPr>
          <w:rFonts w:ascii="Times New Roman" w:hAnsi="Times New Roman"/>
        </w:rPr>
      </w:pPr>
    </w:p>
    <w:p w:rsidR="00C30F45" w:rsidP="00C30F45">
      <w:pPr>
        <w:widowControl w:val="0"/>
        <w:tabs>
          <w:tab w:val="left" w:pos="708"/>
        </w:tabs>
        <w:bidi w:val="0"/>
        <w:spacing w:after="0" w:line="240" w:lineRule="auto"/>
        <w:jc w:val="both"/>
        <w:rPr>
          <w:rFonts w:ascii="Times New Roman" w:hAnsi="Times New Roman"/>
        </w:rPr>
      </w:pPr>
      <w:r>
        <w:rPr>
          <w:rFonts w:ascii="Times New Roman" w:hAnsi="Times New Roman"/>
        </w:rPr>
        <w:t>Správa podľa jednotlivých štátov pozostáva z informácií uvedených v § 22b ods. 3.</w:t>
      </w:r>
    </w:p>
    <w:p w:rsidR="00C30F45" w:rsidP="00C30F45">
      <w:pPr>
        <w:widowControl w:val="0"/>
        <w:tabs>
          <w:tab w:val="left" w:pos="708"/>
        </w:tabs>
        <w:bidi w:val="0"/>
        <w:spacing w:after="0" w:line="240" w:lineRule="auto"/>
        <w:jc w:val="both"/>
        <w:rPr>
          <w:rFonts w:ascii="Times New Roman" w:hAnsi="Times New Roman"/>
        </w:rPr>
      </w:pPr>
    </w:p>
    <w:p w:rsidR="00C30F45" w:rsidRPr="003E3FDD" w:rsidP="00C30F45">
      <w:pPr>
        <w:widowControl w:val="0"/>
        <w:tabs>
          <w:tab w:val="left" w:pos="708"/>
        </w:tabs>
        <w:bidi w:val="0"/>
        <w:spacing w:after="0" w:line="240" w:lineRule="auto"/>
        <w:jc w:val="both"/>
        <w:rPr>
          <w:rFonts w:ascii="Times New Roman" w:hAnsi="Times New Roman"/>
        </w:rPr>
      </w:pPr>
      <w:r w:rsidRPr="003E3FDD">
        <w:rPr>
          <w:rFonts w:ascii="Times New Roman" w:hAnsi="Times New Roman"/>
        </w:rPr>
        <w:t>Medzinárodným dohovorom je napríklad Dohovor o vzájomnej administratívnej pomoci v daňových záležitostiach v znení ustanovení Protokolu, ktorým sa mení Dohovor o vzájomnej administratívnej pomoci v daňových záležitostiach (oznámenie č. 461/2013 Z. z.) alebo akákoľvek dohoda o výmene daňových informácií, ktorej zmluvnou stranou je Slovenská republika a svojimi ustanoveniami vytvára právny základ na výmenu daňových informácií medzi štátmi vrátane automatickej výmeny takýchto informácií.</w:t>
      </w:r>
    </w:p>
    <w:p w:rsidR="00C30F45" w:rsidP="00C30F45">
      <w:pPr>
        <w:widowControl w:val="0"/>
        <w:tabs>
          <w:tab w:val="left" w:pos="708"/>
        </w:tabs>
        <w:bidi w:val="0"/>
        <w:spacing w:after="0" w:line="240" w:lineRule="auto"/>
        <w:jc w:val="both"/>
        <w:rPr>
          <w:rFonts w:ascii="Times New Roman" w:hAnsi="Times New Roman"/>
        </w:rPr>
      </w:pPr>
    </w:p>
    <w:p w:rsidR="00C30F45" w:rsidP="00C30F45">
      <w:pPr>
        <w:widowControl w:val="0"/>
        <w:tabs>
          <w:tab w:val="left" w:pos="708"/>
        </w:tabs>
        <w:bidi w:val="0"/>
        <w:spacing w:after="0" w:line="240" w:lineRule="auto"/>
        <w:jc w:val="both"/>
        <w:rPr>
          <w:rFonts w:ascii="Times New Roman" w:hAnsi="Times New Roman"/>
        </w:rPr>
      </w:pPr>
      <w:r>
        <w:rPr>
          <w:rFonts w:ascii="Times New Roman" w:hAnsi="Times New Roman"/>
        </w:rPr>
        <w:t>D</w:t>
      </w:r>
      <w:r w:rsidRPr="000A3FCE">
        <w:rPr>
          <w:rFonts w:ascii="Times New Roman" w:hAnsi="Times New Roman"/>
        </w:rPr>
        <w:t xml:space="preserve">ohodou príslušných orgánov </w:t>
      </w:r>
      <w:r>
        <w:rPr>
          <w:rFonts w:ascii="Times New Roman" w:hAnsi="Times New Roman"/>
        </w:rPr>
        <w:t xml:space="preserve">je </w:t>
      </w:r>
      <w:r w:rsidRPr="000A3FCE">
        <w:rPr>
          <w:rFonts w:ascii="Times New Roman" w:hAnsi="Times New Roman"/>
        </w:rPr>
        <w:t xml:space="preserve">dohoda ustanovujúca požiadavku automatickej výmeny správ podľa jednotlivých štátov, ktorú Slovenská republika uzatvorila so štátmi, ktoré nie sú </w:t>
      </w:r>
      <w:r>
        <w:rPr>
          <w:rFonts w:ascii="Times New Roman" w:hAnsi="Times New Roman"/>
        </w:rPr>
        <w:t>členskými štátmi Európskej únie.  Ide o Multilaterálnu dohodu kompetentných orgánov o výmene správ podľa jednotlivých štátov, ktorú Slovenská republika podpísala 27. januára 2016.</w:t>
      </w:r>
      <w:r w:rsidRPr="000A3FCE">
        <w:rPr>
          <w:rFonts w:ascii="Times New Roman" w:hAnsi="Times New Roman"/>
        </w:rPr>
        <w:t xml:space="preserve"> </w:t>
      </w:r>
    </w:p>
    <w:p w:rsidR="00C30F45" w:rsidP="00C30F45">
      <w:pPr>
        <w:widowControl w:val="0"/>
        <w:tabs>
          <w:tab w:val="left" w:pos="708"/>
        </w:tabs>
        <w:bidi w:val="0"/>
        <w:spacing w:after="0" w:line="240" w:lineRule="auto"/>
        <w:jc w:val="both"/>
        <w:rPr>
          <w:rFonts w:ascii="Times New Roman" w:hAnsi="Times New Roman"/>
        </w:rPr>
      </w:pPr>
    </w:p>
    <w:p w:rsidR="00C30F45" w:rsidRPr="000A3FCE" w:rsidP="00C30F45">
      <w:pPr>
        <w:widowControl w:val="0"/>
        <w:tabs>
          <w:tab w:val="left" w:pos="708"/>
        </w:tabs>
        <w:bidi w:val="0"/>
        <w:spacing w:after="0" w:line="240" w:lineRule="auto"/>
        <w:jc w:val="both"/>
        <w:rPr>
          <w:rFonts w:ascii="Times New Roman" w:hAnsi="Times New Roman"/>
        </w:rPr>
      </w:pPr>
      <w:r>
        <w:rPr>
          <w:rFonts w:ascii="Times New Roman" w:hAnsi="Times New Roman"/>
        </w:rPr>
        <w:t>Š</w:t>
      </w:r>
      <w:r w:rsidRPr="000A3FCE">
        <w:rPr>
          <w:rFonts w:ascii="Times New Roman" w:hAnsi="Times New Roman"/>
        </w:rPr>
        <w:t>tátom</w:t>
      </w:r>
      <w:r>
        <w:rPr>
          <w:rFonts w:ascii="Times New Roman" w:hAnsi="Times New Roman"/>
        </w:rPr>
        <w:t xml:space="preserve"> dohody</w:t>
      </w:r>
      <w:r w:rsidRPr="000A3FCE">
        <w:rPr>
          <w:rFonts w:ascii="Times New Roman" w:hAnsi="Times New Roman"/>
        </w:rPr>
        <w:t xml:space="preserve"> </w:t>
      </w:r>
      <w:r>
        <w:rPr>
          <w:rFonts w:ascii="Times New Roman" w:hAnsi="Times New Roman"/>
        </w:rPr>
        <w:t xml:space="preserve">je </w:t>
      </w:r>
      <w:r w:rsidRPr="000A3FCE">
        <w:rPr>
          <w:rFonts w:ascii="Times New Roman" w:hAnsi="Times New Roman"/>
        </w:rPr>
        <w:t xml:space="preserve">zmluvná strana medzinárodnej </w:t>
      </w:r>
      <w:r>
        <w:rPr>
          <w:rFonts w:ascii="Times New Roman" w:hAnsi="Times New Roman"/>
        </w:rPr>
        <w:t>dohody</w:t>
      </w:r>
      <w:r w:rsidRPr="000A3FCE">
        <w:rPr>
          <w:rFonts w:ascii="Times New Roman" w:hAnsi="Times New Roman"/>
        </w:rPr>
        <w:t xml:space="preserve">, ktorou je Slovenská republika viazaná, s ktorou si </w:t>
      </w:r>
      <w:r w:rsidRPr="003E3FDD">
        <w:rPr>
          <w:rFonts w:ascii="Times New Roman" w:hAnsi="Times New Roman"/>
        </w:rPr>
        <w:t>príslušný</w:t>
      </w:r>
      <w:r w:rsidRPr="000A3FCE">
        <w:rPr>
          <w:rFonts w:ascii="Times New Roman" w:hAnsi="Times New Roman"/>
        </w:rPr>
        <w:t xml:space="preserve"> orgán Slovenskej republiky automaticky vymieňa informácie v súlade s podmienkami upravený</w:t>
      </w:r>
      <w:r>
        <w:rPr>
          <w:rFonts w:ascii="Times New Roman" w:hAnsi="Times New Roman"/>
        </w:rPr>
        <w:t>mi dohodou.</w:t>
      </w:r>
    </w:p>
    <w:p w:rsidR="00C30F45" w:rsidP="00C30F45">
      <w:pPr>
        <w:widowControl w:val="0"/>
        <w:tabs>
          <w:tab w:val="left" w:pos="708"/>
        </w:tabs>
        <w:bidi w:val="0"/>
        <w:spacing w:after="0" w:line="240" w:lineRule="auto"/>
        <w:jc w:val="both"/>
        <w:rPr>
          <w:rFonts w:ascii="Times New Roman" w:hAnsi="Times New Roman"/>
        </w:rPr>
      </w:pPr>
    </w:p>
    <w:p w:rsidR="00C30F45"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 xml:space="preserve">Podnikom je akákoľvek forma podnikania vykonávaná právnickou osobou alebo iným </w:t>
      </w:r>
      <w:r w:rsidRPr="00A87B9A">
        <w:rPr>
          <w:rFonts w:asciiTheme="minorBidi" w:hAnsiTheme="minorBidi" w:cs="DokChampa"/>
          <w:color w:val="000000"/>
          <w:szCs w:val="22"/>
          <w:lang w:eastAsia="sk-SK"/>
        </w:rPr>
        <w:t xml:space="preserve">subjektom, ktorý vlastní majetok alebo spravuje majetok. </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 xml:space="preserve">Skupinou sa rozumie súbor podnikov prepojených prostredníctvom vlastníctva alebo kontroly tak, že má povinnosť </w:t>
      </w:r>
      <w:r>
        <w:rPr>
          <w:rFonts w:asciiTheme="minorBidi" w:hAnsiTheme="minorBidi" w:cs="DokChampa"/>
          <w:color w:val="000000"/>
          <w:szCs w:val="22"/>
          <w:lang w:eastAsia="sk-SK"/>
        </w:rPr>
        <w:t>zostaviť</w:t>
      </w:r>
      <w:r w:rsidRPr="00AB6FFE">
        <w:rPr>
          <w:rFonts w:asciiTheme="minorBidi" w:hAnsiTheme="minorBidi" w:cs="DokChampa"/>
          <w:color w:val="000000"/>
          <w:szCs w:val="22"/>
          <w:lang w:eastAsia="sk-SK"/>
        </w:rPr>
        <w:t xml:space="preserve"> konsolidovanú účtovnú závierku podľa platných účtovných predpisov, alebo by táto povinnosť vznikla, ak by sa s podielmi na vlastnom imaní ktoréhokoľvek z  podnikov obchodovalo na </w:t>
      </w:r>
      <w:r>
        <w:rPr>
          <w:rFonts w:asciiTheme="minorBidi" w:hAnsiTheme="minorBidi" w:cs="DokChampa"/>
          <w:color w:val="000000"/>
          <w:szCs w:val="22"/>
          <w:lang w:eastAsia="sk-SK"/>
        </w:rPr>
        <w:t>verejnej burze cenných papierov.</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Nadnárodnou skupinou podnikov je taká skupina, ktorá zahŕňa aspoň dva podniky, ktoré sú rezidentmi na daňové účely v rôznych štátoch, alebo ktorá zahŕňa podnik, ktorý je rezidentom na daňové účely v jednom štáte a v inom štáte podlieha dani v súvislosti s činnosťou tam vykonávanou prost</w:t>
      </w:r>
      <w:r>
        <w:rPr>
          <w:rFonts w:asciiTheme="minorBidi" w:hAnsiTheme="minorBidi" w:cs="DokChampa"/>
          <w:color w:val="000000"/>
          <w:szCs w:val="22"/>
          <w:lang w:eastAsia="sk-SK"/>
        </w:rPr>
        <w:t>redníctvom stálej prevádzkarne.</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P="00C30F45">
      <w:pPr>
        <w:widowControl w:val="0"/>
        <w:tabs>
          <w:tab w:val="left" w:pos="708"/>
        </w:tabs>
        <w:bidi w:val="0"/>
        <w:spacing w:after="0" w:line="240" w:lineRule="auto"/>
        <w:jc w:val="both"/>
        <w:rPr>
          <w:rFonts w:asciiTheme="minorBidi" w:hAnsiTheme="minorBidi" w:cs="DokChampa"/>
          <w:color w:val="000000"/>
          <w:szCs w:val="22"/>
          <w:lang w:eastAsia="sk-SK"/>
        </w:rPr>
      </w:pPr>
      <w:r>
        <w:rPr>
          <w:rFonts w:asciiTheme="minorBidi" w:hAnsiTheme="minorBidi" w:cs="DokChampa"/>
          <w:color w:val="000000"/>
          <w:szCs w:val="22"/>
          <w:lang w:eastAsia="sk-SK"/>
        </w:rPr>
        <w:t>Vylúčenou nadnárodnou skupinou podnikov je taká skupina, ktorej</w:t>
      </w:r>
      <w:r w:rsidRPr="00AB6FFE">
        <w:rPr>
          <w:rFonts w:asciiTheme="minorBidi" w:hAnsiTheme="minorBidi" w:cs="DokChampa"/>
          <w:color w:val="000000"/>
          <w:szCs w:val="22"/>
          <w:lang w:eastAsia="sk-SK"/>
        </w:rPr>
        <w:t xml:space="preserve"> celkov</w:t>
      </w:r>
      <w:r>
        <w:rPr>
          <w:rFonts w:asciiTheme="minorBidi" w:hAnsiTheme="minorBidi" w:cs="DokChampa"/>
          <w:color w:val="000000"/>
          <w:szCs w:val="22"/>
          <w:lang w:eastAsia="sk-SK"/>
        </w:rPr>
        <w:t>é</w:t>
      </w:r>
      <w:r w:rsidRPr="00AB6FFE">
        <w:rPr>
          <w:rFonts w:asciiTheme="minorBidi" w:hAnsiTheme="minorBidi" w:cs="DokChampa"/>
          <w:color w:val="000000"/>
          <w:szCs w:val="22"/>
          <w:lang w:eastAsia="sk-SK"/>
        </w:rPr>
        <w:t xml:space="preserve"> konsolidovan</w:t>
      </w:r>
      <w:r>
        <w:rPr>
          <w:rFonts w:asciiTheme="minorBidi" w:hAnsiTheme="minorBidi" w:cs="DokChampa"/>
          <w:color w:val="000000"/>
          <w:szCs w:val="22"/>
          <w:lang w:eastAsia="sk-SK"/>
        </w:rPr>
        <w:t>é</w:t>
      </w:r>
      <w:r w:rsidRPr="00AB6FFE">
        <w:rPr>
          <w:rFonts w:asciiTheme="minorBidi" w:hAnsiTheme="minorBidi" w:cs="DokChampa"/>
          <w:color w:val="000000"/>
          <w:szCs w:val="22"/>
          <w:lang w:eastAsia="sk-SK"/>
        </w:rPr>
        <w:t xml:space="preserve"> výnos</w:t>
      </w:r>
      <w:r>
        <w:rPr>
          <w:rFonts w:asciiTheme="minorBidi" w:hAnsiTheme="minorBidi" w:cs="DokChampa"/>
          <w:color w:val="000000"/>
          <w:szCs w:val="22"/>
          <w:lang w:eastAsia="sk-SK"/>
        </w:rPr>
        <w:t>y</w:t>
      </w:r>
      <w:r w:rsidRPr="00AB6FFE">
        <w:rPr>
          <w:rFonts w:asciiTheme="minorBidi" w:hAnsiTheme="minorBidi" w:cs="DokChampa"/>
          <w:color w:val="000000"/>
          <w:szCs w:val="22"/>
          <w:lang w:eastAsia="sk-SK"/>
        </w:rPr>
        <w:t xml:space="preserve"> nedosahuj</w:t>
      </w:r>
      <w:r>
        <w:rPr>
          <w:rFonts w:asciiTheme="minorBidi" w:hAnsiTheme="minorBidi" w:cs="DokChampa"/>
          <w:color w:val="000000"/>
          <w:szCs w:val="22"/>
          <w:lang w:eastAsia="sk-SK"/>
        </w:rPr>
        <w:t>ú</w:t>
      </w:r>
      <w:r w:rsidRPr="00AB6FFE">
        <w:rPr>
          <w:rFonts w:asciiTheme="minorBidi" w:hAnsiTheme="minorBidi" w:cs="DokChampa"/>
          <w:color w:val="000000"/>
          <w:szCs w:val="22"/>
          <w:lang w:eastAsia="sk-SK"/>
        </w:rPr>
        <w:t xml:space="preserve"> sumu 750 000 000 EUR </w:t>
      </w:r>
      <w:r>
        <w:rPr>
          <w:rFonts w:asciiTheme="minorBidi" w:hAnsiTheme="minorBidi" w:cs="DokChampa"/>
          <w:color w:val="000000"/>
          <w:szCs w:val="22"/>
          <w:lang w:eastAsia="sk-SK"/>
        </w:rPr>
        <w:t xml:space="preserve">za obdobie </w:t>
      </w:r>
      <w:r w:rsidRPr="00AB6FFE">
        <w:rPr>
          <w:rFonts w:asciiTheme="minorBidi" w:hAnsiTheme="minorBidi" w:cs="DokChampa"/>
          <w:color w:val="000000"/>
          <w:szCs w:val="22"/>
          <w:lang w:eastAsia="sk-SK"/>
        </w:rPr>
        <w:t>finančného roka, ktorý bezprostredne predchád</w:t>
      </w:r>
      <w:r>
        <w:rPr>
          <w:rFonts w:asciiTheme="minorBidi" w:hAnsiTheme="minorBidi" w:cs="DokChampa"/>
          <w:color w:val="000000"/>
          <w:szCs w:val="22"/>
          <w:lang w:eastAsia="sk-SK"/>
        </w:rPr>
        <w:t>za oznamovanému finančnému roku</w:t>
      </w:r>
      <w:r w:rsidRPr="00AB6FFE">
        <w:rPr>
          <w:rFonts w:asciiTheme="minorBidi" w:hAnsiTheme="minorBidi" w:cs="DokChampa"/>
          <w:color w:val="000000"/>
          <w:szCs w:val="22"/>
          <w:lang w:eastAsia="sk-SK"/>
        </w:rPr>
        <w:t>.</w:t>
      </w:r>
      <w:r>
        <w:rPr>
          <w:rFonts w:asciiTheme="minorBidi" w:hAnsiTheme="minorBidi" w:cs="DokChampa"/>
          <w:color w:val="000000"/>
          <w:szCs w:val="22"/>
          <w:lang w:eastAsia="sk-SK"/>
        </w:rPr>
        <w:t xml:space="preserve"> Na vylúčenú nadnárodnú skupinu podnikov sa nevzťahuje povinnosť</w:t>
      </w:r>
      <w:r w:rsidRPr="005A0F85">
        <w:rPr>
          <w:rFonts w:asciiTheme="minorBidi" w:hAnsiTheme="minorBidi" w:cs="DokChampa"/>
          <w:color w:val="000000"/>
          <w:szCs w:val="22"/>
          <w:lang w:eastAsia="sk-SK"/>
        </w:rPr>
        <w:t xml:space="preserve"> </w:t>
      </w:r>
      <w:r w:rsidRPr="00AB6FFE">
        <w:rPr>
          <w:rFonts w:asciiTheme="minorBidi" w:hAnsiTheme="minorBidi" w:cs="DokChampa"/>
          <w:color w:val="000000"/>
          <w:szCs w:val="22"/>
          <w:lang w:eastAsia="sk-SK"/>
        </w:rPr>
        <w:t xml:space="preserve">predkladať správu podľa </w:t>
      </w:r>
      <w:r>
        <w:rPr>
          <w:rFonts w:asciiTheme="minorBidi" w:hAnsiTheme="minorBidi" w:cs="DokChampa"/>
          <w:color w:val="000000"/>
          <w:szCs w:val="22"/>
          <w:lang w:eastAsia="sk-SK"/>
        </w:rPr>
        <w:t xml:space="preserve">jednotlivých </w:t>
      </w:r>
      <w:r w:rsidRPr="00AB6FFE">
        <w:rPr>
          <w:rFonts w:asciiTheme="minorBidi" w:hAnsiTheme="minorBidi" w:cs="DokChampa"/>
          <w:color w:val="000000"/>
          <w:szCs w:val="22"/>
          <w:lang w:eastAsia="sk-SK"/>
        </w:rPr>
        <w:t>štátov</w:t>
      </w:r>
      <w:r>
        <w:rPr>
          <w:rFonts w:asciiTheme="minorBidi" w:hAnsiTheme="minorBidi" w:cs="DokChampa"/>
          <w:color w:val="000000"/>
          <w:szCs w:val="22"/>
          <w:lang w:eastAsia="sk-SK"/>
        </w:rPr>
        <w:t xml:space="preserve">.  </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P="00C30F45">
      <w:pPr>
        <w:widowControl w:val="0"/>
        <w:tabs>
          <w:tab w:val="left" w:pos="708"/>
        </w:tabs>
        <w:bidi w:val="0"/>
        <w:spacing w:after="0" w:line="240" w:lineRule="auto"/>
        <w:jc w:val="both"/>
        <w:rPr>
          <w:rFonts w:ascii="Times New Roman" w:hAnsi="Times New Roman"/>
        </w:rPr>
      </w:pPr>
      <w:r w:rsidRPr="00AB6FFE">
        <w:rPr>
          <w:rFonts w:asciiTheme="minorBidi" w:hAnsiTheme="minorBidi" w:cs="DokChampa"/>
          <w:color w:val="000000"/>
          <w:szCs w:val="22"/>
          <w:lang w:eastAsia="sk-SK"/>
        </w:rPr>
        <w:t xml:space="preserve">Základným subjektom je </w:t>
      </w:r>
      <w:r>
        <w:rPr>
          <w:rFonts w:asciiTheme="minorBidi" w:hAnsiTheme="minorBidi" w:cs="DokChampa"/>
          <w:color w:val="000000"/>
          <w:szCs w:val="22"/>
          <w:lang w:eastAsia="sk-SK"/>
        </w:rPr>
        <w:t xml:space="preserve">každý </w:t>
      </w:r>
      <w:r w:rsidRPr="00AB6FFE">
        <w:rPr>
          <w:rFonts w:asciiTheme="minorBidi" w:hAnsiTheme="minorBidi" w:cs="DokChampa"/>
          <w:color w:val="000000"/>
          <w:szCs w:val="22"/>
          <w:lang w:eastAsia="sk-SK"/>
        </w:rPr>
        <w:t>samostatný právny subjekt skupiny nadnárodných podnikov</w:t>
      </w:r>
      <w:r>
        <w:rPr>
          <w:rFonts w:asciiTheme="minorBidi" w:hAnsiTheme="minorBidi" w:cs="DokChampa"/>
          <w:color w:val="000000"/>
          <w:szCs w:val="22"/>
          <w:lang w:eastAsia="sk-SK"/>
        </w:rPr>
        <w:t xml:space="preserve"> bez ohľadu na to, či je materskou alebo dcérskou spoločnosťou. S</w:t>
      </w:r>
      <w:r w:rsidRPr="00AB6FFE">
        <w:rPr>
          <w:rFonts w:asciiTheme="minorBidi" w:hAnsiTheme="minorBidi" w:cs="DokChampa"/>
          <w:color w:val="000000"/>
          <w:szCs w:val="22"/>
          <w:lang w:eastAsia="sk-SK"/>
        </w:rPr>
        <w:t>tála prevádzkareň alebo organizačná zložka samostatného právneho subjektu skupiny nadnárodných podnikov</w:t>
      </w:r>
      <w:r>
        <w:rPr>
          <w:rFonts w:asciiTheme="minorBidi" w:hAnsiTheme="minorBidi" w:cs="DokChampa"/>
          <w:color w:val="000000"/>
          <w:szCs w:val="22"/>
          <w:lang w:eastAsia="sk-SK"/>
        </w:rPr>
        <w:t xml:space="preserve"> je základným subjektom vtedy</w:t>
      </w:r>
      <w:r w:rsidRPr="00AB6FFE">
        <w:rPr>
          <w:rFonts w:asciiTheme="minorBidi" w:hAnsiTheme="minorBidi" w:cs="DokChampa"/>
          <w:color w:val="000000"/>
          <w:szCs w:val="22"/>
          <w:lang w:eastAsia="sk-SK"/>
        </w:rPr>
        <w:t>, ak z</w:t>
      </w:r>
      <w:r>
        <w:rPr>
          <w:rFonts w:asciiTheme="minorBidi" w:hAnsiTheme="minorBidi" w:cs="DokChampa"/>
          <w:color w:val="000000"/>
          <w:szCs w:val="22"/>
          <w:lang w:eastAsia="sk-SK"/>
        </w:rPr>
        <w:t>riaďovateľ pripravuje pre túto</w:t>
      </w:r>
      <w:r w:rsidRPr="00AB6FFE">
        <w:rPr>
          <w:rFonts w:asciiTheme="minorBidi" w:hAnsiTheme="minorBidi" w:cs="DokChampa"/>
          <w:color w:val="000000"/>
          <w:szCs w:val="22"/>
          <w:lang w:eastAsia="sk-SK"/>
        </w:rPr>
        <w:t xml:space="preserve"> stálu prevádzkareň alebo organizačnú zložku individuálnu účtovnú závierku</w:t>
      </w:r>
      <w:r>
        <w:rPr>
          <w:rFonts w:asciiTheme="minorBidi" w:hAnsiTheme="minorBidi" w:cs="DokChampa"/>
          <w:color w:val="000000"/>
          <w:szCs w:val="22"/>
          <w:lang w:eastAsia="sk-SK"/>
        </w:rPr>
        <w:t xml:space="preserve"> alebo iné samostatné výkazy slúžiace na účely účtovníctva alebo daní</w:t>
      </w:r>
      <w:r w:rsidRPr="00AB6FFE">
        <w:rPr>
          <w:rFonts w:asciiTheme="minorBidi" w:hAnsiTheme="minorBidi" w:cs="DokChampa"/>
          <w:color w:val="000000"/>
          <w:szCs w:val="22"/>
          <w:lang w:eastAsia="sk-SK"/>
        </w:rPr>
        <w:t xml:space="preserve">. </w:t>
      </w:r>
      <w:r>
        <w:rPr>
          <w:rFonts w:asciiTheme="minorBidi" w:hAnsiTheme="minorBidi" w:cs="DokChampa"/>
          <w:color w:val="000000"/>
          <w:szCs w:val="22"/>
          <w:lang w:eastAsia="sk-SK"/>
        </w:rPr>
        <w:t xml:space="preserve">Informácie o základnom </w:t>
      </w:r>
      <w:r w:rsidRPr="00AB6FFE">
        <w:rPr>
          <w:rFonts w:asciiTheme="minorBidi" w:hAnsiTheme="minorBidi" w:cs="DokChampa"/>
          <w:color w:val="000000"/>
          <w:szCs w:val="22"/>
          <w:lang w:eastAsia="sk-SK"/>
        </w:rPr>
        <w:t>subjekt</w:t>
      </w:r>
      <w:r>
        <w:rPr>
          <w:rFonts w:asciiTheme="minorBidi" w:hAnsiTheme="minorBidi" w:cs="DokChampa"/>
          <w:color w:val="000000"/>
          <w:szCs w:val="22"/>
          <w:lang w:eastAsia="sk-SK"/>
        </w:rPr>
        <w:t>e sú</w:t>
      </w:r>
      <w:r w:rsidRPr="00AB6FFE">
        <w:rPr>
          <w:rFonts w:asciiTheme="minorBidi" w:hAnsiTheme="minorBidi" w:cs="DokChampa"/>
          <w:color w:val="000000"/>
          <w:szCs w:val="22"/>
          <w:lang w:eastAsia="sk-SK"/>
        </w:rPr>
        <w:t xml:space="preserve"> zahrnut</w:t>
      </w:r>
      <w:r>
        <w:rPr>
          <w:rFonts w:asciiTheme="minorBidi" w:hAnsiTheme="minorBidi" w:cs="DokChampa"/>
          <w:color w:val="000000"/>
          <w:szCs w:val="22"/>
          <w:lang w:eastAsia="sk-SK"/>
        </w:rPr>
        <w:t>é</w:t>
      </w:r>
      <w:r w:rsidRPr="00AB6FFE">
        <w:rPr>
          <w:rFonts w:asciiTheme="minorBidi" w:hAnsiTheme="minorBidi" w:cs="DokChampa"/>
          <w:color w:val="000000"/>
          <w:szCs w:val="22"/>
          <w:lang w:eastAsia="sk-SK"/>
        </w:rPr>
        <w:t xml:space="preserve"> do správy podľa </w:t>
      </w:r>
      <w:r>
        <w:rPr>
          <w:rFonts w:asciiTheme="minorBidi" w:hAnsiTheme="minorBidi" w:cs="DokChampa"/>
          <w:color w:val="000000"/>
          <w:szCs w:val="22"/>
          <w:lang w:eastAsia="sk-SK"/>
        </w:rPr>
        <w:t xml:space="preserve">jednotlivých </w:t>
      </w:r>
      <w:r w:rsidRPr="00AB6FFE">
        <w:rPr>
          <w:rFonts w:asciiTheme="minorBidi" w:hAnsiTheme="minorBidi" w:cs="DokChampa"/>
          <w:color w:val="000000"/>
          <w:szCs w:val="22"/>
          <w:lang w:eastAsia="sk-SK"/>
        </w:rPr>
        <w:t>štátov</w:t>
      </w:r>
      <w:r>
        <w:rPr>
          <w:rFonts w:ascii="Times New Roman" w:hAnsi="Times New Roman"/>
        </w:rPr>
        <w:t>.</w:t>
      </w:r>
    </w:p>
    <w:p w:rsidR="00C30F45" w:rsidP="00C30F45">
      <w:pPr>
        <w:bidi w:val="0"/>
        <w:spacing w:after="0"/>
        <w:jc w:val="both"/>
        <w:rPr>
          <w:rFonts w:ascii="Times New Roman" w:hAnsi="Times New Roman"/>
        </w:rPr>
      </w:pP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 xml:space="preserve">Hlavným materským subjektom je základný subjekt skupiny nadnárodných podnikov, ktorý vlastní taký podiel aspoň v jednom základom subjekte skupiny nadnárodných podnikov, že podľa účtovných zásad všeobecne uplatňovaných v štáte jeho rezidencie </w:t>
      </w:r>
      <w:r>
        <w:rPr>
          <w:rFonts w:asciiTheme="minorBidi" w:hAnsiTheme="minorBidi" w:cs="DokChampa"/>
          <w:color w:val="000000"/>
          <w:szCs w:val="22"/>
          <w:lang w:eastAsia="sk-SK"/>
        </w:rPr>
        <w:t xml:space="preserve">na daňové účely </w:t>
      </w:r>
      <w:r w:rsidRPr="00AB6FFE">
        <w:rPr>
          <w:rFonts w:asciiTheme="minorBidi" w:hAnsiTheme="minorBidi" w:cs="DokChampa"/>
          <w:color w:val="000000"/>
          <w:szCs w:val="22"/>
          <w:lang w:eastAsia="sk-SK"/>
        </w:rPr>
        <w:t xml:space="preserve">má povinnosť </w:t>
      </w:r>
      <w:r>
        <w:rPr>
          <w:rFonts w:asciiTheme="minorBidi" w:hAnsiTheme="minorBidi" w:cs="DokChampa"/>
          <w:color w:val="000000"/>
          <w:szCs w:val="22"/>
          <w:lang w:eastAsia="sk-SK"/>
        </w:rPr>
        <w:t>zostavovať</w:t>
      </w:r>
      <w:r w:rsidRPr="00AB6FFE">
        <w:rPr>
          <w:rFonts w:asciiTheme="minorBidi" w:hAnsiTheme="minorBidi" w:cs="DokChampa"/>
          <w:color w:val="000000"/>
          <w:szCs w:val="22"/>
          <w:lang w:eastAsia="sk-SK"/>
        </w:rPr>
        <w:t xml:space="preserve"> konsolidovanú účtovnú závierku alebo by túto povinnosť mal, ak by sa s  podielmi na </w:t>
      </w:r>
      <w:r>
        <w:rPr>
          <w:rFonts w:asciiTheme="minorBidi" w:hAnsiTheme="minorBidi" w:cs="DokChampa"/>
          <w:color w:val="000000"/>
          <w:szCs w:val="22"/>
          <w:lang w:eastAsia="sk-SK"/>
        </w:rPr>
        <w:t xml:space="preserve">jeho </w:t>
      </w:r>
      <w:r w:rsidRPr="00AB6FFE">
        <w:rPr>
          <w:rFonts w:asciiTheme="minorBidi" w:hAnsiTheme="minorBidi" w:cs="DokChampa"/>
          <w:color w:val="000000"/>
          <w:szCs w:val="22"/>
          <w:lang w:eastAsia="sk-SK"/>
        </w:rPr>
        <w:t>vlastnom imaní obchodovalo na verejnej burze cenných papierov v štáte jeho daňovej rezidencie</w:t>
      </w:r>
      <w:r>
        <w:rPr>
          <w:rFonts w:asciiTheme="minorBidi" w:hAnsiTheme="minorBidi" w:cs="DokChampa"/>
          <w:color w:val="000000"/>
          <w:szCs w:val="22"/>
          <w:lang w:eastAsia="sk-SK"/>
        </w:rPr>
        <w:t>.</w:t>
      </w:r>
      <w:r w:rsidRPr="00AB6FFE">
        <w:rPr>
          <w:rFonts w:asciiTheme="minorBidi" w:hAnsiTheme="minorBidi" w:cs="DokChampa"/>
          <w:color w:val="000000"/>
          <w:szCs w:val="22"/>
          <w:lang w:eastAsia="sk-SK"/>
        </w:rPr>
        <w:t xml:space="preserve"> </w:t>
      </w:r>
      <w:r>
        <w:rPr>
          <w:rFonts w:asciiTheme="minorBidi" w:hAnsiTheme="minorBidi" w:cs="DokChampa"/>
          <w:color w:val="000000"/>
          <w:szCs w:val="22"/>
          <w:lang w:eastAsia="sk-SK"/>
        </w:rPr>
        <w:t>Z</w:t>
      </w:r>
      <w:r w:rsidRPr="00AB6FFE">
        <w:rPr>
          <w:rFonts w:asciiTheme="minorBidi" w:hAnsiTheme="minorBidi" w:cs="DokChampa"/>
          <w:color w:val="000000"/>
          <w:szCs w:val="22"/>
          <w:lang w:eastAsia="sk-SK"/>
        </w:rPr>
        <w:t xml:space="preserve">ároveň </w:t>
      </w:r>
      <w:r>
        <w:rPr>
          <w:rFonts w:asciiTheme="minorBidi" w:hAnsiTheme="minorBidi" w:cs="DokChampa"/>
          <w:color w:val="000000"/>
          <w:szCs w:val="22"/>
          <w:lang w:eastAsia="sk-SK"/>
        </w:rPr>
        <w:t xml:space="preserve">nesmie </w:t>
      </w:r>
      <w:r w:rsidRPr="00AB6FFE">
        <w:rPr>
          <w:rFonts w:asciiTheme="minorBidi" w:hAnsiTheme="minorBidi" w:cs="DokChampa"/>
          <w:color w:val="000000"/>
          <w:szCs w:val="22"/>
          <w:lang w:eastAsia="sk-SK"/>
        </w:rPr>
        <w:t>exist</w:t>
      </w:r>
      <w:r>
        <w:rPr>
          <w:rFonts w:asciiTheme="minorBidi" w:hAnsiTheme="minorBidi" w:cs="DokChampa"/>
          <w:color w:val="000000"/>
          <w:szCs w:val="22"/>
          <w:lang w:eastAsia="sk-SK"/>
        </w:rPr>
        <w:t>ovať</w:t>
      </w:r>
      <w:r w:rsidRPr="00AB6FFE">
        <w:rPr>
          <w:rFonts w:asciiTheme="minorBidi" w:hAnsiTheme="minorBidi" w:cs="DokChampa"/>
          <w:color w:val="000000"/>
          <w:szCs w:val="22"/>
          <w:lang w:eastAsia="sk-SK"/>
        </w:rPr>
        <w:t xml:space="preserve"> iný základný subjekt, ktorý priamo </w:t>
      </w:r>
      <w:r>
        <w:rPr>
          <w:rFonts w:asciiTheme="minorBidi" w:hAnsiTheme="minorBidi" w:cs="DokChampa"/>
          <w:color w:val="000000"/>
          <w:szCs w:val="22"/>
          <w:lang w:eastAsia="sk-SK"/>
        </w:rPr>
        <w:t>alebo nepriamo vlastní podiel v hlavnom materskom subjekte</w:t>
      </w:r>
      <w:r w:rsidRPr="00AB6FFE">
        <w:rPr>
          <w:rFonts w:asciiTheme="minorBidi" w:hAnsiTheme="minorBidi" w:cs="DokChampa"/>
          <w:color w:val="000000"/>
          <w:szCs w:val="22"/>
          <w:lang w:eastAsia="sk-SK"/>
        </w:rPr>
        <w:t>.</w:t>
      </w:r>
    </w:p>
    <w:p w:rsidR="00C30F45"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3E3FDD"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 xml:space="preserve">Náhradným materským subjektom je taký základný subjekt </w:t>
      </w:r>
      <w:r>
        <w:rPr>
          <w:rFonts w:asciiTheme="minorBidi" w:hAnsiTheme="minorBidi" w:cs="DokChampa"/>
          <w:color w:val="000000"/>
          <w:szCs w:val="22"/>
          <w:lang w:eastAsia="sk-SK"/>
        </w:rPr>
        <w:t>nadnárodnej</w:t>
      </w:r>
      <w:r w:rsidRPr="00AB6FFE">
        <w:rPr>
          <w:rFonts w:asciiTheme="minorBidi" w:hAnsiTheme="minorBidi" w:cs="DokChampa"/>
          <w:color w:val="000000"/>
          <w:szCs w:val="22"/>
          <w:lang w:eastAsia="sk-SK"/>
        </w:rPr>
        <w:t xml:space="preserve"> skupiny podnikov, ktorý bol skupinou určený, aby ako jediný zástupca hlavného materského subjektu podával v štáte svojej daňovej rezidencie správu podľa jednotlivých štátov v mene </w:t>
      </w:r>
      <w:r>
        <w:rPr>
          <w:rFonts w:asciiTheme="minorBidi" w:hAnsiTheme="minorBidi" w:cs="DokChampa"/>
          <w:color w:val="000000"/>
          <w:szCs w:val="22"/>
          <w:lang w:eastAsia="sk-SK"/>
        </w:rPr>
        <w:t>nadnárodnej</w:t>
      </w:r>
      <w:r w:rsidRPr="00AB6FFE">
        <w:rPr>
          <w:rFonts w:asciiTheme="minorBidi" w:hAnsiTheme="minorBidi" w:cs="DokChampa"/>
          <w:color w:val="000000"/>
          <w:szCs w:val="22"/>
          <w:lang w:eastAsia="sk-SK"/>
        </w:rPr>
        <w:t xml:space="preserve"> skupiny podnikov</w:t>
      </w:r>
      <w:r>
        <w:rPr>
          <w:rFonts w:asciiTheme="minorBidi" w:hAnsiTheme="minorBidi" w:cs="DokChampa"/>
          <w:color w:val="000000"/>
          <w:szCs w:val="22"/>
          <w:lang w:eastAsia="sk-SK"/>
        </w:rPr>
        <w:t>.  Náhradný materský subjekt môže podávať správu podľa jednotlivých štátov vtedy, ak</w:t>
      </w:r>
      <w:r w:rsidRPr="00AB6FFE">
        <w:rPr>
          <w:rFonts w:asciiTheme="minorBidi" w:hAnsiTheme="minorBidi" w:cs="DokChampa"/>
          <w:color w:val="000000"/>
          <w:szCs w:val="22"/>
          <w:lang w:eastAsia="sk-SK"/>
        </w:rPr>
        <w:t xml:space="preserve"> je splnená aspoň jedn</w:t>
      </w:r>
      <w:r>
        <w:rPr>
          <w:rFonts w:asciiTheme="minorBidi" w:hAnsiTheme="minorBidi" w:cs="DokChampa"/>
          <w:color w:val="000000"/>
          <w:szCs w:val="22"/>
          <w:lang w:eastAsia="sk-SK"/>
        </w:rPr>
        <w:t>a z podmienok ustanovených v </w:t>
      </w:r>
      <w:r w:rsidRPr="00A87B9A">
        <w:rPr>
          <w:rFonts w:asciiTheme="minorBidi" w:hAnsiTheme="minorBidi" w:cs="DokChampa"/>
          <w:color w:val="000000"/>
          <w:szCs w:val="22"/>
          <w:lang w:eastAsia="sk-SK"/>
        </w:rPr>
        <w:t>§ 22c ods.1 písm. b)</w:t>
      </w:r>
      <w:r>
        <w:rPr>
          <w:rFonts w:asciiTheme="minorBidi" w:hAnsiTheme="minorBidi" w:cs="DokChampa"/>
          <w:color w:val="000000"/>
          <w:szCs w:val="22"/>
          <w:lang w:eastAsia="sk-SK"/>
        </w:rPr>
        <w:t xml:space="preserve">, teda ak: (1) </w:t>
      </w:r>
      <w:r w:rsidRPr="003E3FDD">
        <w:rPr>
          <w:rFonts w:asciiTheme="minorBidi" w:hAnsiTheme="minorBidi" w:cs="DokChampa"/>
          <w:color w:val="000000"/>
          <w:szCs w:val="22"/>
          <w:lang w:eastAsia="sk-SK"/>
        </w:rPr>
        <w:t xml:space="preserve">hlavný materský subjekt nadnárodnej skupiny podnikov nie je povinný podávať správu podľa jednotlivých štátov, alebo </w:t>
      </w:r>
      <w:r>
        <w:rPr>
          <w:rFonts w:asciiTheme="minorBidi" w:hAnsiTheme="minorBidi" w:cs="DokChampa"/>
          <w:color w:val="000000"/>
          <w:szCs w:val="22"/>
          <w:lang w:eastAsia="sk-SK"/>
        </w:rPr>
        <w:t xml:space="preserve">(2) </w:t>
      </w:r>
      <w:r w:rsidRPr="003E3FDD">
        <w:rPr>
          <w:rFonts w:asciiTheme="minorBidi" w:hAnsiTheme="minorBidi" w:cs="DokChampa"/>
          <w:color w:val="000000"/>
          <w:szCs w:val="22"/>
          <w:lang w:eastAsia="sk-SK"/>
        </w:rPr>
        <w:t>štát</w:t>
      </w:r>
      <w:r>
        <w:rPr>
          <w:rFonts w:asciiTheme="minorBidi" w:hAnsiTheme="minorBidi" w:cs="DokChampa"/>
          <w:color w:val="000000"/>
          <w:szCs w:val="22"/>
          <w:lang w:eastAsia="sk-SK"/>
        </w:rPr>
        <w:t xml:space="preserve"> dohody</w:t>
      </w:r>
      <w:r w:rsidRPr="003E3FDD">
        <w:rPr>
          <w:rFonts w:asciiTheme="minorBidi" w:hAnsiTheme="minorBidi" w:cs="DokChampa"/>
          <w:color w:val="000000"/>
          <w:szCs w:val="22"/>
          <w:lang w:eastAsia="sk-SK"/>
        </w:rPr>
        <w:t xml:space="preserve">, ktorého je hlavný materský subjekt rezidentom na daňové účely nemá platnú dohodu podľa § 22a písm. b), alebo </w:t>
      </w:r>
      <w:r>
        <w:rPr>
          <w:rFonts w:asciiTheme="minorBidi" w:hAnsiTheme="minorBidi" w:cs="DokChampa"/>
          <w:color w:val="000000"/>
          <w:szCs w:val="22"/>
          <w:lang w:eastAsia="sk-SK"/>
        </w:rPr>
        <w:t xml:space="preserve">(3) </w:t>
      </w:r>
      <w:r w:rsidRPr="003E3FDD">
        <w:rPr>
          <w:rFonts w:asciiTheme="minorBidi" w:hAnsiTheme="minorBidi" w:cs="DokChampa"/>
          <w:color w:val="000000"/>
          <w:szCs w:val="22"/>
          <w:lang w:eastAsia="sk-SK"/>
        </w:rPr>
        <w:t xml:space="preserve">došlo k systémovému zlyhaniu štátu, ktorého je hlavný materský subjekt rezidentom na daňové účely </w:t>
      </w:r>
      <w:r>
        <w:rPr>
          <w:rFonts w:asciiTheme="minorBidi" w:hAnsiTheme="minorBidi" w:cs="DokChampa"/>
          <w:color w:val="000000"/>
          <w:szCs w:val="22"/>
          <w:lang w:eastAsia="sk-SK"/>
        </w:rPr>
        <w:t xml:space="preserve"> </w:t>
      </w:r>
      <w:r w:rsidRPr="00AB6FFE">
        <w:rPr>
          <w:rFonts w:asciiTheme="minorBidi" w:hAnsiTheme="minorBidi" w:cs="DokChampa"/>
          <w:color w:val="000000"/>
          <w:szCs w:val="22"/>
          <w:lang w:eastAsia="sk-SK"/>
        </w:rPr>
        <w:t xml:space="preserve"> Skupina </w:t>
      </w:r>
      <w:r>
        <w:rPr>
          <w:rFonts w:asciiTheme="minorBidi" w:hAnsiTheme="minorBidi" w:cs="DokChampa"/>
          <w:color w:val="000000"/>
          <w:szCs w:val="22"/>
          <w:lang w:eastAsia="sk-SK"/>
        </w:rPr>
        <w:t xml:space="preserve">si </w:t>
      </w:r>
      <w:r w:rsidRPr="00AB6FFE">
        <w:rPr>
          <w:rFonts w:asciiTheme="minorBidi" w:hAnsiTheme="minorBidi" w:cs="DokChampa"/>
          <w:color w:val="000000"/>
          <w:szCs w:val="22"/>
          <w:lang w:eastAsia="sk-SK"/>
        </w:rPr>
        <w:t>nemôže určiť viac</w:t>
      </w:r>
      <w:r>
        <w:rPr>
          <w:rFonts w:asciiTheme="minorBidi" w:hAnsiTheme="minorBidi" w:cs="DokChampa"/>
          <w:color w:val="000000"/>
          <w:szCs w:val="22"/>
          <w:lang w:eastAsia="sk-SK"/>
        </w:rPr>
        <w:t>ero</w:t>
      </w:r>
      <w:r w:rsidRPr="00AB6FFE">
        <w:rPr>
          <w:rFonts w:asciiTheme="minorBidi" w:hAnsiTheme="minorBidi" w:cs="DokChampa"/>
          <w:color w:val="000000"/>
          <w:szCs w:val="22"/>
          <w:lang w:eastAsia="sk-SK"/>
        </w:rPr>
        <w:t xml:space="preserve"> náhradných materských subjektov. </w:t>
      </w:r>
    </w:p>
    <w:p w:rsidR="00C30F45"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Oznamujúcim subjektom je</w:t>
      </w:r>
      <w:r>
        <w:rPr>
          <w:rFonts w:asciiTheme="minorBidi" w:hAnsiTheme="minorBidi" w:cs="DokChampa"/>
          <w:color w:val="000000"/>
          <w:szCs w:val="22"/>
          <w:lang w:eastAsia="sk-SK"/>
        </w:rPr>
        <w:t xml:space="preserve"> ten</w:t>
      </w:r>
      <w:r w:rsidRPr="00AB6FFE">
        <w:rPr>
          <w:rFonts w:asciiTheme="minorBidi" w:hAnsiTheme="minorBidi" w:cs="DokChampa"/>
          <w:color w:val="000000"/>
          <w:szCs w:val="22"/>
          <w:lang w:eastAsia="sk-SK"/>
        </w:rPr>
        <w:t xml:space="preserve"> základný subjekt, ktorý je povinný podávať správu podľa jednotlivých štátov v mene skupiny nadnárodných podnikov. Oznamujúcim subjektom môže byť hlavný materský subjekt, náhradný materský subjekt alebo základný subjekt ustanovený v § </w:t>
      </w:r>
      <w:r>
        <w:rPr>
          <w:rFonts w:asciiTheme="minorBidi" w:hAnsiTheme="minorBidi" w:cs="DokChampa"/>
          <w:color w:val="000000"/>
          <w:szCs w:val="22"/>
          <w:lang w:eastAsia="sk-SK"/>
        </w:rPr>
        <w:t>22c</w:t>
      </w:r>
      <w:r w:rsidRPr="00AB6FFE">
        <w:rPr>
          <w:rFonts w:asciiTheme="minorBidi" w:hAnsiTheme="minorBidi" w:cs="DokChampa"/>
          <w:color w:val="000000"/>
          <w:szCs w:val="22"/>
          <w:lang w:eastAsia="sk-SK"/>
        </w:rPr>
        <w:t xml:space="preserve"> ods. 1.</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 xml:space="preserve">Finančným rokom je  </w:t>
      </w:r>
      <w:r>
        <w:rPr>
          <w:rFonts w:asciiTheme="minorBidi" w:hAnsiTheme="minorBidi" w:cs="DokChampa"/>
          <w:color w:val="000000"/>
          <w:szCs w:val="22"/>
          <w:lang w:eastAsia="sk-SK"/>
        </w:rPr>
        <w:t xml:space="preserve">také </w:t>
      </w:r>
      <w:r w:rsidRPr="00AB6FFE">
        <w:rPr>
          <w:rFonts w:asciiTheme="minorBidi" w:hAnsiTheme="minorBidi" w:cs="DokChampa"/>
          <w:color w:val="000000"/>
          <w:szCs w:val="22"/>
          <w:lang w:eastAsia="sk-SK"/>
        </w:rPr>
        <w:t>účtovné obdobie, za ktoré hlavný materský subjekt skupiny nadnárodných podnikov zostavuje účtovnú závierku, napr. kalendárny rok, alebo akékoľvek iné účtovné obdobie.</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Oznamovaným finančným rokom sa rozumie finančný rok, za ktorý sa uvádzajú finančné a prevádzkové výsledky</w:t>
      </w:r>
      <w:r w:rsidRPr="00092727">
        <w:rPr>
          <w:rFonts w:asciiTheme="minorBidi" w:hAnsiTheme="minorBidi" w:cs="DokChampa"/>
          <w:color w:val="000000"/>
          <w:szCs w:val="22"/>
          <w:lang w:eastAsia="sk-SK"/>
        </w:rPr>
        <w:t xml:space="preserve"> </w:t>
      </w:r>
      <w:r w:rsidRPr="00AB6FFE">
        <w:rPr>
          <w:rFonts w:asciiTheme="minorBidi" w:hAnsiTheme="minorBidi" w:cs="DokChampa"/>
          <w:color w:val="000000"/>
          <w:szCs w:val="22"/>
          <w:lang w:eastAsia="sk-SK"/>
        </w:rPr>
        <w:t>v správe podľa jednotlivých štátov.</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Konsolidovanou účtovnou závierkou je účtovná závierka nadná</w:t>
      </w:r>
      <w:r>
        <w:rPr>
          <w:rFonts w:asciiTheme="minorBidi" w:hAnsiTheme="minorBidi" w:cs="DokChampa"/>
          <w:color w:val="000000"/>
          <w:szCs w:val="22"/>
          <w:lang w:eastAsia="sk-SK"/>
        </w:rPr>
        <w:t>rodnej</w:t>
      </w:r>
      <w:r w:rsidRPr="00AB6FFE">
        <w:rPr>
          <w:rFonts w:asciiTheme="minorBidi" w:hAnsiTheme="minorBidi" w:cs="DokChampa"/>
          <w:color w:val="000000"/>
          <w:szCs w:val="22"/>
          <w:lang w:eastAsia="sk-SK"/>
        </w:rPr>
        <w:t xml:space="preserve"> skupiny podnikov, v ktorej sa </w:t>
      </w:r>
      <w:r>
        <w:rPr>
          <w:rFonts w:asciiTheme="minorBidi" w:hAnsiTheme="minorBidi" w:cs="DokChampa"/>
          <w:color w:val="000000"/>
          <w:szCs w:val="22"/>
          <w:lang w:eastAsia="sk-SK"/>
        </w:rPr>
        <w:t>vykazuje</w:t>
      </w:r>
      <w:r w:rsidRPr="00AB6FFE">
        <w:rPr>
          <w:rFonts w:asciiTheme="minorBidi" w:hAnsiTheme="minorBidi" w:cs="DokChampa"/>
          <w:color w:val="000000"/>
          <w:szCs w:val="22"/>
          <w:lang w:eastAsia="sk-SK"/>
        </w:rPr>
        <w:t xml:space="preserve"> majetok, záväzky, výnosy, náklady a peňažné toky hlavného materského subjektu a základných subjektov ako jediného hospodárskeho </w:t>
      </w:r>
      <w:r>
        <w:rPr>
          <w:rFonts w:asciiTheme="minorBidi" w:hAnsiTheme="minorBidi" w:cs="DokChampa"/>
          <w:color w:val="000000"/>
          <w:szCs w:val="22"/>
          <w:lang w:eastAsia="sk-SK"/>
        </w:rPr>
        <w:t>celku</w:t>
      </w:r>
      <w:r w:rsidRPr="00AB6FFE">
        <w:rPr>
          <w:rFonts w:asciiTheme="minorBidi" w:hAnsiTheme="minorBidi" w:cs="DokChampa"/>
          <w:color w:val="000000"/>
          <w:szCs w:val="22"/>
          <w:lang w:eastAsia="sk-SK"/>
        </w:rPr>
        <w:t>.</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Systémovým zlyhaním sú prípady,</w:t>
      </w:r>
      <w:r>
        <w:rPr>
          <w:rFonts w:asciiTheme="minorBidi" w:hAnsiTheme="minorBidi" w:cs="DokChampa"/>
          <w:color w:val="000000"/>
          <w:szCs w:val="22"/>
          <w:lang w:eastAsia="sk-SK"/>
        </w:rPr>
        <w:t xml:space="preserve"> keď</w:t>
      </w:r>
      <w:r w:rsidRPr="00AB6FFE">
        <w:rPr>
          <w:rFonts w:asciiTheme="minorBidi" w:hAnsiTheme="minorBidi" w:cs="DokChampa"/>
          <w:color w:val="000000"/>
          <w:szCs w:val="22"/>
          <w:lang w:eastAsia="sk-SK"/>
        </w:rPr>
        <w:t xml:space="preserve"> štát pozastaví automatickú výmenu informácií z iných dôvodov, ako sú dôvody uvedené v dohode, alebo opakovane automaticky neposkytuje Slovenskej republike správy podľa jednotlivých štátov, aj keď takéto správy má k dispozícii.</w:t>
      </w:r>
      <w:r w:rsidRPr="005A0F85">
        <w:rPr>
          <w:rFonts w:asciiTheme="minorBidi" w:hAnsiTheme="minorBidi" w:cs="DokChampa"/>
          <w:color w:val="000000"/>
          <w:szCs w:val="22"/>
          <w:lang w:eastAsia="sk-SK"/>
        </w:rPr>
        <w:t xml:space="preserve"> </w:t>
      </w:r>
      <w:r>
        <w:rPr>
          <w:rFonts w:asciiTheme="minorBidi" w:hAnsiTheme="minorBidi" w:cs="DokChampa"/>
          <w:color w:val="000000"/>
          <w:szCs w:val="22"/>
          <w:lang w:eastAsia="sk-SK"/>
        </w:rPr>
        <w:t xml:space="preserve">Systémové zlyhanie nemôže vzniknúť vo vzťahu k členským štátom, </w:t>
      </w:r>
      <w:r w:rsidRPr="00AB6FFE">
        <w:rPr>
          <w:rFonts w:asciiTheme="minorBidi" w:hAnsiTheme="minorBidi" w:cs="DokChampa"/>
          <w:color w:val="000000"/>
          <w:szCs w:val="22"/>
          <w:lang w:eastAsia="sk-SK"/>
        </w:rPr>
        <w:t xml:space="preserve">ale výlučne </w:t>
      </w:r>
      <w:r>
        <w:rPr>
          <w:rFonts w:asciiTheme="minorBidi" w:hAnsiTheme="minorBidi" w:cs="DokChampa"/>
          <w:color w:val="000000"/>
          <w:szCs w:val="22"/>
          <w:lang w:eastAsia="sk-SK"/>
        </w:rPr>
        <w:t>vo vzťahu k </w:t>
      </w:r>
      <w:r w:rsidRPr="00AB6FFE">
        <w:rPr>
          <w:rFonts w:asciiTheme="minorBidi" w:hAnsiTheme="minorBidi" w:cs="DokChampa"/>
          <w:color w:val="000000"/>
          <w:szCs w:val="22"/>
          <w:lang w:eastAsia="sk-SK"/>
        </w:rPr>
        <w:t>štát</w:t>
      </w:r>
      <w:r>
        <w:rPr>
          <w:rFonts w:asciiTheme="minorBidi" w:hAnsiTheme="minorBidi" w:cs="DokChampa"/>
          <w:color w:val="000000"/>
          <w:szCs w:val="22"/>
          <w:lang w:eastAsia="sk-SK"/>
        </w:rPr>
        <w:t>om dohody</w:t>
      </w:r>
      <w:r w:rsidRPr="00AB6FFE">
        <w:rPr>
          <w:rFonts w:asciiTheme="minorBidi" w:hAnsiTheme="minorBidi" w:cs="DokChampa"/>
          <w:color w:val="000000"/>
          <w:szCs w:val="22"/>
          <w:lang w:eastAsia="sk-SK"/>
        </w:rPr>
        <w:t>, s ktorým</w:t>
      </w:r>
      <w:r>
        <w:rPr>
          <w:rFonts w:asciiTheme="minorBidi" w:hAnsiTheme="minorBidi" w:cs="DokChampa"/>
          <w:color w:val="000000"/>
          <w:szCs w:val="22"/>
          <w:lang w:eastAsia="sk-SK"/>
        </w:rPr>
        <w:t>i</w:t>
      </w:r>
      <w:r w:rsidRPr="00AB6FFE">
        <w:rPr>
          <w:rFonts w:asciiTheme="minorBidi" w:hAnsiTheme="minorBidi" w:cs="DokChampa"/>
          <w:color w:val="000000"/>
          <w:szCs w:val="22"/>
          <w:lang w:eastAsia="sk-SK"/>
        </w:rPr>
        <w:t xml:space="preserve"> Slovenská republika uzatvorila platnú d</w:t>
      </w:r>
      <w:r>
        <w:rPr>
          <w:rFonts w:asciiTheme="minorBidi" w:hAnsiTheme="minorBidi" w:cs="DokChampa"/>
          <w:color w:val="000000"/>
          <w:szCs w:val="22"/>
          <w:lang w:eastAsia="sk-SK"/>
        </w:rPr>
        <w:t>ohodu.</w:t>
      </w:r>
    </w:p>
    <w:p w:rsidR="00C30F45" w:rsidRPr="009F7252" w:rsidP="00C30F45">
      <w:pPr>
        <w:bidi w:val="0"/>
        <w:spacing w:after="0" w:line="240" w:lineRule="auto"/>
        <w:jc w:val="center"/>
        <w:rPr>
          <w:rFonts w:ascii="Times New Roman" w:hAnsi="Times New Roman"/>
          <w:b/>
          <w:bCs/>
          <w:szCs w:val="22"/>
          <w:highlight w:val="yellow"/>
        </w:rPr>
      </w:pPr>
    </w:p>
    <w:p w:rsidR="00C30F45" w:rsidRPr="00745F32" w:rsidP="00C30F45">
      <w:pPr>
        <w:widowControl w:val="0"/>
        <w:tabs>
          <w:tab w:val="left" w:pos="708"/>
        </w:tabs>
        <w:bidi w:val="0"/>
        <w:spacing w:after="0" w:line="264" w:lineRule="auto"/>
        <w:jc w:val="both"/>
        <w:rPr>
          <w:rFonts w:ascii="Times New Roman" w:hAnsi="Times New Roman"/>
          <w:b/>
          <w:color w:val="000000"/>
          <w:sz w:val="24"/>
          <w:szCs w:val="24"/>
          <w:u w:val="single"/>
          <w:lang w:eastAsia="sk-SK"/>
        </w:rPr>
      </w:pPr>
      <w:r w:rsidRPr="00745F32">
        <w:rPr>
          <w:rFonts w:ascii="Times New Roman" w:hAnsi="Times New Roman"/>
          <w:b/>
          <w:bCs/>
          <w:szCs w:val="22"/>
          <w:u w:val="single"/>
        </w:rPr>
        <w:t>§ 22b</w:t>
      </w:r>
    </w:p>
    <w:p w:rsidR="00C30F45" w:rsidRPr="00D90596" w:rsidP="00C30F45">
      <w:pPr>
        <w:bidi w:val="0"/>
        <w:spacing w:after="0"/>
        <w:rPr>
          <w:rFonts w:ascii="Times New Roman" w:hAnsi="Times New Roman"/>
        </w:rPr>
      </w:pPr>
      <w:r w:rsidRPr="00D90596">
        <w:rPr>
          <w:rFonts w:ascii="Times New Roman" w:hAnsi="Times New Roman"/>
        </w:rPr>
        <w:t>Ustanovenia tohto paragrafu  určuj</w:t>
      </w:r>
      <w:r>
        <w:rPr>
          <w:rFonts w:ascii="Times New Roman" w:hAnsi="Times New Roman"/>
        </w:rPr>
        <w:t>ú</w:t>
      </w:r>
      <w:r w:rsidRPr="00D90596">
        <w:rPr>
          <w:rFonts w:ascii="Times New Roman" w:hAnsi="Times New Roman"/>
        </w:rPr>
        <w:t xml:space="preserve"> rozsah a podmienky automatickej výmeny informácií. </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 xml:space="preserve">Povinnosť predkladať správu sa vzťahuje na hlavný materský subjekt, ktorý je rezidentom Slovenskej republiky na daňové účely, základný subjekt po splnení podmienok ustanovených v § </w:t>
      </w:r>
      <w:r>
        <w:rPr>
          <w:rFonts w:asciiTheme="minorBidi" w:hAnsiTheme="minorBidi" w:cs="DokChampa"/>
          <w:color w:val="000000"/>
          <w:szCs w:val="22"/>
          <w:lang w:eastAsia="sk-SK"/>
        </w:rPr>
        <w:t>22c</w:t>
      </w:r>
      <w:r w:rsidRPr="00AB6FFE">
        <w:rPr>
          <w:rFonts w:asciiTheme="minorBidi" w:hAnsiTheme="minorBidi" w:cs="DokChampa"/>
          <w:color w:val="000000"/>
          <w:szCs w:val="22"/>
          <w:lang w:eastAsia="sk-SK"/>
        </w:rPr>
        <w:t>, alebo náhradný materský subjekt po spln</w:t>
      </w:r>
      <w:r>
        <w:rPr>
          <w:rFonts w:asciiTheme="minorBidi" w:hAnsiTheme="minorBidi" w:cs="DokChampa"/>
          <w:color w:val="000000"/>
          <w:szCs w:val="22"/>
          <w:lang w:eastAsia="sk-SK"/>
        </w:rPr>
        <w:t>ení podmienok ustanovených v § 22d</w:t>
      </w:r>
      <w:r w:rsidRPr="00AB6FFE">
        <w:rPr>
          <w:rFonts w:asciiTheme="minorBidi" w:hAnsiTheme="minorBidi" w:cs="DokChampa"/>
          <w:color w:val="000000"/>
          <w:szCs w:val="22"/>
          <w:lang w:eastAsia="sk-SK"/>
        </w:rPr>
        <w:t>. Správa sa podáva Finančné</w:t>
      </w:r>
      <w:r>
        <w:rPr>
          <w:rFonts w:asciiTheme="minorBidi" w:hAnsiTheme="minorBidi" w:cs="DokChampa"/>
          <w:color w:val="000000"/>
          <w:szCs w:val="22"/>
          <w:lang w:eastAsia="sk-SK"/>
        </w:rPr>
        <w:t>mu riaditeľstvu</w:t>
      </w:r>
      <w:r w:rsidRPr="00AB6FFE">
        <w:rPr>
          <w:rFonts w:asciiTheme="minorBidi" w:hAnsiTheme="minorBidi" w:cs="DokChampa"/>
          <w:color w:val="000000"/>
          <w:szCs w:val="22"/>
          <w:lang w:eastAsia="sk-SK"/>
        </w:rPr>
        <w:t xml:space="preserve"> SR</w:t>
      </w:r>
      <w:r>
        <w:rPr>
          <w:rFonts w:asciiTheme="minorBidi" w:hAnsiTheme="minorBidi" w:cs="DokChampa"/>
          <w:color w:val="000000"/>
          <w:szCs w:val="22"/>
          <w:lang w:eastAsia="sk-SK"/>
        </w:rPr>
        <w:t>, ktoré je Ministerstvom financií SR určené ako príslušný orgán. Správa sa podáva</w:t>
      </w:r>
      <w:r w:rsidRPr="00AB6FFE">
        <w:rPr>
          <w:rFonts w:asciiTheme="minorBidi" w:hAnsiTheme="minorBidi" w:cs="DokChampa"/>
          <w:color w:val="000000"/>
          <w:szCs w:val="22"/>
          <w:lang w:eastAsia="sk-SK"/>
        </w:rPr>
        <w:t xml:space="preserve"> za oznamovaný finančný rok v lehote do 12 mesiacov od posledného dňa oznamovaného finančného roka </w:t>
      </w:r>
      <w:r>
        <w:rPr>
          <w:rFonts w:asciiTheme="minorBidi" w:hAnsiTheme="minorBidi" w:cs="DokChampa"/>
          <w:color w:val="000000"/>
          <w:szCs w:val="22"/>
          <w:lang w:eastAsia="sk-SK"/>
        </w:rPr>
        <w:t>nadnárodnej</w:t>
      </w:r>
      <w:r w:rsidRPr="00AB6FFE">
        <w:rPr>
          <w:rFonts w:asciiTheme="minorBidi" w:hAnsiTheme="minorBidi" w:cs="DokChampa"/>
          <w:color w:val="000000"/>
          <w:szCs w:val="22"/>
          <w:lang w:eastAsia="sk-SK"/>
        </w:rPr>
        <w:t xml:space="preserve"> skupiny podnikov. Ak napríklad finančným rokom je kalendárny rok 2016, t.</w:t>
      </w:r>
      <w:r>
        <w:rPr>
          <w:rFonts w:asciiTheme="minorBidi" w:hAnsiTheme="minorBidi" w:cs="DokChampa"/>
          <w:color w:val="000000"/>
          <w:szCs w:val="22"/>
          <w:lang w:eastAsia="sk-SK"/>
        </w:rPr>
        <w:t xml:space="preserve"> </w:t>
      </w:r>
      <w:r w:rsidRPr="00AB6FFE">
        <w:rPr>
          <w:rFonts w:asciiTheme="minorBidi" w:hAnsiTheme="minorBidi" w:cs="DokChampa"/>
          <w:color w:val="000000"/>
          <w:szCs w:val="22"/>
          <w:lang w:eastAsia="sk-SK"/>
        </w:rPr>
        <w:t xml:space="preserve">j. od 1.1.2016 do 31.12.2016, správa sa podáva </w:t>
      </w:r>
      <w:r>
        <w:rPr>
          <w:rFonts w:asciiTheme="minorBidi" w:hAnsiTheme="minorBidi" w:cs="DokChampa"/>
          <w:color w:val="000000"/>
          <w:szCs w:val="22"/>
          <w:lang w:eastAsia="sk-SK"/>
        </w:rPr>
        <w:t xml:space="preserve">najneskôr </w:t>
      </w:r>
      <w:r w:rsidRPr="00AB6FFE">
        <w:rPr>
          <w:rFonts w:asciiTheme="minorBidi" w:hAnsiTheme="minorBidi" w:cs="DokChampa"/>
          <w:color w:val="000000"/>
          <w:szCs w:val="22"/>
          <w:lang w:eastAsia="sk-SK"/>
        </w:rPr>
        <w:t>do 31.12.2017.</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Finančné riaditeľstvo SR zasiela správu</w:t>
      </w:r>
      <w:r>
        <w:rPr>
          <w:rFonts w:asciiTheme="minorBidi" w:hAnsiTheme="minorBidi" w:cs="DokChampa"/>
          <w:color w:val="000000"/>
          <w:szCs w:val="22"/>
          <w:lang w:eastAsia="sk-SK"/>
        </w:rPr>
        <w:t xml:space="preserve"> podľa jednotlivých štátov</w:t>
      </w:r>
      <w:r w:rsidRPr="00AB6FFE">
        <w:rPr>
          <w:rFonts w:asciiTheme="minorBidi" w:hAnsiTheme="minorBidi" w:cs="DokChampa"/>
          <w:color w:val="000000"/>
          <w:szCs w:val="22"/>
          <w:lang w:eastAsia="sk-SK"/>
        </w:rPr>
        <w:t xml:space="preserve"> prijatú od </w:t>
      </w:r>
      <w:r>
        <w:rPr>
          <w:rFonts w:asciiTheme="minorBidi" w:hAnsiTheme="minorBidi" w:cs="DokChampa"/>
          <w:color w:val="000000"/>
          <w:szCs w:val="22"/>
          <w:lang w:eastAsia="sk-SK"/>
        </w:rPr>
        <w:t>nadnárodnej</w:t>
      </w:r>
      <w:r w:rsidRPr="00AB6FFE">
        <w:rPr>
          <w:rFonts w:asciiTheme="minorBidi" w:hAnsiTheme="minorBidi" w:cs="DokChampa"/>
          <w:color w:val="000000"/>
          <w:szCs w:val="22"/>
          <w:lang w:eastAsia="sk-SK"/>
        </w:rPr>
        <w:t xml:space="preserve"> skupiny podnikov prostredníctvom automatickej výmeny informácií príslušnému orgánu členského štátu alebo štátu</w:t>
      </w:r>
      <w:r>
        <w:rPr>
          <w:rFonts w:asciiTheme="minorBidi" w:hAnsiTheme="minorBidi" w:cs="DokChampa"/>
          <w:color w:val="000000"/>
          <w:szCs w:val="22"/>
          <w:lang w:eastAsia="sk-SK"/>
        </w:rPr>
        <w:t xml:space="preserve"> dohody</w:t>
      </w:r>
      <w:r w:rsidRPr="00AB6FFE">
        <w:rPr>
          <w:rFonts w:asciiTheme="minorBidi" w:hAnsiTheme="minorBidi" w:cs="DokChampa"/>
          <w:color w:val="000000"/>
          <w:szCs w:val="22"/>
          <w:lang w:eastAsia="sk-SK"/>
        </w:rPr>
        <w:t>, v ktorom je rezidentom na daňové účely základný subjekt skupiny nadnárodných podnikov alebo v ktorom základný subjekt podlieha dani z príjmov v súvislosti s činnosťou vykonávanou pros</w:t>
      </w:r>
      <w:r>
        <w:rPr>
          <w:rFonts w:asciiTheme="minorBidi" w:hAnsiTheme="minorBidi" w:cs="DokChampa"/>
          <w:color w:val="000000"/>
          <w:szCs w:val="22"/>
          <w:lang w:eastAsia="sk-SK"/>
        </w:rPr>
        <w:t xml:space="preserve">tredníctvom stálej prevádzkarne. Lehota na zaslanie správy je </w:t>
      </w:r>
      <w:r w:rsidRPr="00AB6FFE">
        <w:rPr>
          <w:rFonts w:asciiTheme="minorBidi" w:hAnsiTheme="minorBidi" w:cs="DokChampa"/>
          <w:color w:val="000000"/>
          <w:szCs w:val="22"/>
          <w:lang w:eastAsia="sk-SK"/>
        </w:rPr>
        <w:t xml:space="preserve">15 mesiacov od posledného dňa príslušného finančného roka </w:t>
      </w:r>
      <w:r>
        <w:rPr>
          <w:rFonts w:asciiTheme="minorBidi" w:hAnsiTheme="minorBidi" w:cs="DokChampa"/>
          <w:color w:val="000000"/>
          <w:szCs w:val="22"/>
          <w:lang w:eastAsia="sk-SK"/>
        </w:rPr>
        <w:t>nadnárodnej</w:t>
      </w:r>
      <w:r w:rsidRPr="00AB6FFE">
        <w:rPr>
          <w:rFonts w:asciiTheme="minorBidi" w:hAnsiTheme="minorBidi" w:cs="DokChampa"/>
          <w:color w:val="000000"/>
          <w:szCs w:val="22"/>
          <w:lang w:eastAsia="sk-SK"/>
        </w:rPr>
        <w:t xml:space="preserve"> skupiny podnikov, ktorého sa správa podľa jednotlivých štátov týka. Finančné riaditeľstvo SR prijíma informácie od príslušného orgánu  členského štátu alebo štátu</w:t>
      </w:r>
      <w:r>
        <w:rPr>
          <w:rFonts w:asciiTheme="minorBidi" w:hAnsiTheme="minorBidi" w:cs="DokChampa"/>
          <w:color w:val="000000"/>
          <w:szCs w:val="22"/>
          <w:lang w:eastAsia="sk-SK"/>
        </w:rPr>
        <w:t xml:space="preserve"> dohody</w:t>
      </w:r>
      <w:r w:rsidRPr="00AB6FFE">
        <w:rPr>
          <w:rFonts w:asciiTheme="minorBidi" w:hAnsiTheme="minorBidi" w:cs="DokChampa"/>
          <w:color w:val="000000"/>
          <w:szCs w:val="22"/>
          <w:lang w:eastAsia="sk-SK"/>
        </w:rPr>
        <w:t>.</w:t>
      </w:r>
      <w:r>
        <w:rPr>
          <w:rFonts w:asciiTheme="minorBidi" w:hAnsiTheme="minorBidi" w:cs="DokChampa"/>
          <w:color w:val="000000"/>
          <w:szCs w:val="22"/>
          <w:lang w:eastAsia="sk-SK"/>
        </w:rPr>
        <w:t xml:space="preserve"> </w:t>
      </w:r>
      <w:r w:rsidRPr="00AB6FFE">
        <w:rPr>
          <w:rFonts w:asciiTheme="minorBidi" w:hAnsiTheme="minorBidi" w:cs="DokChampa"/>
          <w:color w:val="000000"/>
          <w:szCs w:val="22"/>
          <w:lang w:eastAsia="sk-SK"/>
        </w:rPr>
        <w:t>Ak napríklad finančným rokom je kalendárny rok 201</w:t>
      </w:r>
      <w:r>
        <w:rPr>
          <w:rFonts w:asciiTheme="minorBidi" w:hAnsiTheme="minorBidi" w:cs="DokChampa"/>
          <w:color w:val="000000"/>
          <w:szCs w:val="22"/>
          <w:lang w:eastAsia="sk-SK"/>
        </w:rPr>
        <w:t>7</w:t>
      </w:r>
      <w:r w:rsidRPr="00AB6FFE">
        <w:rPr>
          <w:rFonts w:asciiTheme="minorBidi" w:hAnsiTheme="minorBidi" w:cs="DokChampa"/>
          <w:color w:val="000000"/>
          <w:szCs w:val="22"/>
          <w:lang w:eastAsia="sk-SK"/>
        </w:rPr>
        <w:t>, t.</w:t>
      </w:r>
      <w:r>
        <w:rPr>
          <w:rFonts w:asciiTheme="minorBidi" w:hAnsiTheme="minorBidi" w:cs="DokChampa"/>
          <w:color w:val="000000"/>
          <w:szCs w:val="22"/>
          <w:lang w:eastAsia="sk-SK"/>
        </w:rPr>
        <w:t xml:space="preserve"> </w:t>
      </w:r>
      <w:r w:rsidRPr="00AB6FFE">
        <w:rPr>
          <w:rFonts w:asciiTheme="minorBidi" w:hAnsiTheme="minorBidi" w:cs="DokChampa"/>
          <w:color w:val="000000"/>
          <w:szCs w:val="22"/>
          <w:lang w:eastAsia="sk-SK"/>
        </w:rPr>
        <w:t>j. od 1.1.201</w:t>
      </w:r>
      <w:r>
        <w:rPr>
          <w:rFonts w:asciiTheme="minorBidi" w:hAnsiTheme="minorBidi" w:cs="DokChampa"/>
          <w:color w:val="000000"/>
          <w:szCs w:val="22"/>
          <w:lang w:eastAsia="sk-SK"/>
        </w:rPr>
        <w:t>7</w:t>
      </w:r>
      <w:r w:rsidRPr="00AB6FFE">
        <w:rPr>
          <w:rFonts w:asciiTheme="minorBidi" w:hAnsiTheme="minorBidi" w:cs="DokChampa"/>
          <w:color w:val="000000"/>
          <w:szCs w:val="22"/>
          <w:lang w:eastAsia="sk-SK"/>
        </w:rPr>
        <w:t xml:space="preserve"> do 31.12.201</w:t>
      </w:r>
      <w:r>
        <w:rPr>
          <w:rFonts w:asciiTheme="minorBidi" w:hAnsiTheme="minorBidi" w:cs="DokChampa"/>
          <w:color w:val="000000"/>
          <w:szCs w:val="22"/>
          <w:lang w:eastAsia="sk-SK"/>
        </w:rPr>
        <w:t>7</w:t>
      </w:r>
      <w:r w:rsidRPr="00AB6FFE">
        <w:rPr>
          <w:rFonts w:asciiTheme="minorBidi" w:hAnsiTheme="minorBidi" w:cs="DokChampa"/>
          <w:color w:val="000000"/>
          <w:szCs w:val="22"/>
          <w:lang w:eastAsia="sk-SK"/>
        </w:rPr>
        <w:t xml:space="preserve">, </w:t>
      </w:r>
      <w:r>
        <w:rPr>
          <w:rFonts w:asciiTheme="minorBidi" w:hAnsiTheme="minorBidi" w:cs="DokChampa"/>
          <w:color w:val="000000"/>
          <w:szCs w:val="22"/>
          <w:lang w:eastAsia="sk-SK"/>
        </w:rPr>
        <w:t>Finančné riaditeľstvo SR zašle správu podľa jednotlivých štátov</w:t>
      </w:r>
      <w:r w:rsidRPr="00AB6FFE">
        <w:rPr>
          <w:rFonts w:asciiTheme="minorBidi" w:hAnsiTheme="minorBidi" w:cs="DokChampa"/>
          <w:color w:val="000000"/>
          <w:szCs w:val="22"/>
          <w:lang w:eastAsia="sk-SK"/>
        </w:rPr>
        <w:t xml:space="preserve"> </w:t>
      </w:r>
      <w:r>
        <w:rPr>
          <w:rFonts w:asciiTheme="minorBidi" w:hAnsiTheme="minorBidi" w:cs="DokChampa"/>
          <w:color w:val="000000"/>
          <w:szCs w:val="22"/>
          <w:lang w:eastAsia="sk-SK"/>
        </w:rPr>
        <w:t>najneskôr do 31.3.2019</w:t>
      </w:r>
      <w:r w:rsidRPr="00AB6FFE">
        <w:rPr>
          <w:rFonts w:asciiTheme="minorBidi" w:hAnsiTheme="minorBidi" w:cs="DokChampa"/>
          <w:color w:val="000000"/>
          <w:szCs w:val="22"/>
          <w:lang w:eastAsia="sk-SK"/>
        </w:rPr>
        <w:t>.</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Správa</w:t>
      </w:r>
      <w:r>
        <w:rPr>
          <w:rFonts w:asciiTheme="minorBidi" w:hAnsiTheme="minorBidi" w:cs="DokChampa"/>
          <w:color w:val="000000"/>
          <w:szCs w:val="22"/>
          <w:lang w:eastAsia="sk-SK"/>
        </w:rPr>
        <w:t xml:space="preserve"> podľa jednotlivých štátov</w:t>
      </w:r>
      <w:r w:rsidRPr="00AB6FFE">
        <w:rPr>
          <w:rFonts w:asciiTheme="minorBidi" w:hAnsiTheme="minorBidi" w:cs="DokChampa"/>
          <w:color w:val="000000"/>
          <w:szCs w:val="22"/>
          <w:lang w:eastAsia="sk-SK"/>
        </w:rPr>
        <w:t xml:space="preserve"> obsahuje za každý štát rezidencie</w:t>
      </w:r>
      <w:r>
        <w:rPr>
          <w:rFonts w:asciiTheme="minorBidi" w:hAnsiTheme="minorBidi" w:cs="DokChampa"/>
          <w:color w:val="000000"/>
          <w:szCs w:val="22"/>
          <w:lang w:eastAsia="sk-SK"/>
        </w:rPr>
        <w:t xml:space="preserve"> na daňové účely</w:t>
      </w:r>
      <w:r w:rsidRPr="00AB6FFE">
        <w:rPr>
          <w:rFonts w:asciiTheme="minorBidi" w:hAnsiTheme="minorBidi" w:cs="DokChampa"/>
          <w:color w:val="000000"/>
          <w:szCs w:val="22"/>
          <w:lang w:eastAsia="sk-SK"/>
        </w:rPr>
        <w:t>, v ktorom skupina nadnárodných podnikov pôsobí</w:t>
      </w:r>
      <w:r>
        <w:rPr>
          <w:rFonts w:asciiTheme="minorBidi" w:hAnsiTheme="minorBidi" w:cs="DokChampa"/>
          <w:color w:val="000000"/>
          <w:szCs w:val="22"/>
          <w:lang w:eastAsia="sk-SK"/>
        </w:rPr>
        <w:t>,</w:t>
      </w:r>
      <w:r w:rsidRPr="00AB6FFE">
        <w:rPr>
          <w:rFonts w:asciiTheme="minorBidi" w:hAnsiTheme="minorBidi" w:cs="DokChampa"/>
          <w:color w:val="000000"/>
          <w:szCs w:val="22"/>
          <w:lang w:eastAsia="sk-SK"/>
        </w:rPr>
        <w:t xml:space="preserve"> súhrnné informácie o výnosoch, zisku alebo strate pred zdanením, zaplatenej dani z príjmov, splatnej dani z príjmov, zapísanom základnom imaní, nerozdelenom zisku</w:t>
      </w:r>
      <w:r>
        <w:rPr>
          <w:rFonts w:asciiTheme="minorBidi" w:hAnsiTheme="minorBidi" w:cs="DokChampa"/>
          <w:color w:val="000000"/>
          <w:szCs w:val="22"/>
          <w:lang w:eastAsia="sk-SK"/>
        </w:rPr>
        <w:t xml:space="preserve"> a neuhradenej strate</w:t>
      </w:r>
      <w:r w:rsidRPr="00AB6FFE">
        <w:rPr>
          <w:rFonts w:asciiTheme="minorBidi" w:hAnsiTheme="minorBidi" w:cs="DokChampa"/>
          <w:color w:val="000000"/>
          <w:szCs w:val="22"/>
          <w:lang w:eastAsia="sk-SK"/>
        </w:rPr>
        <w:t xml:space="preserve">, počte zamestnancov, hmotnom majetku inom </w:t>
      </w:r>
      <w:r>
        <w:rPr>
          <w:rFonts w:asciiTheme="minorBidi" w:hAnsiTheme="minorBidi" w:cs="DokChampa"/>
          <w:color w:val="000000"/>
          <w:szCs w:val="22"/>
          <w:lang w:eastAsia="sk-SK"/>
        </w:rPr>
        <w:t>ako</w:t>
      </w:r>
      <w:r w:rsidRPr="00AB6FFE">
        <w:rPr>
          <w:rFonts w:asciiTheme="minorBidi" w:hAnsiTheme="minorBidi" w:cs="DokChampa"/>
          <w:color w:val="000000"/>
          <w:szCs w:val="22"/>
          <w:lang w:eastAsia="sk-SK"/>
        </w:rPr>
        <w:t xml:space="preserve"> peňažné prostriedky a peňažné ekvivalenty</w:t>
      </w:r>
      <w:r>
        <w:rPr>
          <w:rFonts w:asciiTheme="minorBidi" w:hAnsiTheme="minorBidi" w:cs="DokChampa"/>
          <w:color w:val="000000"/>
          <w:szCs w:val="22"/>
          <w:lang w:eastAsia="sk-SK"/>
        </w:rPr>
        <w:t>. U</w:t>
      </w:r>
      <w:r w:rsidRPr="00AB6FFE">
        <w:rPr>
          <w:rFonts w:asciiTheme="minorBidi" w:hAnsiTheme="minorBidi" w:cs="DokChampa"/>
          <w:color w:val="000000"/>
          <w:szCs w:val="22"/>
          <w:lang w:eastAsia="sk-SK"/>
        </w:rPr>
        <w:t xml:space="preserve">vedie </w:t>
      </w:r>
      <w:r>
        <w:rPr>
          <w:rFonts w:asciiTheme="minorBidi" w:hAnsiTheme="minorBidi" w:cs="DokChampa"/>
          <w:color w:val="000000"/>
          <w:szCs w:val="22"/>
          <w:lang w:eastAsia="sk-SK"/>
        </w:rPr>
        <w:t xml:space="preserve">sa </w:t>
      </w:r>
      <w:r w:rsidRPr="00AB6FFE">
        <w:rPr>
          <w:rFonts w:asciiTheme="minorBidi" w:hAnsiTheme="minorBidi" w:cs="DokChampa"/>
          <w:color w:val="000000"/>
          <w:szCs w:val="22"/>
          <w:lang w:eastAsia="sk-SK"/>
        </w:rPr>
        <w:t>aj mena, v ktorej sú tieto sumy vyjadrené. Správa ďalej obsahuje zoznam jednotlivých základných subjektov, štát ich rezidencie na daňové účely, štát, v ktorom má základný subjekt sídlo, ak sa odlišuje od štátu rezidencie na daňové účely a charakter hlavnej ekonomickej činnosti základného subjektu.</w:t>
      </w:r>
    </w:p>
    <w:p w:rsidR="00C30F45" w:rsidP="00C30F45">
      <w:pPr>
        <w:bidi w:val="0"/>
        <w:spacing w:after="0" w:line="240" w:lineRule="auto"/>
        <w:ind w:left="357"/>
        <w:jc w:val="center"/>
        <w:rPr>
          <w:rFonts w:ascii="Times New Roman" w:hAnsi="Times New Roman"/>
          <w:b/>
          <w:bCs/>
          <w:szCs w:val="22"/>
        </w:rPr>
      </w:pPr>
    </w:p>
    <w:p w:rsidR="00C30F45" w:rsidRPr="00317578" w:rsidP="00C30F45">
      <w:pPr>
        <w:widowControl w:val="0"/>
        <w:tabs>
          <w:tab w:val="left" w:pos="708"/>
        </w:tabs>
        <w:bidi w:val="0"/>
        <w:spacing w:after="0" w:line="264" w:lineRule="auto"/>
        <w:jc w:val="both"/>
        <w:rPr>
          <w:rFonts w:ascii="Times New Roman" w:hAnsi="Times New Roman"/>
          <w:b/>
          <w:color w:val="000000"/>
          <w:sz w:val="24"/>
          <w:szCs w:val="24"/>
          <w:u w:val="single"/>
          <w:lang w:eastAsia="sk-SK"/>
        </w:rPr>
      </w:pPr>
      <w:r w:rsidRPr="00317578">
        <w:rPr>
          <w:rFonts w:ascii="Times New Roman" w:hAnsi="Times New Roman"/>
          <w:b/>
          <w:bCs/>
          <w:szCs w:val="22"/>
          <w:u w:val="single"/>
        </w:rPr>
        <w:t>§ 22c</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 xml:space="preserve">Toto ustanovenie </w:t>
      </w:r>
      <w:r>
        <w:rPr>
          <w:rFonts w:asciiTheme="minorBidi" w:hAnsiTheme="minorBidi" w:cs="DokChampa"/>
          <w:color w:val="000000"/>
          <w:szCs w:val="22"/>
          <w:lang w:eastAsia="sk-SK"/>
        </w:rPr>
        <w:t xml:space="preserve">upravuje </w:t>
      </w:r>
      <w:r w:rsidRPr="00AB6FFE">
        <w:rPr>
          <w:rFonts w:asciiTheme="minorBidi" w:hAnsiTheme="minorBidi" w:cs="DokChampa"/>
          <w:color w:val="000000"/>
          <w:szCs w:val="22"/>
          <w:lang w:eastAsia="sk-SK"/>
        </w:rPr>
        <w:t>výnimku z podávania správy hlavným materským subjektom, ak je rezidentom na daňové účely</w:t>
      </w:r>
      <w:r>
        <w:rPr>
          <w:rFonts w:asciiTheme="minorBidi" w:hAnsiTheme="minorBidi" w:cs="DokChampa"/>
          <w:color w:val="000000"/>
          <w:szCs w:val="22"/>
          <w:lang w:eastAsia="sk-SK"/>
        </w:rPr>
        <w:t xml:space="preserve"> v</w:t>
      </w:r>
      <w:r w:rsidRPr="00AB6FFE">
        <w:rPr>
          <w:rFonts w:asciiTheme="minorBidi" w:hAnsiTheme="minorBidi" w:cs="DokChampa"/>
          <w:color w:val="000000"/>
          <w:szCs w:val="22"/>
          <w:lang w:eastAsia="sk-SK"/>
        </w:rPr>
        <w:t xml:space="preserve"> inom štáte, ako je členský štát alebo štát</w:t>
      </w:r>
      <w:r>
        <w:rPr>
          <w:rFonts w:asciiTheme="minorBidi" w:hAnsiTheme="minorBidi" w:cs="DokChampa"/>
          <w:color w:val="000000"/>
          <w:szCs w:val="22"/>
          <w:lang w:eastAsia="sk-SK"/>
        </w:rPr>
        <w:t xml:space="preserve"> dohody. I</w:t>
      </w:r>
      <w:r w:rsidRPr="00AB6FFE">
        <w:rPr>
          <w:rFonts w:asciiTheme="minorBidi" w:hAnsiTheme="minorBidi" w:cs="DokChampa"/>
          <w:color w:val="000000"/>
          <w:szCs w:val="22"/>
          <w:lang w:eastAsia="sk-SK"/>
        </w:rPr>
        <w:t xml:space="preserve">de o tzv. sekundárne oznamovanie. Povinnosť </w:t>
      </w:r>
      <w:r>
        <w:rPr>
          <w:rFonts w:asciiTheme="minorBidi" w:hAnsiTheme="minorBidi" w:cs="DokChampa"/>
          <w:color w:val="000000"/>
          <w:szCs w:val="22"/>
          <w:lang w:eastAsia="sk-SK"/>
        </w:rPr>
        <w:t xml:space="preserve">potom </w:t>
      </w:r>
      <w:r w:rsidRPr="00AB6FFE">
        <w:rPr>
          <w:rFonts w:asciiTheme="minorBidi" w:hAnsiTheme="minorBidi" w:cs="DokChampa"/>
          <w:color w:val="000000"/>
          <w:szCs w:val="22"/>
          <w:lang w:eastAsia="sk-SK"/>
        </w:rPr>
        <w:t>vzniká základnému subjektu</w:t>
      </w:r>
      <w:r>
        <w:rPr>
          <w:rFonts w:asciiTheme="minorBidi" w:hAnsiTheme="minorBidi" w:cs="DokChampa"/>
          <w:color w:val="000000"/>
          <w:szCs w:val="22"/>
          <w:lang w:eastAsia="sk-SK"/>
        </w:rPr>
        <w:t>,</w:t>
      </w:r>
      <w:r w:rsidRPr="00AB6FFE">
        <w:rPr>
          <w:rFonts w:asciiTheme="minorBidi" w:hAnsiTheme="minorBidi" w:cs="DokChampa"/>
          <w:color w:val="000000"/>
          <w:szCs w:val="22"/>
          <w:lang w:eastAsia="sk-SK"/>
        </w:rPr>
        <w:t xml:space="preserve"> ktorý nie je hlavným materským subjektom </w:t>
      </w:r>
      <w:r>
        <w:rPr>
          <w:rFonts w:asciiTheme="minorBidi" w:hAnsiTheme="minorBidi" w:cs="DokChampa"/>
          <w:color w:val="000000"/>
          <w:szCs w:val="22"/>
          <w:lang w:eastAsia="sk-SK"/>
        </w:rPr>
        <w:t>nadnárodnej</w:t>
      </w:r>
      <w:r w:rsidRPr="00AB6FFE">
        <w:rPr>
          <w:rFonts w:asciiTheme="minorBidi" w:hAnsiTheme="minorBidi" w:cs="DokChampa"/>
          <w:color w:val="000000"/>
          <w:szCs w:val="22"/>
          <w:lang w:eastAsia="sk-SK"/>
        </w:rPr>
        <w:t xml:space="preserve"> skupiny podnikov</w:t>
      </w:r>
      <w:r>
        <w:rPr>
          <w:rFonts w:asciiTheme="minorBidi" w:hAnsiTheme="minorBidi" w:cs="DokChampa"/>
          <w:color w:val="000000"/>
          <w:szCs w:val="22"/>
          <w:lang w:eastAsia="sk-SK"/>
        </w:rPr>
        <w:t xml:space="preserve">. Základný subjekt </w:t>
      </w:r>
      <w:r w:rsidRPr="00AB6FFE">
        <w:rPr>
          <w:rFonts w:asciiTheme="minorBidi" w:hAnsiTheme="minorBidi" w:cs="DokChampa"/>
          <w:color w:val="000000"/>
          <w:szCs w:val="22"/>
          <w:lang w:eastAsia="sk-SK"/>
        </w:rPr>
        <w:t>podáva správu podľa jednotlivých štátov v</w:t>
      </w:r>
      <w:r>
        <w:rPr>
          <w:rFonts w:asciiTheme="minorBidi" w:hAnsiTheme="minorBidi" w:cs="DokChampa"/>
          <w:color w:val="000000"/>
          <w:szCs w:val="22"/>
          <w:lang w:eastAsia="sk-SK"/>
        </w:rPr>
        <w:t>tedy, ak nastane jeden z týchto prípadov: (1)</w:t>
      </w:r>
      <w:r w:rsidRPr="00AB6FFE">
        <w:rPr>
          <w:rFonts w:asciiTheme="minorBidi" w:hAnsiTheme="minorBidi" w:cs="DokChampa"/>
          <w:color w:val="000000"/>
          <w:szCs w:val="22"/>
          <w:lang w:eastAsia="sk-SK"/>
        </w:rPr>
        <w:t xml:space="preserve"> hlavný materský subjekt skupiny nadnárodných podnikov nie je povinný podávať správu podľa jednotlivých štátov v štáte, v ktorom je rezidentom na daňové účely, alebo </w:t>
      </w:r>
      <w:r>
        <w:rPr>
          <w:rFonts w:asciiTheme="minorBidi" w:hAnsiTheme="minorBidi" w:cs="DokChampa"/>
          <w:color w:val="000000"/>
          <w:szCs w:val="22"/>
          <w:lang w:eastAsia="sk-SK"/>
        </w:rPr>
        <w:t xml:space="preserve">(2) </w:t>
      </w:r>
      <w:r w:rsidRPr="00AB6FFE">
        <w:rPr>
          <w:rFonts w:asciiTheme="minorBidi" w:hAnsiTheme="minorBidi" w:cs="DokChampa"/>
          <w:color w:val="000000"/>
          <w:szCs w:val="22"/>
          <w:lang w:eastAsia="sk-SK"/>
        </w:rPr>
        <w:t>štát</w:t>
      </w:r>
      <w:r>
        <w:rPr>
          <w:rFonts w:asciiTheme="minorBidi" w:hAnsiTheme="minorBidi" w:cs="DokChampa"/>
          <w:color w:val="000000"/>
          <w:szCs w:val="22"/>
          <w:lang w:eastAsia="sk-SK"/>
        </w:rPr>
        <w:t xml:space="preserve"> dohody</w:t>
      </w:r>
      <w:r w:rsidRPr="00AB6FFE">
        <w:rPr>
          <w:rFonts w:asciiTheme="minorBidi" w:hAnsiTheme="minorBidi" w:cs="DokChampa"/>
          <w:color w:val="000000"/>
          <w:szCs w:val="22"/>
          <w:lang w:eastAsia="sk-SK"/>
        </w:rPr>
        <w:t>, ktorého je hlavný materský subjekt rezidentom na daňové účely, má platnú medzinárodnú dohodu, ktorej zmluvnou stranou je Slovenská republika, ale v lehote na podávanie správy podľa jednotlivých štátov za oznamovaný finančný rok nemá platnú dohodu príslušných kompetentných orgánov, ktorej zmluvnou stranou je Slovenská republika, alebo</w:t>
      </w:r>
      <w:r>
        <w:rPr>
          <w:rFonts w:asciiTheme="minorBidi" w:hAnsiTheme="minorBidi" w:cs="DokChampa"/>
          <w:color w:val="000000"/>
          <w:szCs w:val="22"/>
          <w:lang w:eastAsia="sk-SK"/>
        </w:rPr>
        <w:t xml:space="preserve"> (3)</w:t>
      </w:r>
      <w:r w:rsidRPr="00AB6FFE">
        <w:rPr>
          <w:rFonts w:asciiTheme="minorBidi" w:hAnsiTheme="minorBidi" w:cs="DokChampa"/>
          <w:color w:val="000000"/>
          <w:szCs w:val="22"/>
          <w:lang w:eastAsia="sk-SK"/>
        </w:rPr>
        <w:t xml:space="preserve"> ak došlo k systémovému zlyhaniu štátu, v ktorom je materský subjekt rezidentom na daňové účely, a príslušný orgán Slovenskej republiky túto skutočnosť oznámil základnému subjektu. Uvedené prípady môžu vzniknúť len</w:t>
      </w:r>
      <w:r>
        <w:rPr>
          <w:rFonts w:asciiTheme="minorBidi" w:hAnsiTheme="minorBidi" w:cs="DokChampa"/>
          <w:color w:val="000000"/>
          <w:szCs w:val="22"/>
          <w:lang w:eastAsia="sk-SK"/>
        </w:rPr>
        <w:t xml:space="preserve"> vtedy, </w:t>
      </w:r>
      <w:r w:rsidRPr="00AB6FFE">
        <w:rPr>
          <w:rFonts w:asciiTheme="minorBidi" w:hAnsiTheme="minorBidi" w:cs="DokChampa"/>
          <w:color w:val="000000"/>
          <w:szCs w:val="22"/>
          <w:lang w:eastAsia="sk-SK"/>
        </w:rPr>
        <w:t>ak hlavný materský subjekt skupiny je rezidentom štátu mimo Európskej únie.</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AB6FFE">
        <w:rPr>
          <w:rFonts w:asciiTheme="minorBidi" w:hAnsiTheme="minorBidi" w:cs="DokChampa"/>
          <w:color w:val="000000"/>
          <w:szCs w:val="22"/>
          <w:lang w:eastAsia="sk-SK"/>
        </w:rPr>
        <w:t>Základný subjekt požiada svoj hlavný materský subjekt, aby mu poskytol všetky informácie potrebné na to, aby mohol splniť povinnosť podať správu. Ak základný subjekt nezíska od hlavného materského subjektu všetky požadované informácie, podá správu s informáciami, ktoré má k dispozícii, a oznámi F</w:t>
      </w:r>
      <w:r>
        <w:rPr>
          <w:rFonts w:asciiTheme="minorBidi" w:hAnsiTheme="minorBidi" w:cs="DokChampa"/>
          <w:color w:val="000000"/>
          <w:szCs w:val="22"/>
          <w:lang w:eastAsia="sk-SK"/>
        </w:rPr>
        <w:t>inančnému riaditeľstvu</w:t>
      </w:r>
      <w:r w:rsidRPr="00AB6FFE">
        <w:rPr>
          <w:rFonts w:asciiTheme="minorBidi" w:hAnsiTheme="minorBidi" w:cs="DokChampa"/>
          <w:color w:val="000000"/>
          <w:szCs w:val="22"/>
          <w:lang w:eastAsia="sk-SK"/>
        </w:rPr>
        <w:t xml:space="preserve"> SR, že hlavný materský subjekt odmietol sprístupniť potrebné informácie.  </w:t>
      </w:r>
      <w:r>
        <w:rPr>
          <w:rFonts w:asciiTheme="minorBidi" w:hAnsiTheme="minorBidi" w:cs="DokChampa"/>
          <w:color w:val="000000"/>
          <w:szCs w:val="22"/>
          <w:lang w:eastAsia="sk-SK"/>
        </w:rPr>
        <w:t>Finančné riaditeľstvo</w:t>
      </w:r>
      <w:r w:rsidRPr="00AB6FFE">
        <w:rPr>
          <w:rFonts w:asciiTheme="minorBidi" w:hAnsiTheme="minorBidi" w:cs="DokChampa"/>
          <w:color w:val="000000"/>
          <w:szCs w:val="22"/>
          <w:lang w:eastAsia="sk-SK"/>
        </w:rPr>
        <w:t xml:space="preserve"> SR o tejto skutočnosti informuje príslušné orgány členských štátov.</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p>
    <w:p w:rsidR="00C30F45" w:rsidRPr="007517B7" w:rsidP="00C30F45">
      <w:pPr>
        <w:widowControl w:val="0"/>
        <w:tabs>
          <w:tab w:val="left" w:pos="708"/>
        </w:tabs>
        <w:bidi w:val="0"/>
        <w:spacing w:after="0" w:line="240" w:lineRule="auto"/>
        <w:jc w:val="both"/>
        <w:rPr>
          <w:rFonts w:ascii="Times New Roman" w:hAnsi="Times New Roman"/>
        </w:rPr>
      </w:pPr>
      <w:r w:rsidRPr="00AB6FFE">
        <w:rPr>
          <w:rFonts w:asciiTheme="minorBidi" w:hAnsiTheme="minorBidi" w:cs="DokChampa"/>
          <w:color w:val="000000"/>
          <w:szCs w:val="22"/>
          <w:lang w:eastAsia="sk-SK"/>
        </w:rPr>
        <w:t>Ak existuje viac základných subjektov tej istej skupiny nadnárodných podnikov, ktoré sú rezidentmi na daňové účely v členskom štáte alebo v</w:t>
      </w:r>
      <w:r>
        <w:rPr>
          <w:rFonts w:asciiTheme="minorBidi" w:hAnsiTheme="minorBidi" w:cs="DokChampa"/>
          <w:color w:val="000000"/>
          <w:szCs w:val="22"/>
          <w:lang w:eastAsia="sk-SK"/>
        </w:rPr>
        <w:t> </w:t>
      </w:r>
      <w:r w:rsidRPr="00AB6FFE">
        <w:rPr>
          <w:rFonts w:asciiTheme="minorBidi" w:hAnsiTheme="minorBidi" w:cs="DokChampa"/>
          <w:color w:val="000000"/>
          <w:szCs w:val="22"/>
          <w:lang w:eastAsia="sk-SK"/>
        </w:rPr>
        <w:t>štáte</w:t>
      </w:r>
      <w:r>
        <w:rPr>
          <w:rFonts w:asciiTheme="minorBidi" w:hAnsiTheme="minorBidi" w:cs="DokChampa"/>
          <w:color w:val="000000"/>
          <w:szCs w:val="22"/>
          <w:lang w:eastAsia="sk-SK"/>
        </w:rPr>
        <w:t xml:space="preserve"> dohody</w:t>
      </w:r>
      <w:r w:rsidRPr="00AB6FFE">
        <w:rPr>
          <w:rFonts w:asciiTheme="minorBidi" w:hAnsiTheme="minorBidi" w:cs="DokChampa"/>
          <w:color w:val="000000"/>
          <w:szCs w:val="22"/>
          <w:lang w:eastAsia="sk-SK"/>
        </w:rPr>
        <w:t>, skupina nadnárodných podnikov môže poveriť jeden z takýchto základných subjektov, aby podal správu podľa jednotlivých štátov v ustanovenej lehote</w:t>
      </w:r>
      <w:r>
        <w:rPr>
          <w:rFonts w:asciiTheme="minorBidi" w:hAnsiTheme="minorBidi" w:cs="DokChampa"/>
          <w:color w:val="000000"/>
          <w:szCs w:val="22"/>
          <w:lang w:eastAsia="sk-SK"/>
        </w:rPr>
        <w:t>,</w:t>
      </w:r>
      <w:r w:rsidRPr="00AB6FFE">
        <w:rPr>
          <w:rFonts w:asciiTheme="minorBidi" w:hAnsiTheme="minorBidi" w:cs="DokChampa"/>
          <w:color w:val="000000"/>
          <w:szCs w:val="22"/>
          <w:lang w:eastAsia="sk-SK"/>
        </w:rPr>
        <w:t xml:space="preserve"> v súlade s požiadavkami tohto zákona a aby F</w:t>
      </w:r>
      <w:r>
        <w:rPr>
          <w:rFonts w:asciiTheme="minorBidi" w:hAnsiTheme="minorBidi" w:cs="DokChampa"/>
          <w:color w:val="000000"/>
          <w:szCs w:val="22"/>
          <w:lang w:eastAsia="sk-SK"/>
        </w:rPr>
        <w:t xml:space="preserve">inančné riaditeľstvo </w:t>
      </w:r>
      <w:r w:rsidRPr="00AB6FFE">
        <w:rPr>
          <w:rFonts w:asciiTheme="minorBidi" w:hAnsiTheme="minorBidi" w:cs="DokChampa"/>
          <w:color w:val="000000"/>
          <w:szCs w:val="22"/>
          <w:lang w:eastAsia="sk-SK"/>
        </w:rPr>
        <w:t>SR oznámil</w:t>
      </w:r>
      <w:r>
        <w:rPr>
          <w:rFonts w:asciiTheme="minorBidi" w:hAnsiTheme="minorBidi" w:cs="DokChampa"/>
          <w:color w:val="000000"/>
          <w:szCs w:val="22"/>
          <w:lang w:eastAsia="sk-SK"/>
        </w:rPr>
        <w:t>o</w:t>
      </w:r>
      <w:r w:rsidRPr="00AB6FFE">
        <w:rPr>
          <w:rFonts w:asciiTheme="minorBidi" w:hAnsiTheme="minorBidi" w:cs="DokChampa"/>
          <w:color w:val="000000"/>
          <w:szCs w:val="22"/>
          <w:lang w:eastAsia="sk-SK"/>
        </w:rPr>
        <w:t>, že podaním správy podľa jednotlivých štátov je splnená požiadavka na podávanie správy podľa jednotlivých štátov za</w:t>
      </w:r>
      <w:r w:rsidRPr="007517B7">
        <w:rPr>
          <w:rFonts w:ascii="Times New Roman" w:hAnsi="Times New Roman"/>
        </w:rPr>
        <w:t xml:space="preserve"> základné subjekty skupiny nadnárodných podnikov, ktoré sú rezidentmi na daňové účely v členských </w:t>
      </w:r>
      <w:r>
        <w:rPr>
          <w:rFonts w:ascii="Times New Roman" w:hAnsi="Times New Roman"/>
        </w:rPr>
        <w:t>štátoch a v </w:t>
      </w:r>
      <w:r w:rsidRPr="007517B7">
        <w:rPr>
          <w:rFonts w:ascii="Times New Roman" w:hAnsi="Times New Roman"/>
        </w:rPr>
        <w:t>štátoch</w:t>
      </w:r>
      <w:r>
        <w:rPr>
          <w:rFonts w:ascii="Times New Roman" w:hAnsi="Times New Roman"/>
        </w:rPr>
        <w:t xml:space="preserve"> dohody</w:t>
      </w:r>
      <w:r>
        <w:t xml:space="preserve">. </w:t>
      </w:r>
      <w:r w:rsidRPr="00343D57">
        <w:rPr>
          <w:rFonts w:ascii="Times New Roman" w:hAnsi="Times New Roman"/>
        </w:rPr>
        <w:t>F</w:t>
      </w:r>
      <w:r>
        <w:rPr>
          <w:rFonts w:ascii="Times New Roman" w:hAnsi="Times New Roman"/>
        </w:rPr>
        <w:t>inančné riaditeľstvo</w:t>
      </w:r>
      <w:r w:rsidRPr="00343D57">
        <w:rPr>
          <w:rFonts w:ascii="Times New Roman" w:hAnsi="Times New Roman"/>
        </w:rPr>
        <w:t xml:space="preserve"> SR</w:t>
      </w:r>
      <w:r w:rsidRPr="007517B7">
        <w:rPr>
          <w:rFonts w:ascii="Times New Roman" w:hAnsi="Times New Roman"/>
        </w:rPr>
        <w:t xml:space="preserve"> podá správu podľa jednotlivých štátov tým štátom, v ktorých je podľa informácií obsiahnutých v správe zrejmé, že základný subjekt je</w:t>
      </w:r>
      <w:r>
        <w:rPr>
          <w:rFonts w:ascii="Times New Roman" w:hAnsi="Times New Roman"/>
        </w:rPr>
        <w:t xml:space="preserve"> ich</w:t>
      </w:r>
      <w:r w:rsidRPr="007517B7">
        <w:rPr>
          <w:rFonts w:ascii="Times New Roman" w:hAnsi="Times New Roman"/>
        </w:rPr>
        <w:t xml:space="preserve"> rezidentom na daňové účely alebo v ktorých podlieha dani v súvislosti s činnosťou vykonávanou prostredníctvom stálej prevádzkarne.</w:t>
      </w:r>
    </w:p>
    <w:p w:rsidR="00C30F45" w:rsidRPr="009F7252" w:rsidP="00C30F45">
      <w:pPr>
        <w:bidi w:val="0"/>
        <w:spacing w:after="0" w:line="240" w:lineRule="auto"/>
        <w:jc w:val="both"/>
        <w:rPr>
          <w:rFonts w:ascii="Times New Roman" w:hAnsi="Times New Roman"/>
        </w:rPr>
      </w:pPr>
    </w:p>
    <w:p w:rsidR="00C30F45" w:rsidRPr="007517B7" w:rsidP="00C30F45">
      <w:pPr>
        <w:widowControl w:val="0"/>
        <w:tabs>
          <w:tab w:val="left" w:pos="708"/>
        </w:tabs>
        <w:bidi w:val="0"/>
        <w:spacing w:after="0" w:line="240" w:lineRule="auto"/>
        <w:jc w:val="both"/>
        <w:rPr>
          <w:rFonts w:ascii="Times New Roman" w:hAnsi="Times New Roman"/>
        </w:rPr>
      </w:pPr>
      <w:r w:rsidRPr="00AB6FFE">
        <w:rPr>
          <w:rFonts w:asciiTheme="minorBidi" w:hAnsiTheme="minorBidi" w:cs="DokChampa"/>
          <w:color w:val="000000"/>
          <w:szCs w:val="22"/>
          <w:lang w:eastAsia="sk-SK"/>
        </w:rPr>
        <w:t>Ak základný subjekt nezíska všetky informácie potrebné na podanie správy, potom nie je považovaný za oznamujúci</w:t>
      </w:r>
      <w:r w:rsidRPr="007517B7">
        <w:rPr>
          <w:rFonts w:ascii="Times New Roman" w:hAnsi="Times New Roman"/>
        </w:rPr>
        <w:t xml:space="preserve"> subjekt skupiny nadnárodných podnikov</w:t>
      </w:r>
      <w:r>
        <w:rPr>
          <w:rFonts w:ascii="Times New Roman" w:hAnsi="Times New Roman"/>
        </w:rPr>
        <w:t>.</w:t>
      </w:r>
      <w:r w:rsidRPr="007517B7">
        <w:rPr>
          <w:rFonts w:ascii="Times New Roman" w:hAnsi="Times New Roman"/>
        </w:rPr>
        <w:t xml:space="preserve"> </w:t>
      </w:r>
      <w:r>
        <w:rPr>
          <w:rFonts w:ascii="Times New Roman" w:hAnsi="Times New Roman"/>
        </w:rPr>
        <w:t>P</w:t>
      </w:r>
      <w:r w:rsidRPr="007517B7">
        <w:rPr>
          <w:rFonts w:ascii="Times New Roman" w:hAnsi="Times New Roman"/>
        </w:rPr>
        <w:t xml:space="preserve">ovinnosť základného subjektu </w:t>
      </w:r>
      <w:r w:rsidRPr="00AB6FFE">
        <w:rPr>
          <w:rFonts w:asciiTheme="minorBidi" w:hAnsiTheme="minorBidi" w:cs="DokChampa"/>
          <w:color w:val="000000"/>
          <w:szCs w:val="22"/>
          <w:lang w:eastAsia="sk-SK"/>
        </w:rPr>
        <w:t>informovať</w:t>
      </w:r>
      <w:r w:rsidRPr="007517B7">
        <w:rPr>
          <w:rFonts w:ascii="Times New Roman" w:hAnsi="Times New Roman"/>
        </w:rPr>
        <w:t xml:space="preserve"> príslušný orgán Slovenskej republiky, že hlavný materský subjekt neposkytol po</w:t>
      </w:r>
      <w:r>
        <w:rPr>
          <w:rFonts w:ascii="Times New Roman" w:hAnsi="Times New Roman"/>
        </w:rPr>
        <w:t>trebné informácie, týmto</w:t>
      </w:r>
      <w:r w:rsidRPr="00915FC8">
        <w:rPr>
          <w:rFonts w:ascii="Times New Roman" w:hAnsi="Times New Roman"/>
        </w:rPr>
        <w:t xml:space="preserve"> </w:t>
      </w:r>
      <w:r w:rsidRPr="007517B7">
        <w:rPr>
          <w:rFonts w:ascii="Times New Roman" w:hAnsi="Times New Roman"/>
        </w:rPr>
        <w:t>nie je dotknutá.</w:t>
      </w:r>
    </w:p>
    <w:p w:rsidR="00C30F45" w:rsidRPr="009F7252" w:rsidP="00C30F45">
      <w:pPr>
        <w:bidi w:val="0"/>
        <w:spacing w:after="0" w:line="240" w:lineRule="auto"/>
        <w:jc w:val="both"/>
        <w:rPr>
          <w:rFonts w:ascii="Times New Roman" w:hAnsi="Times New Roman"/>
          <w:highlight w:val="lightGray"/>
        </w:rPr>
      </w:pPr>
    </w:p>
    <w:p w:rsidR="00C30F45" w:rsidRPr="00915FC8" w:rsidP="00C30F45">
      <w:pPr>
        <w:bidi w:val="0"/>
        <w:spacing w:after="0" w:line="240" w:lineRule="auto"/>
        <w:rPr>
          <w:rFonts w:ascii="Times New Roman" w:hAnsi="Times New Roman"/>
          <w:b/>
          <w:bCs/>
          <w:szCs w:val="22"/>
          <w:u w:val="single"/>
        </w:rPr>
      </w:pPr>
      <w:r w:rsidRPr="00915FC8">
        <w:rPr>
          <w:rFonts w:ascii="Times New Roman" w:hAnsi="Times New Roman"/>
          <w:b/>
          <w:bCs/>
          <w:szCs w:val="22"/>
          <w:u w:val="single"/>
        </w:rPr>
        <w:t>§ 22d</w:t>
      </w:r>
    </w:p>
    <w:p w:rsidR="00C30F45" w:rsidRPr="00915FC8" w:rsidP="00C30F45">
      <w:pPr>
        <w:widowControl w:val="0"/>
        <w:tabs>
          <w:tab w:val="left" w:pos="708"/>
        </w:tabs>
        <w:bidi w:val="0"/>
        <w:spacing w:after="0" w:line="240" w:lineRule="auto"/>
        <w:jc w:val="both"/>
        <w:rPr>
          <w:rFonts w:ascii="Times New Roman" w:hAnsi="Times New Roman"/>
        </w:rPr>
      </w:pPr>
      <w:r w:rsidRPr="00915FC8">
        <w:rPr>
          <w:rFonts w:ascii="Times New Roman" w:hAnsi="Times New Roman"/>
        </w:rPr>
        <w:t>Náhradný materský subjekt podá správu príslušnému orgánu toho štátu, v ktorom je rezidentom na daňové účely</w:t>
      </w:r>
      <w:r>
        <w:rPr>
          <w:rFonts w:ascii="Times New Roman" w:hAnsi="Times New Roman"/>
        </w:rPr>
        <w:t>.</w:t>
      </w:r>
      <w:r w:rsidRPr="00915FC8">
        <w:rPr>
          <w:rFonts w:ascii="Times New Roman" w:hAnsi="Times New Roman"/>
        </w:rPr>
        <w:t xml:space="preserve"> </w:t>
      </w:r>
      <w:r>
        <w:rPr>
          <w:rFonts w:ascii="Times New Roman" w:hAnsi="Times New Roman"/>
        </w:rPr>
        <w:t>Prenesenie povinnosti na náhradný materský subjekt je možné iba vtedy, ak štát jeho daňovej rezidencie</w:t>
      </w:r>
      <w:r w:rsidRPr="00915FC8">
        <w:rPr>
          <w:rFonts w:ascii="Times New Roman" w:hAnsi="Times New Roman"/>
        </w:rPr>
        <w:t xml:space="preserve"> vyžaduje podávanie správy, má platnú dohodu príslušných kompetentných orgánov, ktorej zmluvnou stranou je Slovenská republika, ktorá umožní dodržanie lehoty na podávanie oznámenia za príslušný oznamovaný finančný rok a neoznámil príslušnému orgánu Slovenskej republike systémové zlyhanie. Ďalšou podmienkou je, že základný subjekt najneskôr v posledný deň </w:t>
      </w:r>
      <w:r>
        <w:rPr>
          <w:rFonts w:ascii="Times New Roman" w:hAnsi="Times New Roman"/>
        </w:rPr>
        <w:t>lehoty na podanie daňového priznania</w:t>
      </w:r>
      <w:r w:rsidRPr="00915FC8">
        <w:rPr>
          <w:rFonts w:ascii="Times New Roman" w:hAnsi="Times New Roman"/>
        </w:rPr>
        <w:t xml:space="preserve"> </w:t>
      </w:r>
      <w:r>
        <w:rPr>
          <w:rFonts w:ascii="Times New Roman" w:hAnsi="Times New Roman"/>
        </w:rPr>
        <w:t>nadnárodnej</w:t>
      </w:r>
      <w:r w:rsidRPr="00915FC8">
        <w:rPr>
          <w:rFonts w:ascii="Times New Roman" w:hAnsi="Times New Roman"/>
        </w:rPr>
        <w:t xml:space="preserve"> skupiny podnikov oznámil štátu, v ktorom je rezidentom na daňové účely, že je náhradným materským subjektom, a príslušný orgán Slovenskej republiky dostal oznámenie podľa  § </w:t>
      </w:r>
      <w:r>
        <w:rPr>
          <w:rFonts w:ascii="Times New Roman" w:hAnsi="Times New Roman"/>
        </w:rPr>
        <w:t>22e</w:t>
      </w:r>
      <w:r w:rsidRPr="00915FC8">
        <w:rPr>
          <w:rFonts w:ascii="Times New Roman" w:hAnsi="Times New Roman"/>
        </w:rPr>
        <w:t xml:space="preserve"> ods. 2.</w:t>
      </w:r>
    </w:p>
    <w:p w:rsidR="00C30F45" w:rsidP="00C30F45">
      <w:pPr>
        <w:widowControl w:val="0"/>
        <w:tabs>
          <w:tab w:val="left" w:pos="708"/>
        </w:tabs>
        <w:bidi w:val="0"/>
        <w:spacing w:after="0" w:line="240" w:lineRule="auto"/>
        <w:jc w:val="both"/>
        <w:rPr>
          <w:rFonts w:ascii="Times New Roman" w:hAnsi="Times New Roman"/>
        </w:rPr>
      </w:pPr>
    </w:p>
    <w:p w:rsidR="00C30F45" w:rsidRPr="00915FC8" w:rsidP="00C30F45">
      <w:pPr>
        <w:widowControl w:val="0"/>
        <w:tabs>
          <w:tab w:val="left" w:pos="708"/>
        </w:tabs>
        <w:bidi w:val="0"/>
        <w:spacing w:after="0" w:line="240" w:lineRule="auto"/>
        <w:jc w:val="both"/>
        <w:rPr>
          <w:rFonts w:ascii="Times New Roman" w:hAnsi="Times New Roman"/>
        </w:rPr>
      </w:pPr>
      <w:r w:rsidRPr="00915FC8">
        <w:rPr>
          <w:rFonts w:ascii="Times New Roman" w:hAnsi="Times New Roman"/>
        </w:rPr>
        <w:t>Ustanovenie určuje možnosť prenesenia povinnosti podávať správu</w:t>
      </w:r>
      <w:r>
        <w:rPr>
          <w:rFonts w:ascii="Times New Roman" w:hAnsi="Times New Roman"/>
        </w:rPr>
        <w:t xml:space="preserve"> na</w:t>
      </w:r>
      <w:r w:rsidRPr="00915FC8">
        <w:rPr>
          <w:rFonts w:ascii="Times New Roman" w:hAnsi="Times New Roman"/>
        </w:rPr>
        <w:t xml:space="preserve"> náhradný materský subjekt</w:t>
      </w:r>
      <w:r>
        <w:rPr>
          <w:rFonts w:ascii="Times New Roman" w:hAnsi="Times New Roman"/>
        </w:rPr>
        <w:t xml:space="preserve">, ak </w:t>
      </w:r>
      <w:r w:rsidRPr="00AB6FFE">
        <w:rPr>
          <w:rFonts w:asciiTheme="minorBidi" w:hAnsiTheme="minorBidi" w:cs="DokChampa"/>
          <w:color w:val="000000"/>
          <w:szCs w:val="22"/>
          <w:lang w:eastAsia="sk-SK"/>
        </w:rPr>
        <w:t>hlavný materský subjekt je rezidentom na daňové účely</w:t>
      </w:r>
      <w:r>
        <w:rPr>
          <w:rFonts w:asciiTheme="minorBidi" w:hAnsiTheme="minorBidi" w:cs="DokChampa"/>
          <w:color w:val="000000"/>
          <w:szCs w:val="22"/>
          <w:lang w:eastAsia="sk-SK"/>
        </w:rPr>
        <w:t xml:space="preserve"> v</w:t>
      </w:r>
      <w:r w:rsidRPr="00AB6FFE">
        <w:rPr>
          <w:rFonts w:asciiTheme="minorBidi" w:hAnsiTheme="minorBidi" w:cs="DokChampa"/>
          <w:color w:val="000000"/>
          <w:szCs w:val="22"/>
          <w:lang w:eastAsia="sk-SK"/>
        </w:rPr>
        <w:t xml:space="preserve"> inom štáte, ako je členský štát</w:t>
      </w:r>
      <w:r>
        <w:rPr>
          <w:rFonts w:asciiTheme="minorBidi" w:hAnsiTheme="minorBidi" w:cs="DokChampa"/>
          <w:color w:val="000000"/>
          <w:szCs w:val="22"/>
          <w:lang w:eastAsia="sk-SK"/>
        </w:rPr>
        <w:t>.</w:t>
      </w:r>
      <w:r w:rsidRPr="00915FC8">
        <w:rPr>
          <w:rFonts w:ascii="Times New Roman" w:hAnsi="Times New Roman"/>
        </w:rPr>
        <w:t xml:space="preserve"> Základný subjekt nemá povinnosť podať správu pod</w:t>
      </w:r>
      <w:r>
        <w:rPr>
          <w:rFonts w:ascii="Times New Roman" w:hAnsi="Times New Roman"/>
        </w:rPr>
        <w:t>ľa § 22c</w:t>
      </w:r>
      <w:r w:rsidRPr="00915FC8">
        <w:rPr>
          <w:rFonts w:ascii="Times New Roman" w:hAnsi="Times New Roman"/>
        </w:rPr>
        <w:t>, ak skupina nadnárodných podnikov, ktorej je základný subjekt súčasťou, v lehote a v súlade s požiadavkami ustanovenými týmto zákonom podá správu prostredníctvom náhradného materského subjektu.</w:t>
      </w:r>
    </w:p>
    <w:p w:rsidR="00C30F45" w:rsidRPr="00915FC8" w:rsidP="00C30F45">
      <w:pPr>
        <w:bidi w:val="0"/>
        <w:spacing w:after="0" w:line="240" w:lineRule="auto"/>
        <w:jc w:val="both"/>
        <w:rPr>
          <w:rFonts w:ascii="Times New Roman" w:hAnsi="Times New Roman"/>
        </w:rPr>
      </w:pPr>
    </w:p>
    <w:p w:rsidR="00C30F45" w:rsidRPr="00915FC8" w:rsidP="00C30F45">
      <w:pPr>
        <w:bidi w:val="0"/>
        <w:spacing w:after="0" w:line="240" w:lineRule="auto"/>
        <w:jc w:val="both"/>
        <w:rPr>
          <w:rFonts w:ascii="Times New Roman" w:hAnsi="Times New Roman"/>
        </w:rPr>
      </w:pPr>
    </w:p>
    <w:p w:rsidR="00C30F45" w:rsidRPr="00CB04EE" w:rsidP="00C30F45">
      <w:pPr>
        <w:bidi w:val="0"/>
        <w:spacing w:after="0" w:line="240" w:lineRule="auto"/>
        <w:rPr>
          <w:rFonts w:ascii="Times New Roman" w:hAnsi="Times New Roman"/>
          <w:b/>
          <w:u w:val="single"/>
        </w:rPr>
      </w:pPr>
      <w:r w:rsidRPr="00CB04EE">
        <w:rPr>
          <w:rFonts w:ascii="Times New Roman" w:hAnsi="Times New Roman"/>
          <w:b/>
          <w:u w:val="single"/>
        </w:rPr>
        <w:t>§ 22e</w:t>
      </w:r>
    </w:p>
    <w:p w:rsidR="00C30F45" w:rsidRPr="00AB6FFE" w:rsidP="00C30F45">
      <w:pPr>
        <w:widowControl w:val="0"/>
        <w:tabs>
          <w:tab w:val="left" w:pos="708"/>
        </w:tabs>
        <w:bidi w:val="0"/>
        <w:spacing w:after="0" w:line="240" w:lineRule="auto"/>
        <w:jc w:val="both"/>
        <w:rPr>
          <w:rFonts w:asciiTheme="minorBidi" w:hAnsiTheme="minorBidi" w:cs="DokChampa"/>
          <w:color w:val="000000"/>
          <w:szCs w:val="22"/>
          <w:lang w:eastAsia="sk-SK"/>
        </w:rPr>
      </w:pPr>
      <w:r w:rsidRPr="001841B6">
        <w:rPr>
          <w:rFonts w:ascii="Times New Roman" w:hAnsi="Times New Roman"/>
        </w:rPr>
        <w:t>Oznamujúci subjekt,</w:t>
      </w:r>
      <w:r w:rsidRPr="00C831BE">
        <w:rPr>
          <w:rFonts w:ascii="Times New Roman" w:hAnsi="Times New Roman"/>
        </w:rPr>
        <w:t xml:space="preserve"> ktorý je rezidentom na daňové účely v Slovenskej republike, oznámi </w:t>
      </w:r>
      <w:r>
        <w:rPr>
          <w:rFonts w:ascii="Times New Roman" w:hAnsi="Times New Roman"/>
        </w:rPr>
        <w:t>Finančnému riaditeľstvu SR</w:t>
      </w:r>
      <w:r w:rsidRPr="00C831BE">
        <w:rPr>
          <w:rFonts w:ascii="Times New Roman" w:hAnsi="Times New Roman"/>
        </w:rPr>
        <w:t xml:space="preserve">, či je hlavným materským </w:t>
      </w:r>
      <w:r w:rsidRPr="00F67D46">
        <w:rPr>
          <w:rFonts w:ascii="Times New Roman" w:hAnsi="Times New Roman"/>
        </w:rPr>
        <w:t>subjektom</w:t>
      </w:r>
      <w:r w:rsidRPr="00C831BE">
        <w:rPr>
          <w:rFonts w:ascii="Times New Roman" w:hAnsi="Times New Roman"/>
        </w:rPr>
        <w:t xml:space="preserve">, náhradným materským subjektom alebo základným subjektom </w:t>
      </w:r>
      <w:r w:rsidRPr="00AF23B3">
        <w:rPr>
          <w:rFonts w:ascii="Times New Roman" w:hAnsi="Times New Roman"/>
        </w:rPr>
        <w:t>podľa § 22c</w:t>
      </w:r>
      <w:r w:rsidRPr="00C831BE">
        <w:rPr>
          <w:rFonts w:ascii="Times New Roman" w:hAnsi="Times New Roman"/>
        </w:rPr>
        <w:t xml:space="preserve">, a to najneskôr v posledný deň lehoty na podanie </w:t>
      </w:r>
      <w:r w:rsidRPr="00AF23B3">
        <w:rPr>
          <w:rFonts w:ascii="Times New Roman" w:hAnsi="Times New Roman"/>
        </w:rPr>
        <w:t>daňového priznania</w:t>
      </w:r>
      <w:r>
        <w:rPr>
          <w:rFonts w:ascii="Times New Roman" w:hAnsi="Times New Roman"/>
        </w:rPr>
        <w:t xml:space="preserve"> k dani z príjmov právnických osôb</w:t>
      </w:r>
      <w:r w:rsidRPr="00C831BE">
        <w:rPr>
          <w:rFonts w:ascii="Times New Roman" w:hAnsi="Times New Roman"/>
        </w:rPr>
        <w:t xml:space="preserve"> základného subjektu za oznamovaný finančný rok.</w:t>
      </w:r>
      <w:r>
        <w:rPr>
          <w:rFonts w:ascii="Times New Roman" w:hAnsi="Times New Roman"/>
        </w:rPr>
        <w:t xml:space="preserve"> </w:t>
      </w:r>
      <w:r w:rsidRPr="00AB6FFE">
        <w:rPr>
          <w:rFonts w:asciiTheme="minorBidi" w:hAnsiTheme="minorBidi" w:cs="DokChampa"/>
          <w:color w:val="000000"/>
          <w:szCs w:val="22"/>
          <w:lang w:eastAsia="sk-SK"/>
        </w:rPr>
        <w:t>Ak napríklad finančným rokom je kalendárny rok 2016, t.</w:t>
      </w:r>
      <w:r>
        <w:rPr>
          <w:rFonts w:asciiTheme="minorBidi" w:hAnsiTheme="minorBidi" w:cs="DokChampa"/>
          <w:color w:val="000000"/>
          <w:szCs w:val="22"/>
          <w:lang w:eastAsia="sk-SK"/>
        </w:rPr>
        <w:t xml:space="preserve"> </w:t>
      </w:r>
      <w:r w:rsidRPr="00AB6FFE">
        <w:rPr>
          <w:rFonts w:asciiTheme="minorBidi" w:hAnsiTheme="minorBidi" w:cs="DokChampa"/>
          <w:color w:val="000000"/>
          <w:szCs w:val="22"/>
          <w:lang w:eastAsia="sk-SK"/>
        </w:rPr>
        <w:t xml:space="preserve">j. od 1.1.2016 do 31.12.2016, </w:t>
      </w:r>
      <w:r>
        <w:rPr>
          <w:rFonts w:asciiTheme="minorBidi" w:hAnsiTheme="minorBidi" w:cs="DokChampa"/>
          <w:color w:val="000000"/>
          <w:szCs w:val="22"/>
          <w:lang w:eastAsia="sk-SK"/>
        </w:rPr>
        <w:t xml:space="preserve">oznámenie </w:t>
      </w:r>
      <w:r w:rsidRPr="00AB6FFE">
        <w:rPr>
          <w:rFonts w:asciiTheme="minorBidi" w:hAnsiTheme="minorBidi" w:cs="DokChampa"/>
          <w:color w:val="000000"/>
          <w:szCs w:val="22"/>
          <w:lang w:eastAsia="sk-SK"/>
        </w:rPr>
        <w:t xml:space="preserve">sa podáva </w:t>
      </w:r>
      <w:r>
        <w:rPr>
          <w:rFonts w:asciiTheme="minorBidi" w:hAnsiTheme="minorBidi" w:cs="DokChampa"/>
          <w:color w:val="000000"/>
          <w:szCs w:val="22"/>
          <w:lang w:eastAsia="sk-SK"/>
        </w:rPr>
        <w:t xml:space="preserve">najneskôr </w:t>
      </w:r>
      <w:r w:rsidRPr="00050DFF">
        <w:rPr>
          <w:rFonts w:asciiTheme="minorBidi" w:hAnsiTheme="minorBidi" w:cs="DokChampa"/>
          <w:color w:val="000000"/>
          <w:szCs w:val="22"/>
          <w:lang w:eastAsia="sk-SK"/>
        </w:rPr>
        <w:t>do 31.3.2017.</w:t>
      </w:r>
    </w:p>
    <w:p w:rsidR="00C30F45" w:rsidP="00C30F45">
      <w:pPr>
        <w:bidi w:val="0"/>
        <w:spacing w:after="0"/>
        <w:jc w:val="both"/>
        <w:rPr>
          <w:rFonts w:ascii="Times New Roman" w:hAnsi="Times New Roman"/>
        </w:rPr>
      </w:pPr>
    </w:p>
    <w:p w:rsidR="00C30F45" w:rsidP="00C30F45">
      <w:pPr>
        <w:widowControl w:val="0"/>
        <w:tabs>
          <w:tab w:val="left" w:pos="708"/>
        </w:tabs>
        <w:bidi w:val="0"/>
        <w:spacing w:after="0" w:line="240" w:lineRule="auto"/>
        <w:jc w:val="both"/>
        <w:rPr>
          <w:rFonts w:ascii="Times New Roman" w:hAnsi="Times New Roman"/>
        </w:rPr>
      </w:pPr>
      <w:r>
        <w:rPr>
          <w:rFonts w:ascii="Times New Roman" w:hAnsi="Times New Roman"/>
        </w:rPr>
        <w:t>Každý základný subjekt, ktorý nie je</w:t>
      </w:r>
      <w:r w:rsidRPr="00C831BE">
        <w:rPr>
          <w:rFonts w:ascii="Times New Roman" w:hAnsi="Times New Roman"/>
        </w:rPr>
        <w:t xml:space="preserve"> hlavným materským subjektom, náhradným materským subjektom ani základným subjektom </w:t>
      </w:r>
      <w:r w:rsidRPr="00AF23B3">
        <w:rPr>
          <w:rFonts w:ascii="Times New Roman" w:hAnsi="Times New Roman"/>
        </w:rPr>
        <w:t xml:space="preserve">podľa § </w:t>
      </w:r>
      <w:r>
        <w:rPr>
          <w:rFonts w:ascii="Times New Roman" w:hAnsi="Times New Roman"/>
        </w:rPr>
        <w:t>22c</w:t>
      </w:r>
      <w:r w:rsidRPr="00C831BE">
        <w:rPr>
          <w:rFonts w:ascii="Times New Roman" w:hAnsi="Times New Roman"/>
        </w:rPr>
        <w:t xml:space="preserve">, oznámi </w:t>
      </w:r>
      <w:r>
        <w:rPr>
          <w:rFonts w:ascii="Times New Roman" w:hAnsi="Times New Roman"/>
        </w:rPr>
        <w:t>Finančnému riaditeľstvu SR</w:t>
      </w:r>
      <w:r w:rsidRPr="00C831BE">
        <w:rPr>
          <w:rFonts w:ascii="Times New Roman" w:hAnsi="Times New Roman"/>
        </w:rPr>
        <w:t xml:space="preserve"> obchodné meno, sídlo, identifikačné číslo </w:t>
      </w:r>
      <w:r w:rsidRPr="00AB6FFE">
        <w:rPr>
          <w:rFonts w:ascii="Times New Roman" w:hAnsi="Times New Roman"/>
        </w:rPr>
        <w:t>oznamujúceho</w:t>
      </w:r>
      <w:r w:rsidRPr="00C831BE">
        <w:rPr>
          <w:rFonts w:ascii="Times New Roman" w:hAnsi="Times New Roman"/>
        </w:rPr>
        <w:t xml:space="preserve"> subjektu, vrátane štátu, v ktorom je oznamujúci subjekt rezidentom na daňové účely, a to najneskôr v posledný deň lehoty na podanie </w:t>
      </w:r>
      <w:r w:rsidRPr="00AF23B3">
        <w:rPr>
          <w:rFonts w:ascii="Times New Roman" w:hAnsi="Times New Roman"/>
        </w:rPr>
        <w:t>daňového priznania</w:t>
      </w:r>
      <w:r>
        <w:rPr>
          <w:rFonts w:ascii="Times New Roman" w:hAnsi="Times New Roman"/>
        </w:rPr>
        <w:t xml:space="preserve"> k dani z príjmov právnických osôb</w:t>
      </w:r>
      <w:r w:rsidRPr="00C831BE">
        <w:rPr>
          <w:rFonts w:ascii="Times New Roman" w:hAnsi="Times New Roman"/>
        </w:rPr>
        <w:t xml:space="preserve"> základného subjektu za oznamovaný finančný rok.</w:t>
      </w:r>
    </w:p>
    <w:p w:rsidR="00C30F45" w:rsidP="00C30F45">
      <w:pPr>
        <w:widowControl w:val="0"/>
        <w:tabs>
          <w:tab w:val="left" w:pos="708"/>
        </w:tabs>
        <w:bidi w:val="0"/>
        <w:spacing w:after="0" w:line="240" w:lineRule="auto"/>
        <w:jc w:val="both"/>
        <w:rPr>
          <w:rFonts w:ascii="Times New Roman" w:hAnsi="Times New Roman"/>
        </w:rPr>
      </w:pPr>
    </w:p>
    <w:p w:rsidR="00C30F45" w:rsidRPr="00C831BE" w:rsidP="00C30F45">
      <w:pPr>
        <w:widowControl w:val="0"/>
        <w:tabs>
          <w:tab w:val="left" w:pos="708"/>
        </w:tabs>
        <w:bidi w:val="0"/>
        <w:spacing w:after="0" w:line="240" w:lineRule="auto"/>
        <w:jc w:val="both"/>
        <w:rPr>
          <w:rFonts w:ascii="Times New Roman" w:hAnsi="Times New Roman"/>
          <w:noProof/>
        </w:rPr>
      </w:pPr>
      <w:r>
        <w:rPr>
          <w:rFonts w:ascii="Times New Roman" w:hAnsi="Times New Roman"/>
        </w:rPr>
        <w:t>Oznámenie sa nemusí podať, ak nedošlo k zmene rozhodujúcich skutočností.</w:t>
      </w:r>
    </w:p>
    <w:p w:rsidR="00C30F45" w:rsidRPr="009F7252" w:rsidP="00C30F45">
      <w:pPr>
        <w:bidi w:val="0"/>
        <w:spacing w:after="0" w:line="240" w:lineRule="auto"/>
        <w:jc w:val="both"/>
        <w:rPr>
          <w:rFonts w:ascii="Times New Roman" w:hAnsi="Times New Roman"/>
          <w:szCs w:val="22"/>
          <w:highlight w:val="yellow"/>
        </w:rPr>
      </w:pPr>
    </w:p>
    <w:p w:rsidR="00C30F45" w:rsidRPr="00CB04EE" w:rsidP="00C30F45">
      <w:pPr>
        <w:bidi w:val="0"/>
        <w:spacing w:after="0" w:line="240" w:lineRule="auto"/>
        <w:rPr>
          <w:rFonts w:ascii="Times New Roman" w:hAnsi="Times New Roman"/>
          <w:b/>
          <w:bCs/>
          <w:strike/>
          <w:szCs w:val="22"/>
          <w:u w:val="single"/>
        </w:rPr>
      </w:pPr>
      <w:r w:rsidRPr="00CB04EE">
        <w:rPr>
          <w:rFonts w:ascii="Times New Roman" w:hAnsi="Times New Roman"/>
          <w:b/>
          <w:bCs/>
          <w:szCs w:val="22"/>
          <w:u w:val="single"/>
        </w:rPr>
        <w:t>§ 22f</w:t>
      </w:r>
    </w:p>
    <w:p w:rsidR="00C30F45" w:rsidP="00C30F45">
      <w:pPr>
        <w:widowControl w:val="0"/>
        <w:tabs>
          <w:tab w:val="left" w:pos="708"/>
        </w:tabs>
        <w:bidi w:val="0"/>
        <w:spacing w:after="0" w:line="240" w:lineRule="auto"/>
        <w:jc w:val="both"/>
        <w:rPr>
          <w:rFonts w:ascii="Times New Roman" w:hAnsi="Times New Roman"/>
        </w:rPr>
      </w:pPr>
      <w:r w:rsidRPr="007F147E">
        <w:rPr>
          <w:rFonts w:ascii="Times New Roman" w:hAnsi="Times New Roman"/>
        </w:rPr>
        <w:t>Správ</w:t>
      </w:r>
      <w:r>
        <w:rPr>
          <w:rFonts w:ascii="Times New Roman" w:hAnsi="Times New Roman"/>
        </w:rPr>
        <w:t>a</w:t>
      </w:r>
      <w:r w:rsidRPr="007F147E">
        <w:rPr>
          <w:rFonts w:ascii="Times New Roman" w:hAnsi="Times New Roman"/>
        </w:rPr>
        <w:t xml:space="preserve"> podľa jednotlivých štátov</w:t>
      </w:r>
      <w:r>
        <w:rPr>
          <w:rFonts w:ascii="Times New Roman" w:hAnsi="Times New Roman"/>
        </w:rPr>
        <w:t xml:space="preserve"> sa predkladá na formulári podľa prílohy č. 1</w:t>
      </w:r>
      <w:r w:rsidRPr="007F147E">
        <w:rPr>
          <w:rFonts w:ascii="Times New Roman" w:hAnsi="Times New Roman"/>
        </w:rPr>
        <w:t>, pričom formát a štruktúra správy sa uverejní aj na webovom sídle Finančného ri</w:t>
      </w:r>
      <w:r>
        <w:rPr>
          <w:rFonts w:ascii="Times New Roman" w:hAnsi="Times New Roman"/>
        </w:rPr>
        <w:t xml:space="preserve">aditeľstva Slovenskej republiky. Správa sa </w:t>
      </w:r>
      <w:r w:rsidRPr="007F147E">
        <w:rPr>
          <w:rFonts w:ascii="Times New Roman" w:hAnsi="Times New Roman"/>
        </w:rPr>
        <w:t xml:space="preserve">doručuje </w:t>
      </w:r>
      <w:r>
        <w:rPr>
          <w:rFonts w:ascii="Times New Roman" w:hAnsi="Times New Roman"/>
        </w:rPr>
        <w:t xml:space="preserve">sa Finančnému riaditeľstvu SR </w:t>
      </w:r>
      <w:r w:rsidRPr="007F147E">
        <w:rPr>
          <w:rFonts w:ascii="Times New Roman" w:hAnsi="Times New Roman"/>
        </w:rPr>
        <w:t xml:space="preserve">elektronickými prostriedkami v lehote ustanovenej </w:t>
      </w:r>
      <w:r>
        <w:rPr>
          <w:rFonts w:ascii="Times New Roman" w:hAnsi="Times New Roman"/>
        </w:rPr>
        <w:t>zákonom</w:t>
      </w:r>
      <w:r w:rsidRPr="007F147E">
        <w:rPr>
          <w:rFonts w:ascii="Times New Roman" w:hAnsi="Times New Roman"/>
        </w:rPr>
        <w:t>.</w:t>
      </w:r>
    </w:p>
    <w:p w:rsidR="00C30F45" w:rsidRPr="007F147E" w:rsidP="00C30F45">
      <w:pPr>
        <w:widowControl w:val="0"/>
        <w:tabs>
          <w:tab w:val="left" w:pos="708"/>
        </w:tabs>
        <w:bidi w:val="0"/>
        <w:spacing w:after="0" w:line="240" w:lineRule="auto"/>
        <w:jc w:val="both"/>
        <w:rPr>
          <w:rFonts w:ascii="Times New Roman" w:hAnsi="Times New Roman"/>
        </w:rPr>
      </w:pPr>
    </w:p>
    <w:p w:rsidR="00C30F45" w:rsidRPr="007F147E" w:rsidP="00C30F45">
      <w:pPr>
        <w:bidi w:val="0"/>
        <w:jc w:val="both"/>
        <w:rPr>
          <w:rFonts w:ascii="Times New Roman" w:hAnsi="Times New Roman"/>
        </w:rPr>
      </w:pPr>
      <w:r>
        <w:rPr>
          <w:rFonts w:ascii="Times New Roman" w:hAnsi="Times New Roman"/>
        </w:rPr>
        <w:t>Finančné riaditeľstvo</w:t>
      </w:r>
      <w:r w:rsidRPr="007F147E">
        <w:rPr>
          <w:rFonts w:ascii="Times New Roman" w:hAnsi="Times New Roman"/>
        </w:rPr>
        <w:t xml:space="preserve"> SR oznámi Európskej komisii ročné hodnotenie efektívnosti a dosiahnuté výsledky automatickej výmeny informácií.</w:t>
      </w:r>
    </w:p>
    <w:p w:rsidR="00C30F45" w:rsidP="00C30F45">
      <w:pPr>
        <w:widowControl w:val="0"/>
        <w:tabs>
          <w:tab w:val="left" w:pos="708"/>
        </w:tabs>
        <w:bidi w:val="0"/>
        <w:spacing w:after="0" w:line="240" w:lineRule="auto"/>
        <w:jc w:val="both"/>
        <w:rPr>
          <w:rFonts w:ascii="Times New Roman" w:hAnsi="Times New Roman"/>
        </w:rPr>
      </w:pPr>
      <w:r>
        <w:rPr>
          <w:rFonts w:ascii="Times New Roman" w:hAnsi="Times New Roman"/>
        </w:rPr>
        <w:t>Správca dane</w:t>
      </w:r>
      <w:r w:rsidRPr="007F147E">
        <w:rPr>
          <w:rFonts w:ascii="Times New Roman" w:hAnsi="Times New Roman"/>
        </w:rPr>
        <w:t xml:space="preserve"> nesmie vykonať úpravy základu dane z dôvodu úpravy transferových cien iba na základe informácií zo správ, ale tieto informácie môže využiť na ďalšie preverovanie transferového oceňovania v rámci skupiny nadnárodných podnikov v rámci daňovej kontroly.</w:t>
      </w:r>
      <w:r>
        <w:rPr>
          <w:rFonts w:ascii="Times New Roman" w:hAnsi="Times New Roman"/>
        </w:rPr>
        <w:t xml:space="preserve"> </w:t>
      </w:r>
      <w:r w:rsidRPr="007F147E">
        <w:rPr>
          <w:rFonts w:ascii="Times New Roman" w:hAnsi="Times New Roman"/>
        </w:rPr>
        <w:t>Informácie získané na základe správ podľa jednotlivých štátov sa môžu použiť na účely posúdenia rizík transferového oceňovania, iných rizík týkajúcich sa narúšania základu dane a presunu ziskov a na účely ekonomických a štatistických analýz</w:t>
      </w:r>
      <w:r>
        <w:rPr>
          <w:rFonts w:ascii="Times New Roman" w:hAnsi="Times New Roman"/>
        </w:rPr>
        <w:t>.</w:t>
      </w:r>
      <w:r w:rsidRPr="007F147E">
        <w:rPr>
          <w:rFonts w:ascii="Times New Roman" w:hAnsi="Times New Roman"/>
        </w:rPr>
        <w:t xml:space="preserve"> </w:t>
      </w:r>
    </w:p>
    <w:p w:rsidR="00C30F45" w:rsidRPr="007F147E" w:rsidP="00C30F45">
      <w:pPr>
        <w:widowControl w:val="0"/>
        <w:tabs>
          <w:tab w:val="left" w:pos="708"/>
        </w:tabs>
        <w:bidi w:val="0"/>
        <w:spacing w:after="0" w:line="240" w:lineRule="auto"/>
        <w:jc w:val="both"/>
        <w:rPr>
          <w:rFonts w:ascii="Times New Roman" w:hAnsi="Times New Roman"/>
        </w:rPr>
      </w:pPr>
    </w:p>
    <w:p w:rsidR="00C30F45" w:rsidRPr="00CB04EE" w:rsidP="00C30F45">
      <w:pPr>
        <w:bidi w:val="0"/>
        <w:spacing w:after="0" w:line="240" w:lineRule="auto"/>
        <w:rPr>
          <w:rFonts w:ascii="Times New Roman" w:hAnsi="Times New Roman"/>
          <w:b/>
          <w:bCs/>
          <w:strike/>
          <w:szCs w:val="22"/>
          <w:u w:val="single"/>
        </w:rPr>
      </w:pPr>
      <w:r w:rsidRPr="00CB04EE">
        <w:rPr>
          <w:rFonts w:ascii="Times New Roman" w:hAnsi="Times New Roman"/>
          <w:b/>
          <w:bCs/>
          <w:szCs w:val="22"/>
          <w:u w:val="single"/>
        </w:rPr>
        <w:t>§ 22g</w:t>
      </w:r>
    </w:p>
    <w:p w:rsidR="00C30F45" w:rsidRPr="00AF23B3" w:rsidP="00C30F45">
      <w:pPr>
        <w:widowControl w:val="0"/>
        <w:tabs>
          <w:tab w:val="left" w:pos="708"/>
        </w:tabs>
        <w:bidi w:val="0"/>
        <w:spacing w:after="0" w:line="240" w:lineRule="auto"/>
        <w:jc w:val="both"/>
        <w:rPr>
          <w:rFonts w:ascii="Times New Roman" w:hAnsi="Times New Roman"/>
          <w:szCs w:val="22"/>
        </w:rPr>
      </w:pPr>
      <w:r w:rsidRPr="00A87B9A">
        <w:rPr>
          <w:rFonts w:ascii="Times New Roman" w:hAnsi="Times New Roman"/>
        </w:rPr>
        <w:t>Úprava</w:t>
      </w:r>
      <w:r w:rsidRPr="007F147E">
        <w:rPr>
          <w:rFonts w:ascii="Times New Roman" w:hAnsi="Times New Roman"/>
          <w:szCs w:val="22"/>
        </w:rPr>
        <w:t xml:space="preserve"> sa týka sankcií za nesplnenie </w:t>
      </w:r>
      <w:r>
        <w:rPr>
          <w:rFonts w:ascii="Times New Roman" w:hAnsi="Times New Roman"/>
          <w:szCs w:val="22"/>
        </w:rPr>
        <w:t>ustanovení zákona</w:t>
      </w:r>
      <w:r w:rsidRPr="007F147E">
        <w:rPr>
          <w:rFonts w:ascii="Times New Roman" w:hAnsi="Times New Roman"/>
          <w:szCs w:val="22"/>
        </w:rPr>
        <w:t>. Za</w:t>
      </w:r>
      <w:r>
        <w:rPr>
          <w:rFonts w:ascii="Times New Roman" w:hAnsi="Times New Roman"/>
          <w:szCs w:val="22"/>
        </w:rPr>
        <w:t xml:space="preserve"> nesplnenie oznamovacej povinnosti podľa </w:t>
      </w:r>
      <w:r w:rsidRPr="00AF23B3">
        <w:rPr>
          <w:rFonts w:ascii="Times New Roman" w:hAnsi="Times New Roman"/>
          <w:szCs w:val="22"/>
        </w:rPr>
        <w:t xml:space="preserve">§ </w:t>
      </w:r>
      <w:r>
        <w:rPr>
          <w:rFonts w:ascii="Times New Roman" w:hAnsi="Times New Roman"/>
          <w:szCs w:val="22"/>
        </w:rPr>
        <w:t>22e</w:t>
      </w:r>
      <w:r w:rsidRPr="00AF23B3">
        <w:rPr>
          <w:rFonts w:ascii="Times New Roman" w:hAnsi="Times New Roman"/>
          <w:szCs w:val="22"/>
        </w:rPr>
        <w:t xml:space="preserve"> sa uloží pokuta vo výške až do 3 000 eur, a to aj opakovane</w:t>
      </w:r>
      <w:r>
        <w:rPr>
          <w:rFonts w:ascii="Times New Roman" w:hAnsi="Times New Roman"/>
          <w:szCs w:val="22"/>
        </w:rPr>
        <w:t>.</w:t>
      </w:r>
      <w:r w:rsidRPr="00AF23B3">
        <w:rPr>
          <w:rFonts w:ascii="Times New Roman" w:hAnsi="Times New Roman"/>
          <w:szCs w:val="22"/>
        </w:rPr>
        <w:t xml:space="preserve"> </w:t>
      </w:r>
      <w:r>
        <w:rPr>
          <w:rFonts w:ascii="Times New Roman" w:hAnsi="Times New Roman"/>
          <w:szCs w:val="22"/>
        </w:rPr>
        <w:t>Z</w:t>
      </w:r>
      <w:r w:rsidRPr="00AF23B3">
        <w:rPr>
          <w:rFonts w:ascii="Times New Roman" w:hAnsi="Times New Roman"/>
          <w:szCs w:val="22"/>
        </w:rPr>
        <w:t xml:space="preserve">a </w:t>
      </w:r>
      <w:r>
        <w:rPr>
          <w:rFonts w:ascii="Times New Roman" w:hAnsi="Times New Roman"/>
          <w:szCs w:val="22"/>
        </w:rPr>
        <w:t xml:space="preserve">nepodanie správy podľa jednotlivých štátov </w:t>
      </w:r>
      <w:r w:rsidRPr="00AF23B3">
        <w:rPr>
          <w:rFonts w:ascii="Times New Roman" w:hAnsi="Times New Roman"/>
          <w:szCs w:val="22"/>
        </w:rPr>
        <w:t xml:space="preserve">podľa </w:t>
      </w:r>
      <w:r>
        <w:rPr>
          <w:rFonts w:ascii="Times New Roman" w:hAnsi="Times New Roman"/>
          <w:szCs w:val="22"/>
        </w:rPr>
        <w:t>§ 22b</w:t>
      </w:r>
      <w:r w:rsidRPr="00AF23B3">
        <w:rPr>
          <w:rFonts w:ascii="Times New Roman" w:hAnsi="Times New Roman"/>
          <w:szCs w:val="22"/>
        </w:rPr>
        <w:t xml:space="preserve"> až § </w:t>
      </w:r>
      <w:r>
        <w:rPr>
          <w:rFonts w:ascii="Times New Roman" w:hAnsi="Times New Roman"/>
          <w:szCs w:val="22"/>
        </w:rPr>
        <w:t>22d</w:t>
      </w:r>
      <w:r w:rsidRPr="00AF23B3">
        <w:rPr>
          <w:rFonts w:ascii="Times New Roman" w:hAnsi="Times New Roman"/>
          <w:szCs w:val="22"/>
        </w:rPr>
        <w:t xml:space="preserve"> sa uloží pokuta vo výške až do 10 000 eur, a to aj opakovane. </w:t>
      </w:r>
    </w:p>
    <w:p w:rsidR="00C30F45" w:rsidP="00C30F45">
      <w:pPr>
        <w:bidi w:val="0"/>
        <w:spacing w:after="0" w:line="240" w:lineRule="auto"/>
        <w:jc w:val="both"/>
        <w:rPr>
          <w:rFonts w:ascii="Times New Roman" w:hAnsi="Times New Roman"/>
          <w:szCs w:val="22"/>
          <w:highlight w:val="yellow"/>
        </w:rPr>
      </w:pPr>
    </w:p>
    <w:p w:rsidR="00C30F45" w:rsidRPr="00540C35" w:rsidP="00C30F45">
      <w:pPr>
        <w:bidi w:val="0"/>
        <w:spacing w:after="0" w:line="240" w:lineRule="auto"/>
        <w:jc w:val="both"/>
        <w:rPr>
          <w:rFonts w:ascii="Times New Roman" w:hAnsi="Times New Roman"/>
          <w:b/>
          <w:szCs w:val="22"/>
          <w:u w:val="single"/>
        </w:rPr>
      </w:pPr>
      <w:r w:rsidRPr="00540C35">
        <w:rPr>
          <w:rFonts w:ascii="Times New Roman" w:hAnsi="Times New Roman"/>
          <w:b/>
          <w:szCs w:val="22"/>
          <w:u w:val="single"/>
        </w:rPr>
        <w:t xml:space="preserve">K bodu </w:t>
      </w:r>
      <w:r>
        <w:rPr>
          <w:rFonts w:ascii="Times New Roman" w:hAnsi="Times New Roman"/>
          <w:b/>
          <w:szCs w:val="22"/>
          <w:u w:val="single"/>
        </w:rPr>
        <w:t>4</w:t>
      </w:r>
    </w:p>
    <w:p w:rsidR="00C30F45" w:rsidRPr="00CB04EE" w:rsidP="00C30F45">
      <w:pPr>
        <w:bidi w:val="0"/>
        <w:spacing w:after="0" w:line="240" w:lineRule="auto"/>
        <w:rPr>
          <w:rFonts w:ascii="Times New Roman" w:hAnsi="Times New Roman"/>
          <w:b/>
          <w:bCs/>
          <w:strike/>
          <w:szCs w:val="22"/>
          <w:u w:val="single"/>
        </w:rPr>
      </w:pPr>
      <w:r w:rsidRPr="00CB04EE">
        <w:rPr>
          <w:rFonts w:ascii="Times New Roman" w:hAnsi="Times New Roman"/>
          <w:b/>
          <w:bCs/>
          <w:szCs w:val="22"/>
          <w:u w:val="single"/>
        </w:rPr>
        <w:t>§ 24b</w:t>
      </w:r>
    </w:p>
    <w:p w:rsidR="00C30F45" w:rsidRPr="005808E7" w:rsidP="00C30F45">
      <w:pPr>
        <w:widowControl w:val="0"/>
        <w:tabs>
          <w:tab w:val="left" w:pos="708"/>
        </w:tabs>
        <w:bidi w:val="0"/>
        <w:spacing w:after="0" w:line="240" w:lineRule="auto"/>
        <w:jc w:val="both"/>
        <w:rPr>
          <w:rFonts w:ascii="Times New Roman" w:hAnsi="Times New Roman"/>
          <w:szCs w:val="22"/>
        </w:rPr>
      </w:pPr>
      <w:r w:rsidRPr="005808E7">
        <w:rPr>
          <w:rFonts w:ascii="Times New Roman" w:hAnsi="Times New Roman"/>
          <w:szCs w:val="22"/>
        </w:rPr>
        <w:t>V rámci prechodných ustanovení zákona sa dopĺňajú prechodné ustanovenia k úpravám účinným od 1.3.2017.</w:t>
      </w:r>
    </w:p>
    <w:p w:rsidR="00C30F45" w:rsidRPr="005808E7" w:rsidP="00C30F45">
      <w:pPr>
        <w:widowControl w:val="0"/>
        <w:tabs>
          <w:tab w:val="left" w:pos="708"/>
        </w:tabs>
        <w:bidi w:val="0"/>
        <w:spacing w:after="0" w:line="240" w:lineRule="auto"/>
        <w:jc w:val="both"/>
        <w:rPr>
          <w:rFonts w:ascii="Times New Roman" w:hAnsi="Times New Roman"/>
          <w:szCs w:val="22"/>
        </w:rPr>
      </w:pPr>
    </w:p>
    <w:p w:rsidR="00C30F45" w:rsidRPr="005808E7" w:rsidP="00C30F45">
      <w:pPr>
        <w:widowControl w:val="0"/>
        <w:tabs>
          <w:tab w:val="left" w:pos="708"/>
        </w:tabs>
        <w:bidi w:val="0"/>
        <w:spacing w:after="0" w:line="240" w:lineRule="auto"/>
        <w:jc w:val="both"/>
        <w:rPr>
          <w:rFonts w:ascii="Times New Roman" w:hAnsi="Times New Roman"/>
          <w:szCs w:val="22"/>
        </w:rPr>
      </w:pPr>
      <w:r w:rsidRPr="005808E7">
        <w:rPr>
          <w:rFonts w:ascii="Times New Roman" w:hAnsi="Times New Roman"/>
          <w:szCs w:val="22"/>
        </w:rPr>
        <w:t xml:space="preserve">Hlavný materský subjekt podľa § </w:t>
      </w:r>
      <w:r>
        <w:rPr>
          <w:rFonts w:ascii="Times New Roman" w:hAnsi="Times New Roman"/>
          <w:szCs w:val="22"/>
        </w:rPr>
        <w:t>22b</w:t>
      </w:r>
      <w:r w:rsidRPr="005808E7">
        <w:rPr>
          <w:rFonts w:ascii="Times New Roman" w:hAnsi="Times New Roman"/>
          <w:szCs w:val="22"/>
        </w:rPr>
        <w:t xml:space="preserve"> ods. 1 a náh</w:t>
      </w:r>
      <w:r>
        <w:rPr>
          <w:rFonts w:ascii="Times New Roman" w:hAnsi="Times New Roman"/>
          <w:szCs w:val="22"/>
        </w:rPr>
        <w:t>radný materský subjekt podľa § 22d ods. 1 sú povinní</w:t>
      </w:r>
      <w:r w:rsidRPr="005808E7">
        <w:rPr>
          <w:rFonts w:ascii="Times New Roman" w:hAnsi="Times New Roman"/>
          <w:szCs w:val="22"/>
        </w:rPr>
        <w:t xml:space="preserve"> zaslať prvú správu podľa jednotlivých štátov za finančný rok skupiny nadnárodných podnikov začínajúci najskôr 1. januára 2016. </w:t>
      </w:r>
    </w:p>
    <w:p w:rsidR="00C30F45" w:rsidP="00C30F45">
      <w:pPr>
        <w:widowControl w:val="0"/>
        <w:tabs>
          <w:tab w:val="left" w:pos="708"/>
        </w:tabs>
        <w:bidi w:val="0"/>
        <w:spacing w:after="0" w:line="240" w:lineRule="auto"/>
        <w:jc w:val="both"/>
        <w:rPr>
          <w:rFonts w:ascii="Times New Roman" w:hAnsi="Times New Roman"/>
          <w:szCs w:val="22"/>
        </w:rPr>
      </w:pPr>
    </w:p>
    <w:p w:rsidR="00C30F45" w:rsidP="00C30F45">
      <w:pPr>
        <w:widowControl w:val="0"/>
        <w:tabs>
          <w:tab w:val="left" w:pos="708"/>
        </w:tabs>
        <w:bidi w:val="0"/>
        <w:spacing w:after="0" w:line="240" w:lineRule="auto"/>
        <w:jc w:val="both"/>
        <w:rPr>
          <w:rFonts w:ascii="Times New Roman" w:hAnsi="Times New Roman"/>
          <w:szCs w:val="22"/>
        </w:rPr>
      </w:pPr>
      <w:r w:rsidRPr="005808E7">
        <w:rPr>
          <w:rFonts w:ascii="Times New Roman" w:hAnsi="Times New Roman"/>
          <w:szCs w:val="22"/>
        </w:rPr>
        <w:t xml:space="preserve">Uvedené znamená, že ak pre </w:t>
      </w:r>
      <w:r>
        <w:rPr>
          <w:rFonts w:ascii="Times New Roman" w:hAnsi="Times New Roman"/>
          <w:szCs w:val="22"/>
        </w:rPr>
        <w:t xml:space="preserve">nadnárodnú </w:t>
      </w:r>
      <w:r w:rsidRPr="005808E7">
        <w:rPr>
          <w:rFonts w:ascii="Times New Roman" w:hAnsi="Times New Roman"/>
          <w:szCs w:val="22"/>
        </w:rPr>
        <w:t>skupinu podnikov je finančný rok totožný s kalendárnym rokom a celkové konsolidované výnosy skupiny za finančný rok 2015 sú rovné alebo vyššie ako 750</w:t>
      </w:r>
      <w:r>
        <w:rPr>
          <w:rFonts w:ascii="Times New Roman" w:hAnsi="Times New Roman"/>
          <w:szCs w:val="22"/>
        </w:rPr>
        <w:t> </w:t>
      </w:r>
      <w:r w:rsidRPr="005808E7">
        <w:rPr>
          <w:rFonts w:ascii="Times New Roman" w:hAnsi="Times New Roman"/>
          <w:szCs w:val="22"/>
        </w:rPr>
        <w:t xml:space="preserve">miliónov EUR, potom tejto skupine vznikne povinnosť podať správu za kalendárny rok 2016 a to do 31.12.2017. </w:t>
      </w:r>
    </w:p>
    <w:p w:rsidR="00C30F45" w:rsidRPr="005808E7" w:rsidP="00C30F45">
      <w:pPr>
        <w:widowControl w:val="0"/>
        <w:tabs>
          <w:tab w:val="left" w:pos="708"/>
        </w:tabs>
        <w:bidi w:val="0"/>
        <w:spacing w:after="0" w:line="240" w:lineRule="auto"/>
        <w:jc w:val="both"/>
        <w:rPr>
          <w:rFonts w:ascii="Times New Roman" w:hAnsi="Times New Roman"/>
          <w:szCs w:val="22"/>
        </w:rPr>
      </w:pPr>
    </w:p>
    <w:p w:rsidR="00C30F45" w:rsidRPr="005808E7" w:rsidP="00C30F45">
      <w:pPr>
        <w:widowControl w:val="0"/>
        <w:tabs>
          <w:tab w:val="left" w:pos="708"/>
        </w:tabs>
        <w:bidi w:val="0"/>
        <w:spacing w:after="0" w:line="240" w:lineRule="auto"/>
        <w:jc w:val="both"/>
        <w:rPr>
          <w:rFonts w:ascii="Times New Roman" w:hAnsi="Times New Roman"/>
          <w:szCs w:val="22"/>
        </w:rPr>
      </w:pPr>
      <w:r w:rsidRPr="005808E7">
        <w:rPr>
          <w:rFonts w:ascii="Times New Roman" w:hAnsi="Times New Roman"/>
          <w:szCs w:val="22"/>
        </w:rPr>
        <w:t>Ak  skupina nadnárodných podnikov má finančný rok</w:t>
      </w:r>
      <w:r>
        <w:rPr>
          <w:rFonts w:ascii="Times New Roman" w:hAnsi="Times New Roman"/>
          <w:szCs w:val="22"/>
        </w:rPr>
        <w:t xml:space="preserve"> začínajúci po 1.1.2016</w:t>
      </w:r>
      <w:r w:rsidRPr="005808E7">
        <w:rPr>
          <w:rFonts w:ascii="Times New Roman" w:hAnsi="Times New Roman"/>
          <w:szCs w:val="22"/>
        </w:rPr>
        <w:t xml:space="preserve"> napr. od 1.10.2016 do 30.9.2017 a  celkové konsolidované výnosy skupiny za </w:t>
      </w:r>
      <w:r>
        <w:rPr>
          <w:rFonts w:ascii="Times New Roman" w:hAnsi="Times New Roman"/>
          <w:szCs w:val="22"/>
        </w:rPr>
        <w:t xml:space="preserve">predchádzajúci </w:t>
      </w:r>
      <w:r w:rsidRPr="005808E7">
        <w:rPr>
          <w:rFonts w:ascii="Times New Roman" w:hAnsi="Times New Roman"/>
          <w:szCs w:val="22"/>
        </w:rPr>
        <w:t>finančný rok  (od 1.10.2015 do 30.9.2016) sú rovné alebo vyššie ako 750 miliónov EUR, potom tejto skupine vznikne povinnosť podať správu do 30.9.2018.</w:t>
      </w:r>
    </w:p>
    <w:p w:rsidR="00C30F45" w:rsidRPr="005808E7" w:rsidP="00C30F45">
      <w:pPr>
        <w:widowControl w:val="0"/>
        <w:tabs>
          <w:tab w:val="left" w:pos="708"/>
        </w:tabs>
        <w:bidi w:val="0"/>
        <w:spacing w:after="0" w:line="240" w:lineRule="auto"/>
        <w:jc w:val="both"/>
        <w:rPr>
          <w:rFonts w:ascii="Times New Roman" w:hAnsi="Times New Roman"/>
          <w:szCs w:val="22"/>
        </w:rPr>
      </w:pPr>
    </w:p>
    <w:p w:rsidR="00C30F45" w:rsidRPr="005808E7" w:rsidP="00C30F45">
      <w:pPr>
        <w:widowControl w:val="0"/>
        <w:tabs>
          <w:tab w:val="left" w:pos="708"/>
        </w:tabs>
        <w:bidi w:val="0"/>
        <w:spacing w:after="0" w:line="240" w:lineRule="auto"/>
        <w:jc w:val="both"/>
        <w:rPr>
          <w:rFonts w:ascii="Times New Roman" w:hAnsi="Times New Roman"/>
          <w:szCs w:val="22"/>
        </w:rPr>
      </w:pPr>
      <w:r w:rsidRPr="005808E7">
        <w:rPr>
          <w:rFonts w:ascii="Times New Roman" w:hAnsi="Times New Roman"/>
          <w:szCs w:val="22"/>
        </w:rPr>
        <w:t>V prípade tzv. sekundárneho oznamovania, základný subjekt podľa §</w:t>
      </w:r>
      <w:r>
        <w:rPr>
          <w:rFonts w:ascii="Times New Roman" w:hAnsi="Times New Roman"/>
          <w:szCs w:val="22"/>
        </w:rPr>
        <w:t xml:space="preserve"> 22c ods. 1</w:t>
      </w:r>
      <w:r w:rsidRPr="005808E7">
        <w:rPr>
          <w:rFonts w:ascii="Times New Roman" w:hAnsi="Times New Roman"/>
          <w:szCs w:val="22"/>
        </w:rPr>
        <w:t xml:space="preserve"> je povinný zaslať správu podľa jednotlivých štátov podľa § </w:t>
      </w:r>
      <w:r>
        <w:rPr>
          <w:rFonts w:ascii="Times New Roman" w:hAnsi="Times New Roman"/>
          <w:szCs w:val="22"/>
        </w:rPr>
        <w:t>22c</w:t>
      </w:r>
      <w:r w:rsidRPr="005808E7">
        <w:rPr>
          <w:rFonts w:ascii="Times New Roman" w:hAnsi="Times New Roman"/>
          <w:szCs w:val="22"/>
        </w:rPr>
        <w:t xml:space="preserve"> prvýkrát za finančný rok skupiny nadnárodných podnikov začínajúci najskôr 1. januára 2017, teda povinnosť je posunutá o jeden finančný rok.</w:t>
      </w:r>
    </w:p>
    <w:p w:rsidR="00C30F45" w:rsidRPr="005808E7" w:rsidP="00C30F45">
      <w:pPr>
        <w:widowControl w:val="0"/>
        <w:tabs>
          <w:tab w:val="left" w:pos="708"/>
        </w:tabs>
        <w:bidi w:val="0"/>
        <w:spacing w:after="0" w:line="240" w:lineRule="auto"/>
        <w:jc w:val="both"/>
        <w:rPr>
          <w:rFonts w:ascii="Times New Roman" w:hAnsi="Times New Roman"/>
          <w:szCs w:val="22"/>
        </w:rPr>
      </w:pPr>
    </w:p>
    <w:p w:rsidR="00C30F45" w:rsidRPr="008B2BAC" w:rsidP="00C30F45">
      <w:pPr>
        <w:widowControl w:val="0"/>
        <w:tabs>
          <w:tab w:val="left" w:pos="708"/>
        </w:tabs>
        <w:bidi w:val="0"/>
        <w:spacing w:after="0" w:line="240" w:lineRule="auto"/>
        <w:jc w:val="both"/>
        <w:rPr>
          <w:rFonts w:ascii="Times New Roman" w:hAnsi="Times New Roman"/>
          <w:szCs w:val="22"/>
        </w:rPr>
      </w:pPr>
      <w:r w:rsidRPr="005808E7">
        <w:rPr>
          <w:rFonts w:ascii="Times New Roman" w:hAnsi="Times New Roman"/>
          <w:szCs w:val="22"/>
        </w:rPr>
        <w:t>Správu podľa jednotlivýc</w:t>
      </w:r>
      <w:r>
        <w:rPr>
          <w:rFonts w:ascii="Times New Roman" w:hAnsi="Times New Roman"/>
          <w:szCs w:val="22"/>
        </w:rPr>
        <w:t>h štátov podľa § 22b</w:t>
      </w:r>
      <w:r w:rsidRPr="005808E7">
        <w:rPr>
          <w:rFonts w:ascii="Times New Roman" w:hAnsi="Times New Roman"/>
          <w:szCs w:val="22"/>
        </w:rPr>
        <w:t xml:space="preserve"> ods. 2 za prvý finančný rok začínajúci najskôr 1. januára 2016 zašle príslušný orgán Slovenskej republiky do 18 mesiacov od posledného dňa príslušného finančného roka skupiny nadnárodných podnikov, teda najskôr v roku 2018. Správy za nasledujúce finančné roky sa zasielajú do 15 mesiacov.</w:t>
      </w:r>
    </w:p>
    <w:p w:rsidR="00C30F45" w:rsidP="00C30F45">
      <w:pPr>
        <w:bidi w:val="0"/>
        <w:spacing w:after="0" w:line="240" w:lineRule="auto"/>
        <w:jc w:val="both"/>
        <w:rPr>
          <w:rFonts w:ascii="Times New Roman" w:hAnsi="Times New Roman"/>
          <w:szCs w:val="22"/>
        </w:rPr>
      </w:pPr>
    </w:p>
    <w:p w:rsidR="00C30F45" w:rsidP="00C30F45">
      <w:pPr>
        <w:bidi w:val="0"/>
        <w:spacing w:after="0" w:line="240" w:lineRule="auto"/>
        <w:jc w:val="both"/>
        <w:rPr>
          <w:rFonts w:ascii="Times New Roman" w:hAnsi="Times New Roman"/>
          <w:b/>
          <w:szCs w:val="22"/>
          <w:u w:val="single"/>
        </w:rPr>
      </w:pPr>
      <w:r w:rsidRPr="00540C35">
        <w:rPr>
          <w:rFonts w:ascii="Times New Roman" w:hAnsi="Times New Roman"/>
          <w:b/>
          <w:szCs w:val="22"/>
          <w:u w:val="single"/>
        </w:rPr>
        <w:t xml:space="preserve">K bodu </w:t>
      </w:r>
      <w:r>
        <w:rPr>
          <w:rFonts w:ascii="Times New Roman" w:hAnsi="Times New Roman"/>
          <w:b/>
          <w:szCs w:val="22"/>
          <w:u w:val="single"/>
        </w:rPr>
        <w:t>5 a 7</w:t>
      </w:r>
    </w:p>
    <w:p w:rsidR="00C30F45" w:rsidRPr="00413D9B" w:rsidP="00C30F45">
      <w:pPr>
        <w:bidi w:val="0"/>
        <w:spacing w:after="0" w:line="240" w:lineRule="auto"/>
        <w:jc w:val="both"/>
        <w:rPr>
          <w:rFonts w:ascii="Times New Roman" w:hAnsi="Times New Roman"/>
          <w:szCs w:val="22"/>
        </w:rPr>
      </w:pPr>
      <w:r w:rsidRPr="00413D9B">
        <w:rPr>
          <w:rFonts w:ascii="Times New Roman" w:hAnsi="Times New Roman"/>
          <w:szCs w:val="22"/>
        </w:rPr>
        <w:t xml:space="preserve">Ide o technickú úpravu, právne záväzné akty Európskej únie </w:t>
      </w:r>
      <w:r>
        <w:rPr>
          <w:rFonts w:ascii="Times New Roman" w:hAnsi="Times New Roman"/>
          <w:szCs w:val="22"/>
        </w:rPr>
        <w:t xml:space="preserve">sú </w:t>
      </w:r>
      <w:r w:rsidRPr="00413D9B">
        <w:rPr>
          <w:rFonts w:ascii="Times New Roman" w:hAnsi="Times New Roman"/>
          <w:szCs w:val="22"/>
        </w:rPr>
        <w:t>uvedené</w:t>
      </w:r>
      <w:r>
        <w:rPr>
          <w:rFonts w:ascii="Times New Roman" w:hAnsi="Times New Roman"/>
          <w:szCs w:val="22"/>
        </w:rPr>
        <w:t xml:space="preserve"> v prílohe č. 2.</w:t>
      </w:r>
    </w:p>
    <w:p w:rsidR="00C30F45" w:rsidP="00C30F45">
      <w:pPr>
        <w:bidi w:val="0"/>
        <w:spacing w:after="0" w:line="240" w:lineRule="auto"/>
        <w:jc w:val="both"/>
        <w:rPr>
          <w:rFonts w:ascii="Times New Roman" w:hAnsi="Times New Roman"/>
          <w:b/>
          <w:szCs w:val="22"/>
          <w:u w:val="single"/>
        </w:rPr>
      </w:pPr>
    </w:p>
    <w:p w:rsidR="00C30F45" w:rsidP="00C30F45">
      <w:pPr>
        <w:bidi w:val="0"/>
        <w:spacing w:after="0" w:line="240" w:lineRule="auto"/>
        <w:jc w:val="both"/>
        <w:rPr>
          <w:rFonts w:ascii="Times New Roman" w:hAnsi="Times New Roman"/>
          <w:b/>
          <w:szCs w:val="22"/>
          <w:u w:val="single"/>
        </w:rPr>
      </w:pPr>
      <w:r w:rsidRPr="00540C35">
        <w:rPr>
          <w:rFonts w:ascii="Times New Roman" w:hAnsi="Times New Roman"/>
          <w:b/>
          <w:szCs w:val="22"/>
          <w:u w:val="single"/>
        </w:rPr>
        <w:t xml:space="preserve">K bodu </w:t>
      </w:r>
      <w:r>
        <w:rPr>
          <w:rFonts w:ascii="Times New Roman" w:hAnsi="Times New Roman"/>
          <w:b/>
          <w:szCs w:val="22"/>
          <w:u w:val="single"/>
        </w:rPr>
        <w:t>6</w:t>
      </w:r>
    </w:p>
    <w:p w:rsidR="00C30F45" w:rsidP="00C30F45">
      <w:pPr>
        <w:widowControl w:val="0"/>
        <w:tabs>
          <w:tab w:val="left" w:pos="708"/>
        </w:tabs>
        <w:bidi w:val="0"/>
        <w:spacing w:after="0" w:line="240" w:lineRule="auto"/>
        <w:jc w:val="both"/>
        <w:rPr>
          <w:rFonts w:ascii="Times New Roman" w:hAnsi="Times New Roman"/>
          <w:szCs w:val="22"/>
        </w:rPr>
      </w:pPr>
      <w:r>
        <w:rPr>
          <w:rFonts w:ascii="Times New Roman" w:hAnsi="Times New Roman"/>
          <w:szCs w:val="22"/>
        </w:rPr>
        <w:t xml:space="preserve">V prílohe č. 1 Vzor správy podľa jednotlivých štátov sú dve tabuľky, ktoré obsahujú informácie podľa </w:t>
      </w:r>
      <w:r w:rsidRPr="00610806">
        <w:rPr>
          <w:rFonts w:ascii="Times New Roman" w:hAnsi="Times New Roman"/>
          <w:szCs w:val="22"/>
        </w:rPr>
        <w:t xml:space="preserve">§ </w:t>
      </w:r>
      <w:r>
        <w:rPr>
          <w:rFonts w:ascii="Times New Roman" w:hAnsi="Times New Roman"/>
          <w:szCs w:val="22"/>
        </w:rPr>
        <w:t xml:space="preserve">22b ods. 3. </w:t>
      </w:r>
      <w:r w:rsidRPr="00C16C2A">
        <w:rPr>
          <w:rFonts w:ascii="Times New Roman" w:hAnsi="Times New Roman"/>
          <w:szCs w:val="22"/>
        </w:rPr>
        <w:t>Tabuľka 1.</w:t>
      </w:r>
      <w:r>
        <w:rPr>
          <w:rFonts w:ascii="Times New Roman" w:hAnsi="Times New Roman"/>
          <w:szCs w:val="22"/>
        </w:rPr>
        <w:t xml:space="preserve"> zahrňuje  p</w:t>
      </w:r>
      <w:r w:rsidRPr="00C16C2A">
        <w:rPr>
          <w:rFonts w:ascii="Times New Roman" w:hAnsi="Times New Roman"/>
          <w:szCs w:val="22"/>
        </w:rPr>
        <w:t xml:space="preserve">rehľad rozdelenia </w:t>
      </w:r>
      <w:r w:rsidRPr="00647DBB">
        <w:rPr>
          <w:rFonts w:ascii="Times New Roman" w:hAnsi="Times New Roman"/>
          <w:szCs w:val="22"/>
        </w:rPr>
        <w:t>príjmov</w:t>
      </w:r>
      <w:r w:rsidRPr="00C16C2A">
        <w:rPr>
          <w:rFonts w:ascii="Times New Roman" w:hAnsi="Times New Roman"/>
          <w:szCs w:val="22"/>
        </w:rPr>
        <w:t xml:space="preserve">, daní a ekonomických činností jednotlivých </w:t>
      </w:r>
      <w:r w:rsidRPr="00647DBB">
        <w:rPr>
          <w:rFonts w:ascii="Times New Roman" w:hAnsi="Times New Roman"/>
          <w:szCs w:val="22"/>
        </w:rPr>
        <w:t>štátov. Hmotný</w:t>
      </w:r>
      <w:r>
        <w:rPr>
          <w:rFonts w:ascii="Times New Roman" w:hAnsi="Times New Roman"/>
          <w:szCs w:val="22"/>
        </w:rPr>
        <w:t>m</w:t>
      </w:r>
      <w:r w:rsidRPr="00647DBB">
        <w:rPr>
          <w:rFonts w:ascii="Times New Roman" w:hAnsi="Times New Roman"/>
          <w:szCs w:val="22"/>
        </w:rPr>
        <w:t xml:space="preserve"> majetk</w:t>
      </w:r>
      <w:r>
        <w:rPr>
          <w:rFonts w:ascii="Times New Roman" w:hAnsi="Times New Roman"/>
          <w:szCs w:val="22"/>
        </w:rPr>
        <w:t xml:space="preserve">om sa rozumie dlhodobý hmotný majetok a zásoby, okrem </w:t>
      </w:r>
      <w:r w:rsidRPr="00647DBB">
        <w:rPr>
          <w:rFonts w:ascii="Times New Roman" w:hAnsi="Times New Roman"/>
          <w:szCs w:val="22"/>
        </w:rPr>
        <w:t>peňažn</w:t>
      </w:r>
      <w:r>
        <w:rPr>
          <w:rFonts w:ascii="Times New Roman" w:hAnsi="Times New Roman"/>
          <w:szCs w:val="22"/>
        </w:rPr>
        <w:t>ých</w:t>
      </w:r>
      <w:r w:rsidRPr="00647DBB">
        <w:rPr>
          <w:rFonts w:ascii="Times New Roman" w:hAnsi="Times New Roman"/>
          <w:szCs w:val="22"/>
        </w:rPr>
        <w:t xml:space="preserve"> prostriedk</w:t>
      </w:r>
      <w:r>
        <w:rPr>
          <w:rFonts w:ascii="Times New Roman" w:hAnsi="Times New Roman"/>
          <w:szCs w:val="22"/>
        </w:rPr>
        <w:t>ov</w:t>
      </w:r>
      <w:r w:rsidRPr="00647DBB">
        <w:rPr>
          <w:rFonts w:ascii="Times New Roman" w:hAnsi="Times New Roman"/>
          <w:szCs w:val="22"/>
        </w:rPr>
        <w:t xml:space="preserve"> a peňažn</w:t>
      </w:r>
      <w:r>
        <w:rPr>
          <w:rFonts w:ascii="Times New Roman" w:hAnsi="Times New Roman"/>
          <w:szCs w:val="22"/>
        </w:rPr>
        <w:t>ých</w:t>
      </w:r>
      <w:r w:rsidRPr="00647DBB">
        <w:rPr>
          <w:rFonts w:ascii="Times New Roman" w:hAnsi="Times New Roman"/>
          <w:szCs w:val="22"/>
        </w:rPr>
        <w:t xml:space="preserve"> ekvivalent</w:t>
      </w:r>
      <w:r>
        <w:rPr>
          <w:rFonts w:ascii="Times New Roman" w:hAnsi="Times New Roman"/>
          <w:szCs w:val="22"/>
        </w:rPr>
        <w:t>ov</w:t>
      </w:r>
    </w:p>
    <w:p w:rsidR="00C30F45" w:rsidRPr="00647DBB" w:rsidP="00C30F45">
      <w:pPr>
        <w:widowControl w:val="0"/>
        <w:tabs>
          <w:tab w:val="left" w:pos="708"/>
        </w:tabs>
        <w:bidi w:val="0"/>
        <w:spacing w:after="0" w:line="240" w:lineRule="auto"/>
        <w:jc w:val="both"/>
        <w:rPr>
          <w:rFonts w:ascii="Times New Roman" w:hAnsi="Times New Roman"/>
          <w:szCs w:val="22"/>
        </w:rPr>
      </w:pPr>
    </w:p>
    <w:p w:rsidR="00C30F45" w:rsidP="00C30F45">
      <w:pPr>
        <w:widowControl w:val="0"/>
        <w:tabs>
          <w:tab w:val="left" w:pos="708"/>
        </w:tabs>
        <w:bidi w:val="0"/>
        <w:spacing w:after="0" w:line="240" w:lineRule="auto"/>
        <w:jc w:val="both"/>
        <w:rPr>
          <w:rFonts w:ascii="Times New Roman" w:hAnsi="Times New Roman"/>
          <w:szCs w:val="22"/>
        </w:rPr>
      </w:pPr>
      <w:r>
        <w:rPr>
          <w:rFonts w:ascii="Times New Roman" w:hAnsi="Times New Roman"/>
          <w:szCs w:val="22"/>
        </w:rPr>
        <w:t>T</w:t>
      </w:r>
      <w:r w:rsidRPr="00251DDD">
        <w:rPr>
          <w:rFonts w:ascii="Times New Roman" w:hAnsi="Times New Roman"/>
          <w:szCs w:val="22"/>
        </w:rPr>
        <w:t>abuľka 2</w:t>
      </w:r>
      <w:r>
        <w:rPr>
          <w:rFonts w:ascii="Times New Roman" w:hAnsi="Times New Roman"/>
          <w:szCs w:val="22"/>
        </w:rPr>
        <w:t xml:space="preserve"> zahrňuje z</w:t>
      </w:r>
      <w:r w:rsidRPr="00251DDD">
        <w:rPr>
          <w:rFonts w:ascii="Times New Roman" w:hAnsi="Times New Roman"/>
          <w:szCs w:val="22"/>
        </w:rPr>
        <w:t>oznam všetkých základných subjektov skupiny nadnárodných podnikov podľa jednotlivých</w:t>
      </w:r>
      <w:r>
        <w:rPr>
          <w:rFonts w:ascii="Times New Roman" w:hAnsi="Times New Roman"/>
          <w:szCs w:val="22"/>
        </w:rPr>
        <w:t> </w:t>
      </w:r>
      <w:r w:rsidRPr="00251DDD">
        <w:rPr>
          <w:rFonts w:ascii="Times New Roman" w:hAnsi="Times New Roman"/>
          <w:szCs w:val="22"/>
        </w:rPr>
        <w:t>štátov</w:t>
      </w:r>
      <w:r>
        <w:rPr>
          <w:rFonts w:ascii="Times New Roman" w:hAnsi="Times New Roman"/>
          <w:szCs w:val="22"/>
        </w:rPr>
        <w:t>, </w:t>
      </w:r>
      <w:r w:rsidRPr="00251DDD">
        <w:rPr>
          <w:rFonts w:ascii="Times New Roman" w:hAnsi="Times New Roman"/>
          <w:szCs w:val="22"/>
        </w:rPr>
        <w:t>tabuľka</w:t>
      </w:r>
      <w:r>
        <w:rPr>
          <w:rFonts w:ascii="Times New Roman" w:hAnsi="Times New Roman"/>
          <w:szCs w:val="22"/>
        </w:rPr>
        <w:t> </w:t>
      </w:r>
      <w:r w:rsidRPr="00251DDD">
        <w:rPr>
          <w:rFonts w:ascii="Times New Roman" w:hAnsi="Times New Roman"/>
          <w:szCs w:val="22"/>
        </w:rPr>
        <w:t>3</w:t>
      </w:r>
      <w:r>
        <w:rPr>
          <w:rFonts w:ascii="Times New Roman" w:hAnsi="Times New Roman"/>
          <w:szCs w:val="22"/>
        </w:rPr>
        <w:t> </w:t>
      </w:r>
      <w:r w:rsidRPr="00251DDD">
        <w:rPr>
          <w:rFonts w:ascii="Times New Roman" w:hAnsi="Times New Roman"/>
          <w:szCs w:val="22"/>
        </w:rPr>
        <w:t>doplňujúce</w:t>
      </w:r>
      <w:r>
        <w:rPr>
          <w:rFonts w:ascii="Times New Roman" w:hAnsi="Times New Roman"/>
          <w:szCs w:val="22"/>
        </w:rPr>
        <w:t> </w:t>
      </w:r>
      <w:r w:rsidRPr="00251DDD">
        <w:rPr>
          <w:rFonts w:ascii="Times New Roman" w:hAnsi="Times New Roman"/>
          <w:szCs w:val="22"/>
        </w:rPr>
        <w:t>informácie</w:t>
      </w:r>
      <w:r>
        <w:rPr>
          <w:rFonts w:ascii="Times New Roman" w:hAnsi="Times New Roman"/>
          <w:szCs w:val="22"/>
        </w:rPr>
        <w:t xml:space="preserve">. </w:t>
      </w:r>
    </w:p>
    <w:p w:rsidR="00C30F45" w:rsidP="00C30F45">
      <w:pPr>
        <w:widowControl w:val="0"/>
        <w:tabs>
          <w:tab w:val="left" w:pos="708"/>
        </w:tabs>
        <w:bidi w:val="0"/>
        <w:spacing w:after="0" w:line="240" w:lineRule="auto"/>
        <w:jc w:val="both"/>
        <w:rPr>
          <w:rFonts w:ascii="Times New Roman" w:hAnsi="Times New Roman"/>
          <w:szCs w:val="22"/>
        </w:rPr>
      </w:pPr>
    </w:p>
    <w:p w:rsidR="00C30F45" w:rsidRPr="00251DDD" w:rsidP="00C30F45">
      <w:pPr>
        <w:widowControl w:val="0"/>
        <w:tabs>
          <w:tab w:val="left" w:pos="708"/>
        </w:tabs>
        <w:bidi w:val="0"/>
        <w:spacing w:after="0" w:line="240" w:lineRule="auto"/>
        <w:jc w:val="both"/>
        <w:rPr>
          <w:rFonts w:ascii="Times New Roman" w:hAnsi="Times New Roman"/>
          <w:szCs w:val="22"/>
        </w:rPr>
      </w:pPr>
      <w:r>
        <w:rPr>
          <w:rFonts w:ascii="Times New Roman" w:hAnsi="Times New Roman"/>
          <w:szCs w:val="22"/>
        </w:rPr>
        <w:t xml:space="preserve">Súčasťou prílohy je aj </w:t>
      </w:r>
      <w:r w:rsidRPr="00251DDD">
        <w:rPr>
          <w:rFonts w:ascii="Times New Roman" w:hAnsi="Times New Roman"/>
          <w:szCs w:val="22"/>
        </w:rPr>
        <w:t>poučenie k vyplneniu správy podľa jednotlivých štátov.</w:t>
      </w:r>
    </w:p>
    <w:p w:rsidR="00C30F45" w:rsidRPr="009F7252" w:rsidP="00C30F45">
      <w:pPr>
        <w:widowControl w:val="0"/>
        <w:tabs>
          <w:tab w:val="left" w:pos="708"/>
        </w:tabs>
        <w:bidi w:val="0"/>
        <w:spacing w:after="0" w:line="240" w:lineRule="auto"/>
        <w:jc w:val="both"/>
        <w:rPr>
          <w:rFonts w:ascii="Times New Roman" w:hAnsi="Times New Roman"/>
          <w:szCs w:val="22"/>
        </w:rPr>
      </w:pPr>
    </w:p>
    <w:p w:rsidR="00C30F45" w:rsidRPr="00D423D0" w:rsidP="00C30F45">
      <w:pPr>
        <w:bidi w:val="0"/>
        <w:spacing w:after="0" w:line="240" w:lineRule="auto"/>
        <w:jc w:val="both"/>
        <w:rPr>
          <w:rFonts w:ascii="Times New Roman" w:hAnsi="Times New Roman"/>
          <w:b/>
          <w:szCs w:val="22"/>
          <w:u w:val="single"/>
        </w:rPr>
      </w:pPr>
      <w:r w:rsidRPr="00D423D0">
        <w:rPr>
          <w:rFonts w:ascii="Times New Roman" w:hAnsi="Times New Roman"/>
          <w:b/>
          <w:szCs w:val="22"/>
          <w:u w:val="single"/>
        </w:rPr>
        <w:t>Čl. II</w:t>
      </w:r>
    </w:p>
    <w:p w:rsidR="00C30F45" w:rsidP="00C30F45">
      <w:pPr>
        <w:widowControl w:val="0"/>
        <w:tabs>
          <w:tab w:val="left" w:pos="708"/>
        </w:tabs>
        <w:bidi w:val="0"/>
        <w:spacing w:after="0" w:line="240" w:lineRule="auto"/>
        <w:jc w:val="both"/>
        <w:rPr>
          <w:rFonts w:ascii="Times New Roman" w:hAnsi="Times New Roman"/>
          <w:szCs w:val="22"/>
        </w:rPr>
      </w:pPr>
      <w:r w:rsidRPr="00E15B11">
        <w:rPr>
          <w:rFonts w:ascii="Times New Roman" w:hAnsi="Times New Roman"/>
          <w:szCs w:val="22"/>
        </w:rPr>
        <w:t>Tento článok obsahuje ustanovenia ohľadne nadobudnutia platnosti tohto zákona.</w:t>
      </w:r>
    </w:p>
    <w:p w:rsidR="00C30F45" w:rsidP="00C30F45">
      <w:pPr>
        <w:widowControl w:val="0"/>
        <w:tabs>
          <w:tab w:val="left" w:pos="708"/>
        </w:tabs>
        <w:bidi w:val="0"/>
        <w:spacing w:after="0" w:line="240" w:lineRule="auto"/>
        <w:jc w:val="both"/>
        <w:rPr>
          <w:rFonts w:ascii="Times New Roman" w:hAnsi="Times New Roman"/>
          <w:szCs w:val="22"/>
        </w:rPr>
      </w:pPr>
      <w:r>
        <w:rPr>
          <w:rFonts w:ascii="Times New Roman" w:hAnsi="Times New Roman"/>
          <w:szCs w:val="22"/>
        </w:rPr>
        <w:t>S</w:t>
      </w:r>
      <w:r w:rsidRPr="00D423D0">
        <w:rPr>
          <w:rFonts w:ascii="Times New Roman" w:hAnsi="Times New Roman"/>
          <w:szCs w:val="22"/>
        </w:rPr>
        <w:t>mernic</w:t>
      </w:r>
      <w:r>
        <w:rPr>
          <w:rFonts w:ascii="Times New Roman" w:hAnsi="Times New Roman"/>
          <w:szCs w:val="22"/>
        </w:rPr>
        <w:t>a</w:t>
      </w:r>
      <w:r w:rsidRPr="00D423D0">
        <w:rPr>
          <w:rFonts w:ascii="Times New Roman" w:hAnsi="Times New Roman"/>
          <w:szCs w:val="22"/>
        </w:rPr>
        <w:t xml:space="preserve"> Rady (EÚ) 2016/881 </w:t>
      </w:r>
      <w:r>
        <w:rPr>
          <w:rFonts w:ascii="Times New Roman" w:hAnsi="Times New Roman"/>
          <w:szCs w:val="22"/>
        </w:rPr>
        <w:t xml:space="preserve">sa uplatňuje od </w:t>
      </w:r>
      <w:r w:rsidRPr="00D423D0">
        <w:rPr>
          <w:rFonts w:ascii="Times New Roman" w:hAnsi="Times New Roman"/>
          <w:szCs w:val="22"/>
        </w:rPr>
        <w:t xml:space="preserve"> </w:t>
      </w:r>
      <w:r>
        <w:rPr>
          <w:rFonts w:ascii="Times New Roman" w:hAnsi="Times New Roman"/>
          <w:szCs w:val="22"/>
        </w:rPr>
        <w:t xml:space="preserve">5. júna 2017 a </w:t>
      </w:r>
      <w:r w:rsidRPr="00D423D0">
        <w:rPr>
          <w:rFonts w:ascii="Times New Roman" w:hAnsi="Times New Roman"/>
          <w:szCs w:val="22"/>
        </w:rPr>
        <w:t xml:space="preserve">ustanovuje </w:t>
      </w:r>
      <w:r>
        <w:rPr>
          <w:rFonts w:ascii="Times New Roman" w:hAnsi="Times New Roman"/>
          <w:szCs w:val="22"/>
        </w:rPr>
        <w:t xml:space="preserve">aj </w:t>
      </w:r>
      <w:r w:rsidRPr="00D423D0">
        <w:rPr>
          <w:rFonts w:ascii="Times New Roman" w:hAnsi="Times New Roman"/>
          <w:szCs w:val="22"/>
        </w:rPr>
        <w:t>splnenie oznamovacej povinnosti v lehote na podanie daňového priznania. V Slovenskej republike je táto lehota krátka, najskôr 31. marca, preto k nadobudnutiu účinnosti zákona musí dôjsť</w:t>
      </w:r>
      <w:r>
        <w:rPr>
          <w:rFonts w:ascii="Times New Roman" w:hAnsi="Times New Roman"/>
          <w:szCs w:val="22"/>
        </w:rPr>
        <w:t xml:space="preserve"> skôr, ako je </w:t>
      </w:r>
      <w:r w:rsidRPr="00D423D0">
        <w:rPr>
          <w:rFonts w:ascii="Times New Roman" w:hAnsi="Times New Roman"/>
          <w:szCs w:val="22"/>
        </w:rPr>
        <w:t xml:space="preserve"> </w:t>
      </w:r>
      <w:r>
        <w:rPr>
          <w:rFonts w:ascii="Times New Roman" w:hAnsi="Times New Roman"/>
          <w:szCs w:val="22"/>
        </w:rPr>
        <w:t>lehota na uplatňovanie smernice.</w:t>
      </w:r>
    </w:p>
    <w:p w:rsidR="00C30F45" w:rsidRPr="00C30F45" w:rsidP="00C30F45">
      <w:pPr>
        <w:bidi w:val="0"/>
        <w:ind w:left="567"/>
        <w:rPr>
          <w:rFonts w:ascii="Times New Roman" w:hAnsi="Times New Roman"/>
        </w:rPr>
      </w:pPr>
      <w:r w:rsidRPr="00C30F45">
        <w:rPr>
          <w:rFonts w:ascii="Times New Roman" w:hAnsi="Times New Roman"/>
        </w:rPr>
        <w:t>Schválené uznesením vlády Slovenskej republiky dňa 26. októbra 2016.</w:t>
      </w:r>
    </w:p>
    <w:p w:rsidR="00C30F45" w:rsidRPr="00C30F45" w:rsidP="00C30F45">
      <w:pPr>
        <w:bidi w:val="0"/>
        <w:ind w:left="567"/>
        <w:rPr>
          <w:rFonts w:ascii="Times New Roman" w:hAnsi="Times New Roman"/>
        </w:rPr>
      </w:pPr>
    </w:p>
    <w:p w:rsidR="00C30F45" w:rsidRPr="00C30F45" w:rsidP="00C30F45">
      <w:pPr>
        <w:bidi w:val="0"/>
        <w:rPr>
          <w:rFonts w:ascii="Times New Roman" w:hAnsi="Times New Roman"/>
        </w:rPr>
      </w:pPr>
    </w:p>
    <w:p w:rsidR="00C30F45" w:rsidRPr="00C30F45" w:rsidP="00C30F45">
      <w:pPr>
        <w:bidi w:val="0"/>
        <w:rPr>
          <w:rFonts w:ascii="Times New Roman" w:hAnsi="Times New Roman"/>
        </w:rPr>
      </w:pPr>
    </w:p>
    <w:p w:rsidR="00C30F45" w:rsidRPr="00C30F45" w:rsidP="00C30F45">
      <w:pPr>
        <w:bidi w:val="0"/>
        <w:rPr>
          <w:rFonts w:ascii="Times New Roman" w:hAnsi="Times New Roman"/>
        </w:rPr>
      </w:pPr>
    </w:p>
    <w:p w:rsidR="00C30F45" w:rsidRPr="00C30F45" w:rsidP="00C30F45">
      <w:pPr>
        <w:keepNext/>
        <w:bidi w:val="0"/>
        <w:spacing w:after="0"/>
        <w:jc w:val="center"/>
        <w:outlineLvl w:val="2"/>
        <w:rPr>
          <w:rFonts w:ascii="Times New Roman" w:hAnsi="Times New Roman"/>
          <w:b/>
          <w:szCs w:val="26"/>
        </w:rPr>
      </w:pPr>
      <w:r w:rsidRPr="00C30F45">
        <w:rPr>
          <w:rFonts w:ascii="Times New Roman" w:hAnsi="Times New Roman"/>
          <w:b/>
          <w:szCs w:val="26"/>
        </w:rPr>
        <w:t>Robert Fico</w:t>
      </w:r>
      <w:r w:rsidR="00C34F79">
        <w:rPr>
          <w:rFonts w:ascii="Times New Roman" w:hAnsi="Times New Roman"/>
          <w:b/>
          <w:szCs w:val="26"/>
        </w:rPr>
        <w:t>, v. r.</w:t>
      </w:r>
      <w:r w:rsidRPr="00C30F45">
        <w:rPr>
          <w:rFonts w:ascii="Times New Roman" w:hAnsi="Times New Roman"/>
          <w:b/>
          <w:szCs w:val="26"/>
        </w:rPr>
        <w:t xml:space="preserve"> </w:t>
      </w:r>
    </w:p>
    <w:p w:rsidR="00C30F45" w:rsidRPr="00C30F45" w:rsidP="00C30F45">
      <w:pPr>
        <w:bidi w:val="0"/>
        <w:jc w:val="center"/>
        <w:rPr>
          <w:rFonts w:ascii="Times New Roman" w:hAnsi="Times New Roman"/>
        </w:rPr>
      </w:pPr>
      <w:r w:rsidRPr="00C30F45">
        <w:rPr>
          <w:rFonts w:ascii="Times New Roman" w:hAnsi="Times New Roman"/>
        </w:rPr>
        <w:t>predseda vlády Slovenskej republiky</w:t>
      </w:r>
    </w:p>
    <w:p w:rsidR="00C30F45" w:rsidRPr="00C30F45" w:rsidP="00C30F45">
      <w:pPr>
        <w:bidi w:val="0"/>
        <w:rPr>
          <w:rFonts w:ascii="Times New Roman" w:hAnsi="Times New Roman"/>
        </w:rPr>
      </w:pPr>
    </w:p>
    <w:p w:rsidR="00C30F45" w:rsidRPr="00C30F45" w:rsidP="00C30F45">
      <w:pPr>
        <w:bidi w:val="0"/>
        <w:rPr>
          <w:rFonts w:ascii="Times New Roman" w:hAnsi="Times New Roman"/>
        </w:rPr>
      </w:pPr>
    </w:p>
    <w:p w:rsidR="00C30F45" w:rsidRPr="00C30F45" w:rsidP="00C30F45">
      <w:pPr>
        <w:bidi w:val="0"/>
        <w:rPr>
          <w:rFonts w:ascii="Times New Roman" w:hAnsi="Times New Roman"/>
        </w:rPr>
      </w:pPr>
    </w:p>
    <w:p w:rsidR="00C30F45" w:rsidRPr="00C30F45" w:rsidP="00C30F45">
      <w:pPr>
        <w:bidi w:val="0"/>
        <w:rPr>
          <w:rFonts w:ascii="Times New Roman" w:hAnsi="Times New Roman"/>
        </w:rPr>
      </w:pPr>
    </w:p>
    <w:p w:rsidR="00C30F45" w:rsidRPr="00C30F45" w:rsidP="00C30F45">
      <w:pPr>
        <w:keepNext/>
        <w:bidi w:val="0"/>
        <w:spacing w:after="0"/>
        <w:jc w:val="center"/>
        <w:outlineLvl w:val="0"/>
        <w:rPr>
          <w:rFonts w:ascii="Times New Roman" w:hAnsi="Times New Roman"/>
          <w:b/>
          <w:bCs/>
        </w:rPr>
      </w:pPr>
      <w:r w:rsidRPr="00C30F45">
        <w:rPr>
          <w:rFonts w:ascii="Times New Roman" w:hAnsi="Times New Roman"/>
          <w:b/>
          <w:bCs/>
        </w:rPr>
        <w:t>Peter Kažimír</w:t>
      </w:r>
      <w:r w:rsidR="00C34F79">
        <w:rPr>
          <w:rFonts w:ascii="Times New Roman" w:hAnsi="Times New Roman"/>
          <w:b/>
          <w:bCs/>
        </w:rPr>
        <w:t>, v. r.</w:t>
      </w:r>
    </w:p>
    <w:p w:rsidR="00C30F45" w:rsidRPr="00C30F45" w:rsidP="00C30F45">
      <w:pPr>
        <w:bidi w:val="0"/>
        <w:jc w:val="center"/>
        <w:rPr>
          <w:rFonts w:ascii="Times New Roman" w:hAnsi="Times New Roman"/>
        </w:rPr>
      </w:pPr>
      <w:r w:rsidRPr="00C30F45">
        <w:rPr>
          <w:rFonts w:ascii="Times New Roman" w:hAnsi="Times New Roman"/>
        </w:rPr>
        <w:t>minister financií Slovenskej republiky</w:t>
      </w:r>
    </w:p>
    <w:p w:rsidR="00C30F45" w:rsidRPr="00C30F45" w:rsidP="00C30F45">
      <w:pPr>
        <w:bidi w:val="0"/>
        <w:spacing w:line="264" w:lineRule="auto"/>
        <w:jc w:val="both"/>
        <w:rPr>
          <w:rFonts w:ascii="Times New Roman" w:hAnsi="Times New Roman"/>
          <w:bCs/>
          <w:color w:val="000000"/>
        </w:rPr>
      </w:pPr>
    </w:p>
    <w:p w:rsidR="00C30F45" w:rsidRPr="00D423D0" w:rsidP="00C30F45">
      <w:pPr>
        <w:widowControl w:val="0"/>
        <w:tabs>
          <w:tab w:val="left" w:pos="708"/>
        </w:tabs>
        <w:bidi w:val="0"/>
        <w:spacing w:after="0" w:line="240" w:lineRule="auto"/>
        <w:jc w:val="both"/>
        <w:rPr>
          <w:rFonts w:ascii="Times New Roman" w:hAnsi="Times New Roman"/>
          <w:szCs w:val="22"/>
        </w:rPr>
      </w:pPr>
    </w:p>
    <w:p w:rsidR="00C30F45" w:rsidRPr="006756B1" w:rsidP="006756B1">
      <w:pPr>
        <w:autoSpaceDE w:val="0"/>
        <w:autoSpaceDN w:val="0"/>
        <w:bidi w:val="0"/>
        <w:spacing w:after="0"/>
        <w:ind w:left="360"/>
        <w:jc w:val="both"/>
        <w:rPr>
          <w:rFonts w:ascii="Times New Roman" w:hAnsi="Times New Roman"/>
          <w:sz w:val="24"/>
          <w:szCs w:val="24"/>
        </w:rPr>
      </w:pPr>
    </w:p>
    <w:p w:rsidR="00233F02" w:rsidRPr="006756B1" w:rsidP="006756B1">
      <w:pPr>
        <w:bidi w:val="0"/>
        <w:spacing w:after="0"/>
        <w:rPr>
          <w:rFonts w:ascii="Times New Roman" w:hAnsi="Times New Roman"/>
          <w:sz w:val="24"/>
          <w:szCs w:val="24"/>
        </w:rPr>
      </w:pPr>
    </w:p>
    <w:p w:rsidR="0049568C" w:rsidRPr="006756B1" w:rsidP="006756B1">
      <w:pPr>
        <w:pStyle w:val="Normlny1"/>
        <w:bidi w:val="0"/>
        <w:spacing w:before="0" w:beforeAutospacing="0" w:after="0" w:afterAutospacing="0"/>
        <w:jc w:val="both"/>
        <w:rPr>
          <w:rStyle w:val="normalchar"/>
          <w:rFonts w:ascii="Times New Roman" w:hAnsi="Times New Roman"/>
        </w:rPr>
      </w:pPr>
    </w:p>
    <w:p w:rsidR="0049568C" w:rsidRPr="006756B1" w:rsidP="008B2BAC">
      <w:pPr>
        <w:pStyle w:val="Normlny1"/>
        <w:bidi w:val="0"/>
        <w:spacing w:before="0" w:beforeAutospacing="0" w:after="0" w:afterAutospacing="0"/>
        <w:jc w:val="both"/>
        <w:rPr>
          <w:rStyle w:val="normalchar"/>
          <w:rFonts w:ascii="Times New Roman" w:hAnsi="Times New Roman"/>
        </w:rPr>
      </w:pPr>
    </w:p>
    <w:sectPr w:rsidSect="00D3362A">
      <w:footerReference w:type="default" r:id="rId13"/>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Arial Narrow">
    <w:altName w:val="Arial Narrow"/>
    <w:panose1 w:val="00000000000000000000"/>
    <w:charset w:val="EE"/>
    <w:family w:val="swiss"/>
    <w:pitch w:val="variable"/>
    <w:sig w:usb0="00000000" w:usb1="00000000" w:usb2="00000000" w:usb3="00000000" w:csb0="0000009F" w:csb1="00000000"/>
  </w:font>
  <w:font w:name="DokChampa">
    <w:altName w:val="Arial"/>
    <w:panose1 w:val="00000000000000000000"/>
    <w:charset w:val="DE"/>
    <w:family w:val="swiss"/>
    <w:pitch w:val="variable"/>
    <w:sig w:usb0="00000000" w:usb1="00000000" w:usb2="00000000" w:usb3="00000000" w:csb0="00010001" w:csb1="00000000"/>
  </w:font>
  <w:font w:name="Tahoma">
    <w:altName w:val="Tahoma"/>
    <w:panose1 w:val="00000000000000000000"/>
    <w:charset w:val="EE"/>
    <w:family w:val="swiss"/>
    <w:pitch w:val="variable"/>
    <w:sig w:usb0="00000000" w:usb1="00000000" w:usb2="00000000" w:usb3="00000000" w:csb0="000101FF" w:csb1="00000000"/>
  </w:font>
  <w:font w:name="Segoe UI Symbol">
    <w:panose1 w:val="00000000000000000000"/>
    <w:charset w:val="00"/>
    <w:family w:val="swiss"/>
    <w:pitch w:val="variable"/>
    <w:sig w:usb0="00000000" w:usb1="00000000" w:usb2="00000000" w:usb3="00000000" w:csb0="00000001" w:csb1="00000000"/>
  </w:font>
  <w:font w:name="@MS Mincho">
    <w:panose1 w:val="00000000000000000000"/>
    <w:charset w:val="80"/>
    <w:family w:val="modern"/>
    <w:pitch w:val="fixed"/>
    <w:sig w:usb0="00000000" w:usb1="00000000" w:usb2="00000000" w:usb3="00000000" w:csb0="0002009F" w:csb1="00000000"/>
  </w:font>
  <w:font w:name="@MS Gothic">
    <w:panose1 w:val="00000000000000000000"/>
    <w:charset w:val="80"/>
    <w:family w:val="modern"/>
    <w:pitch w:val="fixed"/>
    <w:sig w:usb0="00000000" w:usb1="00000000" w:usb2="00000000" w:usb3="00000000" w:csb0="0002009F" w:csb1="00000000"/>
  </w:font>
  <w:font w:name="Cambria">
    <w:panose1 w:val="00000000000000000000"/>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F02">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33F02">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3FF">
    <w:pPr>
      <w:pStyle w:val="Footer"/>
      <w:bidi w:val="0"/>
      <w:jc w:val="right"/>
    </w:pPr>
    <w:r>
      <w:fldChar w:fldCharType="begin"/>
    </w:r>
    <w:r>
      <w:instrText>PAGE   \* MERGEFORMAT</w:instrText>
    </w:r>
    <w:r>
      <w:fldChar w:fldCharType="separate"/>
    </w:r>
    <w:r w:rsidR="00C34F79">
      <w:rPr>
        <w:noProof/>
      </w:rPr>
      <w:t>12</w:t>
    </w:r>
    <w:r>
      <w:fldChar w:fldCharType="end"/>
    </w:r>
  </w:p>
  <w:p w:rsidR="00233F02">
    <w:pPr>
      <w:pStyle w:val="Footer"/>
      <w:bidi w:val="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F02">
    <w:pPr>
      <w:pStyle w:val="Footer"/>
      <w:bidi w:val="0"/>
      <w:jc w:val="right"/>
    </w:pPr>
    <w:r>
      <w:fldChar w:fldCharType="begin"/>
    </w:r>
    <w:r>
      <w:instrText>PAGE   \* MERGEFORMAT</w:instrText>
    </w:r>
    <w:r>
      <w:fldChar w:fldCharType="separate"/>
    </w:r>
    <w:r>
      <w:rPr>
        <w:noProof/>
      </w:rPr>
      <w:t>0</w:t>
    </w:r>
    <w:r>
      <w:fldChar w:fldCharType="end"/>
    </w:r>
  </w:p>
  <w:p w:rsidR="00233F02">
    <w:pPr>
      <w:pStyle w:val="Footer"/>
      <w:bidi w:v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F02" w:rsidP="007F14BC">
    <w:pPr>
      <w:pStyle w:val="Footer"/>
      <w:bidi w:val="0"/>
      <w:jc w:val="center"/>
    </w:pPr>
    <w:r>
      <w:fldChar w:fldCharType="begin"/>
    </w:r>
    <w:r>
      <w:instrText>PAGE   \* MERGEFORMAT</w:instrText>
    </w:r>
    <w:r>
      <w:fldChar w:fldCharType="separate"/>
    </w:r>
    <w:r w:rsidR="00C34F79">
      <w:rPr>
        <w:noProof/>
      </w:rPr>
      <w:t>20</w:t>
    </w:r>
    <w:r>
      <w:fldChar w:fldCharType="end"/>
    </w:r>
  </w:p>
  <w:p w:rsidR="00233F02">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F02" w:rsidP="00233F02">
    <w:pPr>
      <w:pStyle w:val="Header"/>
      <w:bidi w:val="0"/>
      <w:jc w:val="right"/>
      <w:rPr>
        <w:sz w:val="24"/>
        <w:szCs w:val="24"/>
      </w:rPr>
    </w:pPr>
    <w:r>
      <w:rPr>
        <w:sz w:val="24"/>
        <w:szCs w:val="24"/>
      </w:rPr>
      <w:t>Príloha č. 2</w:t>
    </w:r>
  </w:p>
  <w:p w:rsidR="00233F02" w:rsidRPr="00EB59C8" w:rsidP="00233F02">
    <w:pPr>
      <w:pStyle w:val="Header"/>
      <w:bidi w:val="0"/>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D1" w:rsidP="00E74ED1">
    <w:pPr>
      <w:pStyle w:val="Header"/>
      <w:bidi w:val="0"/>
      <w:jc w:val="right"/>
    </w:pPr>
  </w:p>
  <w:p w:rsidR="00E74ED1">
    <w:pPr>
      <w:pStyle w:val="Header"/>
      <w:bidi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F02" w:rsidRPr="000A15AE" w:rsidP="00233F02">
    <w:pPr>
      <w:pStyle w:val="Header"/>
      <w:bidi w:val="0"/>
      <w:jc w:val="right"/>
      <w:rPr>
        <w:sz w:val="24"/>
        <w:szCs w:val="24"/>
      </w:rPr>
    </w:pPr>
    <w:r>
      <w:rPr>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A5B"/>
    <w:multiLevelType w:val="hybridMultilevel"/>
    <w:tmpl w:val="3BB4B77A"/>
    <w:lvl w:ilvl="0">
      <w:start w:val="1"/>
      <w:numFmt w:val="decimal"/>
      <w:lvlText w:val="%1."/>
      <w:lvlJc w:val="left"/>
      <w:pPr>
        <w:ind w:left="1515" w:hanging="360"/>
      </w:pPr>
      <w:rPr>
        <w:rFonts w:cs="Times New Roman" w:hint="default"/>
        <w:rtl w:val="0"/>
        <w:cs w:val="0"/>
      </w:rPr>
    </w:lvl>
    <w:lvl w:ilvl="1">
      <w:start w:val="1"/>
      <w:numFmt w:val="lowerLetter"/>
      <w:lvlText w:val="%2."/>
      <w:lvlJc w:val="left"/>
      <w:pPr>
        <w:ind w:left="2235" w:hanging="360"/>
      </w:pPr>
      <w:rPr>
        <w:rFonts w:cs="Times New Roman"/>
        <w:rtl w:val="0"/>
        <w:cs w:val="0"/>
      </w:rPr>
    </w:lvl>
    <w:lvl w:ilvl="2">
      <w:start w:val="1"/>
      <w:numFmt w:val="lowerRoman"/>
      <w:lvlText w:val="%3."/>
      <w:lvlJc w:val="right"/>
      <w:pPr>
        <w:ind w:left="2955" w:hanging="180"/>
      </w:pPr>
      <w:rPr>
        <w:rFonts w:cs="Times New Roman"/>
        <w:rtl w:val="0"/>
        <w:cs w:val="0"/>
      </w:rPr>
    </w:lvl>
    <w:lvl w:ilvl="3">
      <w:start w:val="1"/>
      <w:numFmt w:val="decimal"/>
      <w:lvlText w:val="%4."/>
      <w:lvlJc w:val="left"/>
      <w:pPr>
        <w:ind w:left="3675" w:hanging="360"/>
      </w:pPr>
      <w:rPr>
        <w:rFonts w:cs="Times New Roman"/>
        <w:rtl w:val="0"/>
        <w:cs w:val="0"/>
      </w:rPr>
    </w:lvl>
    <w:lvl w:ilvl="4">
      <w:start w:val="1"/>
      <w:numFmt w:val="lowerLetter"/>
      <w:lvlText w:val="%5."/>
      <w:lvlJc w:val="left"/>
      <w:pPr>
        <w:ind w:left="4395" w:hanging="360"/>
      </w:pPr>
      <w:rPr>
        <w:rFonts w:cs="Times New Roman"/>
        <w:rtl w:val="0"/>
        <w:cs w:val="0"/>
      </w:rPr>
    </w:lvl>
    <w:lvl w:ilvl="5">
      <w:start w:val="1"/>
      <w:numFmt w:val="lowerRoman"/>
      <w:lvlText w:val="%6."/>
      <w:lvlJc w:val="right"/>
      <w:pPr>
        <w:ind w:left="5115" w:hanging="180"/>
      </w:pPr>
      <w:rPr>
        <w:rFonts w:cs="Times New Roman"/>
        <w:rtl w:val="0"/>
        <w:cs w:val="0"/>
      </w:rPr>
    </w:lvl>
    <w:lvl w:ilvl="6">
      <w:start w:val="1"/>
      <w:numFmt w:val="decimal"/>
      <w:lvlText w:val="%7."/>
      <w:lvlJc w:val="left"/>
      <w:pPr>
        <w:ind w:left="5835" w:hanging="360"/>
      </w:pPr>
      <w:rPr>
        <w:rFonts w:cs="Times New Roman"/>
        <w:rtl w:val="0"/>
        <w:cs w:val="0"/>
      </w:rPr>
    </w:lvl>
    <w:lvl w:ilvl="7">
      <w:start w:val="1"/>
      <w:numFmt w:val="lowerLetter"/>
      <w:lvlText w:val="%8."/>
      <w:lvlJc w:val="left"/>
      <w:pPr>
        <w:ind w:left="6555" w:hanging="360"/>
      </w:pPr>
      <w:rPr>
        <w:rFonts w:cs="Times New Roman"/>
        <w:rtl w:val="0"/>
        <w:cs w:val="0"/>
      </w:rPr>
    </w:lvl>
    <w:lvl w:ilvl="8">
      <w:start w:val="1"/>
      <w:numFmt w:val="lowerRoman"/>
      <w:lvlText w:val="%9."/>
      <w:lvlJc w:val="right"/>
      <w:pPr>
        <w:ind w:left="7275" w:hanging="180"/>
      </w:pPr>
      <w:rPr>
        <w:rFonts w:cs="Times New Roman"/>
        <w:rtl w:val="0"/>
        <w:cs w:val="0"/>
      </w:rPr>
    </w:lvl>
  </w:abstractNum>
  <w:abstractNum w:abstractNumId="1">
    <w:nsid w:val="02EB1C9F"/>
    <w:multiLevelType w:val="hybridMultilevel"/>
    <w:tmpl w:val="6A107B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F028E9"/>
    <w:multiLevelType w:val="hybridMultilevel"/>
    <w:tmpl w:val="44D898AA"/>
    <w:lvl w:ilvl="0">
      <w:start w:val="0"/>
      <w:numFmt w:val="bullet"/>
      <w:lvlText w:val="-"/>
      <w:lvlJc w:val="left"/>
      <w:pPr>
        <w:ind w:left="720" w:hanging="360"/>
      </w:pPr>
      <w:rPr>
        <w:rFonts w:ascii="Calibri Light" w:eastAsia="Times New Roman"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7573696"/>
    <w:multiLevelType w:val="hybridMultilevel"/>
    <w:tmpl w:val="8266F6A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1503432A"/>
    <w:multiLevelType w:val="hybridMultilevel"/>
    <w:tmpl w:val="532C147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62127AA"/>
    <w:multiLevelType w:val="hybridMultilevel"/>
    <w:tmpl w:val="A24A7C74"/>
    <w:lvl w:ilvl="0">
      <w:start w:val="6"/>
      <w:numFmt w:val="bullet"/>
      <w:lvlText w:val="-"/>
      <w:lvlJc w:val="left"/>
      <w:pPr>
        <w:ind w:left="1570" w:hanging="360"/>
      </w:pPr>
      <w:rPr>
        <w:rFonts w:ascii="Times New Roman" w:eastAsia="Times New Roman" w:hAnsi="Times New Roman" w:hint="default"/>
      </w:rPr>
    </w:lvl>
    <w:lvl w:ilvl="1">
      <w:start w:val="1"/>
      <w:numFmt w:val="bullet"/>
      <w:lvlText w:val="o"/>
      <w:lvlJc w:val="left"/>
      <w:pPr>
        <w:ind w:left="2290" w:hanging="360"/>
      </w:pPr>
      <w:rPr>
        <w:rFonts w:ascii="Courier New" w:hAnsi="Courier New" w:hint="default"/>
      </w:rPr>
    </w:lvl>
    <w:lvl w:ilvl="2">
      <w:start w:val="1"/>
      <w:numFmt w:val="bullet"/>
      <w:lvlText w:val=""/>
      <w:lvlJc w:val="left"/>
      <w:pPr>
        <w:ind w:left="3010" w:hanging="360"/>
      </w:pPr>
      <w:rPr>
        <w:rFonts w:ascii="Wingdings" w:hAnsi="Wingdings"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hint="default"/>
      </w:rPr>
    </w:lvl>
    <w:lvl w:ilvl="8">
      <w:start w:val="1"/>
      <w:numFmt w:val="bullet"/>
      <w:lvlText w:val=""/>
      <w:lvlJc w:val="left"/>
      <w:pPr>
        <w:ind w:left="7330" w:hanging="360"/>
      </w:pPr>
      <w:rPr>
        <w:rFonts w:ascii="Wingdings" w:hAnsi="Wingdings" w:hint="default"/>
      </w:rPr>
    </w:lvl>
  </w:abstractNum>
  <w:abstractNum w:abstractNumId="6">
    <w:nsid w:val="18064BCE"/>
    <w:multiLevelType w:val="hybridMultilevel"/>
    <w:tmpl w:val="4B706F14"/>
    <w:lvl w:ilvl="0">
      <w:start w:val="1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1FD17EE"/>
    <w:multiLevelType w:val="hybridMultilevel"/>
    <w:tmpl w:val="7ECA9BB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8A87C2F"/>
    <w:multiLevelType w:val="hybridMultilevel"/>
    <w:tmpl w:val="591CDAD8"/>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9E44236"/>
    <w:multiLevelType w:val="hybridMultilevel"/>
    <w:tmpl w:val="8B2ED314"/>
    <w:lvl w:ilvl="0">
      <w:start w:val="0"/>
      <w:numFmt w:val="bullet"/>
      <w:lvlText w:val="-"/>
      <w:lvlJc w:val="left"/>
      <w:pPr>
        <w:ind w:left="720" w:hanging="360"/>
      </w:pPr>
      <w:rPr>
        <w:rFonts w:ascii="Courier New" w:eastAsia="Times New Roman"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BE24522"/>
    <w:multiLevelType w:val="hybridMultilevel"/>
    <w:tmpl w:val="D4DC81C8"/>
    <w:lvl w:ilvl="0">
      <w:start w:val="1"/>
      <w:numFmt w:val="lowerLetter"/>
      <w:lvlText w:val="%1)"/>
      <w:lvlJc w:val="left"/>
      <w:pPr>
        <w:ind w:left="1404" w:hanging="690"/>
      </w:pPr>
      <w:rPr>
        <w:rFonts w:cs="Times New Roman" w:hint="default"/>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11">
    <w:nsid w:val="2E674E75"/>
    <w:multiLevelType w:val="hybridMultilevel"/>
    <w:tmpl w:val="2CB215E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310F5084"/>
    <w:multiLevelType w:val="hybridMultilevel"/>
    <w:tmpl w:val="8BCCB2B2"/>
    <w:lvl w:ilvl="0">
      <w:start w:val="1"/>
      <w:numFmt w:val="lowerLetter"/>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331B3FB1"/>
    <w:multiLevelType w:val="hybridMultilevel"/>
    <w:tmpl w:val="5D027926"/>
    <w:lvl w:ilvl="0">
      <w:start w:val="1"/>
      <w:numFmt w:val="decimal"/>
      <w:lvlText w:val="%1."/>
      <w:lvlJc w:val="left"/>
      <w:pPr>
        <w:ind w:left="2154" w:hanging="360"/>
      </w:pPr>
      <w:rPr>
        <w:rFonts w:cs="Times New Roman" w:hint="default"/>
        <w:rtl w:val="0"/>
        <w:cs w:val="0"/>
      </w:rPr>
    </w:lvl>
    <w:lvl w:ilvl="1">
      <w:start w:val="1"/>
      <w:numFmt w:val="lowerLetter"/>
      <w:lvlText w:val="%2."/>
      <w:lvlJc w:val="left"/>
      <w:pPr>
        <w:ind w:left="2874" w:hanging="360"/>
      </w:pPr>
      <w:rPr>
        <w:rFonts w:cs="Times New Roman"/>
        <w:rtl w:val="0"/>
        <w:cs w:val="0"/>
      </w:rPr>
    </w:lvl>
    <w:lvl w:ilvl="2">
      <w:start w:val="1"/>
      <w:numFmt w:val="lowerRoman"/>
      <w:lvlText w:val="%3."/>
      <w:lvlJc w:val="right"/>
      <w:pPr>
        <w:ind w:left="3594" w:hanging="180"/>
      </w:pPr>
      <w:rPr>
        <w:rFonts w:cs="Times New Roman"/>
        <w:rtl w:val="0"/>
        <w:cs w:val="0"/>
      </w:rPr>
    </w:lvl>
    <w:lvl w:ilvl="3">
      <w:start w:val="1"/>
      <w:numFmt w:val="decimal"/>
      <w:lvlText w:val="%4."/>
      <w:lvlJc w:val="left"/>
      <w:pPr>
        <w:ind w:left="4314" w:hanging="360"/>
      </w:pPr>
      <w:rPr>
        <w:rFonts w:cs="Times New Roman"/>
        <w:rtl w:val="0"/>
        <w:cs w:val="0"/>
      </w:rPr>
    </w:lvl>
    <w:lvl w:ilvl="4">
      <w:start w:val="1"/>
      <w:numFmt w:val="lowerLetter"/>
      <w:lvlText w:val="%5."/>
      <w:lvlJc w:val="left"/>
      <w:pPr>
        <w:ind w:left="5034" w:hanging="360"/>
      </w:pPr>
      <w:rPr>
        <w:rFonts w:cs="Times New Roman"/>
        <w:rtl w:val="0"/>
        <w:cs w:val="0"/>
      </w:rPr>
    </w:lvl>
    <w:lvl w:ilvl="5">
      <w:start w:val="1"/>
      <w:numFmt w:val="lowerRoman"/>
      <w:lvlText w:val="%6."/>
      <w:lvlJc w:val="right"/>
      <w:pPr>
        <w:ind w:left="5754" w:hanging="180"/>
      </w:pPr>
      <w:rPr>
        <w:rFonts w:cs="Times New Roman"/>
        <w:rtl w:val="0"/>
        <w:cs w:val="0"/>
      </w:rPr>
    </w:lvl>
    <w:lvl w:ilvl="6">
      <w:start w:val="1"/>
      <w:numFmt w:val="decimal"/>
      <w:lvlText w:val="%7."/>
      <w:lvlJc w:val="left"/>
      <w:pPr>
        <w:ind w:left="6474" w:hanging="360"/>
      </w:pPr>
      <w:rPr>
        <w:rFonts w:cs="Times New Roman"/>
        <w:rtl w:val="0"/>
        <w:cs w:val="0"/>
      </w:rPr>
    </w:lvl>
    <w:lvl w:ilvl="7">
      <w:start w:val="1"/>
      <w:numFmt w:val="lowerLetter"/>
      <w:lvlText w:val="%8."/>
      <w:lvlJc w:val="left"/>
      <w:pPr>
        <w:ind w:left="7194" w:hanging="360"/>
      </w:pPr>
      <w:rPr>
        <w:rFonts w:cs="Times New Roman"/>
        <w:rtl w:val="0"/>
        <w:cs w:val="0"/>
      </w:rPr>
    </w:lvl>
    <w:lvl w:ilvl="8">
      <w:start w:val="1"/>
      <w:numFmt w:val="lowerRoman"/>
      <w:lvlText w:val="%9."/>
      <w:lvlJc w:val="right"/>
      <w:pPr>
        <w:ind w:left="7914" w:hanging="180"/>
      </w:pPr>
      <w:rPr>
        <w:rFonts w:cs="Times New Roman"/>
        <w:rtl w:val="0"/>
        <w:cs w:val="0"/>
      </w:rPr>
    </w:lvl>
  </w:abstractNum>
  <w:abstractNum w:abstractNumId="14">
    <w:nsid w:val="35FF468F"/>
    <w:multiLevelType w:val="hybridMultilevel"/>
    <w:tmpl w:val="3182B57E"/>
    <w:lvl w:ilvl="0">
      <w:start w:val="3"/>
      <w:numFmt w:val="bullet"/>
      <w:lvlText w:val="-"/>
      <w:lvlJc w:val="left"/>
      <w:pPr>
        <w:ind w:left="720" w:hanging="360"/>
      </w:pPr>
      <w:rPr>
        <w:rFonts w:ascii="Arial Narrow" w:eastAsia="Times New Roman" w:hAnsi="Arial Narrow"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738197D"/>
    <w:multiLevelType w:val="hybridMultilevel"/>
    <w:tmpl w:val="3F9832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tl w:val="0"/>
        <w:cs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A1F0A10"/>
    <w:multiLevelType w:val="hybridMultilevel"/>
    <w:tmpl w:val="8266F6A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3A853027"/>
    <w:multiLevelType w:val="hybridMultilevel"/>
    <w:tmpl w:val="D7103A7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3CF826CE"/>
    <w:multiLevelType w:val="hybridMultilevel"/>
    <w:tmpl w:val="D4DC81C8"/>
    <w:lvl w:ilvl="0">
      <w:start w:val="1"/>
      <w:numFmt w:val="lowerLetter"/>
      <w:lvlText w:val="%1)"/>
      <w:lvlJc w:val="left"/>
      <w:pPr>
        <w:ind w:left="1404" w:hanging="690"/>
      </w:pPr>
      <w:rPr>
        <w:rFonts w:cs="Times New Roman" w:hint="default"/>
        <w:rtl w:val="0"/>
        <w:cs w:val="0"/>
      </w:rPr>
    </w:lvl>
    <w:lvl w:ilvl="1">
      <w:start w:val="1"/>
      <w:numFmt w:val="lowerLetter"/>
      <w:lvlText w:val="%2."/>
      <w:lvlJc w:val="left"/>
      <w:pPr>
        <w:ind w:left="1794" w:hanging="360"/>
      </w:pPr>
      <w:rPr>
        <w:rFonts w:cs="Times New Roman"/>
        <w:rtl w:val="0"/>
        <w:cs w:val="0"/>
      </w:rPr>
    </w:lvl>
    <w:lvl w:ilvl="2">
      <w:start w:val="1"/>
      <w:numFmt w:val="lowerRoman"/>
      <w:lvlText w:val="%3."/>
      <w:lvlJc w:val="right"/>
      <w:pPr>
        <w:ind w:left="2514" w:hanging="180"/>
      </w:pPr>
      <w:rPr>
        <w:rFonts w:cs="Times New Roman"/>
        <w:rtl w:val="0"/>
        <w:cs w:val="0"/>
      </w:rPr>
    </w:lvl>
    <w:lvl w:ilvl="3">
      <w:start w:val="1"/>
      <w:numFmt w:val="decimal"/>
      <w:lvlText w:val="%4."/>
      <w:lvlJc w:val="left"/>
      <w:pPr>
        <w:ind w:left="3234" w:hanging="360"/>
      </w:pPr>
      <w:rPr>
        <w:rFonts w:cs="Times New Roman"/>
        <w:rtl w:val="0"/>
        <w:cs w:val="0"/>
      </w:rPr>
    </w:lvl>
    <w:lvl w:ilvl="4">
      <w:start w:val="1"/>
      <w:numFmt w:val="lowerLetter"/>
      <w:lvlText w:val="%5."/>
      <w:lvlJc w:val="left"/>
      <w:pPr>
        <w:ind w:left="3954" w:hanging="360"/>
      </w:pPr>
      <w:rPr>
        <w:rFonts w:cs="Times New Roman"/>
        <w:rtl w:val="0"/>
        <w:cs w:val="0"/>
      </w:rPr>
    </w:lvl>
    <w:lvl w:ilvl="5">
      <w:start w:val="1"/>
      <w:numFmt w:val="lowerRoman"/>
      <w:lvlText w:val="%6."/>
      <w:lvlJc w:val="right"/>
      <w:pPr>
        <w:ind w:left="4674" w:hanging="180"/>
      </w:pPr>
      <w:rPr>
        <w:rFonts w:cs="Times New Roman"/>
        <w:rtl w:val="0"/>
        <w:cs w:val="0"/>
      </w:rPr>
    </w:lvl>
    <w:lvl w:ilvl="6">
      <w:start w:val="1"/>
      <w:numFmt w:val="decimal"/>
      <w:lvlText w:val="%7."/>
      <w:lvlJc w:val="left"/>
      <w:pPr>
        <w:ind w:left="5394" w:hanging="360"/>
      </w:pPr>
      <w:rPr>
        <w:rFonts w:cs="Times New Roman"/>
        <w:rtl w:val="0"/>
        <w:cs w:val="0"/>
      </w:rPr>
    </w:lvl>
    <w:lvl w:ilvl="7">
      <w:start w:val="1"/>
      <w:numFmt w:val="lowerLetter"/>
      <w:lvlText w:val="%8."/>
      <w:lvlJc w:val="left"/>
      <w:pPr>
        <w:ind w:left="6114" w:hanging="360"/>
      </w:pPr>
      <w:rPr>
        <w:rFonts w:cs="Times New Roman"/>
        <w:rtl w:val="0"/>
        <w:cs w:val="0"/>
      </w:rPr>
    </w:lvl>
    <w:lvl w:ilvl="8">
      <w:start w:val="1"/>
      <w:numFmt w:val="lowerRoman"/>
      <w:lvlText w:val="%9."/>
      <w:lvlJc w:val="right"/>
      <w:pPr>
        <w:ind w:left="6834" w:hanging="180"/>
      </w:pPr>
      <w:rPr>
        <w:rFonts w:cs="Times New Roman"/>
        <w:rtl w:val="0"/>
        <w:cs w:val="0"/>
      </w:rPr>
    </w:lvl>
  </w:abstractNum>
  <w:abstractNum w:abstractNumId="19">
    <w:nsid w:val="3E9D5659"/>
    <w:multiLevelType w:val="hybridMultilevel"/>
    <w:tmpl w:val="54000A0A"/>
    <w:lvl w:ilvl="0">
      <w:start w:val="1"/>
      <w:numFmt w:val="decimal"/>
      <w:lvlText w:val="%1."/>
      <w:lvlJc w:val="left"/>
      <w:pPr>
        <w:ind w:left="1764" w:hanging="360"/>
      </w:pPr>
      <w:rPr>
        <w:rFonts w:ascii="Arial Narrow" w:hAnsi="Arial Narrow" w:cs="DokChampa" w:hint="default"/>
        <w:rtl w:val="0"/>
        <w:cs w:val="0"/>
      </w:rPr>
    </w:lvl>
    <w:lvl w:ilvl="1">
      <w:start w:val="1"/>
      <w:numFmt w:val="lowerLetter"/>
      <w:lvlText w:val="%2."/>
      <w:lvlJc w:val="left"/>
      <w:pPr>
        <w:ind w:left="2484" w:hanging="360"/>
      </w:pPr>
      <w:rPr>
        <w:rFonts w:cs="Times New Roman"/>
        <w:rtl w:val="0"/>
        <w:cs w:val="0"/>
      </w:rPr>
    </w:lvl>
    <w:lvl w:ilvl="2">
      <w:start w:val="1"/>
      <w:numFmt w:val="lowerRoman"/>
      <w:lvlText w:val="%3."/>
      <w:lvlJc w:val="right"/>
      <w:pPr>
        <w:ind w:left="3204" w:hanging="180"/>
      </w:pPr>
      <w:rPr>
        <w:rFonts w:cs="Times New Roman"/>
        <w:rtl w:val="0"/>
        <w:cs w:val="0"/>
      </w:rPr>
    </w:lvl>
    <w:lvl w:ilvl="3">
      <w:start w:val="1"/>
      <w:numFmt w:val="decimal"/>
      <w:lvlText w:val="%4."/>
      <w:lvlJc w:val="left"/>
      <w:pPr>
        <w:ind w:left="3924" w:hanging="360"/>
      </w:pPr>
      <w:rPr>
        <w:rFonts w:cs="Times New Roman"/>
        <w:rtl w:val="0"/>
        <w:cs w:val="0"/>
      </w:rPr>
    </w:lvl>
    <w:lvl w:ilvl="4">
      <w:start w:val="1"/>
      <w:numFmt w:val="lowerLetter"/>
      <w:lvlText w:val="%5."/>
      <w:lvlJc w:val="left"/>
      <w:pPr>
        <w:ind w:left="4644" w:hanging="360"/>
      </w:pPr>
      <w:rPr>
        <w:rFonts w:cs="Times New Roman"/>
        <w:rtl w:val="0"/>
        <w:cs w:val="0"/>
      </w:rPr>
    </w:lvl>
    <w:lvl w:ilvl="5">
      <w:start w:val="1"/>
      <w:numFmt w:val="lowerRoman"/>
      <w:lvlText w:val="%6."/>
      <w:lvlJc w:val="right"/>
      <w:pPr>
        <w:ind w:left="5364" w:hanging="180"/>
      </w:pPr>
      <w:rPr>
        <w:rFonts w:cs="Times New Roman"/>
        <w:rtl w:val="0"/>
        <w:cs w:val="0"/>
      </w:rPr>
    </w:lvl>
    <w:lvl w:ilvl="6">
      <w:start w:val="1"/>
      <w:numFmt w:val="decimal"/>
      <w:lvlText w:val="%7."/>
      <w:lvlJc w:val="left"/>
      <w:pPr>
        <w:ind w:left="6084" w:hanging="360"/>
      </w:pPr>
      <w:rPr>
        <w:rFonts w:cs="Times New Roman"/>
        <w:rtl w:val="0"/>
        <w:cs w:val="0"/>
      </w:rPr>
    </w:lvl>
    <w:lvl w:ilvl="7">
      <w:start w:val="1"/>
      <w:numFmt w:val="lowerLetter"/>
      <w:lvlText w:val="%8."/>
      <w:lvlJc w:val="left"/>
      <w:pPr>
        <w:ind w:left="6804" w:hanging="360"/>
      </w:pPr>
      <w:rPr>
        <w:rFonts w:cs="Times New Roman"/>
        <w:rtl w:val="0"/>
        <w:cs w:val="0"/>
      </w:rPr>
    </w:lvl>
    <w:lvl w:ilvl="8">
      <w:start w:val="1"/>
      <w:numFmt w:val="lowerRoman"/>
      <w:lvlText w:val="%9."/>
      <w:lvlJc w:val="right"/>
      <w:pPr>
        <w:ind w:left="7524" w:hanging="180"/>
      </w:pPr>
      <w:rPr>
        <w:rFonts w:cs="Times New Roman"/>
        <w:rtl w:val="0"/>
        <w:cs w:val="0"/>
      </w:rPr>
    </w:lvl>
  </w:abstractNum>
  <w:abstractNum w:abstractNumId="20">
    <w:nsid w:val="3F0B3B2E"/>
    <w:multiLevelType w:val="hybridMultilevel"/>
    <w:tmpl w:val="18025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43ED13F3"/>
    <w:multiLevelType w:val="hybridMultilevel"/>
    <w:tmpl w:val="F97222E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3">
    <w:nsid w:val="54A159B4"/>
    <w:multiLevelType w:val="hybridMultilevel"/>
    <w:tmpl w:val="1F2E81CC"/>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BC97B2A"/>
    <w:multiLevelType w:val="hybridMultilevel"/>
    <w:tmpl w:val="18F256F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5">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26">
    <w:nsid w:val="5CBE25F6"/>
    <w:multiLevelType w:val="hybridMultilevel"/>
    <w:tmpl w:val="0CE055C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DF95C6D"/>
    <w:multiLevelType w:val="hybridMultilevel"/>
    <w:tmpl w:val="2CB215E8"/>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5EC612B4"/>
    <w:multiLevelType w:val="hybridMultilevel"/>
    <w:tmpl w:val="62ACBE8A"/>
    <w:lvl w:ilvl="0">
      <w:start w:val="1"/>
      <w:numFmt w:val="decimal"/>
      <w:lvlText w:val="%1."/>
      <w:lvlJc w:val="left"/>
      <w:pPr>
        <w:ind w:left="644" w:hanging="360"/>
      </w:pPr>
      <w:rPr>
        <w:rFonts w:cs="Arial Narrow"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0">
    <w:nsid w:val="60380BB9"/>
    <w:multiLevelType w:val="hybridMultilevel"/>
    <w:tmpl w:val="866A050C"/>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5C209FF"/>
    <w:multiLevelType w:val="multilevel"/>
    <w:tmpl w:val="E7A6732A"/>
    <w:lvl w:ilvl="0">
      <w:start w:val="7"/>
      <w:numFmt w:val="decimal"/>
      <w:lvlText w:val="%1."/>
      <w:legacy w:legacy="1" w:legacySpace="0" w:legacyIndent="451"/>
      <w:lvlJc w:val="left"/>
      <w:rPr>
        <w:rFonts w:ascii="Times New Roman" w:hAnsi="Times New Roman" w:cs="Times New Roman" w:hint="default"/>
        <w:rtl w:val="0"/>
        <w:cs w:val="0"/>
      </w:rPr>
    </w:lvl>
    <w:lvl w:ilvl="1">
      <w:start w:val="1"/>
      <w:numFmt w:val="lowerLetter"/>
      <w:lvlText w:val="%2."/>
      <w:lvlJc w:val="left"/>
      <w:pPr>
        <w:tabs>
          <w:tab w:val="num" w:pos="2383"/>
        </w:tabs>
        <w:ind w:left="2383" w:hanging="360"/>
      </w:pPr>
      <w:rPr>
        <w:rFonts w:cs="Times New Roman"/>
        <w:rtl w:val="0"/>
        <w:cs w:val="0"/>
      </w:rPr>
    </w:lvl>
    <w:lvl w:ilvl="2">
      <w:start w:val="1"/>
      <w:numFmt w:val="lowerRoman"/>
      <w:lvlText w:val="%3."/>
      <w:lvlJc w:val="right"/>
      <w:pPr>
        <w:tabs>
          <w:tab w:val="num" w:pos="3103"/>
        </w:tabs>
        <w:ind w:left="3103" w:hanging="180"/>
      </w:pPr>
      <w:rPr>
        <w:rFonts w:cs="Times New Roman"/>
        <w:rtl w:val="0"/>
        <w:cs w:val="0"/>
      </w:rPr>
    </w:lvl>
    <w:lvl w:ilvl="3">
      <w:start w:val="1"/>
      <w:numFmt w:val="decimal"/>
      <w:lvlText w:val="%4."/>
      <w:lvlJc w:val="left"/>
      <w:pPr>
        <w:tabs>
          <w:tab w:val="num" w:pos="3823"/>
        </w:tabs>
        <w:ind w:left="3823" w:hanging="360"/>
      </w:pPr>
      <w:rPr>
        <w:rFonts w:cs="Times New Roman"/>
        <w:rtl w:val="0"/>
        <w:cs w:val="0"/>
      </w:rPr>
    </w:lvl>
    <w:lvl w:ilvl="4">
      <w:start w:val="1"/>
      <w:numFmt w:val="lowerLetter"/>
      <w:lvlText w:val="%5."/>
      <w:lvlJc w:val="left"/>
      <w:pPr>
        <w:tabs>
          <w:tab w:val="num" w:pos="4543"/>
        </w:tabs>
        <w:ind w:left="4543" w:hanging="360"/>
      </w:pPr>
      <w:rPr>
        <w:rFonts w:cs="Times New Roman"/>
        <w:rtl w:val="0"/>
        <w:cs w:val="0"/>
      </w:rPr>
    </w:lvl>
    <w:lvl w:ilvl="5">
      <w:start w:val="1"/>
      <w:numFmt w:val="lowerRoman"/>
      <w:lvlText w:val="%6."/>
      <w:lvlJc w:val="right"/>
      <w:pPr>
        <w:tabs>
          <w:tab w:val="num" w:pos="5263"/>
        </w:tabs>
        <w:ind w:left="5263" w:hanging="180"/>
      </w:pPr>
      <w:rPr>
        <w:rFonts w:cs="Times New Roman"/>
        <w:rtl w:val="0"/>
        <w:cs w:val="0"/>
      </w:rPr>
    </w:lvl>
    <w:lvl w:ilvl="6">
      <w:start w:val="1"/>
      <w:numFmt w:val="decimal"/>
      <w:lvlText w:val="%7."/>
      <w:lvlJc w:val="left"/>
      <w:pPr>
        <w:tabs>
          <w:tab w:val="num" w:pos="5983"/>
        </w:tabs>
        <w:ind w:left="5983" w:hanging="360"/>
      </w:pPr>
      <w:rPr>
        <w:rFonts w:cs="Times New Roman"/>
        <w:rtl w:val="0"/>
        <w:cs w:val="0"/>
      </w:rPr>
    </w:lvl>
    <w:lvl w:ilvl="7">
      <w:start w:val="1"/>
      <w:numFmt w:val="lowerLetter"/>
      <w:lvlText w:val="%8."/>
      <w:lvlJc w:val="left"/>
      <w:pPr>
        <w:tabs>
          <w:tab w:val="num" w:pos="6703"/>
        </w:tabs>
        <w:ind w:left="6703" w:hanging="360"/>
      </w:pPr>
      <w:rPr>
        <w:rFonts w:cs="Times New Roman"/>
        <w:rtl w:val="0"/>
        <w:cs w:val="0"/>
      </w:rPr>
    </w:lvl>
    <w:lvl w:ilvl="8">
      <w:start w:val="1"/>
      <w:numFmt w:val="lowerRoman"/>
      <w:lvlText w:val="%9."/>
      <w:lvlJc w:val="right"/>
      <w:pPr>
        <w:tabs>
          <w:tab w:val="num" w:pos="7423"/>
        </w:tabs>
        <w:ind w:left="7423" w:hanging="180"/>
      </w:pPr>
      <w:rPr>
        <w:rFonts w:cs="Times New Roman"/>
        <w:rtl w:val="0"/>
        <w:cs w:val="0"/>
      </w:rPr>
    </w:lvl>
  </w:abstractNum>
  <w:abstractNum w:abstractNumId="32">
    <w:nsid w:val="667B564C"/>
    <w:multiLevelType w:val="hybridMultilevel"/>
    <w:tmpl w:val="3A46DE4C"/>
    <w:lvl w:ilvl="0">
      <w:start w:val="0"/>
      <w:numFmt w:val="bullet"/>
      <w:lvlText w:val="-"/>
      <w:lvlJc w:val="left"/>
      <w:pPr>
        <w:ind w:left="835" w:hanging="360"/>
      </w:pPr>
      <w:rPr>
        <w:rFonts w:ascii="Arial Narrow" w:eastAsia="Times New Roman" w:hAnsi="Arial Narrow" w:hint="default"/>
      </w:rPr>
    </w:lvl>
    <w:lvl w:ilvl="1">
      <w:start w:val="1"/>
      <w:numFmt w:val="bullet"/>
      <w:lvlText w:val="o"/>
      <w:lvlJc w:val="left"/>
      <w:pPr>
        <w:ind w:left="1555" w:hanging="360"/>
      </w:pPr>
      <w:rPr>
        <w:rFonts w:ascii="Courier New" w:hAnsi="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hint="default"/>
      </w:rPr>
    </w:lvl>
    <w:lvl w:ilvl="8">
      <w:start w:val="1"/>
      <w:numFmt w:val="bullet"/>
      <w:lvlText w:val=""/>
      <w:lvlJc w:val="left"/>
      <w:pPr>
        <w:ind w:left="6595" w:hanging="360"/>
      </w:pPr>
      <w:rPr>
        <w:rFonts w:ascii="Wingdings" w:hAnsi="Wingdings" w:hint="default"/>
      </w:rPr>
    </w:lvl>
  </w:abstractNum>
  <w:abstractNum w:abstractNumId="33">
    <w:nsid w:val="67737D78"/>
    <w:multiLevelType w:val="hybridMultilevel"/>
    <w:tmpl w:val="8266F6A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6A0B75C5"/>
    <w:multiLevelType w:val="hybridMultilevel"/>
    <w:tmpl w:val="7C60D962"/>
    <w:lvl w:ilvl="0">
      <w:start w:val="1"/>
      <w:numFmt w:val="decimal"/>
      <w:lvlText w:val="(%1)"/>
      <w:lvlJc w:val="left"/>
      <w:pPr>
        <w:ind w:left="862" w:hanging="360"/>
      </w:pPr>
      <w:rPr>
        <w:rFonts w:cs="Times New Roman" w:hint="default"/>
        <w:rtl w:val="0"/>
        <w:cs w:val="0"/>
      </w:rPr>
    </w:lvl>
    <w:lvl w:ilvl="1">
      <w:start w:val="1"/>
      <w:numFmt w:val="decimal"/>
      <w:lvlText w:val="%2."/>
      <w:lvlJc w:val="left"/>
      <w:pPr>
        <w:ind w:left="1942" w:hanging="720"/>
      </w:pPr>
      <w:rPr>
        <w:rFonts w:cs="Times New Roman" w:hint="default"/>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35">
    <w:nsid w:val="753A7D24"/>
    <w:multiLevelType w:val="hybridMultilevel"/>
    <w:tmpl w:val="12CA424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6">
    <w:nsid w:val="75580FB2"/>
    <w:multiLevelType w:val="hybridMultilevel"/>
    <w:tmpl w:val="8266F6A2"/>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79F338C6"/>
    <w:multiLevelType w:val="hybridMultilevel"/>
    <w:tmpl w:val="DB2EEE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A7B236D"/>
    <w:multiLevelType w:val="hybridMultilevel"/>
    <w:tmpl w:val="2FFC4B90"/>
    <w:lvl w:ilvl="0">
      <w:start w:val="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7A887C19"/>
    <w:multiLevelType w:val="singleLevel"/>
    <w:tmpl w:val="1DE076AE"/>
    <w:lvl w:ilvl="0">
      <w:start w:val="50"/>
      <w:numFmt w:val="decimal"/>
      <w:lvlText w:val="%1."/>
      <w:legacy w:legacy="1" w:legacySpace="0" w:legacyIndent="451"/>
      <w:lvlJc w:val="left"/>
      <w:rPr>
        <w:rFonts w:ascii="Times New Roman" w:hAnsi="Times New Roman" w:cs="Times New Roman" w:hint="default"/>
        <w:rtl w:val="0"/>
        <w:cs w:val="0"/>
      </w:rPr>
    </w:lvl>
  </w:abstractNum>
  <w:abstractNum w:abstractNumId="40">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41">
    <w:nsid w:val="7BEE2CD7"/>
    <w:multiLevelType w:val="singleLevel"/>
    <w:tmpl w:val="EA16F1DA"/>
    <w:lvl w:ilvl="0">
      <w:start w:val="1"/>
      <w:numFmt w:val="decimal"/>
      <w:lvlText w:val="%1."/>
      <w:legacy w:legacy="1" w:legacySpace="0" w:legacyIndent="451"/>
      <w:lvlJc w:val="left"/>
      <w:rPr>
        <w:rFonts w:ascii="Times New Roman" w:hAnsi="Times New Roman" w:cs="Times New Roman" w:hint="default"/>
        <w:rtl w:val="0"/>
        <w:cs w:val="0"/>
      </w:rPr>
    </w:lvl>
  </w:abstractNum>
  <w:abstractNum w:abstractNumId="42">
    <w:nsid w:val="7E0E2B4D"/>
    <w:multiLevelType w:val="hybridMultilevel"/>
    <w:tmpl w:val="CBDC382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7"/>
  </w:num>
  <w:num w:numId="2">
    <w:abstractNumId w:val="9"/>
  </w:num>
  <w:num w:numId="3">
    <w:abstractNumId w:val="38"/>
  </w:num>
  <w:num w:numId="4">
    <w:abstractNumId w:val="26"/>
  </w:num>
  <w:num w:numId="5">
    <w:abstractNumId w:val="20"/>
  </w:num>
  <w:num w:numId="6">
    <w:abstractNumId w:val="4"/>
  </w:num>
  <w:num w:numId="7">
    <w:abstractNumId w:val="42"/>
  </w:num>
  <w:num w:numId="8">
    <w:abstractNumId w:val="31"/>
  </w:num>
  <w:num w:numId="9">
    <w:abstractNumId w:val="41"/>
  </w:num>
  <w:num w:numId="10">
    <w:abstractNumId w:val="39"/>
  </w:num>
  <w:num w:numId="11">
    <w:abstractNumId w:val="15"/>
  </w:num>
  <w:num w:numId="12">
    <w:abstractNumId w:val="1"/>
  </w:num>
  <w:num w:numId="13">
    <w:abstractNumId w:val="8"/>
  </w:num>
  <w:num w:numId="14">
    <w:abstractNumId w:val="12"/>
  </w:num>
  <w:num w:numId="15">
    <w:abstractNumId w:val="14"/>
  </w:num>
  <w:num w:numId="16">
    <w:abstractNumId w:val="22"/>
  </w:num>
  <w:num w:numId="17">
    <w:abstractNumId w:val="6"/>
  </w:num>
  <w:num w:numId="18">
    <w:abstractNumId w:val="30"/>
  </w:num>
  <w:num w:numId="19">
    <w:abstractNumId w:val="16"/>
  </w:num>
  <w:num w:numId="20">
    <w:abstractNumId w:val="7"/>
  </w:num>
  <w:num w:numId="21">
    <w:abstractNumId w:val="0"/>
  </w:num>
  <w:num w:numId="22">
    <w:abstractNumId w:val="17"/>
  </w:num>
  <w:num w:numId="23">
    <w:abstractNumId w:val="23"/>
  </w:num>
  <w:num w:numId="24">
    <w:abstractNumId w:val="18"/>
  </w:num>
  <w:num w:numId="25">
    <w:abstractNumId w:val="19"/>
  </w:num>
  <w:num w:numId="26">
    <w:abstractNumId w:val="11"/>
  </w:num>
  <w:num w:numId="27">
    <w:abstractNumId w:val="10"/>
  </w:num>
  <w:num w:numId="28">
    <w:abstractNumId w:val="28"/>
  </w:num>
  <w:num w:numId="29">
    <w:abstractNumId w:val="36"/>
  </w:num>
  <w:num w:numId="30">
    <w:abstractNumId w:val="3"/>
  </w:num>
  <w:num w:numId="31">
    <w:abstractNumId w:val="33"/>
  </w:num>
  <w:num w:numId="32">
    <w:abstractNumId w:val="13"/>
  </w:num>
  <w:num w:numId="33">
    <w:abstractNumId w:val="34"/>
  </w:num>
  <w:num w:numId="34">
    <w:abstractNumId w:val="24"/>
  </w:num>
  <w:num w:numId="35">
    <w:abstractNumId w:val="35"/>
  </w:num>
  <w:num w:numId="36">
    <w:abstractNumId w:val="40"/>
  </w:num>
  <w:num w:numId="37">
    <w:abstractNumId w:val="2"/>
  </w:num>
  <w:num w:numId="38">
    <w:abstractNumId w:val="25"/>
  </w:num>
  <w:num w:numId="39">
    <w:abstractNumId w:val="21"/>
    <w:lvlOverride w:ilvl="0"/>
    <w:lvlOverride w:ilvl="1"/>
    <w:lvlOverride w:ilvl="2"/>
    <w:lvlOverride w:ilvl="3"/>
    <w:lvlOverride w:ilvl="4"/>
    <w:lvlOverride w:ilvl="5"/>
    <w:lvlOverride w:ilvl="6"/>
    <w:lvlOverride w:ilvl="7"/>
    <w:lvlOverride w:ilvl="8"/>
  </w:num>
  <w:num w:numId="40">
    <w:abstractNumId w:val="32"/>
  </w:num>
  <w:num w:numId="41">
    <w:abstractNumId w:val="27"/>
  </w:num>
  <w:num w:numId="42">
    <w:abstractNumId w:val="29"/>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BA6D6D"/>
    <w:rsid w:val="0000111C"/>
    <w:rsid w:val="00001791"/>
    <w:rsid w:val="00001CD5"/>
    <w:rsid w:val="000020BC"/>
    <w:rsid w:val="00002594"/>
    <w:rsid w:val="00006F40"/>
    <w:rsid w:val="00006F55"/>
    <w:rsid w:val="00010404"/>
    <w:rsid w:val="00011011"/>
    <w:rsid w:val="000116B8"/>
    <w:rsid w:val="000116EB"/>
    <w:rsid w:val="000121A3"/>
    <w:rsid w:val="00013895"/>
    <w:rsid w:val="00014FDD"/>
    <w:rsid w:val="000171F8"/>
    <w:rsid w:val="00017DE3"/>
    <w:rsid w:val="00020A71"/>
    <w:rsid w:val="000211F7"/>
    <w:rsid w:val="00021A45"/>
    <w:rsid w:val="000222F7"/>
    <w:rsid w:val="00023FDA"/>
    <w:rsid w:val="00024A23"/>
    <w:rsid w:val="000255CA"/>
    <w:rsid w:val="00025C2A"/>
    <w:rsid w:val="00026C99"/>
    <w:rsid w:val="00027FD4"/>
    <w:rsid w:val="00033DA1"/>
    <w:rsid w:val="00033E41"/>
    <w:rsid w:val="000342CA"/>
    <w:rsid w:val="000359E0"/>
    <w:rsid w:val="000406F6"/>
    <w:rsid w:val="00041878"/>
    <w:rsid w:val="00042D77"/>
    <w:rsid w:val="0004302D"/>
    <w:rsid w:val="00046FD9"/>
    <w:rsid w:val="0004718C"/>
    <w:rsid w:val="000478BC"/>
    <w:rsid w:val="00050C4F"/>
    <w:rsid w:val="00050DFF"/>
    <w:rsid w:val="00051939"/>
    <w:rsid w:val="000523D6"/>
    <w:rsid w:val="0005249C"/>
    <w:rsid w:val="00055799"/>
    <w:rsid w:val="00056D44"/>
    <w:rsid w:val="000606BC"/>
    <w:rsid w:val="00062457"/>
    <w:rsid w:val="0006246D"/>
    <w:rsid w:val="0006292E"/>
    <w:rsid w:val="00062D0A"/>
    <w:rsid w:val="00063680"/>
    <w:rsid w:val="00065639"/>
    <w:rsid w:val="00072D20"/>
    <w:rsid w:val="00074227"/>
    <w:rsid w:val="0007499A"/>
    <w:rsid w:val="000773C4"/>
    <w:rsid w:val="00083BB2"/>
    <w:rsid w:val="00085997"/>
    <w:rsid w:val="00085FCB"/>
    <w:rsid w:val="00090361"/>
    <w:rsid w:val="00090F30"/>
    <w:rsid w:val="00091EB9"/>
    <w:rsid w:val="00091F8E"/>
    <w:rsid w:val="00092727"/>
    <w:rsid w:val="000927ED"/>
    <w:rsid w:val="000A15AE"/>
    <w:rsid w:val="000A3FCE"/>
    <w:rsid w:val="000A422F"/>
    <w:rsid w:val="000A4825"/>
    <w:rsid w:val="000A4C8C"/>
    <w:rsid w:val="000A6D51"/>
    <w:rsid w:val="000A7452"/>
    <w:rsid w:val="000A794C"/>
    <w:rsid w:val="000B2CD8"/>
    <w:rsid w:val="000B36B2"/>
    <w:rsid w:val="000B3DE6"/>
    <w:rsid w:val="000B573E"/>
    <w:rsid w:val="000B7BC8"/>
    <w:rsid w:val="000C0939"/>
    <w:rsid w:val="000C1580"/>
    <w:rsid w:val="000C3114"/>
    <w:rsid w:val="000C3ADD"/>
    <w:rsid w:val="000C4488"/>
    <w:rsid w:val="000C4CC7"/>
    <w:rsid w:val="000C4D95"/>
    <w:rsid w:val="000C5FCE"/>
    <w:rsid w:val="000C61B9"/>
    <w:rsid w:val="000C6A25"/>
    <w:rsid w:val="000D0812"/>
    <w:rsid w:val="000D1CD6"/>
    <w:rsid w:val="000D1D23"/>
    <w:rsid w:val="000D25EE"/>
    <w:rsid w:val="000D2B21"/>
    <w:rsid w:val="000D3BE3"/>
    <w:rsid w:val="000D5124"/>
    <w:rsid w:val="000D7693"/>
    <w:rsid w:val="000D76D3"/>
    <w:rsid w:val="000E1060"/>
    <w:rsid w:val="000E4557"/>
    <w:rsid w:val="000E4AE4"/>
    <w:rsid w:val="000E5371"/>
    <w:rsid w:val="000E6C70"/>
    <w:rsid w:val="000E702C"/>
    <w:rsid w:val="000E79A4"/>
    <w:rsid w:val="000F0311"/>
    <w:rsid w:val="000F1CCA"/>
    <w:rsid w:val="000F1EB0"/>
    <w:rsid w:val="000F24FB"/>
    <w:rsid w:val="000F3150"/>
    <w:rsid w:val="000F3F58"/>
    <w:rsid w:val="000F4140"/>
    <w:rsid w:val="000F4C56"/>
    <w:rsid w:val="000F7264"/>
    <w:rsid w:val="000F77E2"/>
    <w:rsid w:val="001002E8"/>
    <w:rsid w:val="0010146B"/>
    <w:rsid w:val="0010163E"/>
    <w:rsid w:val="00101822"/>
    <w:rsid w:val="00103A02"/>
    <w:rsid w:val="001044C3"/>
    <w:rsid w:val="00105136"/>
    <w:rsid w:val="00106E1F"/>
    <w:rsid w:val="001107EB"/>
    <w:rsid w:val="00112260"/>
    <w:rsid w:val="00113B0E"/>
    <w:rsid w:val="00115879"/>
    <w:rsid w:val="001159E0"/>
    <w:rsid w:val="00120073"/>
    <w:rsid w:val="001205AC"/>
    <w:rsid w:val="00121BA3"/>
    <w:rsid w:val="00122E07"/>
    <w:rsid w:val="00123805"/>
    <w:rsid w:val="00123AC0"/>
    <w:rsid w:val="00123DEA"/>
    <w:rsid w:val="0012644C"/>
    <w:rsid w:val="001275CD"/>
    <w:rsid w:val="0013290E"/>
    <w:rsid w:val="0013622E"/>
    <w:rsid w:val="00136C98"/>
    <w:rsid w:val="00136D45"/>
    <w:rsid w:val="00140D39"/>
    <w:rsid w:val="00142ABB"/>
    <w:rsid w:val="00144699"/>
    <w:rsid w:val="00144887"/>
    <w:rsid w:val="00144D7D"/>
    <w:rsid w:val="001468E5"/>
    <w:rsid w:val="00152807"/>
    <w:rsid w:val="00152901"/>
    <w:rsid w:val="001546B6"/>
    <w:rsid w:val="00157495"/>
    <w:rsid w:val="001604C0"/>
    <w:rsid w:val="00161F76"/>
    <w:rsid w:val="00162174"/>
    <w:rsid w:val="0016359A"/>
    <w:rsid w:val="0016407A"/>
    <w:rsid w:val="00165018"/>
    <w:rsid w:val="00166766"/>
    <w:rsid w:val="001671D9"/>
    <w:rsid w:val="00170A9D"/>
    <w:rsid w:val="00175170"/>
    <w:rsid w:val="00175394"/>
    <w:rsid w:val="00175E24"/>
    <w:rsid w:val="00180D83"/>
    <w:rsid w:val="0018263B"/>
    <w:rsid w:val="001838C9"/>
    <w:rsid w:val="00183D09"/>
    <w:rsid w:val="001841B6"/>
    <w:rsid w:val="0018555C"/>
    <w:rsid w:val="0018660B"/>
    <w:rsid w:val="001915DF"/>
    <w:rsid w:val="00191A6D"/>
    <w:rsid w:val="00191EDC"/>
    <w:rsid w:val="00191F8F"/>
    <w:rsid w:val="00193EAF"/>
    <w:rsid w:val="001966BF"/>
    <w:rsid w:val="0019764A"/>
    <w:rsid w:val="00197B20"/>
    <w:rsid w:val="001A1B4A"/>
    <w:rsid w:val="001A20BB"/>
    <w:rsid w:val="001A22DD"/>
    <w:rsid w:val="001A3775"/>
    <w:rsid w:val="001A65DE"/>
    <w:rsid w:val="001A78C1"/>
    <w:rsid w:val="001A7AB8"/>
    <w:rsid w:val="001B1B77"/>
    <w:rsid w:val="001B43D8"/>
    <w:rsid w:val="001B535D"/>
    <w:rsid w:val="001B5388"/>
    <w:rsid w:val="001C0802"/>
    <w:rsid w:val="001C0811"/>
    <w:rsid w:val="001C2CB8"/>
    <w:rsid w:val="001C574C"/>
    <w:rsid w:val="001C69AF"/>
    <w:rsid w:val="001C71E1"/>
    <w:rsid w:val="001C7320"/>
    <w:rsid w:val="001D0029"/>
    <w:rsid w:val="001D158B"/>
    <w:rsid w:val="001D1E8B"/>
    <w:rsid w:val="001D2DE2"/>
    <w:rsid w:val="001D3F5E"/>
    <w:rsid w:val="001D4CC5"/>
    <w:rsid w:val="001D5174"/>
    <w:rsid w:val="001D5A1B"/>
    <w:rsid w:val="001D6A47"/>
    <w:rsid w:val="001D7016"/>
    <w:rsid w:val="001E290B"/>
    <w:rsid w:val="001E5742"/>
    <w:rsid w:val="001F015B"/>
    <w:rsid w:val="001F101B"/>
    <w:rsid w:val="001F2B7F"/>
    <w:rsid w:val="001F3013"/>
    <w:rsid w:val="001F3023"/>
    <w:rsid w:val="00200A63"/>
    <w:rsid w:val="002027A4"/>
    <w:rsid w:val="00206965"/>
    <w:rsid w:val="0020747D"/>
    <w:rsid w:val="002149D3"/>
    <w:rsid w:val="00214C01"/>
    <w:rsid w:val="002158A5"/>
    <w:rsid w:val="00216AFA"/>
    <w:rsid w:val="00217FFB"/>
    <w:rsid w:val="002228E6"/>
    <w:rsid w:val="00222A7E"/>
    <w:rsid w:val="00222ED8"/>
    <w:rsid w:val="00223931"/>
    <w:rsid w:val="00225E5E"/>
    <w:rsid w:val="00226723"/>
    <w:rsid w:val="002267E6"/>
    <w:rsid w:val="002322DC"/>
    <w:rsid w:val="0023337F"/>
    <w:rsid w:val="00233CA3"/>
    <w:rsid w:val="00233D44"/>
    <w:rsid w:val="00233F02"/>
    <w:rsid w:val="00235A0F"/>
    <w:rsid w:val="0023757E"/>
    <w:rsid w:val="002419DA"/>
    <w:rsid w:val="00242855"/>
    <w:rsid w:val="00243DA7"/>
    <w:rsid w:val="00244282"/>
    <w:rsid w:val="00244A9B"/>
    <w:rsid w:val="00247FCA"/>
    <w:rsid w:val="00250712"/>
    <w:rsid w:val="00251687"/>
    <w:rsid w:val="002516E7"/>
    <w:rsid w:val="00251B2B"/>
    <w:rsid w:val="00251DDD"/>
    <w:rsid w:val="00251DF7"/>
    <w:rsid w:val="0025268E"/>
    <w:rsid w:val="0025342E"/>
    <w:rsid w:val="0025516C"/>
    <w:rsid w:val="0025625C"/>
    <w:rsid w:val="002611B0"/>
    <w:rsid w:val="00262492"/>
    <w:rsid w:val="00262DFF"/>
    <w:rsid w:val="00264742"/>
    <w:rsid w:val="00266DE8"/>
    <w:rsid w:val="002731DB"/>
    <w:rsid w:val="00274439"/>
    <w:rsid w:val="002755A9"/>
    <w:rsid w:val="00275C76"/>
    <w:rsid w:val="002776ED"/>
    <w:rsid w:val="00277884"/>
    <w:rsid w:val="00280042"/>
    <w:rsid w:val="00280876"/>
    <w:rsid w:val="002819E6"/>
    <w:rsid w:val="002858EB"/>
    <w:rsid w:val="00286166"/>
    <w:rsid w:val="00286373"/>
    <w:rsid w:val="00287F07"/>
    <w:rsid w:val="00290721"/>
    <w:rsid w:val="00292460"/>
    <w:rsid w:val="0029327C"/>
    <w:rsid w:val="002934C7"/>
    <w:rsid w:val="00293ADB"/>
    <w:rsid w:val="002A1465"/>
    <w:rsid w:val="002A353D"/>
    <w:rsid w:val="002A3C0B"/>
    <w:rsid w:val="002A46C4"/>
    <w:rsid w:val="002A6118"/>
    <w:rsid w:val="002A7C6F"/>
    <w:rsid w:val="002B1E19"/>
    <w:rsid w:val="002B2456"/>
    <w:rsid w:val="002B29D9"/>
    <w:rsid w:val="002B2B1B"/>
    <w:rsid w:val="002B3A4D"/>
    <w:rsid w:val="002B3F26"/>
    <w:rsid w:val="002B43C8"/>
    <w:rsid w:val="002B4A2C"/>
    <w:rsid w:val="002B6445"/>
    <w:rsid w:val="002C02E3"/>
    <w:rsid w:val="002C09C4"/>
    <w:rsid w:val="002C0AA5"/>
    <w:rsid w:val="002C1E19"/>
    <w:rsid w:val="002C294E"/>
    <w:rsid w:val="002C50FF"/>
    <w:rsid w:val="002D1041"/>
    <w:rsid w:val="002D125D"/>
    <w:rsid w:val="002D2E2C"/>
    <w:rsid w:val="002D6AC7"/>
    <w:rsid w:val="002E1140"/>
    <w:rsid w:val="002E1C12"/>
    <w:rsid w:val="002E270E"/>
    <w:rsid w:val="002E2767"/>
    <w:rsid w:val="002E2FFB"/>
    <w:rsid w:val="002E3512"/>
    <w:rsid w:val="002E4873"/>
    <w:rsid w:val="002E5DAC"/>
    <w:rsid w:val="002E6931"/>
    <w:rsid w:val="002E776E"/>
    <w:rsid w:val="002F058F"/>
    <w:rsid w:val="002F0CC5"/>
    <w:rsid w:val="002F1848"/>
    <w:rsid w:val="002F3533"/>
    <w:rsid w:val="00300B31"/>
    <w:rsid w:val="00302948"/>
    <w:rsid w:val="00304A35"/>
    <w:rsid w:val="003072C6"/>
    <w:rsid w:val="003109CC"/>
    <w:rsid w:val="00310C94"/>
    <w:rsid w:val="00311423"/>
    <w:rsid w:val="00312303"/>
    <w:rsid w:val="00313829"/>
    <w:rsid w:val="00317017"/>
    <w:rsid w:val="00317120"/>
    <w:rsid w:val="0031751D"/>
    <w:rsid w:val="00317578"/>
    <w:rsid w:val="00317EC9"/>
    <w:rsid w:val="00320116"/>
    <w:rsid w:val="00320C4B"/>
    <w:rsid w:val="00323DCA"/>
    <w:rsid w:val="00323F7F"/>
    <w:rsid w:val="00332794"/>
    <w:rsid w:val="00332CAB"/>
    <w:rsid w:val="00335987"/>
    <w:rsid w:val="0033783E"/>
    <w:rsid w:val="00340873"/>
    <w:rsid w:val="00343D57"/>
    <w:rsid w:val="003442D9"/>
    <w:rsid w:val="003449CF"/>
    <w:rsid w:val="0034642F"/>
    <w:rsid w:val="00347F37"/>
    <w:rsid w:val="00350811"/>
    <w:rsid w:val="00351985"/>
    <w:rsid w:val="00351D7F"/>
    <w:rsid w:val="00352288"/>
    <w:rsid w:val="00352845"/>
    <w:rsid w:val="00363090"/>
    <w:rsid w:val="00363725"/>
    <w:rsid w:val="0036498D"/>
    <w:rsid w:val="003663DC"/>
    <w:rsid w:val="00367430"/>
    <w:rsid w:val="0036763E"/>
    <w:rsid w:val="00371FC1"/>
    <w:rsid w:val="003722DB"/>
    <w:rsid w:val="00373681"/>
    <w:rsid w:val="00374067"/>
    <w:rsid w:val="00377457"/>
    <w:rsid w:val="00377E59"/>
    <w:rsid w:val="00380C59"/>
    <w:rsid w:val="00382DA0"/>
    <w:rsid w:val="00383691"/>
    <w:rsid w:val="003845B9"/>
    <w:rsid w:val="00385D52"/>
    <w:rsid w:val="003903A2"/>
    <w:rsid w:val="00392BDF"/>
    <w:rsid w:val="00392D2B"/>
    <w:rsid w:val="003933DE"/>
    <w:rsid w:val="003940E8"/>
    <w:rsid w:val="003959EA"/>
    <w:rsid w:val="00397255"/>
    <w:rsid w:val="003975CA"/>
    <w:rsid w:val="003A1B2D"/>
    <w:rsid w:val="003A2B60"/>
    <w:rsid w:val="003A4A6F"/>
    <w:rsid w:val="003A54DD"/>
    <w:rsid w:val="003A55E7"/>
    <w:rsid w:val="003B1128"/>
    <w:rsid w:val="003B1A82"/>
    <w:rsid w:val="003B29A0"/>
    <w:rsid w:val="003C1F8B"/>
    <w:rsid w:val="003C31A9"/>
    <w:rsid w:val="003C37E2"/>
    <w:rsid w:val="003C4C27"/>
    <w:rsid w:val="003D1EA7"/>
    <w:rsid w:val="003D2301"/>
    <w:rsid w:val="003D503A"/>
    <w:rsid w:val="003D54C3"/>
    <w:rsid w:val="003E1012"/>
    <w:rsid w:val="003E3D19"/>
    <w:rsid w:val="003E3FDD"/>
    <w:rsid w:val="003E5E19"/>
    <w:rsid w:val="003E7508"/>
    <w:rsid w:val="003E7624"/>
    <w:rsid w:val="003E7742"/>
    <w:rsid w:val="003E7D2B"/>
    <w:rsid w:val="003F03C1"/>
    <w:rsid w:val="003F0AE8"/>
    <w:rsid w:val="003F64BB"/>
    <w:rsid w:val="003F7808"/>
    <w:rsid w:val="00400FD2"/>
    <w:rsid w:val="0040113D"/>
    <w:rsid w:val="00402B7F"/>
    <w:rsid w:val="004052D9"/>
    <w:rsid w:val="004053B3"/>
    <w:rsid w:val="00406675"/>
    <w:rsid w:val="00406C67"/>
    <w:rsid w:val="00413CA6"/>
    <w:rsid w:val="00413D9B"/>
    <w:rsid w:val="00414C18"/>
    <w:rsid w:val="00414F5C"/>
    <w:rsid w:val="00415746"/>
    <w:rsid w:val="00415C7A"/>
    <w:rsid w:val="00420DD4"/>
    <w:rsid w:val="00421EDB"/>
    <w:rsid w:val="00422341"/>
    <w:rsid w:val="00422F5A"/>
    <w:rsid w:val="00424FE1"/>
    <w:rsid w:val="00425D06"/>
    <w:rsid w:val="004277BF"/>
    <w:rsid w:val="004301FD"/>
    <w:rsid w:val="004305D2"/>
    <w:rsid w:val="004310BE"/>
    <w:rsid w:val="00431397"/>
    <w:rsid w:val="00431FC7"/>
    <w:rsid w:val="004322B2"/>
    <w:rsid w:val="00432774"/>
    <w:rsid w:val="00432963"/>
    <w:rsid w:val="004403F7"/>
    <w:rsid w:val="00440A2C"/>
    <w:rsid w:val="00440C9A"/>
    <w:rsid w:val="00441457"/>
    <w:rsid w:val="00442710"/>
    <w:rsid w:val="00442AC6"/>
    <w:rsid w:val="004431DB"/>
    <w:rsid w:val="00445AFA"/>
    <w:rsid w:val="00445C9D"/>
    <w:rsid w:val="004462AC"/>
    <w:rsid w:val="004475E9"/>
    <w:rsid w:val="00447EA9"/>
    <w:rsid w:val="00452328"/>
    <w:rsid w:val="004527E3"/>
    <w:rsid w:val="00452D25"/>
    <w:rsid w:val="004539CB"/>
    <w:rsid w:val="004566D9"/>
    <w:rsid w:val="004607FD"/>
    <w:rsid w:val="0046277C"/>
    <w:rsid w:val="00463A39"/>
    <w:rsid w:val="004647EB"/>
    <w:rsid w:val="0046591B"/>
    <w:rsid w:val="004703D6"/>
    <w:rsid w:val="00472325"/>
    <w:rsid w:val="00472D18"/>
    <w:rsid w:val="004734BB"/>
    <w:rsid w:val="0047486D"/>
    <w:rsid w:val="004817FC"/>
    <w:rsid w:val="00481968"/>
    <w:rsid w:val="00481FD8"/>
    <w:rsid w:val="0048218E"/>
    <w:rsid w:val="0048653B"/>
    <w:rsid w:val="00490436"/>
    <w:rsid w:val="00491293"/>
    <w:rsid w:val="00491D08"/>
    <w:rsid w:val="00491E8A"/>
    <w:rsid w:val="0049498D"/>
    <w:rsid w:val="0049568C"/>
    <w:rsid w:val="004957A9"/>
    <w:rsid w:val="0049619E"/>
    <w:rsid w:val="00496295"/>
    <w:rsid w:val="004962DB"/>
    <w:rsid w:val="00497F18"/>
    <w:rsid w:val="004A0556"/>
    <w:rsid w:val="004A129C"/>
    <w:rsid w:val="004A4D45"/>
    <w:rsid w:val="004A551F"/>
    <w:rsid w:val="004A68F2"/>
    <w:rsid w:val="004A6EBC"/>
    <w:rsid w:val="004B0730"/>
    <w:rsid w:val="004B12B4"/>
    <w:rsid w:val="004B41ED"/>
    <w:rsid w:val="004B6C9E"/>
    <w:rsid w:val="004B7080"/>
    <w:rsid w:val="004B743A"/>
    <w:rsid w:val="004C188E"/>
    <w:rsid w:val="004C1973"/>
    <w:rsid w:val="004C399E"/>
    <w:rsid w:val="004C4D82"/>
    <w:rsid w:val="004C55AD"/>
    <w:rsid w:val="004C5C82"/>
    <w:rsid w:val="004D1036"/>
    <w:rsid w:val="004D13EF"/>
    <w:rsid w:val="004D2BD6"/>
    <w:rsid w:val="004D43AE"/>
    <w:rsid w:val="004D4FD3"/>
    <w:rsid w:val="004E00E1"/>
    <w:rsid w:val="004E0367"/>
    <w:rsid w:val="004E089C"/>
    <w:rsid w:val="004E12CB"/>
    <w:rsid w:val="004E2C5E"/>
    <w:rsid w:val="004E2CF6"/>
    <w:rsid w:val="004E2E64"/>
    <w:rsid w:val="004E3586"/>
    <w:rsid w:val="004E382E"/>
    <w:rsid w:val="004E4A4D"/>
    <w:rsid w:val="004E7411"/>
    <w:rsid w:val="004E7675"/>
    <w:rsid w:val="004E7748"/>
    <w:rsid w:val="004E7FB8"/>
    <w:rsid w:val="004F01D7"/>
    <w:rsid w:val="004F038F"/>
    <w:rsid w:val="004F0B3B"/>
    <w:rsid w:val="004F2B0C"/>
    <w:rsid w:val="004F597F"/>
    <w:rsid w:val="004F5B32"/>
    <w:rsid w:val="005005A0"/>
    <w:rsid w:val="00501229"/>
    <w:rsid w:val="00502C28"/>
    <w:rsid w:val="00503688"/>
    <w:rsid w:val="005061CC"/>
    <w:rsid w:val="005061E7"/>
    <w:rsid w:val="00506503"/>
    <w:rsid w:val="00506BDA"/>
    <w:rsid w:val="0050781A"/>
    <w:rsid w:val="00510B42"/>
    <w:rsid w:val="00512669"/>
    <w:rsid w:val="00512EAA"/>
    <w:rsid w:val="0051378A"/>
    <w:rsid w:val="0051645C"/>
    <w:rsid w:val="00516461"/>
    <w:rsid w:val="00516BD4"/>
    <w:rsid w:val="005178CE"/>
    <w:rsid w:val="00521E14"/>
    <w:rsid w:val="0052277C"/>
    <w:rsid w:val="00523987"/>
    <w:rsid w:val="005241A7"/>
    <w:rsid w:val="005263DF"/>
    <w:rsid w:val="00526FE2"/>
    <w:rsid w:val="00530114"/>
    <w:rsid w:val="00531FAC"/>
    <w:rsid w:val="00532BA1"/>
    <w:rsid w:val="00535C97"/>
    <w:rsid w:val="0053680B"/>
    <w:rsid w:val="00536BB4"/>
    <w:rsid w:val="00537C4C"/>
    <w:rsid w:val="00540C35"/>
    <w:rsid w:val="00541880"/>
    <w:rsid w:val="00541FC9"/>
    <w:rsid w:val="00543C46"/>
    <w:rsid w:val="00546911"/>
    <w:rsid w:val="00546A1C"/>
    <w:rsid w:val="00547AFE"/>
    <w:rsid w:val="00552D2D"/>
    <w:rsid w:val="0055749B"/>
    <w:rsid w:val="00557A60"/>
    <w:rsid w:val="00557E74"/>
    <w:rsid w:val="00560029"/>
    <w:rsid w:val="005614E3"/>
    <w:rsid w:val="00561C17"/>
    <w:rsid w:val="005623FF"/>
    <w:rsid w:val="00562963"/>
    <w:rsid w:val="0056497B"/>
    <w:rsid w:val="0057167B"/>
    <w:rsid w:val="005808E7"/>
    <w:rsid w:val="0058123E"/>
    <w:rsid w:val="00581BE6"/>
    <w:rsid w:val="00581C82"/>
    <w:rsid w:val="0058305B"/>
    <w:rsid w:val="00583F4D"/>
    <w:rsid w:val="0058585B"/>
    <w:rsid w:val="00587098"/>
    <w:rsid w:val="005873E0"/>
    <w:rsid w:val="00592315"/>
    <w:rsid w:val="00593333"/>
    <w:rsid w:val="00596D7D"/>
    <w:rsid w:val="00596E00"/>
    <w:rsid w:val="005A03A3"/>
    <w:rsid w:val="005A03E9"/>
    <w:rsid w:val="005A0B47"/>
    <w:rsid w:val="005A0F85"/>
    <w:rsid w:val="005A1D17"/>
    <w:rsid w:val="005A2256"/>
    <w:rsid w:val="005A2765"/>
    <w:rsid w:val="005A2843"/>
    <w:rsid w:val="005A3171"/>
    <w:rsid w:val="005A3524"/>
    <w:rsid w:val="005A65E8"/>
    <w:rsid w:val="005B1370"/>
    <w:rsid w:val="005B22A9"/>
    <w:rsid w:val="005B2DC7"/>
    <w:rsid w:val="005B3A5B"/>
    <w:rsid w:val="005B4E5D"/>
    <w:rsid w:val="005B688C"/>
    <w:rsid w:val="005B7DF3"/>
    <w:rsid w:val="005C1ABB"/>
    <w:rsid w:val="005C1FAC"/>
    <w:rsid w:val="005C2C81"/>
    <w:rsid w:val="005C323A"/>
    <w:rsid w:val="005C699F"/>
    <w:rsid w:val="005D2164"/>
    <w:rsid w:val="005D25DF"/>
    <w:rsid w:val="005D2A6A"/>
    <w:rsid w:val="005D48D5"/>
    <w:rsid w:val="005D4A00"/>
    <w:rsid w:val="005D58C8"/>
    <w:rsid w:val="005D6E4F"/>
    <w:rsid w:val="005D6EC0"/>
    <w:rsid w:val="005D71E4"/>
    <w:rsid w:val="005E1F05"/>
    <w:rsid w:val="005E695D"/>
    <w:rsid w:val="005E69BE"/>
    <w:rsid w:val="005E76AB"/>
    <w:rsid w:val="005E7E02"/>
    <w:rsid w:val="005F01B0"/>
    <w:rsid w:val="005F14EF"/>
    <w:rsid w:val="005F2232"/>
    <w:rsid w:val="005F301D"/>
    <w:rsid w:val="005F4DF1"/>
    <w:rsid w:val="005F57C2"/>
    <w:rsid w:val="005F5B9F"/>
    <w:rsid w:val="005F5BD8"/>
    <w:rsid w:val="005F5D3B"/>
    <w:rsid w:val="005F6365"/>
    <w:rsid w:val="00600AF2"/>
    <w:rsid w:val="00601156"/>
    <w:rsid w:val="00601166"/>
    <w:rsid w:val="0060129C"/>
    <w:rsid w:val="00601FF6"/>
    <w:rsid w:val="006025DB"/>
    <w:rsid w:val="006036C6"/>
    <w:rsid w:val="00605072"/>
    <w:rsid w:val="006062AC"/>
    <w:rsid w:val="00606DD7"/>
    <w:rsid w:val="00610806"/>
    <w:rsid w:val="006145EF"/>
    <w:rsid w:val="00620649"/>
    <w:rsid w:val="00621091"/>
    <w:rsid w:val="00621A87"/>
    <w:rsid w:val="00621C21"/>
    <w:rsid w:val="00623282"/>
    <w:rsid w:val="006255AF"/>
    <w:rsid w:val="00627BC8"/>
    <w:rsid w:val="00627E8C"/>
    <w:rsid w:val="006317A9"/>
    <w:rsid w:val="0063272D"/>
    <w:rsid w:val="00633B39"/>
    <w:rsid w:val="0063496E"/>
    <w:rsid w:val="00640943"/>
    <w:rsid w:val="0064283F"/>
    <w:rsid w:val="006435F3"/>
    <w:rsid w:val="0064489C"/>
    <w:rsid w:val="00647024"/>
    <w:rsid w:val="00647C5B"/>
    <w:rsid w:val="00647DBB"/>
    <w:rsid w:val="006511CD"/>
    <w:rsid w:val="006534ED"/>
    <w:rsid w:val="0065421E"/>
    <w:rsid w:val="006546F3"/>
    <w:rsid w:val="00662781"/>
    <w:rsid w:val="00662D90"/>
    <w:rsid w:val="00663B88"/>
    <w:rsid w:val="006657BC"/>
    <w:rsid w:val="0066798E"/>
    <w:rsid w:val="00667B8B"/>
    <w:rsid w:val="006702DD"/>
    <w:rsid w:val="00671E1E"/>
    <w:rsid w:val="00672C18"/>
    <w:rsid w:val="00674848"/>
    <w:rsid w:val="00674E93"/>
    <w:rsid w:val="006756B1"/>
    <w:rsid w:val="00676C21"/>
    <w:rsid w:val="00680661"/>
    <w:rsid w:val="0068088E"/>
    <w:rsid w:val="0068263B"/>
    <w:rsid w:val="0068453A"/>
    <w:rsid w:val="0068465E"/>
    <w:rsid w:val="00685410"/>
    <w:rsid w:val="0068564B"/>
    <w:rsid w:val="00691F72"/>
    <w:rsid w:val="00692ADF"/>
    <w:rsid w:val="00692D16"/>
    <w:rsid w:val="00694A3F"/>
    <w:rsid w:val="00695C5D"/>
    <w:rsid w:val="0069678C"/>
    <w:rsid w:val="00696D33"/>
    <w:rsid w:val="006A195B"/>
    <w:rsid w:val="006A27BA"/>
    <w:rsid w:val="006A440D"/>
    <w:rsid w:val="006A5812"/>
    <w:rsid w:val="006A589D"/>
    <w:rsid w:val="006A58C4"/>
    <w:rsid w:val="006A64FC"/>
    <w:rsid w:val="006A65CB"/>
    <w:rsid w:val="006A6725"/>
    <w:rsid w:val="006A7497"/>
    <w:rsid w:val="006A7600"/>
    <w:rsid w:val="006B2CB0"/>
    <w:rsid w:val="006B5AF6"/>
    <w:rsid w:val="006B75F1"/>
    <w:rsid w:val="006B79AB"/>
    <w:rsid w:val="006C2F21"/>
    <w:rsid w:val="006C473A"/>
    <w:rsid w:val="006C4D1A"/>
    <w:rsid w:val="006C5EE0"/>
    <w:rsid w:val="006C61F3"/>
    <w:rsid w:val="006D0E6A"/>
    <w:rsid w:val="006D1B2C"/>
    <w:rsid w:val="006D3109"/>
    <w:rsid w:val="006D31B3"/>
    <w:rsid w:val="006D3378"/>
    <w:rsid w:val="006D49C3"/>
    <w:rsid w:val="006D4ACB"/>
    <w:rsid w:val="006D4C04"/>
    <w:rsid w:val="006D652E"/>
    <w:rsid w:val="006D6D0D"/>
    <w:rsid w:val="006D74A2"/>
    <w:rsid w:val="006D7EEC"/>
    <w:rsid w:val="006E0959"/>
    <w:rsid w:val="006E0D6A"/>
    <w:rsid w:val="006E0E22"/>
    <w:rsid w:val="006E23A3"/>
    <w:rsid w:val="006E32E9"/>
    <w:rsid w:val="006E4A99"/>
    <w:rsid w:val="006E4CBB"/>
    <w:rsid w:val="006E4EFA"/>
    <w:rsid w:val="006E5514"/>
    <w:rsid w:val="006E5CF1"/>
    <w:rsid w:val="006E6E10"/>
    <w:rsid w:val="006E7FC7"/>
    <w:rsid w:val="006F0DB1"/>
    <w:rsid w:val="006F1A80"/>
    <w:rsid w:val="006F21D1"/>
    <w:rsid w:val="006F2217"/>
    <w:rsid w:val="006F23A0"/>
    <w:rsid w:val="006F39C5"/>
    <w:rsid w:val="006F6DEE"/>
    <w:rsid w:val="00700463"/>
    <w:rsid w:val="00701BDC"/>
    <w:rsid w:val="0070343E"/>
    <w:rsid w:val="0070360F"/>
    <w:rsid w:val="007043E9"/>
    <w:rsid w:val="00705A5D"/>
    <w:rsid w:val="007100C7"/>
    <w:rsid w:val="00712C85"/>
    <w:rsid w:val="00712FB0"/>
    <w:rsid w:val="00713446"/>
    <w:rsid w:val="00714773"/>
    <w:rsid w:val="007157E7"/>
    <w:rsid w:val="007165B3"/>
    <w:rsid w:val="00716D0B"/>
    <w:rsid w:val="007178B0"/>
    <w:rsid w:val="007205AC"/>
    <w:rsid w:val="00720DD8"/>
    <w:rsid w:val="00722AFC"/>
    <w:rsid w:val="0072395D"/>
    <w:rsid w:val="00724275"/>
    <w:rsid w:val="00724ABF"/>
    <w:rsid w:val="00726294"/>
    <w:rsid w:val="00727E41"/>
    <w:rsid w:val="00730636"/>
    <w:rsid w:val="00732CA0"/>
    <w:rsid w:val="00733786"/>
    <w:rsid w:val="00735519"/>
    <w:rsid w:val="007359CA"/>
    <w:rsid w:val="00736676"/>
    <w:rsid w:val="00737275"/>
    <w:rsid w:val="007377B0"/>
    <w:rsid w:val="00737B21"/>
    <w:rsid w:val="00741A51"/>
    <w:rsid w:val="00742593"/>
    <w:rsid w:val="00743E75"/>
    <w:rsid w:val="00744114"/>
    <w:rsid w:val="00745F32"/>
    <w:rsid w:val="007460D1"/>
    <w:rsid w:val="0074697E"/>
    <w:rsid w:val="00747316"/>
    <w:rsid w:val="00747332"/>
    <w:rsid w:val="00747D76"/>
    <w:rsid w:val="00747E90"/>
    <w:rsid w:val="00747FE9"/>
    <w:rsid w:val="00750CCB"/>
    <w:rsid w:val="007517B7"/>
    <w:rsid w:val="0075327C"/>
    <w:rsid w:val="00753789"/>
    <w:rsid w:val="007563C6"/>
    <w:rsid w:val="00757EC2"/>
    <w:rsid w:val="007624DC"/>
    <w:rsid w:val="00762C39"/>
    <w:rsid w:val="00764D75"/>
    <w:rsid w:val="00766897"/>
    <w:rsid w:val="00766CB7"/>
    <w:rsid w:val="00766ECB"/>
    <w:rsid w:val="00767598"/>
    <w:rsid w:val="00767848"/>
    <w:rsid w:val="00767A33"/>
    <w:rsid w:val="00771BFF"/>
    <w:rsid w:val="00771E65"/>
    <w:rsid w:val="007734FF"/>
    <w:rsid w:val="00776E13"/>
    <w:rsid w:val="00776E7C"/>
    <w:rsid w:val="007779B3"/>
    <w:rsid w:val="00781048"/>
    <w:rsid w:val="007814F2"/>
    <w:rsid w:val="00783051"/>
    <w:rsid w:val="0078394B"/>
    <w:rsid w:val="00783E18"/>
    <w:rsid w:val="00784AA0"/>
    <w:rsid w:val="0078525D"/>
    <w:rsid w:val="007854AE"/>
    <w:rsid w:val="00786254"/>
    <w:rsid w:val="007901D1"/>
    <w:rsid w:val="00791831"/>
    <w:rsid w:val="00793922"/>
    <w:rsid w:val="00797088"/>
    <w:rsid w:val="007A2E25"/>
    <w:rsid w:val="007A397D"/>
    <w:rsid w:val="007A397F"/>
    <w:rsid w:val="007A6667"/>
    <w:rsid w:val="007A7D03"/>
    <w:rsid w:val="007B303D"/>
    <w:rsid w:val="007B4A6C"/>
    <w:rsid w:val="007B6077"/>
    <w:rsid w:val="007B6434"/>
    <w:rsid w:val="007B72CA"/>
    <w:rsid w:val="007B748A"/>
    <w:rsid w:val="007B7604"/>
    <w:rsid w:val="007C1307"/>
    <w:rsid w:val="007C1C67"/>
    <w:rsid w:val="007C1D9C"/>
    <w:rsid w:val="007C33B6"/>
    <w:rsid w:val="007C4177"/>
    <w:rsid w:val="007C4451"/>
    <w:rsid w:val="007C5638"/>
    <w:rsid w:val="007C5A34"/>
    <w:rsid w:val="007C762B"/>
    <w:rsid w:val="007D0AE8"/>
    <w:rsid w:val="007D0C51"/>
    <w:rsid w:val="007D16D9"/>
    <w:rsid w:val="007D1CF8"/>
    <w:rsid w:val="007D363A"/>
    <w:rsid w:val="007D718C"/>
    <w:rsid w:val="007D7C65"/>
    <w:rsid w:val="007E2A4C"/>
    <w:rsid w:val="007E4E54"/>
    <w:rsid w:val="007E6B8D"/>
    <w:rsid w:val="007E79F5"/>
    <w:rsid w:val="007F0846"/>
    <w:rsid w:val="007F147E"/>
    <w:rsid w:val="007F14BC"/>
    <w:rsid w:val="007F191C"/>
    <w:rsid w:val="007F1AA7"/>
    <w:rsid w:val="007F404F"/>
    <w:rsid w:val="007F423E"/>
    <w:rsid w:val="007F4D7E"/>
    <w:rsid w:val="007F6F78"/>
    <w:rsid w:val="007F7A65"/>
    <w:rsid w:val="00800EEC"/>
    <w:rsid w:val="008017B3"/>
    <w:rsid w:val="0080240F"/>
    <w:rsid w:val="0080412D"/>
    <w:rsid w:val="00804A9F"/>
    <w:rsid w:val="00804CB0"/>
    <w:rsid w:val="00806A8A"/>
    <w:rsid w:val="00807E8B"/>
    <w:rsid w:val="008117A7"/>
    <w:rsid w:val="00814D3A"/>
    <w:rsid w:val="008160A9"/>
    <w:rsid w:val="00822A4F"/>
    <w:rsid w:val="008230E3"/>
    <w:rsid w:val="00823250"/>
    <w:rsid w:val="008245C5"/>
    <w:rsid w:val="00824F19"/>
    <w:rsid w:val="00826F60"/>
    <w:rsid w:val="00827205"/>
    <w:rsid w:val="0083048A"/>
    <w:rsid w:val="00832434"/>
    <w:rsid w:val="008326A0"/>
    <w:rsid w:val="00832C54"/>
    <w:rsid w:val="008332FF"/>
    <w:rsid w:val="008335F6"/>
    <w:rsid w:val="00834B39"/>
    <w:rsid w:val="00836BFD"/>
    <w:rsid w:val="00836EE9"/>
    <w:rsid w:val="00837512"/>
    <w:rsid w:val="0083774C"/>
    <w:rsid w:val="00841555"/>
    <w:rsid w:val="00843453"/>
    <w:rsid w:val="00844FE7"/>
    <w:rsid w:val="008465E2"/>
    <w:rsid w:val="008509AF"/>
    <w:rsid w:val="008550C3"/>
    <w:rsid w:val="0085593F"/>
    <w:rsid w:val="0085678D"/>
    <w:rsid w:val="00857280"/>
    <w:rsid w:val="00860F11"/>
    <w:rsid w:val="00861429"/>
    <w:rsid w:val="008624FB"/>
    <w:rsid w:val="00862E4F"/>
    <w:rsid w:val="00865825"/>
    <w:rsid w:val="00865DC0"/>
    <w:rsid w:val="00870181"/>
    <w:rsid w:val="00871524"/>
    <w:rsid w:val="0087531A"/>
    <w:rsid w:val="00875EE3"/>
    <w:rsid w:val="00876346"/>
    <w:rsid w:val="0087741D"/>
    <w:rsid w:val="00877BF7"/>
    <w:rsid w:val="00883549"/>
    <w:rsid w:val="00884FEE"/>
    <w:rsid w:val="00886E97"/>
    <w:rsid w:val="00887658"/>
    <w:rsid w:val="0089092A"/>
    <w:rsid w:val="0089105C"/>
    <w:rsid w:val="00891430"/>
    <w:rsid w:val="008945BE"/>
    <w:rsid w:val="0089545D"/>
    <w:rsid w:val="00895BF1"/>
    <w:rsid w:val="00897A69"/>
    <w:rsid w:val="00897DCA"/>
    <w:rsid w:val="008A1583"/>
    <w:rsid w:val="008A3353"/>
    <w:rsid w:val="008A33F3"/>
    <w:rsid w:val="008A6039"/>
    <w:rsid w:val="008A68D0"/>
    <w:rsid w:val="008B0491"/>
    <w:rsid w:val="008B166E"/>
    <w:rsid w:val="008B2B78"/>
    <w:rsid w:val="008B2BAC"/>
    <w:rsid w:val="008B30E4"/>
    <w:rsid w:val="008B3913"/>
    <w:rsid w:val="008B4E79"/>
    <w:rsid w:val="008B50B6"/>
    <w:rsid w:val="008B5A1D"/>
    <w:rsid w:val="008B5F35"/>
    <w:rsid w:val="008B6412"/>
    <w:rsid w:val="008B6CDB"/>
    <w:rsid w:val="008C30EB"/>
    <w:rsid w:val="008C4AE1"/>
    <w:rsid w:val="008C675D"/>
    <w:rsid w:val="008D0539"/>
    <w:rsid w:val="008D1C64"/>
    <w:rsid w:val="008D2112"/>
    <w:rsid w:val="008D2164"/>
    <w:rsid w:val="008D218A"/>
    <w:rsid w:val="008D4AF0"/>
    <w:rsid w:val="008D4C01"/>
    <w:rsid w:val="008D55B2"/>
    <w:rsid w:val="008D6E33"/>
    <w:rsid w:val="008E125B"/>
    <w:rsid w:val="008E3BBB"/>
    <w:rsid w:val="008E4522"/>
    <w:rsid w:val="008E4B67"/>
    <w:rsid w:val="008F04D1"/>
    <w:rsid w:val="008F32C5"/>
    <w:rsid w:val="008F38FC"/>
    <w:rsid w:val="008F3C00"/>
    <w:rsid w:val="008F4836"/>
    <w:rsid w:val="008F5AAC"/>
    <w:rsid w:val="008F5FF1"/>
    <w:rsid w:val="008F7683"/>
    <w:rsid w:val="00900A13"/>
    <w:rsid w:val="00900B05"/>
    <w:rsid w:val="00901002"/>
    <w:rsid w:val="00903298"/>
    <w:rsid w:val="00903865"/>
    <w:rsid w:val="009040D6"/>
    <w:rsid w:val="009054E3"/>
    <w:rsid w:val="009106AD"/>
    <w:rsid w:val="0091190F"/>
    <w:rsid w:val="0091427F"/>
    <w:rsid w:val="00914AFB"/>
    <w:rsid w:val="00915737"/>
    <w:rsid w:val="00915DF8"/>
    <w:rsid w:val="00915FC8"/>
    <w:rsid w:val="009170A4"/>
    <w:rsid w:val="00921AC5"/>
    <w:rsid w:val="00921B3F"/>
    <w:rsid w:val="00923DFA"/>
    <w:rsid w:val="0092424B"/>
    <w:rsid w:val="009264E8"/>
    <w:rsid w:val="00926CDC"/>
    <w:rsid w:val="009319B1"/>
    <w:rsid w:val="00932FCC"/>
    <w:rsid w:val="0093367D"/>
    <w:rsid w:val="009336C1"/>
    <w:rsid w:val="009358E7"/>
    <w:rsid w:val="009401FC"/>
    <w:rsid w:val="00941EC5"/>
    <w:rsid w:val="009449B5"/>
    <w:rsid w:val="0094723D"/>
    <w:rsid w:val="009556A3"/>
    <w:rsid w:val="00955E18"/>
    <w:rsid w:val="009573A5"/>
    <w:rsid w:val="009606F9"/>
    <w:rsid w:val="00960DCB"/>
    <w:rsid w:val="00961589"/>
    <w:rsid w:val="0096198E"/>
    <w:rsid w:val="00966753"/>
    <w:rsid w:val="009669E6"/>
    <w:rsid w:val="0097024E"/>
    <w:rsid w:val="009720EC"/>
    <w:rsid w:val="0097259A"/>
    <w:rsid w:val="00972C45"/>
    <w:rsid w:val="00974EF9"/>
    <w:rsid w:val="00983F4B"/>
    <w:rsid w:val="00984874"/>
    <w:rsid w:val="00986D1F"/>
    <w:rsid w:val="00987238"/>
    <w:rsid w:val="00987B1F"/>
    <w:rsid w:val="00987BBD"/>
    <w:rsid w:val="00990868"/>
    <w:rsid w:val="00991849"/>
    <w:rsid w:val="00991EBD"/>
    <w:rsid w:val="00992BF9"/>
    <w:rsid w:val="00994274"/>
    <w:rsid w:val="00994A9C"/>
    <w:rsid w:val="00994F87"/>
    <w:rsid w:val="00995A54"/>
    <w:rsid w:val="00997258"/>
    <w:rsid w:val="00997D2E"/>
    <w:rsid w:val="009A18D9"/>
    <w:rsid w:val="009A2651"/>
    <w:rsid w:val="009A27BD"/>
    <w:rsid w:val="009A34AF"/>
    <w:rsid w:val="009A3633"/>
    <w:rsid w:val="009A3DB8"/>
    <w:rsid w:val="009A42C7"/>
    <w:rsid w:val="009A5148"/>
    <w:rsid w:val="009A6070"/>
    <w:rsid w:val="009A65B8"/>
    <w:rsid w:val="009A679C"/>
    <w:rsid w:val="009B22D7"/>
    <w:rsid w:val="009B2C5F"/>
    <w:rsid w:val="009B5BED"/>
    <w:rsid w:val="009B6F26"/>
    <w:rsid w:val="009C007E"/>
    <w:rsid w:val="009C03E4"/>
    <w:rsid w:val="009C2AA7"/>
    <w:rsid w:val="009C5482"/>
    <w:rsid w:val="009C5550"/>
    <w:rsid w:val="009D2D2F"/>
    <w:rsid w:val="009D769D"/>
    <w:rsid w:val="009D7F7A"/>
    <w:rsid w:val="009E217D"/>
    <w:rsid w:val="009E2D1E"/>
    <w:rsid w:val="009E2EE3"/>
    <w:rsid w:val="009E306D"/>
    <w:rsid w:val="009E3C5F"/>
    <w:rsid w:val="009E5230"/>
    <w:rsid w:val="009E5B5E"/>
    <w:rsid w:val="009F19B7"/>
    <w:rsid w:val="009F1FF8"/>
    <w:rsid w:val="009F3470"/>
    <w:rsid w:val="009F34DD"/>
    <w:rsid w:val="009F3ED3"/>
    <w:rsid w:val="009F4A8D"/>
    <w:rsid w:val="009F66FE"/>
    <w:rsid w:val="009F69E0"/>
    <w:rsid w:val="009F7252"/>
    <w:rsid w:val="00A003E9"/>
    <w:rsid w:val="00A00E7A"/>
    <w:rsid w:val="00A01A5F"/>
    <w:rsid w:val="00A01CA4"/>
    <w:rsid w:val="00A0285F"/>
    <w:rsid w:val="00A02C9B"/>
    <w:rsid w:val="00A03572"/>
    <w:rsid w:val="00A0464A"/>
    <w:rsid w:val="00A04DA8"/>
    <w:rsid w:val="00A0685B"/>
    <w:rsid w:val="00A07930"/>
    <w:rsid w:val="00A10C77"/>
    <w:rsid w:val="00A11EA9"/>
    <w:rsid w:val="00A12504"/>
    <w:rsid w:val="00A125AB"/>
    <w:rsid w:val="00A13408"/>
    <w:rsid w:val="00A14256"/>
    <w:rsid w:val="00A1492A"/>
    <w:rsid w:val="00A15B22"/>
    <w:rsid w:val="00A16D91"/>
    <w:rsid w:val="00A2122C"/>
    <w:rsid w:val="00A222E9"/>
    <w:rsid w:val="00A22C5C"/>
    <w:rsid w:val="00A24736"/>
    <w:rsid w:val="00A2492B"/>
    <w:rsid w:val="00A254E5"/>
    <w:rsid w:val="00A30CF8"/>
    <w:rsid w:val="00A31F14"/>
    <w:rsid w:val="00A321B3"/>
    <w:rsid w:val="00A329E1"/>
    <w:rsid w:val="00A340BC"/>
    <w:rsid w:val="00A348BB"/>
    <w:rsid w:val="00A34B25"/>
    <w:rsid w:val="00A35024"/>
    <w:rsid w:val="00A35031"/>
    <w:rsid w:val="00A35A78"/>
    <w:rsid w:val="00A41B55"/>
    <w:rsid w:val="00A41B71"/>
    <w:rsid w:val="00A431E5"/>
    <w:rsid w:val="00A442EF"/>
    <w:rsid w:val="00A44667"/>
    <w:rsid w:val="00A47E2E"/>
    <w:rsid w:val="00A506D0"/>
    <w:rsid w:val="00A50C71"/>
    <w:rsid w:val="00A50DD9"/>
    <w:rsid w:val="00A51392"/>
    <w:rsid w:val="00A5191E"/>
    <w:rsid w:val="00A528B6"/>
    <w:rsid w:val="00A55C64"/>
    <w:rsid w:val="00A63138"/>
    <w:rsid w:val="00A634C0"/>
    <w:rsid w:val="00A6620D"/>
    <w:rsid w:val="00A70BC9"/>
    <w:rsid w:val="00A72083"/>
    <w:rsid w:val="00A742D1"/>
    <w:rsid w:val="00A752F6"/>
    <w:rsid w:val="00A77AF6"/>
    <w:rsid w:val="00A8025E"/>
    <w:rsid w:val="00A8144A"/>
    <w:rsid w:val="00A827BA"/>
    <w:rsid w:val="00A836D3"/>
    <w:rsid w:val="00A83793"/>
    <w:rsid w:val="00A85ECF"/>
    <w:rsid w:val="00A87B9A"/>
    <w:rsid w:val="00A9055D"/>
    <w:rsid w:val="00A929C5"/>
    <w:rsid w:val="00A92B52"/>
    <w:rsid w:val="00A94408"/>
    <w:rsid w:val="00A952F9"/>
    <w:rsid w:val="00A9598F"/>
    <w:rsid w:val="00A96632"/>
    <w:rsid w:val="00A97AC6"/>
    <w:rsid w:val="00AA066E"/>
    <w:rsid w:val="00AA0976"/>
    <w:rsid w:val="00AA1420"/>
    <w:rsid w:val="00AA3775"/>
    <w:rsid w:val="00AA550A"/>
    <w:rsid w:val="00AA7954"/>
    <w:rsid w:val="00AB07E9"/>
    <w:rsid w:val="00AB3546"/>
    <w:rsid w:val="00AB368B"/>
    <w:rsid w:val="00AB5CC2"/>
    <w:rsid w:val="00AB5E4A"/>
    <w:rsid w:val="00AB6EAA"/>
    <w:rsid w:val="00AB6FFE"/>
    <w:rsid w:val="00AC0332"/>
    <w:rsid w:val="00AC0517"/>
    <w:rsid w:val="00AC073D"/>
    <w:rsid w:val="00AC0C9D"/>
    <w:rsid w:val="00AC1B94"/>
    <w:rsid w:val="00AC361D"/>
    <w:rsid w:val="00AC55C5"/>
    <w:rsid w:val="00AC5B26"/>
    <w:rsid w:val="00AC5E2B"/>
    <w:rsid w:val="00AD030D"/>
    <w:rsid w:val="00AD1D59"/>
    <w:rsid w:val="00AD2C94"/>
    <w:rsid w:val="00AD33AC"/>
    <w:rsid w:val="00AD391A"/>
    <w:rsid w:val="00AD55B8"/>
    <w:rsid w:val="00AD63DC"/>
    <w:rsid w:val="00AD69F8"/>
    <w:rsid w:val="00AD793C"/>
    <w:rsid w:val="00AE2845"/>
    <w:rsid w:val="00AE3043"/>
    <w:rsid w:val="00AE3532"/>
    <w:rsid w:val="00AE4CD4"/>
    <w:rsid w:val="00AF23B3"/>
    <w:rsid w:val="00AF32C2"/>
    <w:rsid w:val="00AF3E4C"/>
    <w:rsid w:val="00AF4504"/>
    <w:rsid w:val="00AF580F"/>
    <w:rsid w:val="00AF6E4B"/>
    <w:rsid w:val="00AF7435"/>
    <w:rsid w:val="00AF76E8"/>
    <w:rsid w:val="00AF79EF"/>
    <w:rsid w:val="00AF7E3B"/>
    <w:rsid w:val="00B019A2"/>
    <w:rsid w:val="00B06A9D"/>
    <w:rsid w:val="00B07D3C"/>
    <w:rsid w:val="00B113B0"/>
    <w:rsid w:val="00B12B15"/>
    <w:rsid w:val="00B12F18"/>
    <w:rsid w:val="00B13538"/>
    <w:rsid w:val="00B16C0D"/>
    <w:rsid w:val="00B17432"/>
    <w:rsid w:val="00B20374"/>
    <w:rsid w:val="00B21488"/>
    <w:rsid w:val="00B215A6"/>
    <w:rsid w:val="00B22686"/>
    <w:rsid w:val="00B24F56"/>
    <w:rsid w:val="00B278AB"/>
    <w:rsid w:val="00B27F67"/>
    <w:rsid w:val="00B32895"/>
    <w:rsid w:val="00B331D8"/>
    <w:rsid w:val="00B34688"/>
    <w:rsid w:val="00B34970"/>
    <w:rsid w:val="00B36A6C"/>
    <w:rsid w:val="00B36EE7"/>
    <w:rsid w:val="00B37B78"/>
    <w:rsid w:val="00B446BB"/>
    <w:rsid w:val="00B44781"/>
    <w:rsid w:val="00B46676"/>
    <w:rsid w:val="00B474A4"/>
    <w:rsid w:val="00B474EC"/>
    <w:rsid w:val="00B47B37"/>
    <w:rsid w:val="00B47CA6"/>
    <w:rsid w:val="00B50D3E"/>
    <w:rsid w:val="00B557C1"/>
    <w:rsid w:val="00B565E9"/>
    <w:rsid w:val="00B57D0B"/>
    <w:rsid w:val="00B604A8"/>
    <w:rsid w:val="00B62319"/>
    <w:rsid w:val="00B65958"/>
    <w:rsid w:val="00B66213"/>
    <w:rsid w:val="00B66CA8"/>
    <w:rsid w:val="00B675A9"/>
    <w:rsid w:val="00B70854"/>
    <w:rsid w:val="00B70E95"/>
    <w:rsid w:val="00B71126"/>
    <w:rsid w:val="00B7235F"/>
    <w:rsid w:val="00B726AE"/>
    <w:rsid w:val="00B741FE"/>
    <w:rsid w:val="00B759B0"/>
    <w:rsid w:val="00B76962"/>
    <w:rsid w:val="00B77A11"/>
    <w:rsid w:val="00B77AC9"/>
    <w:rsid w:val="00B818C3"/>
    <w:rsid w:val="00B81EEB"/>
    <w:rsid w:val="00B82A76"/>
    <w:rsid w:val="00B837DA"/>
    <w:rsid w:val="00B838B3"/>
    <w:rsid w:val="00B84329"/>
    <w:rsid w:val="00B864C1"/>
    <w:rsid w:val="00B8663A"/>
    <w:rsid w:val="00B86836"/>
    <w:rsid w:val="00B91C3D"/>
    <w:rsid w:val="00B927F3"/>
    <w:rsid w:val="00B94098"/>
    <w:rsid w:val="00B94546"/>
    <w:rsid w:val="00B948A7"/>
    <w:rsid w:val="00B95374"/>
    <w:rsid w:val="00B96FBD"/>
    <w:rsid w:val="00B97771"/>
    <w:rsid w:val="00BA1431"/>
    <w:rsid w:val="00BA1693"/>
    <w:rsid w:val="00BA222F"/>
    <w:rsid w:val="00BA3561"/>
    <w:rsid w:val="00BA4DD1"/>
    <w:rsid w:val="00BA52A1"/>
    <w:rsid w:val="00BA63D8"/>
    <w:rsid w:val="00BA6D6D"/>
    <w:rsid w:val="00BB0DE4"/>
    <w:rsid w:val="00BB2444"/>
    <w:rsid w:val="00BB34BA"/>
    <w:rsid w:val="00BB3FB9"/>
    <w:rsid w:val="00BB53B7"/>
    <w:rsid w:val="00BB6CFE"/>
    <w:rsid w:val="00BB717E"/>
    <w:rsid w:val="00BC0A3E"/>
    <w:rsid w:val="00BC0E87"/>
    <w:rsid w:val="00BC19B7"/>
    <w:rsid w:val="00BC4C1C"/>
    <w:rsid w:val="00BC547A"/>
    <w:rsid w:val="00BC5BFA"/>
    <w:rsid w:val="00BC5EE6"/>
    <w:rsid w:val="00BC7624"/>
    <w:rsid w:val="00BC7751"/>
    <w:rsid w:val="00BC7B67"/>
    <w:rsid w:val="00BD2A40"/>
    <w:rsid w:val="00BD3533"/>
    <w:rsid w:val="00BD63F0"/>
    <w:rsid w:val="00BD63F4"/>
    <w:rsid w:val="00BD6B01"/>
    <w:rsid w:val="00BE0220"/>
    <w:rsid w:val="00BE2ECC"/>
    <w:rsid w:val="00BE3112"/>
    <w:rsid w:val="00BE3601"/>
    <w:rsid w:val="00BE4F24"/>
    <w:rsid w:val="00BE5E57"/>
    <w:rsid w:val="00BE63FD"/>
    <w:rsid w:val="00BE718D"/>
    <w:rsid w:val="00BE71C1"/>
    <w:rsid w:val="00BE7F9A"/>
    <w:rsid w:val="00BF14C1"/>
    <w:rsid w:val="00BF1A6E"/>
    <w:rsid w:val="00BF665E"/>
    <w:rsid w:val="00BF7992"/>
    <w:rsid w:val="00BF7C69"/>
    <w:rsid w:val="00C018BF"/>
    <w:rsid w:val="00C055FA"/>
    <w:rsid w:val="00C11EB3"/>
    <w:rsid w:val="00C129A8"/>
    <w:rsid w:val="00C12DC9"/>
    <w:rsid w:val="00C1360D"/>
    <w:rsid w:val="00C1439E"/>
    <w:rsid w:val="00C14547"/>
    <w:rsid w:val="00C1579F"/>
    <w:rsid w:val="00C16C2A"/>
    <w:rsid w:val="00C20461"/>
    <w:rsid w:val="00C2344D"/>
    <w:rsid w:val="00C241C5"/>
    <w:rsid w:val="00C245A6"/>
    <w:rsid w:val="00C26095"/>
    <w:rsid w:val="00C27DC3"/>
    <w:rsid w:val="00C303B7"/>
    <w:rsid w:val="00C30618"/>
    <w:rsid w:val="00C30F45"/>
    <w:rsid w:val="00C31F22"/>
    <w:rsid w:val="00C32A7B"/>
    <w:rsid w:val="00C330C7"/>
    <w:rsid w:val="00C34F79"/>
    <w:rsid w:val="00C35257"/>
    <w:rsid w:val="00C35945"/>
    <w:rsid w:val="00C359DB"/>
    <w:rsid w:val="00C35B18"/>
    <w:rsid w:val="00C35E21"/>
    <w:rsid w:val="00C35EB7"/>
    <w:rsid w:val="00C37210"/>
    <w:rsid w:val="00C4251F"/>
    <w:rsid w:val="00C43213"/>
    <w:rsid w:val="00C45BA6"/>
    <w:rsid w:val="00C46E5F"/>
    <w:rsid w:val="00C479DF"/>
    <w:rsid w:val="00C50B19"/>
    <w:rsid w:val="00C52345"/>
    <w:rsid w:val="00C5234F"/>
    <w:rsid w:val="00C53D46"/>
    <w:rsid w:val="00C53F88"/>
    <w:rsid w:val="00C55310"/>
    <w:rsid w:val="00C556A6"/>
    <w:rsid w:val="00C56C52"/>
    <w:rsid w:val="00C577D6"/>
    <w:rsid w:val="00C603FC"/>
    <w:rsid w:val="00C60BEA"/>
    <w:rsid w:val="00C61494"/>
    <w:rsid w:val="00C62CF8"/>
    <w:rsid w:val="00C63158"/>
    <w:rsid w:val="00C64AAD"/>
    <w:rsid w:val="00C66C32"/>
    <w:rsid w:val="00C67568"/>
    <w:rsid w:val="00C70BF3"/>
    <w:rsid w:val="00C71115"/>
    <w:rsid w:val="00C7338D"/>
    <w:rsid w:val="00C73F7A"/>
    <w:rsid w:val="00C766D3"/>
    <w:rsid w:val="00C76715"/>
    <w:rsid w:val="00C77A75"/>
    <w:rsid w:val="00C80C82"/>
    <w:rsid w:val="00C82ACC"/>
    <w:rsid w:val="00C82C56"/>
    <w:rsid w:val="00C82E17"/>
    <w:rsid w:val="00C831BE"/>
    <w:rsid w:val="00C83C88"/>
    <w:rsid w:val="00C83EB1"/>
    <w:rsid w:val="00C84A42"/>
    <w:rsid w:val="00C84C05"/>
    <w:rsid w:val="00C8566F"/>
    <w:rsid w:val="00C85677"/>
    <w:rsid w:val="00C8736F"/>
    <w:rsid w:val="00C87A31"/>
    <w:rsid w:val="00C87AD1"/>
    <w:rsid w:val="00C903AE"/>
    <w:rsid w:val="00C90EE5"/>
    <w:rsid w:val="00C910AB"/>
    <w:rsid w:val="00C9283E"/>
    <w:rsid w:val="00C96030"/>
    <w:rsid w:val="00C96A5D"/>
    <w:rsid w:val="00C9762F"/>
    <w:rsid w:val="00CA1B83"/>
    <w:rsid w:val="00CA1C60"/>
    <w:rsid w:val="00CA2FA5"/>
    <w:rsid w:val="00CA331E"/>
    <w:rsid w:val="00CA593A"/>
    <w:rsid w:val="00CB04EE"/>
    <w:rsid w:val="00CB3686"/>
    <w:rsid w:val="00CB7085"/>
    <w:rsid w:val="00CB772B"/>
    <w:rsid w:val="00CB7870"/>
    <w:rsid w:val="00CC07E7"/>
    <w:rsid w:val="00CC1559"/>
    <w:rsid w:val="00CC27DF"/>
    <w:rsid w:val="00CC31BA"/>
    <w:rsid w:val="00CC31EF"/>
    <w:rsid w:val="00CC5BBA"/>
    <w:rsid w:val="00CC66B3"/>
    <w:rsid w:val="00CC7723"/>
    <w:rsid w:val="00CC7B65"/>
    <w:rsid w:val="00CD6E93"/>
    <w:rsid w:val="00CD7B15"/>
    <w:rsid w:val="00CE1F9B"/>
    <w:rsid w:val="00CE22DC"/>
    <w:rsid w:val="00CE2D7F"/>
    <w:rsid w:val="00CE525F"/>
    <w:rsid w:val="00CE548C"/>
    <w:rsid w:val="00CE55E6"/>
    <w:rsid w:val="00CE6362"/>
    <w:rsid w:val="00CF1CB9"/>
    <w:rsid w:val="00CF5559"/>
    <w:rsid w:val="00CF5CD1"/>
    <w:rsid w:val="00CF61FA"/>
    <w:rsid w:val="00CF79AA"/>
    <w:rsid w:val="00CF7E27"/>
    <w:rsid w:val="00D0106F"/>
    <w:rsid w:val="00D01097"/>
    <w:rsid w:val="00D011EE"/>
    <w:rsid w:val="00D015EE"/>
    <w:rsid w:val="00D01A50"/>
    <w:rsid w:val="00D02478"/>
    <w:rsid w:val="00D044A0"/>
    <w:rsid w:val="00D04653"/>
    <w:rsid w:val="00D05828"/>
    <w:rsid w:val="00D06302"/>
    <w:rsid w:val="00D075D2"/>
    <w:rsid w:val="00D07847"/>
    <w:rsid w:val="00D108E1"/>
    <w:rsid w:val="00D115C9"/>
    <w:rsid w:val="00D11938"/>
    <w:rsid w:val="00D125F3"/>
    <w:rsid w:val="00D12BA8"/>
    <w:rsid w:val="00D1590C"/>
    <w:rsid w:val="00D17FC3"/>
    <w:rsid w:val="00D22D87"/>
    <w:rsid w:val="00D2382E"/>
    <w:rsid w:val="00D2602B"/>
    <w:rsid w:val="00D266D9"/>
    <w:rsid w:val="00D3142A"/>
    <w:rsid w:val="00D3203A"/>
    <w:rsid w:val="00D3362A"/>
    <w:rsid w:val="00D37045"/>
    <w:rsid w:val="00D3719A"/>
    <w:rsid w:val="00D423D0"/>
    <w:rsid w:val="00D42EED"/>
    <w:rsid w:val="00D435EA"/>
    <w:rsid w:val="00D45F26"/>
    <w:rsid w:val="00D47A2A"/>
    <w:rsid w:val="00D5029E"/>
    <w:rsid w:val="00D5122D"/>
    <w:rsid w:val="00D52C7C"/>
    <w:rsid w:val="00D5696D"/>
    <w:rsid w:val="00D57544"/>
    <w:rsid w:val="00D57937"/>
    <w:rsid w:val="00D60536"/>
    <w:rsid w:val="00D605F3"/>
    <w:rsid w:val="00D608EC"/>
    <w:rsid w:val="00D60C14"/>
    <w:rsid w:val="00D60FBD"/>
    <w:rsid w:val="00D62454"/>
    <w:rsid w:val="00D6316A"/>
    <w:rsid w:val="00D651E9"/>
    <w:rsid w:val="00D65B35"/>
    <w:rsid w:val="00D66114"/>
    <w:rsid w:val="00D700B0"/>
    <w:rsid w:val="00D70278"/>
    <w:rsid w:val="00D70856"/>
    <w:rsid w:val="00D71EF4"/>
    <w:rsid w:val="00D72549"/>
    <w:rsid w:val="00D73616"/>
    <w:rsid w:val="00D7523B"/>
    <w:rsid w:val="00D76F36"/>
    <w:rsid w:val="00D77299"/>
    <w:rsid w:val="00D81450"/>
    <w:rsid w:val="00D85638"/>
    <w:rsid w:val="00D85A96"/>
    <w:rsid w:val="00D870B9"/>
    <w:rsid w:val="00D87C3D"/>
    <w:rsid w:val="00D90596"/>
    <w:rsid w:val="00D909F5"/>
    <w:rsid w:val="00D90E2F"/>
    <w:rsid w:val="00D91EE0"/>
    <w:rsid w:val="00D9478D"/>
    <w:rsid w:val="00D95846"/>
    <w:rsid w:val="00DA0B6F"/>
    <w:rsid w:val="00DB09A4"/>
    <w:rsid w:val="00DB0E2D"/>
    <w:rsid w:val="00DB2E36"/>
    <w:rsid w:val="00DB418E"/>
    <w:rsid w:val="00DB663F"/>
    <w:rsid w:val="00DC0145"/>
    <w:rsid w:val="00DC0D9D"/>
    <w:rsid w:val="00DC0F17"/>
    <w:rsid w:val="00DC1A1B"/>
    <w:rsid w:val="00DC4FFF"/>
    <w:rsid w:val="00DC5884"/>
    <w:rsid w:val="00DC6533"/>
    <w:rsid w:val="00DC6ED9"/>
    <w:rsid w:val="00DC7C50"/>
    <w:rsid w:val="00DD1010"/>
    <w:rsid w:val="00DD146C"/>
    <w:rsid w:val="00DD173E"/>
    <w:rsid w:val="00DD1B44"/>
    <w:rsid w:val="00DD3DBD"/>
    <w:rsid w:val="00DD3F8D"/>
    <w:rsid w:val="00DD4E73"/>
    <w:rsid w:val="00DD605B"/>
    <w:rsid w:val="00DD6F3E"/>
    <w:rsid w:val="00DE2439"/>
    <w:rsid w:val="00DE347D"/>
    <w:rsid w:val="00DE4A87"/>
    <w:rsid w:val="00DE6303"/>
    <w:rsid w:val="00DF105F"/>
    <w:rsid w:val="00DF11FD"/>
    <w:rsid w:val="00DF4105"/>
    <w:rsid w:val="00DF4CF4"/>
    <w:rsid w:val="00DF578A"/>
    <w:rsid w:val="00DF5F26"/>
    <w:rsid w:val="00DF6544"/>
    <w:rsid w:val="00DF6E82"/>
    <w:rsid w:val="00E010D0"/>
    <w:rsid w:val="00E02D7F"/>
    <w:rsid w:val="00E0302D"/>
    <w:rsid w:val="00E07026"/>
    <w:rsid w:val="00E07781"/>
    <w:rsid w:val="00E10325"/>
    <w:rsid w:val="00E10A7C"/>
    <w:rsid w:val="00E10AA9"/>
    <w:rsid w:val="00E141C8"/>
    <w:rsid w:val="00E15B11"/>
    <w:rsid w:val="00E15DC8"/>
    <w:rsid w:val="00E171EA"/>
    <w:rsid w:val="00E175CE"/>
    <w:rsid w:val="00E20BE5"/>
    <w:rsid w:val="00E220DB"/>
    <w:rsid w:val="00E22481"/>
    <w:rsid w:val="00E226C6"/>
    <w:rsid w:val="00E24120"/>
    <w:rsid w:val="00E24A22"/>
    <w:rsid w:val="00E2537B"/>
    <w:rsid w:val="00E25EDB"/>
    <w:rsid w:val="00E26E99"/>
    <w:rsid w:val="00E27294"/>
    <w:rsid w:val="00E31388"/>
    <w:rsid w:val="00E33C79"/>
    <w:rsid w:val="00E3563C"/>
    <w:rsid w:val="00E37A56"/>
    <w:rsid w:val="00E404B1"/>
    <w:rsid w:val="00E4232C"/>
    <w:rsid w:val="00E42F20"/>
    <w:rsid w:val="00E46745"/>
    <w:rsid w:val="00E474D8"/>
    <w:rsid w:val="00E50FA4"/>
    <w:rsid w:val="00E510D4"/>
    <w:rsid w:val="00E5125A"/>
    <w:rsid w:val="00E517F4"/>
    <w:rsid w:val="00E5394E"/>
    <w:rsid w:val="00E54150"/>
    <w:rsid w:val="00E622E8"/>
    <w:rsid w:val="00E6314D"/>
    <w:rsid w:val="00E65D98"/>
    <w:rsid w:val="00E65E83"/>
    <w:rsid w:val="00E7199B"/>
    <w:rsid w:val="00E7253A"/>
    <w:rsid w:val="00E74EBD"/>
    <w:rsid w:val="00E74ED1"/>
    <w:rsid w:val="00E77862"/>
    <w:rsid w:val="00E81272"/>
    <w:rsid w:val="00E821D3"/>
    <w:rsid w:val="00E822FE"/>
    <w:rsid w:val="00E82481"/>
    <w:rsid w:val="00E84D4A"/>
    <w:rsid w:val="00E85007"/>
    <w:rsid w:val="00E86A87"/>
    <w:rsid w:val="00E90661"/>
    <w:rsid w:val="00E90782"/>
    <w:rsid w:val="00E91BDD"/>
    <w:rsid w:val="00E93A3C"/>
    <w:rsid w:val="00E94167"/>
    <w:rsid w:val="00E968C6"/>
    <w:rsid w:val="00E97EA2"/>
    <w:rsid w:val="00EA14F0"/>
    <w:rsid w:val="00EA17F7"/>
    <w:rsid w:val="00EA2871"/>
    <w:rsid w:val="00EA4F80"/>
    <w:rsid w:val="00EB078C"/>
    <w:rsid w:val="00EB0F49"/>
    <w:rsid w:val="00EB19BB"/>
    <w:rsid w:val="00EB2A1F"/>
    <w:rsid w:val="00EB38CF"/>
    <w:rsid w:val="00EB4B38"/>
    <w:rsid w:val="00EB59C8"/>
    <w:rsid w:val="00EB681C"/>
    <w:rsid w:val="00EB6A9F"/>
    <w:rsid w:val="00EB7B4B"/>
    <w:rsid w:val="00EC076F"/>
    <w:rsid w:val="00EC1366"/>
    <w:rsid w:val="00EC1398"/>
    <w:rsid w:val="00EC453D"/>
    <w:rsid w:val="00EC5484"/>
    <w:rsid w:val="00ED0B7B"/>
    <w:rsid w:val="00ED24ED"/>
    <w:rsid w:val="00ED33DC"/>
    <w:rsid w:val="00ED49E6"/>
    <w:rsid w:val="00ED511E"/>
    <w:rsid w:val="00ED5DFB"/>
    <w:rsid w:val="00ED7EAC"/>
    <w:rsid w:val="00EE1879"/>
    <w:rsid w:val="00EE2FF3"/>
    <w:rsid w:val="00EE5A81"/>
    <w:rsid w:val="00EF1CC6"/>
    <w:rsid w:val="00EF22B5"/>
    <w:rsid w:val="00EF2500"/>
    <w:rsid w:val="00EF5451"/>
    <w:rsid w:val="00EF5BB1"/>
    <w:rsid w:val="00F00903"/>
    <w:rsid w:val="00F00CA5"/>
    <w:rsid w:val="00F00EFB"/>
    <w:rsid w:val="00F0136E"/>
    <w:rsid w:val="00F022DF"/>
    <w:rsid w:val="00F0270E"/>
    <w:rsid w:val="00F02A23"/>
    <w:rsid w:val="00F02A71"/>
    <w:rsid w:val="00F032CB"/>
    <w:rsid w:val="00F0339C"/>
    <w:rsid w:val="00F0343E"/>
    <w:rsid w:val="00F0408B"/>
    <w:rsid w:val="00F04CCD"/>
    <w:rsid w:val="00F06739"/>
    <w:rsid w:val="00F06C1F"/>
    <w:rsid w:val="00F06D0C"/>
    <w:rsid w:val="00F1045F"/>
    <w:rsid w:val="00F10694"/>
    <w:rsid w:val="00F10C1D"/>
    <w:rsid w:val="00F139F5"/>
    <w:rsid w:val="00F14554"/>
    <w:rsid w:val="00F14BC7"/>
    <w:rsid w:val="00F16DE1"/>
    <w:rsid w:val="00F16E6E"/>
    <w:rsid w:val="00F17888"/>
    <w:rsid w:val="00F17B7E"/>
    <w:rsid w:val="00F22787"/>
    <w:rsid w:val="00F243FF"/>
    <w:rsid w:val="00F247CA"/>
    <w:rsid w:val="00F25467"/>
    <w:rsid w:val="00F25D46"/>
    <w:rsid w:val="00F31AA7"/>
    <w:rsid w:val="00F31B99"/>
    <w:rsid w:val="00F3252A"/>
    <w:rsid w:val="00F337D6"/>
    <w:rsid w:val="00F338AB"/>
    <w:rsid w:val="00F34C33"/>
    <w:rsid w:val="00F3779F"/>
    <w:rsid w:val="00F41DFF"/>
    <w:rsid w:val="00F422C7"/>
    <w:rsid w:val="00F44979"/>
    <w:rsid w:val="00F449E1"/>
    <w:rsid w:val="00F4659C"/>
    <w:rsid w:val="00F52368"/>
    <w:rsid w:val="00F54CEE"/>
    <w:rsid w:val="00F567B1"/>
    <w:rsid w:val="00F603A5"/>
    <w:rsid w:val="00F61F84"/>
    <w:rsid w:val="00F62969"/>
    <w:rsid w:val="00F64B28"/>
    <w:rsid w:val="00F6595B"/>
    <w:rsid w:val="00F678AB"/>
    <w:rsid w:val="00F67D46"/>
    <w:rsid w:val="00F7072A"/>
    <w:rsid w:val="00F7113B"/>
    <w:rsid w:val="00F72DA9"/>
    <w:rsid w:val="00F73DE8"/>
    <w:rsid w:val="00F74A59"/>
    <w:rsid w:val="00F81225"/>
    <w:rsid w:val="00F81619"/>
    <w:rsid w:val="00F83AB6"/>
    <w:rsid w:val="00F85212"/>
    <w:rsid w:val="00F86700"/>
    <w:rsid w:val="00F93ED2"/>
    <w:rsid w:val="00F94339"/>
    <w:rsid w:val="00F96223"/>
    <w:rsid w:val="00F96A71"/>
    <w:rsid w:val="00FA028A"/>
    <w:rsid w:val="00FA0673"/>
    <w:rsid w:val="00FA0F8F"/>
    <w:rsid w:val="00FA1736"/>
    <w:rsid w:val="00FA28D5"/>
    <w:rsid w:val="00FA2E3E"/>
    <w:rsid w:val="00FA30B4"/>
    <w:rsid w:val="00FA5CF3"/>
    <w:rsid w:val="00FA6FB1"/>
    <w:rsid w:val="00FA7873"/>
    <w:rsid w:val="00FA7AE1"/>
    <w:rsid w:val="00FB03B6"/>
    <w:rsid w:val="00FB11C7"/>
    <w:rsid w:val="00FB13C7"/>
    <w:rsid w:val="00FB2F12"/>
    <w:rsid w:val="00FB39BE"/>
    <w:rsid w:val="00FB3B54"/>
    <w:rsid w:val="00FB3C2C"/>
    <w:rsid w:val="00FB6022"/>
    <w:rsid w:val="00FB7DD9"/>
    <w:rsid w:val="00FC21F5"/>
    <w:rsid w:val="00FC3C78"/>
    <w:rsid w:val="00FC438E"/>
    <w:rsid w:val="00FC49FB"/>
    <w:rsid w:val="00FC4F5B"/>
    <w:rsid w:val="00FC5422"/>
    <w:rsid w:val="00FC73A3"/>
    <w:rsid w:val="00FC7975"/>
    <w:rsid w:val="00FD03E5"/>
    <w:rsid w:val="00FD2EE9"/>
    <w:rsid w:val="00FD47FC"/>
    <w:rsid w:val="00FD4A8B"/>
    <w:rsid w:val="00FD4D2D"/>
    <w:rsid w:val="00FD7AA0"/>
    <w:rsid w:val="00FD7B34"/>
    <w:rsid w:val="00FE01C5"/>
    <w:rsid w:val="00FE36FF"/>
    <w:rsid w:val="00FE3F9C"/>
    <w:rsid w:val="00FE64B7"/>
    <w:rsid w:val="00FE73FB"/>
    <w:rsid w:val="00FE76EE"/>
    <w:rsid w:val="00FE7958"/>
    <w:rsid w:val="00FE7CE6"/>
    <w:rsid w:val="00FF0A38"/>
    <w:rsid w:val="00FF31CA"/>
    <w:rsid w:val="00FF4664"/>
    <w:rsid w:val="00FF5A35"/>
    <w:rsid w:val="00FF66EC"/>
    <w:rsid w:val="00FF752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B60"/>
    <w:pPr>
      <w:framePr w:wrap="auto"/>
      <w:widowControl/>
      <w:autoSpaceDE/>
      <w:autoSpaceDN/>
      <w:adjustRightInd/>
      <w:spacing w:after="200" w:line="276" w:lineRule="auto"/>
      <w:ind w:left="0" w:right="0"/>
      <w:jc w:val="left"/>
      <w:textAlignment w:val="auto"/>
    </w:pPr>
    <w:rPr>
      <w:rFonts w:ascii="Arial Narrow" w:hAnsi="Arial Narrow" w:cs="Times New Roman"/>
      <w:sz w:val="22"/>
      <w:szCs w:val="36"/>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unhideWhenUsed/>
    <w:rsid w:val="004957A9"/>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957A9"/>
    <w:rPr>
      <w:rFonts w:cs="Times New Roman"/>
      <w:rtl w:val="0"/>
      <w:cs w:val="0"/>
    </w:rPr>
  </w:style>
  <w:style w:type="paragraph" w:styleId="Footer">
    <w:name w:val="footer"/>
    <w:basedOn w:val="Normal"/>
    <w:link w:val="PtaChar"/>
    <w:uiPriority w:val="99"/>
    <w:unhideWhenUsed/>
    <w:rsid w:val="004957A9"/>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4957A9"/>
    <w:rPr>
      <w:rFonts w:cs="Times New Roman"/>
      <w:rtl w:val="0"/>
      <w:cs w:val="0"/>
    </w:rPr>
  </w:style>
  <w:style w:type="character" w:styleId="CommentReference">
    <w:name w:val="annotation reference"/>
    <w:basedOn w:val="DefaultParagraphFont"/>
    <w:uiPriority w:val="99"/>
    <w:semiHidden/>
    <w:unhideWhenUsed/>
    <w:rsid w:val="00A35A78"/>
    <w:rPr>
      <w:rFonts w:cs="Times New Roman"/>
      <w:sz w:val="16"/>
      <w:szCs w:val="16"/>
      <w:rtl w:val="0"/>
      <w:cs w:val="0"/>
    </w:rPr>
  </w:style>
  <w:style w:type="paragraph" w:styleId="CommentText">
    <w:name w:val="annotation text"/>
    <w:basedOn w:val="Normal"/>
    <w:link w:val="TextkomentraChar"/>
    <w:uiPriority w:val="99"/>
    <w:semiHidden/>
    <w:unhideWhenUsed/>
    <w:rsid w:val="00A35A78"/>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A35A78"/>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35A78"/>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35A78"/>
    <w:rPr>
      <w:b/>
      <w:bCs/>
    </w:rPr>
  </w:style>
  <w:style w:type="paragraph" w:styleId="BalloonText">
    <w:name w:val="Balloon Text"/>
    <w:basedOn w:val="Normal"/>
    <w:link w:val="TextbublinyChar"/>
    <w:uiPriority w:val="99"/>
    <w:semiHidden/>
    <w:unhideWhenUsed/>
    <w:rsid w:val="00A35A7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35A78"/>
    <w:rPr>
      <w:rFonts w:ascii="Tahoma" w:hAnsi="Tahoma" w:cs="Tahoma"/>
      <w:sz w:val="16"/>
      <w:szCs w:val="16"/>
      <w:rtl w:val="0"/>
      <w:cs w:val="0"/>
    </w:rPr>
  </w:style>
  <w:style w:type="paragraph" w:styleId="ListParagraph">
    <w:name w:val="List Paragraph"/>
    <w:basedOn w:val="Normal"/>
    <w:uiPriority w:val="34"/>
    <w:qFormat/>
    <w:rsid w:val="004B41ED"/>
    <w:pPr>
      <w:spacing w:after="100" w:afterAutospacing="1" w:line="240" w:lineRule="auto"/>
      <w:ind w:left="720" w:hanging="357"/>
      <w:contextualSpacing/>
      <w:jc w:val="both"/>
    </w:pPr>
    <w:rPr>
      <w:rFonts w:asciiTheme="minorHAnsi" w:hAnsiTheme="minorHAnsi"/>
      <w:szCs w:val="22"/>
    </w:rPr>
  </w:style>
  <w:style w:type="paragraph" w:customStyle="1" w:styleId="z00e1kladn00ed0020text">
    <w:name w:val="z_00e1kladn_00ed_0020text"/>
    <w:basedOn w:val="Normal"/>
    <w:rsid w:val="008D4C01"/>
    <w:pPr>
      <w:spacing w:before="100" w:beforeAutospacing="1" w:after="100" w:afterAutospacing="1" w:line="240" w:lineRule="auto"/>
      <w:jc w:val="left"/>
    </w:pPr>
    <w:rPr>
      <w:rFonts w:ascii="Times New Roman" w:hAnsi="Times New Roman"/>
      <w:sz w:val="24"/>
      <w:szCs w:val="24"/>
      <w:lang w:eastAsia="sk-SK"/>
    </w:rPr>
  </w:style>
  <w:style w:type="character" w:customStyle="1" w:styleId="z00e1kladn00ed0020textchar">
    <w:name w:val="z_00e1kladn_00ed_0020text__char"/>
    <w:basedOn w:val="DefaultParagraphFont"/>
    <w:rsid w:val="008D4C01"/>
    <w:rPr>
      <w:rFonts w:cs="Times New Roman"/>
      <w:rtl w:val="0"/>
      <w:cs w:val="0"/>
    </w:rPr>
  </w:style>
  <w:style w:type="paragraph" w:styleId="BodyTextIndent">
    <w:name w:val="Body Text Indent"/>
    <w:basedOn w:val="Normal"/>
    <w:link w:val="ZarkazkladnhotextuChar"/>
    <w:uiPriority w:val="99"/>
    <w:unhideWhenUsed/>
    <w:rsid w:val="00463A39"/>
    <w:pPr>
      <w:spacing w:after="0" w:line="240" w:lineRule="auto"/>
      <w:jc w:val="both"/>
    </w:pPr>
    <w:rPr>
      <w:rFonts w:ascii="Times New Roman" w:hAnsi="Times New Roman"/>
      <w:sz w:val="24"/>
      <w:szCs w:val="24"/>
    </w:rPr>
  </w:style>
  <w:style w:type="character" w:customStyle="1" w:styleId="ZarkazkladnhotextuChar">
    <w:name w:val="Zarážka základného textu Char"/>
    <w:basedOn w:val="DefaultParagraphFont"/>
    <w:link w:val="BodyTextIndent"/>
    <w:uiPriority w:val="99"/>
    <w:locked/>
    <w:rsid w:val="00463A39"/>
    <w:rPr>
      <w:rFonts w:ascii="Times New Roman" w:hAnsi="Times New Roman" w:cs="Times New Roman"/>
      <w:sz w:val="24"/>
      <w:szCs w:val="24"/>
      <w:rtl w:val="0"/>
      <w:cs w:val="0"/>
    </w:rPr>
  </w:style>
  <w:style w:type="paragraph" w:styleId="NormalWeb">
    <w:name w:val="Normal (Web)"/>
    <w:basedOn w:val="Normal"/>
    <w:uiPriority w:val="99"/>
    <w:unhideWhenUsed/>
    <w:rsid w:val="001D4CC5"/>
    <w:pPr>
      <w:spacing w:before="100" w:beforeAutospacing="1" w:after="100" w:afterAutospacing="1" w:line="240" w:lineRule="auto"/>
      <w:jc w:val="left"/>
    </w:pPr>
    <w:rPr>
      <w:rFonts w:ascii="Times New Roman" w:hAnsi="Times New Roman"/>
      <w:sz w:val="24"/>
      <w:szCs w:val="24"/>
      <w:lang w:eastAsia="sk-SK"/>
    </w:rPr>
  </w:style>
  <w:style w:type="paragraph" w:customStyle="1" w:styleId="doc-ti">
    <w:name w:val="doc-ti"/>
    <w:basedOn w:val="Normal"/>
    <w:rsid w:val="007814F2"/>
    <w:pPr>
      <w:spacing w:before="100" w:beforeAutospacing="1" w:after="100" w:afterAutospacing="1" w:line="240" w:lineRule="auto"/>
      <w:jc w:val="left"/>
    </w:pPr>
    <w:rPr>
      <w:rFonts w:ascii="Times New Roman" w:hAnsi="Times New Roman"/>
      <w:sz w:val="24"/>
      <w:szCs w:val="24"/>
      <w:lang w:eastAsia="sk-SK"/>
    </w:rPr>
  </w:style>
  <w:style w:type="paragraph" w:styleId="FootnoteText">
    <w:name w:val="footnote text"/>
    <w:basedOn w:val="Normal"/>
    <w:link w:val="TextpoznmkypodiarouChar"/>
    <w:uiPriority w:val="99"/>
    <w:unhideWhenUsed/>
    <w:rsid w:val="006435F3"/>
    <w:pPr>
      <w:spacing w:after="0" w:line="240" w:lineRule="auto"/>
      <w:jc w:val="left"/>
    </w:pPr>
    <w:rPr>
      <w:rFonts w:cs="DokChampa"/>
      <w:sz w:val="20"/>
      <w:szCs w:val="20"/>
    </w:rPr>
  </w:style>
  <w:style w:type="character" w:customStyle="1" w:styleId="TextpoznmkypodiarouChar">
    <w:name w:val="Text poznámky pod čiarou Char"/>
    <w:basedOn w:val="DefaultParagraphFont"/>
    <w:link w:val="FootnoteText"/>
    <w:uiPriority w:val="99"/>
    <w:locked/>
    <w:rsid w:val="006435F3"/>
    <w:rPr>
      <w:rFonts w:cs="DokChampa"/>
      <w:sz w:val="20"/>
      <w:szCs w:val="20"/>
      <w:rtl w:val="0"/>
      <w:cs w:val="0"/>
    </w:rPr>
  </w:style>
  <w:style w:type="character" w:styleId="FootnoteReference">
    <w:name w:val="footnote reference"/>
    <w:basedOn w:val="DefaultParagraphFont"/>
    <w:uiPriority w:val="99"/>
    <w:unhideWhenUsed/>
    <w:rsid w:val="006435F3"/>
    <w:rPr>
      <w:rFonts w:cs="Times New Roman"/>
      <w:vertAlign w:val="superscript"/>
      <w:rtl w:val="0"/>
      <w:cs w:val="0"/>
    </w:rPr>
  </w:style>
  <w:style w:type="character" w:customStyle="1" w:styleId="normalchar">
    <w:name w:val="normal__char"/>
    <w:basedOn w:val="DefaultParagraphFont"/>
    <w:rsid w:val="006435F3"/>
    <w:rPr>
      <w:rFonts w:cs="Times New Roman"/>
      <w:rtl w:val="0"/>
      <w:cs w:val="0"/>
    </w:rPr>
  </w:style>
  <w:style w:type="paragraph" w:customStyle="1" w:styleId="Normlny1">
    <w:name w:val="Normálny1"/>
    <w:basedOn w:val="Normal"/>
    <w:rsid w:val="008B2BAC"/>
    <w:pPr>
      <w:spacing w:before="100" w:beforeAutospacing="1" w:after="100" w:afterAutospacing="1" w:line="240" w:lineRule="auto"/>
      <w:jc w:val="left"/>
    </w:pPr>
    <w:rPr>
      <w:rFonts w:ascii="Times New Roman" w:hAnsi="Times New Roman"/>
      <w:sz w:val="24"/>
      <w:szCs w:val="24"/>
      <w:lang w:eastAsia="sk-SK"/>
    </w:rPr>
  </w:style>
  <w:style w:type="paragraph" w:customStyle="1" w:styleId="Point0">
    <w:name w:val="Point 0"/>
    <w:basedOn w:val="Normal"/>
    <w:rsid w:val="00251DDD"/>
    <w:pPr>
      <w:spacing w:before="120" w:after="120" w:line="360" w:lineRule="auto"/>
      <w:ind w:left="850" w:hanging="850"/>
      <w:jc w:val="left"/>
    </w:pPr>
    <w:rPr>
      <w:rFonts w:ascii="Times New Roman" w:hAnsi="Times New Roman"/>
      <w:sz w:val="24"/>
      <w:szCs w:val="24"/>
    </w:rPr>
  </w:style>
  <w:style w:type="table" w:styleId="TableGrid">
    <w:name w:val="Table Grid"/>
    <w:basedOn w:val="TableNormal"/>
    <w:uiPriority w:val="59"/>
    <w:rsid w:val="00233F02"/>
    <w:pPr>
      <w:spacing w:after="0" w:line="240" w:lineRule="auto"/>
    </w:pPr>
    <w:rPr>
      <w:rFonts w:asciiTheme="minorHAnsi"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F02"/>
    <w:rPr>
      <w:rFonts w:cs="Times New Roman"/>
      <w:color w:val="0000FF" w:themeColor="hlink" w:themeShade="FF"/>
      <w:u w:val="single"/>
      <w:rtl w:val="0"/>
      <w:cs w:val="0"/>
    </w:rPr>
  </w:style>
  <w:style w:type="character" w:styleId="PageNumber">
    <w:name w:val="page number"/>
    <w:basedOn w:val="DefaultParagraphFont"/>
    <w:uiPriority w:val="99"/>
    <w:rsid w:val="00233F02"/>
    <w:rPr>
      <w:rFonts w:cs="Times New Roman"/>
      <w:rtl w:val="0"/>
      <w:cs w:val="0"/>
    </w:rPr>
  </w:style>
  <w:style w:type="paragraph" w:styleId="BodyText">
    <w:name w:val="Body Text"/>
    <w:basedOn w:val="Normal"/>
    <w:link w:val="ZkladntextChar"/>
    <w:uiPriority w:val="99"/>
    <w:rsid w:val="006756B1"/>
    <w:pPr>
      <w:spacing w:after="120" w:line="240" w:lineRule="auto"/>
      <w:jc w:val="left"/>
    </w:pPr>
    <w:rPr>
      <w:rFonts w:ascii="Times New Roman" w:hAnsi="Times New Roman"/>
      <w:sz w:val="24"/>
      <w:szCs w:val="24"/>
      <w:lang w:eastAsia="cs-CZ"/>
    </w:rPr>
  </w:style>
  <w:style w:type="character" w:customStyle="1" w:styleId="ZkladntextChar">
    <w:name w:val="Základný text Char"/>
    <w:basedOn w:val="DefaultParagraphFont"/>
    <w:link w:val="BodyText"/>
    <w:uiPriority w:val="99"/>
    <w:locked/>
    <w:rsid w:val="006756B1"/>
    <w:rPr>
      <w:rFonts w:ascii="Times New Roman" w:hAnsi="Times New Roman" w:cs="Times New Roman"/>
      <w:sz w:val="24"/>
      <w:szCs w:val="24"/>
      <w:rtl w:val="0"/>
      <w:cs w:val="0"/>
      <w:lang w:val="x-none" w:eastAsia="cs-CZ"/>
    </w:rPr>
  </w:style>
  <w:style w:type="character" w:styleId="Emphasis">
    <w:name w:val="Emphasis"/>
    <w:basedOn w:val="DefaultParagraphFont"/>
    <w:uiPriority w:val="20"/>
    <w:qFormat/>
    <w:rsid w:val="006756B1"/>
    <w:rPr>
      <w:rFonts w:cs="Times New Roman"/>
      <w:i/>
      <w:rtl w:val="0"/>
      <w:cs w:val="0"/>
    </w:rPr>
  </w:style>
  <w:style w:type="character" w:styleId="Strong">
    <w:name w:val="Strong"/>
    <w:basedOn w:val="DefaultParagraphFont"/>
    <w:uiPriority w:val="22"/>
    <w:qFormat/>
    <w:rsid w:val="006756B1"/>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legislativne-procesy/SK/PI/2016/106" TargetMode="External" /><Relationship Id="rId6" Type="http://schemas.openxmlformats.org/officeDocument/2006/relationships/hyperlink" Target="mailto:iveta.grossova@mfsr.sk"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9EC55-52EC-4F17-AE55-267950B9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20</Pages>
  <Words>5950</Words>
  <Characters>33915</Characters>
  <Application>Microsoft Office Word</Application>
  <DocSecurity>0</DocSecurity>
  <Lines>0</Lines>
  <Paragraphs>0</Paragraphs>
  <ScaleCrop>false</ScaleCrop>
  <Company>Ministerstvo financií</Company>
  <LinksUpToDate>false</LinksUpToDate>
  <CharactersWithSpaces>39786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jnestinova</dc:creator>
  <cp:lastModifiedBy>Grossova Iveta</cp:lastModifiedBy>
  <cp:revision>3</cp:revision>
  <cp:lastPrinted>2016-10-27T15:12:00Z</cp:lastPrinted>
  <dcterms:created xsi:type="dcterms:W3CDTF">2016-10-27T15:10:00Z</dcterms:created>
  <dcterms:modified xsi:type="dcterms:W3CDTF">2016-10-27T15:15:00Z</dcterms:modified>
</cp:coreProperties>
</file>